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D1AC7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无锡市钱桥中学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有害生物防治服务要求</w:t>
      </w:r>
    </w:p>
    <w:p w14:paraId="14D937C5">
      <w:pPr>
        <w:widowControl/>
        <w:tabs>
          <w:tab w:val="left" w:pos="720"/>
        </w:tabs>
        <w:adjustRightInd w:val="0"/>
        <w:snapToGrid w:val="0"/>
        <w:spacing w:line="500" w:lineRule="exact"/>
        <w:rPr>
          <w:rFonts w:ascii="宋体" w:hAnsi="宋体" w:cs="宋体"/>
          <w:b/>
          <w:sz w:val="22"/>
          <w:szCs w:val="24"/>
        </w:rPr>
      </w:pPr>
      <w:r>
        <w:rPr>
          <w:rFonts w:hint="eastAsia" w:ascii="宋体" w:hAnsi="宋体" w:cs="宋体"/>
          <w:b/>
          <w:sz w:val="22"/>
          <w:szCs w:val="24"/>
        </w:rPr>
        <w:t xml:space="preserve">第一条：服务项目及场所 </w:t>
      </w:r>
    </w:p>
    <w:p w14:paraId="71059044">
      <w:pPr>
        <w:widowControl/>
        <w:tabs>
          <w:tab w:val="left" w:pos="720"/>
        </w:tabs>
        <w:adjustRightInd w:val="0"/>
        <w:snapToGrid w:val="0"/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1、服务项目：以蟑螂、老鼠、蚊子、苍蝇、白蚁和跳蚤等虫害防治服务。</w:t>
      </w:r>
    </w:p>
    <w:p w14:paraId="7EF5DF59">
      <w:pPr>
        <w:widowControl/>
        <w:tabs>
          <w:tab w:val="left" w:pos="720"/>
        </w:tabs>
        <w:adjustRightInd w:val="0"/>
        <w:snapToGrid w:val="0"/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2、服务地址：无锡市</w:t>
      </w:r>
      <w:r>
        <w:rPr>
          <w:rFonts w:hint="eastAsia" w:ascii="宋体" w:hAnsi="宋体" w:cs="宋体"/>
          <w:sz w:val="22"/>
          <w:szCs w:val="24"/>
          <w:lang w:val="en-US" w:eastAsia="zh-CN"/>
        </w:rPr>
        <w:t>惠山区育才路</w:t>
      </w:r>
      <w:r>
        <w:rPr>
          <w:rFonts w:hint="eastAsia" w:ascii="宋体" w:hAnsi="宋体" w:cs="宋体"/>
          <w:sz w:val="22"/>
          <w:szCs w:val="24"/>
        </w:rPr>
        <w:t>1</w:t>
      </w:r>
      <w:r>
        <w:rPr>
          <w:rFonts w:hint="eastAsia" w:ascii="宋体" w:hAnsi="宋体" w:cs="宋体"/>
          <w:sz w:val="22"/>
          <w:szCs w:val="24"/>
          <w:lang w:val="en-US" w:eastAsia="zh-CN"/>
        </w:rPr>
        <w:t>00</w:t>
      </w:r>
      <w:r>
        <w:rPr>
          <w:rFonts w:hint="eastAsia" w:ascii="宋体" w:hAnsi="宋体" w:cs="宋体"/>
          <w:sz w:val="22"/>
          <w:szCs w:val="24"/>
        </w:rPr>
        <w:t>号。</w:t>
      </w:r>
    </w:p>
    <w:p w14:paraId="3B9F45B3">
      <w:pPr>
        <w:widowControl/>
        <w:adjustRightInd w:val="0"/>
        <w:snapToGrid w:val="0"/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3、服务区域：无锡</w:t>
      </w:r>
      <w:r>
        <w:rPr>
          <w:rFonts w:hint="eastAsia" w:ascii="宋体" w:hAnsi="宋体" w:cs="宋体"/>
          <w:sz w:val="22"/>
          <w:szCs w:val="24"/>
          <w:lang w:val="en-US" w:eastAsia="zh-CN"/>
        </w:rPr>
        <w:t>市钱桥中学</w:t>
      </w:r>
      <w:r>
        <w:rPr>
          <w:rFonts w:hint="eastAsia" w:ascii="宋体" w:hAnsi="宋体" w:cs="宋体"/>
          <w:sz w:val="22"/>
          <w:szCs w:val="24"/>
        </w:rPr>
        <w:t>所有建筑区域</w:t>
      </w:r>
      <w:r>
        <w:rPr>
          <w:rFonts w:hint="eastAsia" w:ascii="宋体" w:hAnsi="宋体" w:cs="宋体"/>
          <w:sz w:val="22"/>
          <w:szCs w:val="24"/>
          <w:lang w:eastAsia="zh-CN"/>
        </w:rPr>
        <w:t>（</w:t>
      </w:r>
      <w:r>
        <w:rPr>
          <w:rFonts w:hint="eastAsia" w:ascii="宋体" w:hAnsi="宋体" w:cs="宋体"/>
          <w:sz w:val="22"/>
          <w:szCs w:val="24"/>
          <w:lang w:val="en-US" w:eastAsia="zh-CN"/>
        </w:rPr>
        <w:t>外围及室内</w:t>
      </w:r>
      <w:r>
        <w:rPr>
          <w:rFonts w:hint="eastAsia" w:ascii="宋体" w:hAnsi="宋体" w:cs="宋体"/>
          <w:sz w:val="22"/>
          <w:szCs w:val="24"/>
          <w:lang w:eastAsia="zh-CN"/>
        </w:rPr>
        <w:t>）</w:t>
      </w:r>
      <w:r>
        <w:rPr>
          <w:rFonts w:hint="eastAsia" w:ascii="宋体" w:hAnsi="宋体" w:cs="宋体"/>
          <w:sz w:val="22"/>
          <w:szCs w:val="24"/>
        </w:rPr>
        <w:t>。</w:t>
      </w:r>
    </w:p>
    <w:p w14:paraId="040303F2">
      <w:pPr>
        <w:widowControl/>
        <w:tabs>
          <w:tab w:val="left" w:pos="720"/>
        </w:tabs>
        <w:adjustRightInd w:val="0"/>
        <w:snapToGrid w:val="0"/>
        <w:spacing w:line="500" w:lineRule="exact"/>
        <w:rPr>
          <w:rFonts w:ascii="宋体" w:hAnsi="宋体" w:cs="宋体"/>
          <w:b/>
          <w:sz w:val="22"/>
          <w:szCs w:val="24"/>
        </w:rPr>
      </w:pPr>
    </w:p>
    <w:p w14:paraId="42381189">
      <w:pPr>
        <w:widowControl/>
        <w:tabs>
          <w:tab w:val="left" w:pos="720"/>
        </w:tabs>
        <w:adjustRightInd w:val="0"/>
        <w:snapToGrid w:val="0"/>
        <w:spacing w:line="500" w:lineRule="exact"/>
        <w:rPr>
          <w:rFonts w:ascii="宋体" w:hAnsi="宋体" w:cs="宋体"/>
          <w:b/>
          <w:sz w:val="22"/>
          <w:szCs w:val="24"/>
        </w:rPr>
      </w:pPr>
      <w:r>
        <w:rPr>
          <w:rFonts w:hint="eastAsia" w:ascii="宋体" w:hAnsi="宋体" w:cs="宋体"/>
          <w:b/>
          <w:sz w:val="22"/>
          <w:szCs w:val="24"/>
        </w:rPr>
        <w:t>第二条：服务标准和作业频次</w:t>
      </w:r>
    </w:p>
    <w:p w14:paraId="4904DCA0">
      <w:pPr>
        <w:spacing w:line="500" w:lineRule="exact"/>
        <w:ind w:firstLine="442" w:firstLineChars="200"/>
        <w:rPr>
          <w:rFonts w:ascii="宋体" w:hAnsi="宋体" w:cs="宋体"/>
          <w:b/>
          <w:sz w:val="22"/>
          <w:szCs w:val="24"/>
        </w:rPr>
      </w:pPr>
      <w:r>
        <w:rPr>
          <w:rFonts w:hint="eastAsia" w:ascii="宋体" w:hAnsi="宋体" w:cs="宋体"/>
          <w:b/>
          <w:sz w:val="22"/>
          <w:szCs w:val="24"/>
        </w:rPr>
        <w:t>⑴灭鼠：</w:t>
      </w:r>
    </w:p>
    <w:p w14:paraId="5814C18D">
      <w:pPr>
        <w:widowControl/>
        <w:tabs>
          <w:tab w:val="left" w:pos="720"/>
        </w:tabs>
        <w:adjustRightInd w:val="0"/>
        <w:snapToGrid w:val="0"/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实施计划：</w:t>
      </w:r>
      <w:r>
        <w:rPr>
          <w:rFonts w:hint="eastAsia" w:ascii="宋体" w:hAnsi="宋体" w:cs="宋体"/>
          <w:sz w:val="22"/>
          <w:szCs w:val="24"/>
          <w:lang w:val="en-US" w:eastAsia="zh-CN"/>
        </w:rPr>
        <w:t>每月2次，</w:t>
      </w:r>
      <w:r>
        <w:rPr>
          <w:rFonts w:hint="eastAsia" w:ascii="宋体" w:hAnsi="宋体" w:cs="宋体"/>
          <w:sz w:val="22"/>
          <w:szCs w:val="24"/>
        </w:rPr>
        <w:t>全年总服务次数不少于2</w:t>
      </w:r>
      <w:r>
        <w:rPr>
          <w:rFonts w:hint="eastAsia" w:ascii="宋体" w:hAnsi="宋体" w:cs="宋体"/>
          <w:sz w:val="22"/>
          <w:szCs w:val="24"/>
          <w:lang w:val="en-US" w:eastAsia="zh-CN"/>
        </w:rPr>
        <w:t>4</w:t>
      </w:r>
      <w:r>
        <w:rPr>
          <w:rFonts w:hint="eastAsia" w:ascii="宋体" w:hAnsi="宋体" w:cs="宋体"/>
          <w:sz w:val="22"/>
          <w:szCs w:val="24"/>
        </w:rPr>
        <w:t>次 。</w:t>
      </w:r>
    </w:p>
    <w:p w14:paraId="7A530E40">
      <w:pPr>
        <w:spacing w:line="500" w:lineRule="exact"/>
        <w:ind w:firstLine="442" w:firstLineChars="200"/>
        <w:rPr>
          <w:rFonts w:ascii="宋体" w:hAnsi="宋体" w:cs="宋体"/>
          <w:b/>
          <w:sz w:val="22"/>
          <w:szCs w:val="24"/>
        </w:rPr>
      </w:pPr>
      <w:r>
        <w:rPr>
          <w:rFonts w:hint="eastAsia" w:ascii="宋体" w:hAnsi="宋体" w:cs="宋体"/>
          <w:b/>
          <w:sz w:val="22"/>
          <w:szCs w:val="24"/>
        </w:rPr>
        <w:t>⑵灭蟑螂及爬虫：</w:t>
      </w:r>
    </w:p>
    <w:p w14:paraId="5D5C696F">
      <w:pPr>
        <w:widowControl/>
        <w:tabs>
          <w:tab w:val="left" w:pos="720"/>
        </w:tabs>
        <w:adjustRightInd w:val="0"/>
        <w:snapToGrid w:val="0"/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实施计划：</w:t>
      </w:r>
      <w:r>
        <w:rPr>
          <w:rFonts w:hint="eastAsia" w:ascii="宋体" w:hAnsi="宋体" w:cs="宋体"/>
          <w:sz w:val="22"/>
          <w:szCs w:val="24"/>
          <w:lang w:val="en-US" w:eastAsia="zh-CN"/>
        </w:rPr>
        <w:t>每月2次，</w:t>
      </w:r>
      <w:r>
        <w:rPr>
          <w:rFonts w:hint="eastAsia" w:ascii="宋体" w:hAnsi="宋体" w:cs="宋体"/>
          <w:sz w:val="22"/>
          <w:szCs w:val="24"/>
        </w:rPr>
        <w:t>全年总服务次数不少于2</w:t>
      </w:r>
      <w:r>
        <w:rPr>
          <w:rFonts w:hint="eastAsia" w:ascii="宋体" w:hAnsi="宋体" w:cs="宋体"/>
          <w:sz w:val="22"/>
          <w:szCs w:val="24"/>
          <w:lang w:val="en-US" w:eastAsia="zh-CN"/>
        </w:rPr>
        <w:t>4</w:t>
      </w:r>
      <w:r>
        <w:rPr>
          <w:rFonts w:hint="eastAsia" w:ascii="宋体" w:hAnsi="宋体" w:cs="宋体"/>
          <w:sz w:val="22"/>
          <w:szCs w:val="24"/>
        </w:rPr>
        <w:t xml:space="preserve">次 。 </w:t>
      </w:r>
    </w:p>
    <w:p w14:paraId="3D5DCB3C">
      <w:pPr>
        <w:spacing w:line="500" w:lineRule="exact"/>
        <w:ind w:firstLine="442" w:firstLineChars="200"/>
        <w:rPr>
          <w:rFonts w:ascii="宋体" w:hAnsi="宋体" w:cs="宋体"/>
          <w:b/>
          <w:bCs/>
          <w:sz w:val="22"/>
          <w:szCs w:val="24"/>
        </w:rPr>
      </w:pPr>
      <w:r>
        <w:rPr>
          <w:rFonts w:hint="eastAsia" w:ascii="宋体" w:hAnsi="宋体" w:cs="宋体"/>
          <w:b/>
          <w:bCs/>
          <w:sz w:val="22"/>
          <w:szCs w:val="24"/>
        </w:rPr>
        <w:t>⑶灭蚊、蝇及其它飞虫</w:t>
      </w:r>
    </w:p>
    <w:p w14:paraId="0B0B40CB">
      <w:pPr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实施计划：在每年4月、5月、6月、7月、8月，9月，10月各按排</w:t>
      </w:r>
      <w:r>
        <w:rPr>
          <w:rFonts w:hint="eastAsia" w:ascii="宋体" w:hAnsi="宋体" w:cs="宋体"/>
          <w:sz w:val="22"/>
          <w:szCs w:val="24"/>
          <w:lang w:val="en-US" w:eastAsia="zh-CN"/>
        </w:rPr>
        <w:t>2</w:t>
      </w:r>
      <w:r>
        <w:rPr>
          <w:rFonts w:hint="eastAsia" w:ascii="宋体" w:hAnsi="宋体" w:cs="宋体"/>
          <w:sz w:val="22"/>
          <w:szCs w:val="24"/>
        </w:rPr>
        <w:t>次消杀，全年总服务次数不少于</w:t>
      </w:r>
      <w:r>
        <w:rPr>
          <w:rFonts w:hint="eastAsia" w:ascii="宋体" w:hAnsi="宋体" w:cs="宋体"/>
          <w:sz w:val="22"/>
          <w:szCs w:val="24"/>
          <w:lang w:val="en-US" w:eastAsia="zh-CN"/>
        </w:rPr>
        <w:t>14</w:t>
      </w:r>
      <w:r>
        <w:rPr>
          <w:rFonts w:hint="eastAsia" w:ascii="宋体" w:hAnsi="宋体" w:cs="宋体"/>
          <w:sz w:val="22"/>
          <w:szCs w:val="24"/>
        </w:rPr>
        <w:t>次。</w:t>
      </w:r>
    </w:p>
    <w:p w14:paraId="0D281BD0">
      <w:pPr>
        <w:spacing w:line="500" w:lineRule="exact"/>
        <w:ind w:firstLine="442" w:firstLineChars="200"/>
        <w:rPr>
          <w:rFonts w:ascii="宋体" w:hAnsi="宋体" w:cs="宋体"/>
          <w:b/>
          <w:bCs/>
          <w:sz w:val="22"/>
          <w:szCs w:val="24"/>
        </w:rPr>
      </w:pPr>
      <w:r>
        <w:rPr>
          <w:rFonts w:hint="eastAsia" w:ascii="宋体" w:hAnsi="宋体" w:cs="宋体"/>
          <w:b/>
          <w:bCs/>
          <w:sz w:val="22"/>
          <w:szCs w:val="24"/>
        </w:rPr>
        <w:t>（4）灭跳蚤</w:t>
      </w:r>
    </w:p>
    <w:p w14:paraId="28F6BCC0">
      <w:pPr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实施计划：合同期内，消杀公司于发现猫（狗）活动路径上喷洒杀虫剂，根据</w:t>
      </w:r>
      <w:r>
        <w:rPr>
          <w:rFonts w:hint="eastAsia" w:ascii="宋体" w:hAnsi="宋体" w:cs="宋体"/>
          <w:sz w:val="22"/>
          <w:szCs w:val="24"/>
          <w:lang w:eastAsia="zh-CN"/>
        </w:rPr>
        <w:t>校方</w:t>
      </w:r>
      <w:r>
        <w:rPr>
          <w:rFonts w:hint="eastAsia" w:ascii="宋体" w:hAnsi="宋体" w:cs="宋体"/>
          <w:sz w:val="22"/>
          <w:szCs w:val="24"/>
        </w:rPr>
        <w:t>提出的需求，治理及预防已发现跳蚤区域。</w:t>
      </w:r>
    </w:p>
    <w:p w14:paraId="0F442850">
      <w:pPr>
        <w:spacing w:line="500" w:lineRule="exact"/>
        <w:ind w:firstLine="442" w:firstLineChars="200"/>
        <w:rPr>
          <w:rFonts w:ascii="宋体" w:hAnsi="宋体" w:cs="宋体"/>
          <w:b/>
          <w:sz w:val="22"/>
          <w:szCs w:val="24"/>
        </w:rPr>
      </w:pPr>
      <w:r>
        <w:rPr>
          <w:rFonts w:hint="eastAsia" w:ascii="宋体" w:hAnsi="宋体" w:cs="宋体"/>
          <w:b/>
          <w:sz w:val="22"/>
          <w:szCs w:val="24"/>
        </w:rPr>
        <w:t>（5）消毒被死鼠污染的环境</w:t>
      </w:r>
    </w:p>
    <w:p w14:paraId="1AEE8E35">
      <w:pPr>
        <w:tabs>
          <w:tab w:val="left" w:pos="5040"/>
        </w:tabs>
        <w:adjustRightInd w:val="0"/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 xml:space="preserve">甲方发现死鼠，及时通知乙方，乙方在接到通知后立即派专业人员取走死鼠，并对相应的污染区域进行消毒，确保甲方有一个清洁卫生安全的工作环境。 </w:t>
      </w:r>
    </w:p>
    <w:p w14:paraId="3EEBDEC6">
      <w:pPr>
        <w:tabs>
          <w:tab w:val="left" w:pos="5040"/>
        </w:tabs>
        <w:adjustRightInd w:val="0"/>
        <w:spacing w:line="500" w:lineRule="exact"/>
        <w:ind w:firstLine="442" w:firstLineChars="200"/>
        <w:rPr>
          <w:rFonts w:ascii="宋体" w:hAnsi="宋体" w:cs="宋体"/>
          <w:b/>
          <w:bCs/>
          <w:sz w:val="22"/>
          <w:szCs w:val="24"/>
        </w:rPr>
      </w:pPr>
      <w:r>
        <w:rPr>
          <w:rFonts w:hint="eastAsia" w:ascii="宋体" w:hAnsi="宋体" w:cs="宋体"/>
          <w:b/>
          <w:bCs/>
          <w:sz w:val="22"/>
          <w:szCs w:val="24"/>
        </w:rPr>
        <w:t>（6）白蚁出现区域的消杀</w:t>
      </w:r>
    </w:p>
    <w:p w14:paraId="39C4797B">
      <w:pPr>
        <w:tabs>
          <w:tab w:val="left" w:pos="5040"/>
        </w:tabs>
        <w:adjustRightInd w:val="0"/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甲方发现白蚁及时通知乙方，乙方在接到通知后立即派专业人员进行消杀；</w:t>
      </w:r>
    </w:p>
    <w:p w14:paraId="77B12271">
      <w:pPr>
        <w:widowControl/>
        <w:tabs>
          <w:tab w:val="left" w:pos="720"/>
        </w:tabs>
        <w:adjustRightInd w:val="0"/>
        <w:snapToGrid w:val="0"/>
        <w:spacing w:line="500" w:lineRule="exact"/>
        <w:ind w:left="-2" w:leftChars="-1" w:firstLine="1"/>
        <w:rPr>
          <w:rFonts w:ascii="宋体" w:hAnsi="宋体" w:cs="宋体"/>
          <w:b/>
          <w:sz w:val="22"/>
          <w:szCs w:val="24"/>
        </w:rPr>
      </w:pPr>
    </w:p>
    <w:p w14:paraId="1D0B131A">
      <w:pPr>
        <w:widowControl/>
        <w:tabs>
          <w:tab w:val="left" w:pos="720"/>
        </w:tabs>
        <w:adjustRightInd w:val="0"/>
        <w:snapToGrid w:val="0"/>
        <w:spacing w:line="500" w:lineRule="exact"/>
        <w:ind w:left="-2" w:leftChars="-1" w:firstLine="1"/>
        <w:rPr>
          <w:rFonts w:ascii="宋体" w:hAnsi="宋体" w:cs="宋体"/>
          <w:b/>
          <w:sz w:val="22"/>
          <w:szCs w:val="24"/>
        </w:rPr>
      </w:pPr>
      <w:r>
        <w:rPr>
          <w:rFonts w:hint="eastAsia" w:ascii="宋体" w:hAnsi="宋体" w:cs="宋体"/>
          <w:b/>
          <w:sz w:val="22"/>
          <w:szCs w:val="24"/>
        </w:rPr>
        <w:t>第三条：使用药品标准</w:t>
      </w:r>
    </w:p>
    <w:p w14:paraId="7061ECC5">
      <w:pPr>
        <w:tabs>
          <w:tab w:val="left" w:pos="5040"/>
        </w:tabs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乙方必须确保所使用的灭鼠、灭虫药剂均为国内正规登记或世界卫生组织推荐使用药品，同时必须提供所需证件及药剂检测报告给</w:t>
      </w:r>
      <w:r>
        <w:rPr>
          <w:rFonts w:hint="eastAsia" w:ascii="宋体" w:hAnsi="宋体" w:cs="宋体"/>
          <w:sz w:val="22"/>
          <w:szCs w:val="24"/>
          <w:lang w:val="en-US" w:eastAsia="zh-CN"/>
        </w:rPr>
        <w:t>学校</w:t>
      </w:r>
      <w:r>
        <w:rPr>
          <w:rFonts w:hint="eastAsia" w:ascii="宋体" w:hAnsi="宋体" w:cs="宋体"/>
          <w:sz w:val="22"/>
          <w:szCs w:val="24"/>
        </w:rPr>
        <w:t>存档。</w:t>
      </w:r>
    </w:p>
    <w:p w14:paraId="1CB45FA6">
      <w:pPr>
        <w:widowControl/>
        <w:tabs>
          <w:tab w:val="left" w:pos="720"/>
        </w:tabs>
        <w:adjustRightInd w:val="0"/>
        <w:snapToGrid w:val="0"/>
        <w:spacing w:line="500" w:lineRule="exact"/>
        <w:rPr>
          <w:rFonts w:ascii="宋体" w:hAnsi="宋体" w:cs="宋体"/>
          <w:b/>
          <w:sz w:val="22"/>
          <w:szCs w:val="24"/>
        </w:rPr>
      </w:pPr>
    </w:p>
    <w:p w14:paraId="6FBDC1B7">
      <w:pPr>
        <w:widowControl/>
        <w:tabs>
          <w:tab w:val="left" w:pos="720"/>
        </w:tabs>
        <w:adjustRightInd w:val="0"/>
        <w:snapToGrid w:val="0"/>
        <w:spacing w:line="500" w:lineRule="exact"/>
        <w:rPr>
          <w:rFonts w:ascii="宋体" w:hAnsi="宋体" w:cs="宋体"/>
          <w:b/>
          <w:sz w:val="22"/>
          <w:szCs w:val="24"/>
        </w:rPr>
      </w:pPr>
      <w:r>
        <w:rPr>
          <w:rFonts w:hint="eastAsia" w:ascii="宋体" w:hAnsi="宋体" w:cs="宋体"/>
          <w:b/>
          <w:sz w:val="22"/>
          <w:szCs w:val="24"/>
        </w:rPr>
        <w:t>第四条：服务期限</w:t>
      </w:r>
    </w:p>
    <w:p w14:paraId="3A5FA83B">
      <w:pPr>
        <w:widowControl/>
        <w:tabs>
          <w:tab w:val="left" w:pos="720"/>
        </w:tabs>
        <w:adjustRightInd w:val="0"/>
        <w:snapToGrid w:val="0"/>
        <w:spacing w:line="500" w:lineRule="exact"/>
        <w:ind w:firstLine="440" w:firstLineChars="200"/>
        <w:rPr>
          <w:rFonts w:ascii="宋体" w:hAnsi="宋体" w:cs="宋体"/>
          <w:sz w:val="22"/>
          <w:szCs w:val="24"/>
        </w:rPr>
      </w:pPr>
      <w:r>
        <w:rPr>
          <w:rFonts w:hint="eastAsia" w:ascii="宋体" w:hAnsi="宋体" w:cs="宋体"/>
          <w:sz w:val="22"/>
          <w:szCs w:val="24"/>
        </w:rPr>
        <w:t>合同服务有效期为壹年</w:t>
      </w:r>
      <w:r>
        <w:rPr>
          <w:rFonts w:hint="eastAsia" w:ascii="宋体" w:hAnsi="宋体" w:cs="宋体"/>
          <w:sz w:val="22"/>
          <w:szCs w:val="24"/>
          <w:lang w:eastAsia="zh-CN"/>
        </w:rPr>
        <w:t>：</w:t>
      </w:r>
      <w:r>
        <w:rPr>
          <w:rFonts w:hint="eastAsia" w:ascii="宋体" w:hAnsi="宋体" w:cs="宋体"/>
          <w:sz w:val="22"/>
          <w:szCs w:val="24"/>
          <w:lang w:val="en-US" w:eastAsia="zh-CN"/>
        </w:rPr>
        <w:t>2025年11月1日至2026年10月31日</w:t>
      </w:r>
      <w:r>
        <w:rPr>
          <w:rFonts w:hint="eastAsia" w:ascii="宋体" w:hAnsi="宋体" w:cs="宋体"/>
          <w:sz w:val="22"/>
          <w:szCs w:val="24"/>
        </w:rPr>
        <w:t>。</w:t>
      </w:r>
    </w:p>
    <w:p w14:paraId="028F0763">
      <w:pPr>
        <w:widowControl/>
        <w:tabs>
          <w:tab w:val="left" w:pos="720"/>
        </w:tabs>
        <w:adjustRightInd w:val="0"/>
        <w:snapToGrid w:val="0"/>
        <w:spacing w:line="500" w:lineRule="exact"/>
        <w:rPr>
          <w:rFonts w:ascii="宋体" w:hAnsi="宋体" w:cs="宋体"/>
          <w:b/>
          <w:sz w:val="22"/>
          <w:szCs w:val="24"/>
        </w:rPr>
      </w:pPr>
    </w:p>
    <w:p w14:paraId="0310E61E">
      <w:pPr>
        <w:spacing w:line="500" w:lineRule="exact"/>
        <w:ind w:firstLine="562" w:firstLineChars="200"/>
        <w:jc w:val="center"/>
        <w:rPr>
          <w:rFonts w:hint="eastAsia" w:eastAsia="宋体"/>
          <w:b/>
          <w:bCs/>
          <w:sz w:val="28"/>
          <w:szCs w:val="28"/>
          <w:lang w:eastAsia="zh-CN"/>
        </w:rPr>
      </w:pPr>
    </w:p>
    <w:p w14:paraId="368ACFB4">
      <w:pPr>
        <w:spacing w:line="500" w:lineRule="exact"/>
        <w:jc w:val="both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第五条：相关要求细则</w:t>
      </w:r>
    </w:p>
    <w:p w14:paraId="368C4D76">
      <w:pPr>
        <w:pStyle w:val="2"/>
        <w:spacing w:line="500" w:lineRule="exac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、灭鼠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要求</w:t>
      </w:r>
    </w:p>
    <w:p w14:paraId="395FAEA7">
      <w:pPr>
        <w:pStyle w:val="2"/>
        <w:spacing w:line="500" w:lineRule="exact"/>
        <w:ind w:firstLine="240" w:firstLineChars="100"/>
        <w:rPr>
          <w:rFonts w:hint="eastAsia"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（1）室外构筑灭鼠带：在食堂、宿舍楼、教学楼、行政楼外围布放灭鼠盒内置鼠药（共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40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个）构筑第一道灭鼠防线；</w:t>
      </w:r>
    </w:p>
    <w:p w14:paraId="5372ABA5">
      <w:pPr>
        <w:pStyle w:val="2"/>
        <w:spacing w:line="500" w:lineRule="exact"/>
        <w:ind w:firstLine="240" w:firstLineChars="100"/>
        <w:rPr>
          <w:rFonts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（2）室内构筑监测点：在宿舍楼共2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个粘鼠板灭鼠点、食堂室内厨房、餐厅共1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个粘鼠板灭鼠点，教师办公室、行政办公室、医务室等布放粘鼠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板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（共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15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个张），食堂特殊区域使用粘鼠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板、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防尘罩。</w:t>
      </w:r>
    </w:p>
    <w:p w14:paraId="728843B1">
      <w:pPr>
        <w:pStyle w:val="2"/>
        <w:spacing w:line="500" w:lineRule="exact"/>
        <w:ind w:leftChars="-67" w:right="-109" w:rightChars="-52" w:hanging="120" w:hangingChars="50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注：服务次数：每月2次，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如有发现需灭杀干净，并告知学校做安全处理。</w:t>
      </w:r>
    </w:p>
    <w:p w14:paraId="3093366C">
      <w:pPr>
        <w:pStyle w:val="2"/>
        <w:spacing w:line="500" w:lineRule="exact"/>
        <w:ind w:leftChars="-67" w:right="-109" w:rightChars="-52" w:hanging="120" w:hangingChars="50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使用鼠饵（溴敌隆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等无害药物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）。</w:t>
      </w:r>
    </w:p>
    <w:p w14:paraId="58EF97D0">
      <w:pPr>
        <w:pStyle w:val="2"/>
        <w:spacing w:line="500" w:lineRule="exac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2、灭蟑情况</w:t>
      </w:r>
    </w:p>
    <w:p w14:paraId="19138E35">
      <w:pPr>
        <w:pStyle w:val="2"/>
        <w:spacing w:line="500" w:lineRule="exact"/>
        <w:ind w:firstLine="240" w:firstLineChars="100"/>
        <w:rPr>
          <w:rFonts w:hint="eastAsia"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（1）食堂区域灭蟑：食堂区域使用杀蟑胶饵针剂对橱柜、冰柜、灶台、仓库、餐厅等布杀蟑胶饵方便贴5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个点位，粘蟑板3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张进行预防及监测蟑螂；</w:t>
      </w:r>
    </w:p>
    <w:p w14:paraId="251F3D9B">
      <w:pPr>
        <w:pStyle w:val="2"/>
        <w:spacing w:line="500" w:lineRule="exact"/>
        <w:ind w:firstLine="240" w:firstLineChars="100"/>
        <w:rPr>
          <w:rFonts w:hint="eastAsia"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（2）宿舍区域灭蟑：每个宿舍间使用灭蟑贴、杀蟑粉剂、杀蟑胶饵对宿舍内柜子、床、洗脸池等布控施药，合计布点1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20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个灭蟑点，布放粘蟑板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100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张进行监测；</w:t>
      </w:r>
    </w:p>
    <w:p w14:paraId="4DE4DAF8">
      <w:pPr>
        <w:pStyle w:val="2"/>
        <w:spacing w:line="500" w:lineRule="exact"/>
        <w:ind w:firstLine="240" w:firstLineChars="100"/>
        <w:rPr>
          <w:rFonts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（3）办公室、医务室区域灭蟑：使用杀蟑粉剂、杀蟑胶饵对办公室内柜子、等布5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个灭蟑点，布放粘蟑板2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t>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张进行监测；</w:t>
      </w:r>
    </w:p>
    <w:p w14:paraId="412FE1FE">
      <w:pPr>
        <w:pStyle w:val="2"/>
        <w:spacing w:line="500" w:lineRule="exact"/>
        <w:ind w:firstLine="240" w:firstLineChars="100"/>
        <w:rPr>
          <w:rFonts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（4）滞留喷洒消杀：对食堂、宿舍卫生间、地漏及走廊进行滞留喷洒。</w:t>
      </w:r>
      <w:bookmarkStart w:id="0" w:name="_GoBack"/>
      <w:bookmarkEnd w:id="0"/>
    </w:p>
    <w:p w14:paraId="7877FC50">
      <w:pPr>
        <w:pStyle w:val="2"/>
        <w:spacing w:line="500" w:lineRule="exact"/>
        <w:ind w:left="-40" w:leftChars="-135" w:right="-252" w:rightChars="-120" w:hanging="243" w:hangingChars="101"/>
        <w:rPr>
          <w:rFonts w:ascii="Times New Roman" w:hAnsi="Times New Roman" w:eastAsia="宋体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注：服务次数：每月2次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，如有发现需灭杀干净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；</w:t>
      </w:r>
    </w:p>
    <w:p w14:paraId="191F5985">
      <w:pPr>
        <w:pStyle w:val="2"/>
        <w:spacing w:line="500" w:lineRule="exact"/>
        <w:ind w:left="-40" w:leftChars="-135" w:right="-252" w:rightChars="-120" w:hanging="243" w:hangingChars="101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使用杀蟑胶饵方便贴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杀蟑粉剂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粘蟑板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（确保无环境污染、学生不易接触）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。</w:t>
      </w:r>
    </w:p>
    <w:p w14:paraId="5CA0683B">
      <w:pPr>
        <w:pStyle w:val="2"/>
        <w:spacing w:line="500" w:lineRule="exac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、灭蚊蝇情况</w:t>
      </w:r>
    </w:p>
    <w:p w14:paraId="0977DA5C">
      <w:pPr>
        <w:pStyle w:val="2"/>
        <w:spacing w:line="500" w:lineRule="exact"/>
        <w:ind w:firstLine="240" w:firstLineChars="100"/>
        <w:rPr>
          <w:rFonts w:hint="eastAsia" w:ascii="Times New Roman" w:hAnsi="Times New Roman" w:eastAsia="宋体" w:cs="Times New Roman"/>
          <w:color w:val="FF0000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FF0000"/>
          <w:kern w:val="2"/>
          <w:sz w:val="24"/>
          <w:szCs w:val="24"/>
        </w:rPr>
        <w:t>（1）食堂区域蚊蝇：食堂、餐厅区域及卫生间使用高效氟氯氰菊酯进行滞留喷洒；</w:t>
      </w:r>
    </w:p>
    <w:p w14:paraId="28AD0A44">
      <w:pPr>
        <w:pStyle w:val="2"/>
        <w:spacing w:line="500" w:lineRule="exact"/>
        <w:ind w:firstLine="240" w:firstLineChars="100"/>
        <w:rPr>
          <w:rFonts w:ascii="Times New Roman" w:hAnsi="Times New Roman" w:eastAsia="宋体" w:cs="Times New Roman"/>
          <w:color w:val="FF0000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FF0000"/>
          <w:kern w:val="2"/>
          <w:sz w:val="24"/>
          <w:szCs w:val="24"/>
        </w:rPr>
        <w:t>（2）宿舍区域灭蚊蝇：每个宿舍间、走廊、卫生间使用氯菊</w:t>
      </w:r>
      <w:r>
        <w:rPr>
          <w:rFonts w:hint="eastAsia" w:ascii="宋体" w:hAnsi="宋体" w:eastAsia="宋体" w:cs="Times New Roman"/>
          <w:color w:val="FF0000"/>
          <w:kern w:val="2"/>
          <w:sz w:val="24"/>
          <w:szCs w:val="24"/>
        </w:rPr>
        <w:t>·</w:t>
      </w:r>
      <w:r>
        <w:rPr>
          <w:rFonts w:hint="eastAsia" w:ascii="Times New Roman" w:hAnsi="Times New Roman" w:eastAsia="宋体" w:cs="Times New Roman"/>
          <w:color w:val="FF0000"/>
          <w:kern w:val="2"/>
          <w:sz w:val="24"/>
          <w:szCs w:val="24"/>
        </w:rPr>
        <w:t>烯丙菊进行超低容量喷洒；</w:t>
      </w:r>
    </w:p>
    <w:p w14:paraId="2D0ADB7B">
      <w:pPr>
        <w:pStyle w:val="2"/>
        <w:spacing w:line="500" w:lineRule="exact"/>
        <w:ind w:firstLine="240" w:firstLineChars="100"/>
        <w:rPr>
          <w:rFonts w:ascii="Times New Roman" w:hAnsi="Times New Roman" w:eastAsia="宋体" w:cs="Times New Roman"/>
          <w:color w:val="FF0000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FF0000"/>
          <w:kern w:val="2"/>
          <w:sz w:val="24"/>
          <w:szCs w:val="24"/>
        </w:rPr>
        <w:t>（3）办公室、医务室灭蚊蝇：每个办公室、走廊使用氯菊</w:t>
      </w:r>
      <w:r>
        <w:rPr>
          <w:rFonts w:hint="eastAsia" w:ascii="宋体" w:hAnsi="宋体" w:eastAsia="宋体" w:cs="Times New Roman"/>
          <w:color w:val="FF0000"/>
          <w:kern w:val="2"/>
          <w:sz w:val="24"/>
          <w:szCs w:val="24"/>
        </w:rPr>
        <w:t>·</w:t>
      </w:r>
      <w:r>
        <w:rPr>
          <w:rFonts w:hint="eastAsia" w:ascii="Times New Roman" w:hAnsi="Times New Roman" w:eastAsia="宋体" w:cs="Times New Roman"/>
          <w:color w:val="FF0000"/>
          <w:kern w:val="2"/>
          <w:sz w:val="24"/>
          <w:szCs w:val="24"/>
        </w:rPr>
        <w:t>烯丙菊进行超低容量喷洒；每个卫生间使用高效氟氯氰菊酯进行滞留喷洒；</w:t>
      </w:r>
    </w:p>
    <w:p w14:paraId="057822BB">
      <w:pPr>
        <w:pStyle w:val="2"/>
        <w:spacing w:line="500" w:lineRule="exact"/>
        <w:ind w:firstLine="240" w:firstLineChars="100"/>
        <w:rPr>
          <w:rFonts w:hint="eastAsia" w:ascii="Times New Roman" w:hAnsi="Times New Roman" w:eastAsia="宋体" w:cs="Times New Roman"/>
          <w:color w:val="FF0000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FF0000"/>
          <w:kern w:val="2"/>
          <w:sz w:val="24"/>
          <w:szCs w:val="24"/>
        </w:rPr>
        <w:t>（4）外围、绿化带、垃圾桶：使用高效氟氯氰菊酯进行滞留喷洒；</w:t>
      </w:r>
    </w:p>
    <w:p w14:paraId="0A071E61">
      <w:pPr>
        <w:pStyle w:val="2"/>
        <w:spacing w:line="500" w:lineRule="exact"/>
        <w:ind w:left="-40" w:leftChars="-135" w:right="-252" w:rightChars="-120" w:hanging="243" w:hangingChars="101"/>
        <w:rPr>
          <w:rFonts w:ascii="Times New Roman" w:hAnsi="Times New Roman" w:eastAsia="宋体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注：服务次数：</w:t>
      </w: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月、5月、6月、9月、1</w:t>
      </w: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</w:rPr>
        <w:t>0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月每月2次，7月、8月每月1次，全年不少于</w:t>
      </w: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</w:rPr>
        <w:t>12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次；</w:t>
      </w:r>
    </w:p>
    <w:p w14:paraId="4CDBEB67">
      <w:pPr>
        <w:pStyle w:val="2"/>
        <w:spacing w:line="500" w:lineRule="exact"/>
        <w:ind w:left="-40" w:leftChars="-135" w:right="-252" w:rightChars="-120" w:hanging="243" w:hangingChars="101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使用高效氟氯氰菊酯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氯菊</w:t>
      </w:r>
      <w:r>
        <w:rPr>
          <w:rFonts w:hint="eastAsia" w:ascii="宋体" w:hAnsi="宋体" w:eastAsia="宋体" w:cs="Times New Roman"/>
          <w:b/>
          <w:bCs/>
          <w:kern w:val="2"/>
          <w:sz w:val="24"/>
          <w:szCs w:val="24"/>
        </w:rPr>
        <w:t>·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烯丙菊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（无害喷洒）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。</w:t>
      </w:r>
    </w:p>
    <w:p w14:paraId="028B479C">
      <w:pPr>
        <w:pStyle w:val="2"/>
        <w:spacing w:line="500" w:lineRule="exact"/>
        <w:ind w:firstLine="221" w:firstLineChars="100"/>
        <w:rPr>
          <w:rFonts w:hint="eastAsia"/>
          <w:b/>
          <w:bCs/>
          <w:sz w:val="22"/>
          <w:szCs w:val="18"/>
        </w:rPr>
      </w:pPr>
    </w:p>
    <w:p w14:paraId="1200650D">
      <w:pPr>
        <w:spacing w:line="500" w:lineRule="exact"/>
        <w:ind w:firstLine="480" w:firstLineChars="200"/>
        <w:rPr>
          <w:rFonts w:hint="eastAsia"/>
          <w:sz w:val="22"/>
          <w:szCs w:val="22"/>
        </w:rPr>
      </w:pPr>
      <w:r>
        <w:rPr>
          <w:rFonts w:hint="eastAsia"/>
          <w:sz w:val="24"/>
          <w:szCs w:val="24"/>
        </w:rPr>
        <w:t xml:space="preserve">                   </w:t>
      </w:r>
      <w:r>
        <w:rPr>
          <w:rFonts w:hint="eastAsia"/>
          <w:b/>
          <w:bCs/>
          <w:sz w:val="24"/>
          <w:szCs w:val="24"/>
        </w:rPr>
        <w:t xml:space="preserve">  </w:t>
      </w:r>
    </w:p>
    <w:p w14:paraId="1D1DD52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431BC1"/>
    <w:rsid w:val="30A74C5B"/>
    <w:rsid w:val="314D0CC2"/>
    <w:rsid w:val="407E0D16"/>
    <w:rsid w:val="50C263AD"/>
    <w:rsid w:val="7550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1259</Words>
  <Characters>1288</Characters>
  <Lines>0</Lines>
  <Paragraphs>0</Paragraphs>
  <TotalTime>12</TotalTime>
  <ScaleCrop>false</ScaleCrop>
  <LinksUpToDate>false</LinksUpToDate>
  <CharactersWithSpaces>1314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2025-10-17T02:24:00Z</dcterms:created>
  <dc:creator>Administrator</dc:creator>
  <cp:lastModifiedBy>岁月</cp:lastModifiedBy>
  <dcterms:modified xsi:type="dcterms:W3CDTF">2026-10-28T02:29:32Z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eyJoZGlkIjoiOThjMjdlMDhlZmQxYWU0MzQ4M2Y3YjI4Y2JjMjM1OWMiLCJ1c2VySWQiOiI3MzM2NzgyNTcifQ==</vt:lpwstr>
  </property>
  <property fmtid="{D5CDD505-2E9C-101B-9397-08002B2CF9AE}" pid="4" name="ICV">
    <vt:lpwstr>9319DB7451604EE981FFB318E0231B1C_12</vt:lpwstr>
  </property>
</Properties>
</file>