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2F988E">
      <w:pPr>
        <w:keepNext w:val="0"/>
        <w:keepLines w:val="0"/>
        <w:pageBreakBefore w:val="0"/>
        <w:widowControl w:val="0"/>
        <w:kinsoku/>
        <w:wordWrap/>
        <w:overflowPunct/>
        <w:topLinePunct w:val="0"/>
        <w:autoSpaceDE/>
        <w:autoSpaceDN/>
        <w:bidi w:val="0"/>
        <w:adjustRightInd/>
        <w:snapToGrid/>
        <w:spacing w:line="560" w:lineRule="exact"/>
        <w:ind w:firstLine="880" w:firstLineChars="20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采购要求</w:t>
      </w:r>
    </w:p>
    <w:p w14:paraId="031CA6A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14:paraId="58064FF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（一）采购内容及目标：采用无人机、大型机械等开展草原鼠虫害防治作业，作业面积11万亩，其中草原鼠害防治3.6万亩，草原虫害防治7.4万亩。草原鼠虫害防治效果达到90%以上。</w:t>
      </w:r>
    </w:p>
    <w:p w14:paraId="2038F4B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实施区域：乌苏市天然草原上，主要有西大沟镇、古尔图镇、白杨沟镇、塔布勒合特蒙古族乡、石桥乡等天然草原上。乌苏市草原鼠虫害防治区域除行政辖区范围内的草原，还涉及跨区使用的草原，最远的草原鼠虫害发生区加依尔山区域行政辖区属于塔城地区托里县，但属于石桥乡牧民的夏草场，该区域距离乌苏市城区约260公里。</w:t>
      </w:r>
    </w:p>
    <w:p w14:paraId="10F3BFB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（三）实施时间：2027年4月-9月，具体根据乌苏市草原鼠虫害发生时间适当调整。</w:t>
      </w:r>
    </w:p>
    <w:p w14:paraId="74B2572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作业要求：1.项目实施期间，中标方需在1天内按照甲方要求到达作业地点开展作业，为了更好地为甲方提供服务，中标方需有至少3名技术人员做到24小时待命，无人机不少于20架，大型作业机械不少于1辆。2.中标方的技术人员、器械等资源可同时满足多个防治区域作业需求，每个防治区域配备技术人员不少于1人，无人机根据防治面积大小和甲方要求进行配备。3.无人机作业高度、作业喷幅等参数需满足甲方作业需求，如防治效果达不到90%，需及时开展补防作业，补防作业面积不计入防治面积。</w:t>
      </w:r>
    </w:p>
    <w:p w14:paraId="699E620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五</w:t>
      </w:r>
      <w:bookmarkStart w:id="0" w:name="_GoBack"/>
      <w:bookmarkEnd w:id="0"/>
      <w:r>
        <w:rPr>
          <w:rFonts w:hint="default" w:ascii="仿宋_GB2312" w:hAnsi="仿宋_GB2312" w:eastAsia="仿宋_GB2312" w:cs="仿宋_GB2312"/>
          <w:sz w:val="32"/>
          <w:szCs w:val="32"/>
          <w:lang w:val="en-US" w:eastAsia="zh-CN"/>
        </w:rPr>
        <w:t>）其他要求：1.投标单位须完整提供营业执照、民用无人驾驶航空器运营合格证、无人机飞手操作证、农药经营许可证、信用中国查询记录、近年度财务审计报告、企业会计制度</w:t>
      </w:r>
      <w:r>
        <w:rPr>
          <w:rFonts w:hint="eastAsia" w:ascii="仿宋_GB2312" w:hAnsi="仿宋_GB2312" w:eastAsia="仿宋_GB2312" w:cs="仿宋_GB2312"/>
          <w:sz w:val="32"/>
          <w:szCs w:val="32"/>
          <w:lang w:val="en-US" w:eastAsia="zh-CN"/>
        </w:rPr>
        <w:t>、项目投入技术人员近6个月缴纳社保记录、相关行业证书等证明资料、无人机购买或租赁等相关证明资料、大型作业机械购买或租赁等相关证明资料、</w:t>
      </w:r>
      <w:r>
        <w:rPr>
          <w:rFonts w:hint="default" w:ascii="仿宋_GB2312" w:hAnsi="仿宋_GB2312" w:eastAsia="仿宋_GB2312" w:cs="仿宋_GB2312"/>
          <w:sz w:val="32"/>
          <w:szCs w:val="32"/>
          <w:lang w:val="en-US" w:eastAsia="zh-CN"/>
        </w:rPr>
        <w:t>近三年草原有害生物防治相关业绩证明材料</w:t>
      </w:r>
      <w:r>
        <w:rPr>
          <w:rFonts w:hint="eastAsia" w:ascii="仿宋_GB2312" w:hAnsi="仿宋_GB2312" w:eastAsia="仿宋_GB2312" w:cs="仿宋_GB2312"/>
          <w:sz w:val="32"/>
          <w:szCs w:val="32"/>
          <w:lang w:val="en-US" w:eastAsia="zh-CN"/>
        </w:rPr>
        <w:t>，包括</w:t>
      </w:r>
      <w:r>
        <w:rPr>
          <w:rFonts w:hint="default" w:ascii="仿宋_GB2312" w:hAnsi="仿宋_GB2312" w:eastAsia="仿宋_GB2312" w:cs="仿宋_GB2312"/>
          <w:sz w:val="32"/>
          <w:szCs w:val="32"/>
          <w:lang w:val="en-US" w:eastAsia="zh-CN"/>
        </w:rPr>
        <w:t>成交通知书、服务合同、项目验收报告</w:t>
      </w:r>
      <w:r>
        <w:rPr>
          <w:rFonts w:hint="eastAsia" w:ascii="仿宋_GB2312" w:hAnsi="仿宋_GB2312" w:eastAsia="仿宋_GB2312" w:cs="仿宋_GB2312"/>
          <w:sz w:val="32"/>
          <w:szCs w:val="32"/>
          <w:lang w:val="en-US" w:eastAsia="zh-CN"/>
        </w:rPr>
        <w:t>，缺一不可。</w:t>
      </w:r>
      <w:r>
        <w:rPr>
          <w:rFonts w:hint="default" w:ascii="仿宋_GB2312" w:hAnsi="仿宋_GB2312" w:eastAsia="仿宋_GB2312" w:cs="仿宋_GB2312"/>
          <w:sz w:val="32"/>
          <w:szCs w:val="32"/>
          <w:lang w:val="en-US" w:eastAsia="zh-CN"/>
        </w:rPr>
        <w:t>2.投标资料缺失、不全或无效的，视为资格审查不通过。采购方将依据投标单位资质完备度、项目业绩数量、从业综合能力择优确定成交单位。3.乙方须严格按照甲方划定的防治作业区域、药剂亩用量、技术标准开展全域防治作业。作业期间，乙方须结合现场地形、虫情密度、气象条件动态调整无人机飞行作业参数。若多区域同时达到防治作业条件，乙方须根据作业面积足额配备操作人员、作业设备，保障防治工作高效同步推进。全部防治作业完成后，由乙方主动向甲方提交验收申请。验收过程中，乙方须全程到场配合核查。4.防治成效合格率需达到90%及以上，若防治效果未达标，乙方须无条件免费开展补防作业，补防产生的人工、药剂、设备、运输等全部费用均由乙方自行承担。5.防治作业期间，乙方须统一收集、妥善留存全部农药空桶，严禁随意丢弃、掩埋、焚烧，待甲方现场查验确认无误后，方可按规范统一处置。作业全部完成后，乙方须在甲方规定时限内，完整提交全套竣工资料，包含但不限于：施工日志、作业轨迹图、防治区域矢量数据、作业台账等合规资料，确保资料真实、完整、可溯源。6.乙方须严格遵守无人机操作、农药使用、野外施工安全规范，全面落实用药安全、设备安全、场地安全各项措施。所有进场施工人员必须购买人身意外伤害保险，配齐安全防护装备。项目实施全过程中，若发生人员伤亡、设备损毁、安全事故、第三方纠纷等一切安全问题，全部责任及产生的所有经济损失、法律后果均由乙方独立承担，与甲方无关。作业区域设置提示牌均有乙方提供。7.各供应商参与竞价前须全面熟读、知悉本项目全部竞价要求及服务标准。凡未认真研读项目要求、盲目报价、随意报价的行为，一律视为恶意报价，采购方有权上报行业监管部门依规严肃处理。</w:t>
      </w:r>
    </w:p>
    <w:p w14:paraId="1745B07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联系人：巴登加甫  13999716111</w:t>
      </w:r>
    </w:p>
    <w:p w14:paraId="6C05AC2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马    卓：15729952555</w:t>
      </w:r>
    </w:p>
    <w:p w14:paraId="597C89C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张 小 侠：15199959309</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906786"/>
    <w:rsid w:val="03404493"/>
    <w:rsid w:val="1F52137F"/>
    <w:rsid w:val="2394558B"/>
    <w:rsid w:val="29E74665"/>
    <w:rsid w:val="33AD01E2"/>
    <w:rsid w:val="34C65ADB"/>
    <w:rsid w:val="369F2D2F"/>
    <w:rsid w:val="39C22251"/>
    <w:rsid w:val="3A4D595B"/>
    <w:rsid w:val="3D85130C"/>
    <w:rsid w:val="3D8C6DBA"/>
    <w:rsid w:val="44EC3EAA"/>
    <w:rsid w:val="4EB1136E"/>
    <w:rsid w:val="53BB1F46"/>
    <w:rsid w:val="5BA02FCD"/>
    <w:rsid w:val="5DE830EF"/>
    <w:rsid w:val="636BC8BE"/>
    <w:rsid w:val="6F0D4D3F"/>
    <w:rsid w:val="729D74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1467</Words>
  <Characters>1526</Characters>
  <Lines>0</Lines>
  <Paragraphs>0</Paragraphs>
  <TotalTime>81</TotalTime>
  <ScaleCrop>false</ScaleCrop>
  <LinksUpToDate>false</LinksUpToDate>
  <CharactersWithSpaces>1550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2026-09-03T16:50:00Z</dcterms:created>
  <dc:creator>Administrator</dc:creator>
  <cp:lastModifiedBy>潇瑕</cp:lastModifiedBy>
  <dcterms:modified xsi:type="dcterms:W3CDTF">2026-10-22T10:49:09Z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eyJoZGlkIjoiYWVjMzRiM2RmYTQ5MzExYzdjMzg0NTM3YzI4MTUzYWEiLCJ1c2VySWQiOiIyNDkwMTA3MDMifQ==</vt:lpwstr>
  </property>
  <property fmtid="{D5CDD505-2E9C-101B-9397-08002B2CF9AE}" pid="4" name="ICV">
    <vt:lpwstr>D7B8B39A33484BA98891A6018AA0C099_12</vt:lpwstr>
  </property>
</Properties>
</file>