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79FA29">
      <w:pPr>
        <w:pStyle w:val="2"/>
        <w:keepNext w:val="0"/>
        <w:keepLines w:val="0"/>
        <w:widowControl/>
        <w:suppressLineNumbers w:val="0"/>
        <w:jc w:val="center"/>
        <w:rPr>
          <w:rFonts w:hint="eastAsia" w:ascii="宋体" w:hAnsi="宋体" w:eastAsia="宋体" w:cs="宋体"/>
          <w:b/>
          <w:bCs/>
          <w:kern w:val="44"/>
          <w:sz w:val="48"/>
          <w:szCs w:val="48"/>
        </w:rPr>
      </w:pPr>
      <w:r>
        <w:rPr>
          <w:rFonts w:hint="eastAsia" w:ascii="宋体" w:hAnsi="宋体" w:eastAsia="宋体" w:cs="宋体"/>
          <w:b/>
          <w:bCs/>
          <w:kern w:val="44"/>
          <w:sz w:val="48"/>
          <w:szCs w:val="48"/>
        </w:rPr>
        <w:t>竞价采购公告</w:t>
      </w:r>
    </w:p>
    <w:p w14:paraId="1F221784">
      <w:pPr>
        <w:pStyle w:val="4"/>
        <w:keepNext w:val="0"/>
        <w:keepLines w:val="0"/>
        <w:widowControl/>
        <w:suppressLineNumbers w:val="0"/>
        <w:jc w:val="left"/>
        <w:rPr>
          <w:rFonts w:hint="eastAsia" w:ascii="宋体" w:hAnsi="宋体" w:eastAsia="宋体" w:cs="宋体"/>
          <w:b/>
          <w:bCs/>
          <w:kern w:val="0"/>
          <w:sz w:val="27"/>
          <w:szCs w:val="27"/>
        </w:rPr>
      </w:pPr>
      <w:r>
        <w:rPr>
          <w:rFonts w:hint="eastAsia" w:ascii="宋体" w:hAnsi="宋体" w:eastAsia="宋体" w:cs="宋体"/>
          <w:b/>
          <w:bCs/>
          <w:kern w:val="0"/>
          <w:sz w:val="27"/>
          <w:szCs w:val="27"/>
        </w:rPr>
        <w:t>1. 竞价条件</w:t>
      </w:r>
    </w:p>
    <w:p w14:paraId="76CCC4CC">
      <w:pPr>
        <w:pStyle w:val="14"/>
        <w:keepNext w:val="0"/>
        <w:keepLines w:val="0"/>
        <w:widowControl/>
        <w:suppressLineNumbers w:val="0"/>
        <w:ind w:left="0" w:firstLine="420"/>
        <w:jc w:val="both"/>
        <w:rPr>
          <w:rFonts w:hint="eastAsia" w:ascii="宋体" w:hAnsi="宋体" w:eastAsia="宋体" w:cs="宋体"/>
          <w:kern w:val="0"/>
          <w:sz w:val="24"/>
          <w:szCs w:val="24"/>
        </w:rPr>
      </w:pPr>
      <w:r>
        <w:rPr>
          <w:rFonts w:hint="eastAsia" w:ascii="宋体" w:hAnsi="宋体" w:eastAsia="宋体" w:cs="宋体"/>
          <w:kern w:val="0"/>
          <w:sz w:val="24"/>
          <w:szCs w:val="24"/>
        </w:rPr>
        <w:t>本采购项目（ 有害生物防治 ）采购人为 陕西延长石油榆神能源化工有限责任公司 ，采购项目编号为 YSNHZHB005 ，采购项目资金已经落实。该项目已具备采购执行条件，现对该项目进行竞价采购。</w:t>
      </w:r>
    </w:p>
    <w:p w14:paraId="1639A115">
      <w:pPr>
        <w:pStyle w:val="4"/>
        <w:keepNext w:val="0"/>
        <w:keepLines w:val="0"/>
        <w:widowControl/>
        <w:suppressLineNumbers w:val="0"/>
        <w:jc w:val="left"/>
        <w:rPr>
          <w:rFonts w:hint="eastAsia" w:ascii="宋体" w:hAnsi="宋体" w:eastAsia="宋体" w:cs="宋体"/>
          <w:b/>
          <w:bCs/>
          <w:kern w:val="0"/>
          <w:sz w:val="27"/>
          <w:szCs w:val="27"/>
        </w:rPr>
      </w:pPr>
      <w:r>
        <w:rPr>
          <w:rFonts w:hint="eastAsia" w:ascii="宋体" w:hAnsi="宋体" w:eastAsia="宋体" w:cs="宋体"/>
          <w:b/>
          <w:bCs/>
          <w:kern w:val="0"/>
          <w:sz w:val="27"/>
          <w:szCs w:val="27"/>
        </w:rPr>
        <w:t>2. 项目概况与采购内容</w:t>
      </w:r>
    </w:p>
    <w:p w14:paraId="7D0C2523">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2.1项目概况</w:t>
      </w:r>
    </w:p>
    <w:p w14:paraId="668C3C47">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档案室、办公楼、宿舍楼、职工餐厅外围、车库、换热站、机柜间、变电所生产区等重点区域有害生物防治。</w:t>
      </w:r>
    </w:p>
    <w:p w14:paraId="255C1E94">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2.2 采购内容</w:t>
      </w:r>
    </w:p>
    <w:p w14:paraId="48AA3576">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标包1(PACK-20261027-120)：</w:t>
      </w:r>
    </w:p>
    <w:p w14:paraId="58F7C4D4">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采购包最高限价（元）: 56,240.00</w:t>
      </w:r>
    </w:p>
    <w:tbl>
      <w:tblPr>
        <w:tblStyle w:val="10"/>
        <w:tblW w:w="5000" w:type="pct"/>
        <w:tblCellSpacing w:w="-7" w:type="dxa"/>
        <w:tblInd w:w="-65428"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50"/>
        <w:gridCol w:w="1500"/>
        <w:gridCol w:w="2585"/>
        <w:gridCol w:w="2312"/>
        <w:gridCol w:w="1175"/>
      </w:tblGrid>
      <w:tr w14:paraId="6DD65D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blCellSpacing w:w="-7" w:type="dxa"/>
        </w:trPr>
        <w:tc>
          <w:tcPr>
            <w:tcW w:w="750" w:type="dxa"/>
            <w:tcBorders>
              <w:top w:val="outset" w:color="auto" w:sz="6" w:space="0"/>
              <w:left w:val="outset" w:color="auto" w:sz="6" w:space="0"/>
              <w:bottom w:val="outset" w:color="auto" w:sz="6" w:space="0"/>
              <w:right w:val="outset" w:color="auto" w:sz="6" w:space="0"/>
            </w:tcBorders>
            <w:shd w:val="clear"/>
            <w:vAlign w:val="center"/>
          </w:tcPr>
          <w:p w14:paraId="11D6A59B">
            <w:pPr>
              <w:keepNext w:val="0"/>
              <w:keepLines w:val="0"/>
              <w:widowControl/>
              <w:suppressLineNumbers w:val="0"/>
              <w:jc w:val="center"/>
              <w:rPr>
                <w:rFonts w:hint="eastAsia" w:ascii="宋体" w:hAnsi="宋体" w:eastAsia="宋体" w:cs="宋体"/>
                <w:b/>
                <w:bCs/>
                <w:kern w:val="0"/>
                <w:sz w:val="24"/>
                <w:szCs w:val="24"/>
                <w:bdr w:val="none" w:color="auto" w:sz="0" w:space="0"/>
              </w:rPr>
            </w:pPr>
            <w:r>
              <w:rPr>
                <w:rFonts w:hint="eastAsia" w:ascii="宋体" w:hAnsi="宋体" w:eastAsia="宋体" w:cs="宋体"/>
                <w:b/>
                <w:bCs/>
                <w:kern w:val="0"/>
                <w:sz w:val="24"/>
                <w:szCs w:val="24"/>
                <w:bdr w:val="none" w:color="auto" w:sz="0" w:space="0"/>
              </w:rPr>
              <w:t>序号</w:t>
            </w:r>
          </w:p>
        </w:tc>
        <w:tc>
          <w:tcPr>
            <w:tcW w:w="1500" w:type="dxa"/>
            <w:tcBorders>
              <w:top w:val="outset" w:color="auto" w:sz="6" w:space="0"/>
              <w:left w:val="outset" w:color="auto" w:sz="6" w:space="0"/>
              <w:bottom w:val="outset" w:color="auto" w:sz="6" w:space="0"/>
              <w:right w:val="outset" w:color="auto" w:sz="6" w:space="0"/>
            </w:tcBorders>
            <w:shd w:val="clear"/>
            <w:vAlign w:val="center"/>
          </w:tcPr>
          <w:p w14:paraId="413C37A1">
            <w:pPr>
              <w:keepNext w:val="0"/>
              <w:keepLines w:val="0"/>
              <w:widowControl/>
              <w:suppressLineNumbers w:val="0"/>
              <w:jc w:val="center"/>
              <w:rPr>
                <w:rFonts w:hint="eastAsia" w:ascii="宋体" w:hAnsi="宋体" w:eastAsia="宋体" w:cs="宋体"/>
                <w:b/>
                <w:bCs/>
                <w:kern w:val="0"/>
                <w:sz w:val="24"/>
                <w:szCs w:val="24"/>
                <w:bdr w:val="none" w:color="auto" w:sz="0" w:space="0"/>
              </w:rPr>
            </w:pPr>
            <w:r>
              <w:rPr>
                <w:rFonts w:hint="eastAsia" w:ascii="宋体" w:hAnsi="宋体" w:eastAsia="宋体" w:cs="宋体"/>
                <w:b/>
                <w:bCs/>
                <w:kern w:val="0"/>
                <w:sz w:val="24"/>
                <w:szCs w:val="24"/>
                <w:bdr w:val="none" w:color="auto" w:sz="0" w:space="0"/>
              </w:rPr>
              <w:t>标的名称</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62E57337">
            <w:pPr>
              <w:keepNext w:val="0"/>
              <w:keepLines w:val="0"/>
              <w:widowControl/>
              <w:suppressLineNumbers w:val="0"/>
              <w:jc w:val="center"/>
              <w:rPr>
                <w:rFonts w:hint="eastAsia" w:ascii="宋体" w:hAnsi="宋体" w:eastAsia="宋体" w:cs="宋体"/>
                <w:b/>
                <w:bCs/>
                <w:kern w:val="0"/>
                <w:sz w:val="24"/>
                <w:szCs w:val="24"/>
                <w:bdr w:val="none" w:color="auto" w:sz="0" w:space="0"/>
              </w:rPr>
            </w:pPr>
            <w:r>
              <w:rPr>
                <w:rFonts w:hint="eastAsia" w:ascii="宋体" w:hAnsi="宋体" w:eastAsia="宋体" w:cs="宋体"/>
                <w:b/>
                <w:bCs/>
                <w:kern w:val="0"/>
                <w:sz w:val="24"/>
                <w:szCs w:val="24"/>
                <w:bdr w:val="none" w:color="auto" w:sz="0" w:space="0"/>
              </w:rPr>
              <w:t>数量</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0033320D">
            <w:pPr>
              <w:keepNext w:val="0"/>
              <w:keepLines w:val="0"/>
              <w:widowControl/>
              <w:suppressLineNumbers w:val="0"/>
              <w:jc w:val="center"/>
              <w:rPr>
                <w:rFonts w:hint="eastAsia" w:ascii="宋体" w:hAnsi="宋体" w:eastAsia="宋体" w:cs="宋体"/>
                <w:b/>
                <w:bCs/>
                <w:kern w:val="0"/>
                <w:sz w:val="24"/>
                <w:szCs w:val="24"/>
                <w:bdr w:val="none" w:color="auto" w:sz="0" w:space="0"/>
              </w:rPr>
            </w:pPr>
            <w:r>
              <w:rPr>
                <w:rFonts w:hint="eastAsia" w:ascii="宋体" w:hAnsi="宋体" w:eastAsia="宋体" w:cs="宋体"/>
                <w:b/>
                <w:bCs/>
                <w:kern w:val="0"/>
                <w:sz w:val="24"/>
                <w:szCs w:val="24"/>
                <w:bdr w:val="none" w:color="auto" w:sz="0" w:space="0"/>
              </w:rPr>
              <w:t>计量单位</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79605ADC">
            <w:pPr>
              <w:keepNext w:val="0"/>
              <w:keepLines w:val="0"/>
              <w:widowControl/>
              <w:suppressLineNumbers w:val="0"/>
              <w:jc w:val="center"/>
              <w:rPr>
                <w:rFonts w:hint="eastAsia" w:ascii="宋体" w:hAnsi="宋体" w:eastAsia="宋体" w:cs="宋体"/>
                <w:b/>
                <w:bCs/>
                <w:kern w:val="0"/>
                <w:sz w:val="24"/>
                <w:szCs w:val="24"/>
                <w:bdr w:val="none" w:color="auto" w:sz="0" w:space="0"/>
              </w:rPr>
            </w:pPr>
            <w:r>
              <w:rPr>
                <w:rFonts w:hint="eastAsia" w:ascii="宋体" w:hAnsi="宋体" w:eastAsia="宋体" w:cs="宋体"/>
                <w:b/>
                <w:bCs/>
                <w:kern w:val="0"/>
                <w:sz w:val="24"/>
                <w:szCs w:val="24"/>
                <w:bdr w:val="none" w:color="auto" w:sz="0" w:space="0"/>
              </w:rPr>
              <w:t>备注</w:t>
            </w:r>
          </w:p>
        </w:tc>
      </w:tr>
      <w:tr w14:paraId="35459B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7" w:type="dxa"/>
        </w:trPr>
        <w:tc>
          <w:tcPr>
            <w:tcW w:w="0" w:type="auto"/>
            <w:tcBorders>
              <w:top w:val="outset" w:color="auto" w:sz="6" w:space="0"/>
              <w:left w:val="outset" w:color="auto" w:sz="6" w:space="0"/>
              <w:bottom w:val="outset" w:color="auto" w:sz="6" w:space="0"/>
              <w:right w:val="outset" w:color="auto" w:sz="6" w:space="0"/>
            </w:tcBorders>
            <w:shd w:val="clear"/>
            <w:vAlign w:val="center"/>
          </w:tcPr>
          <w:p w14:paraId="4E105665">
            <w:pPr>
              <w:keepNext w:val="0"/>
              <w:keepLines w:val="0"/>
              <w:widowControl/>
              <w:suppressLineNumbers w:val="0"/>
              <w:jc w:val="left"/>
              <w:rPr>
                <w:rFonts w:hint="eastAsia" w:ascii="宋体" w:hAnsi="宋体" w:eastAsia="宋体" w:cs="宋体"/>
                <w:kern w:val="0"/>
                <w:sz w:val="24"/>
                <w:szCs w:val="24"/>
                <w:bdr w:val="none" w:color="auto" w:sz="0" w:space="0"/>
              </w:rPr>
            </w:pPr>
            <w:r>
              <w:rPr>
                <w:rFonts w:hint="eastAsia" w:ascii="宋体" w:hAnsi="宋体" w:eastAsia="宋体" w:cs="宋体"/>
                <w:kern w:val="0"/>
                <w:sz w:val="24"/>
                <w:szCs w:val="24"/>
                <w:bdr w:val="none" w:color="auto" w:sz="0" w:space="0"/>
              </w:rPr>
              <w:t>1</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6E0BE74A">
            <w:pPr>
              <w:keepNext w:val="0"/>
              <w:keepLines w:val="0"/>
              <w:widowControl/>
              <w:suppressLineNumbers w:val="0"/>
              <w:jc w:val="left"/>
              <w:rPr>
                <w:rFonts w:hint="eastAsia" w:ascii="宋体" w:hAnsi="宋体" w:eastAsia="宋体" w:cs="宋体"/>
                <w:kern w:val="0"/>
                <w:sz w:val="24"/>
                <w:szCs w:val="24"/>
                <w:bdr w:val="none" w:color="auto" w:sz="0" w:space="0"/>
              </w:rPr>
            </w:pPr>
            <w:r>
              <w:rPr>
                <w:rFonts w:hint="eastAsia" w:ascii="宋体" w:hAnsi="宋体" w:eastAsia="宋体" w:cs="宋体"/>
                <w:kern w:val="0"/>
                <w:sz w:val="24"/>
                <w:szCs w:val="24"/>
                <w:bdr w:val="none" w:color="auto" w:sz="0" w:space="0"/>
              </w:rPr>
              <w:t>有害生物防治</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410897C6">
            <w:pPr>
              <w:keepNext w:val="0"/>
              <w:keepLines w:val="0"/>
              <w:widowControl/>
              <w:suppressLineNumbers w:val="0"/>
              <w:jc w:val="right"/>
              <w:rPr>
                <w:rFonts w:hint="eastAsia" w:ascii="宋体" w:hAnsi="宋体" w:eastAsia="宋体" w:cs="宋体"/>
                <w:kern w:val="0"/>
                <w:sz w:val="24"/>
                <w:szCs w:val="24"/>
                <w:bdr w:val="none" w:color="auto" w:sz="0" w:space="0"/>
              </w:rPr>
            </w:pPr>
            <w:r>
              <w:rPr>
                <w:rFonts w:hint="eastAsia" w:ascii="宋体" w:hAnsi="宋体" w:eastAsia="宋体" w:cs="宋体"/>
                <w:kern w:val="0"/>
                <w:sz w:val="24"/>
                <w:szCs w:val="24"/>
                <w:bdr w:val="none" w:color="auto" w:sz="0" w:space="0"/>
              </w:rPr>
              <w:t>29,600.00</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3756D5AF">
            <w:pPr>
              <w:keepNext w:val="0"/>
              <w:keepLines w:val="0"/>
              <w:widowControl/>
              <w:suppressLineNumbers w:val="0"/>
              <w:jc w:val="left"/>
              <w:rPr>
                <w:rFonts w:hint="eastAsia" w:ascii="宋体" w:hAnsi="宋体" w:eastAsia="宋体" w:cs="宋体"/>
                <w:kern w:val="0"/>
                <w:sz w:val="24"/>
                <w:szCs w:val="24"/>
                <w:bdr w:val="none" w:color="auto" w:sz="0" w:space="0"/>
              </w:rPr>
            </w:pPr>
            <w:r>
              <w:rPr>
                <w:rFonts w:hint="eastAsia" w:ascii="宋体" w:hAnsi="宋体" w:eastAsia="宋体" w:cs="宋体"/>
                <w:kern w:val="0"/>
                <w:sz w:val="24"/>
                <w:szCs w:val="24"/>
                <w:bdr w:val="none" w:color="auto" w:sz="0" w:space="0"/>
              </w:rPr>
              <w:t>平方米</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2BF6971F">
            <w:pPr>
              <w:keepNext w:val="0"/>
              <w:keepLines w:val="0"/>
              <w:widowControl/>
              <w:suppressLineNumbers w:val="0"/>
              <w:rPr>
                <w:rFonts w:hint="eastAsia" w:ascii="宋体" w:hAnsi="宋体" w:eastAsia="宋体" w:cs="宋体"/>
                <w:kern w:val="0"/>
                <w:sz w:val="24"/>
                <w:szCs w:val="24"/>
                <w:bdr w:val="none" w:color="auto" w:sz="0" w:space="0"/>
              </w:rPr>
            </w:pPr>
          </w:p>
        </w:tc>
      </w:tr>
    </w:tbl>
    <w:p w14:paraId="6C4D288E">
      <w:pPr>
        <w:pStyle w:val="5"/>
        <w:keepNext w:val="0"/>
        <w:keepLines w:val="0"/>
        <w:widowControl/>
        <w:suppressLineNumbers w:val="0"/>
        <w:ind w:left="0" w:firstLine="42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2.3交货期</w:t>
      </w:r>
    </w:p>
    <w:p w14:paraId="0EA15176">
      <w:pPr>
        <w:pStyle w:val="5"/>
        <w:keepNext w:val="0"/>
        <w:keepLines w:val="0"/>
        <w:widowControl/>
        <w:suppressLineNumbers w:val="0"/>
        <w:ind w:left="0" w:firstLine="42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2.4交货地点</w:t>
      </w:r>
    </w:p>
    <w:p w14:paraId="79A12587">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采购包PACK-20261027-120：</w:t>
      </w:r>
    </w:p>
    <w:p w14:paraId="05362953">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陕西延长石油榆神能源化工有限责任公司</w:t>
      </w:r>
    </w:p>
    <w:p w14:paraId="30B0CAD4">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2.5 质量标准：满足国家行业最新标准要求、满足甲方要求。</w:t>
      </w:r>
    </w:p>
    <w:p w14:paraId="43C508F3">
      <w:pPr>
        <w:pStyle w:val="14"/>
        <w:keepNext w:val="0"/>
        <w:keepLines w:val="0"/>
        <w:widowControl/>
        <w:suppressLineNumbers w:val="0"/>
        <w:ind w:left="0" w:firstLine="420"/>
        <w:jc w:val="left"/>
        <w:rPr>
          <w:rFonts w:hint="default" w:ascii="宋体" w:hAnsi="宋体" w:eastAsia="宋体" w:cs="宋体"/>
          <w:kern w:val="0"/>
          <w:sz w:val="24"/>
          <w:szCs w:val="24"/>
          <w:lang w:val="en-US" w:eastAsia="zh-CN"/>
        </w:rPr>
      </w:pPr>
      <w:r>
        <w:rPr>
          <w:rFonts w:hint="eastAsia" w:cs="宋体"/>
          <w:kern w:val="0"/>
          <w:sz w:val="24"/>
          <w:szCs w:val="24"/>
          <w:lang w:val="en-US" w:eastAsia="zh-CN"/>
        </w:rPr>
        <w:t xml:space="preserve">2.6 </w:t>
      </w:r>
      <w:r>
        <w:rPr>
          <w:rFonts w:ascii="宋体" w:hAnsi="宋体" w:eastAsia="宋体" w:cs="宋体"/>
          <w:sz w:val="24"/>
          <w:szCs w:val="24"/>
        </w:rPr>
        <w:t>严格落实有害生物防治要求，每月防治频次不低于1次。</w:t>
      </w:r>
    </w:p>
    <w:p w14:paraId="32498BDE">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2.</w:t>
      </w:r>
      <w:r>
        <w:rPr>
          <w:rFonts w:hint="eastAsia" w:cs="宋体"/>
          <w:kern w:val="0"/>
          <w:sz w:val="24"/>
          <w:szCs w:val="24"/>
          <w:lang w:val="en-US" w:eastAsia="zh-CN"/>
        </w:rPr>
        <w:t>7</w:t>
      </w:r>
      <w:r>
        <w:rPr>
          <w:rFonts w:hint="eastAsia" w:ascii="宋体" w:hAnsi="宋体" w:eastAsia="宋体" w:cs="宋体"/>
          <w:kern w:val="0"/>
          <w:sz w:val="24"/>
          <w:szCs w:val="24"/>
        </w:rPr>
        <w:t xml:space="preserve"> 付款方式：每三个月验收一次，验收合格后凭卖方开具的6%的增值税专用发票支付，分四次付清。</w:t>
      </w:r>
      <w:bookmarkStart w:id="0" w:name="_GoBack"/>
      <w:bookmarkEnd w:id="0"/>
    </w:p>
    <w:p w14:paraId="02D63F6A">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w:t>
      </w:r>
    </w:p>
    <w:p w14:paraId="304C5A39">
      <w:pPr>
        <w:pStyle w:val="4"/>
        <w:keepNext w:val="0"/>
        <w:keepLines w:val="0"/>
        <w:widowControl/>
        <w:suppressLineNumbers w:val="0"/>
        <w:jc w:val="left"/>
        <w:rPr>
          <w:rFonts w:hint="eastAsia" w:ascii="宋体" w:hAnsi="宋体" w:eastAsia="宋体" w:cs="宋体"/>
          <w:b/>
          <w:bCs/>
          <w:kern w:val="0"/>
          <w:sz w:val="27"/>
          <w:szCs w:val="27"/>
        </w:rPr>
      </w:pPr>
      <w:r>
        <w:rPr>
          <w:rFonts w:hint="eastAsia" w:ascii="宋体" w:hAnsi="宋体" w:eastAsia="宋体" w:cs="宋体"/>
          <w:b/>
          <w:bCs/>
          <w:kern w:val="0"/>
          <w:sz w:val="27"/>
          <w:szCs w:val="27"/>
        </w:rPr>
        <w:t>3.响应人资格要求</w:t>
      </w:r>
    </w:p>
    <w:p w14:paraId="3E49E87C">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3.1 本次招标要求采购响应人须具备 （1）投标人必须具有独立承担法律责任订立合同和履行合同能力的企业法人单位，营业执照处于有效期内且经营范围涵盖本次招标标的物，提供营业执照、税务登记证、组织机构代码证（或三证合一）及银行开户许可证；（提供复印件加盖公章）</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（2）投标人应不得列入信用中国（http://www.creditchina.gov.cn/）、国家企业信用信息公示系统</w:t>
      </w:r>
      <w:r>
        <w:rPr>
          <w:rFonts w:hint="eastAsia" w:ascii="宋体" w:hAnsi="宋体" w:eastAsia="宋体" w:cs="宋体"/>
          <w:kern w:val="0"/>
          <w:sz w:val="24"/>
          <w:szCs w:val="24"/>
        </w:rPr>
        <w:br w:type="textWrapping"/>
      </w:r>
      <w:r>
        <w:rPr>
          <w:rFonts w:hint="eastAsia" w:ascii="宋体" w:hAnsi="宋体" w:eastAsia="宋体" w:cs="宋体"/>
          <w:kern w:val="0"/>
          <w:sz w:val="24"/>
          <w:szCs w:val="24"/>
        </w:rPr>
        <w:t>（http://www.gsxt.gov.cn/index） 资质， / 业绩，并具有与本采购项目相应的供货能力。</w:t>
      </w:r>
    </w:p>
    <w:p w14:paraId="76054CE4">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3.2 单位负责人为同一人或者存在控股、管理关系的不同单位，不得参加同一标段投标或者未划分标段的同一项目投标。</w:t>
      </w:r>
    </w:p>
    <w:p w14:paraId="4402EB83">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3.3 不得列入国家企业信用信息公示系统（http://www.gsxt.gov.cn/index.html）经营异常名录、严重违法失信企业名单（黑名单），不得列入信用中国（http://www.creditchina.gov.cn/）经营异常名录、严重失信主体名单，不得列入中国执行信息公开网（http://zxgk.court.gov.cn/shixin/）失信被执行人名单（被执行人包括申请单位、法定代表人）；（提供以上网站查询结果截图，截图不清不全的以现场查验为准）。</w:t>
      </w:r>
    </w:p>
    <w:p w14:paraId="1F2CAE0B">
      <w:pPr>
        <w:pStyle w:val="4"/>
        <w:keepNext w:val="0"/>
        <w:keepLines w:val="0"/>
        <w:widowControl/>
        <w:suppressLineNumbers w:val="0"/>
        <w:jc w:val="left"/>
        <w:rPr>
          <w:rFonts w:hint="eastAsia" w:ascii="宋体" w:hAnsi="宋体" w:eastAsia="宋体" w:cs="宋体"/>
          <w:b/>
          <w:bCs/>
          <w:kern w:val="0"/>
          <w:sz w:val="27"/>
          <w:szCs w:val="27"/>
        </w:rPr>
      </w:pPr>
      <w:r>
        <w:rPr>
          <w:rFonts w:hint="eastAsia" w:ascii="宋体" w:hAnsi="宋体" w:eastAsia="宋体" w:cs="宋体"/>
          <w:b/>
          <w:bCs/>
          <w:kern w:val="0"/>
          <w:sz w:val="27"/>
          <w:szCs w:val="27"/>
        </w:rPr>
        <w:t>4. 竞价文件的获取</w:t>
      </w:r>
    </w:p>
    <w:p w14:paraId="6CEDCEE7">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4.1凡有意参加者，请在 https://zc.sxycpc.com/ebidPortal/home-auto.html（延长石油招采网）上免费注册，登录完成后进行业务类型选择，进入采购系统。并根据系统提示进行报名即可下载电子采购文件。具体时间详见采购公告或邀请函。</w:t>
      </w:r>
    </w:p>
    <w:p w14:paraId="6D012FD3">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4.2 本项目不收取文件下载费用</w:t>
      </w:r>
    </w:p>
    <w:p w14:paraId="5184421F">
      <w:pPr>
        <w:pStyle w:val="4"/>
        <w:keepNext w:val="0"/>
        <w:keepLines w:val="0"/>
        <w:widowControl/>
        <w:suppressLineNumbers w:val="0"/>
        <w:jc w:val="left"/>
        <w:rPr>
          <w:rFonts w:hint="eastAsia" w:ascii="宋体" w:hAnsi="宋体" w:eastAsia="宋体" w:cs="宋体"/>
          <w:b/>
          <w:bCs/>
          <w:kern w:val="0"/>
          <w:sz w:val="27"/>
          <w:szCs w:val="27"/>
        </w:rPr>
      </w:pPr>
      <w:r>
        <w:rPr>
          <w:rFonts w:hint="eastAsia" w:ascii="宋体" w:hAnsi="宋体" w:eastAsia="宋体" w:cs="宋体"/>
          <w:b/>
          <w:bCs/>
          <w:kern w:val="0"/>
          <w:sz w:val="27"/>
          <w:szCs w:val="27"/>
        </w:rPr>
        <w:t>5.竞价</w:t>
      </w:r>
    </w:p>
    <w:p w14:paraId="47FE4F3F">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5.1 交易商应在规定的时间内远程登录系统https://zc.sxycpc.com/ebidPortal/home-auto.html（延长石油招采网）方式参与本次电子竞价交易，交易商应当自行检查自备的网络线路和电子设备，并自行承担远程交易设备所发出的一切交易指令结果等交易电子竞价交易全程的法律责任。交易所与此无关，不承担任何责任和经济赔偿。</w:t>
      </w:r>
    </w:p>
    <w:p w14:paraId="575F660A">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5.2 竞价相关信息如下：</w:t>
      </w:r>
    </w:p>
    <w:p w14:paraId="1B5470A7">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报名（递交资格）开始时间：2026年10月27日 16时40分；</w:t>
      </w:r>
    </w:p>
    <w:p w14:paraId="647713B0">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报名（递交资格）结束时间：2026年10月29日 09时00分；</w:t>
      </w:r>
    </w:p>
    <w:p w14:paraId="2E41BEE1">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竞价模式：反向竞拍；</w:t>
      </w:r>
    </w:p>
    <w:p w14:paraId="68BD4F43">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竞价方式：多轮竞价；</w:t>
      </w:r>
    </w:p>
    <w:p w14:paraId="4278A938">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竞价轮次：2轮；</w:t>
      </w:r>
    </w:p>
    <w:p w14:paraId="357761D7">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竞价文件下载开始时间：2026年10月27日 16时40分；</w:t>
      </w:r>
    </w:p>
    <w:p w14:paraId="051BF80F">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竞价文件下载截止时间：2026年10月29日 09时00分；</w:t>
      </w:r>
    </w:p>
    <w:p w14:paraId="0659320C">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竞价开始时间：2026年10月29日 09时00分；</w:t>
      </w:r>
    </w:p>
    <w:p w14:paraId="07001C78">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竞价时长：15分钟；</w:t>
      </w:r>
    </w:p>
    <w:p w14:paraId="18CE8D3B">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轮间间隔时长：10分钟；</w:t>
      </w:r>
    </w:p>
    <w:p w14:paraId="5689BBD9">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竞价开启时间：2026年10月29日 09时40分；</w:t>
      </w:r>
    </w:p>
    <w:p w14:paraId="3A0E2A0A">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 xml:space="preserve">最小降幅： 0.00 </w:t>
      </w:r>
    </w:p>
    <w:p w14:paraId="054D351E">
      <w:pPr>
        <w:pStyle w:val="14"/>
        <w:keepNext w:val="0"/>
        <w:keepLines w:val="0"/>
        <w:widowControl/>
        <w:suppressLineNumbers w:val="0"/>
        <w:rPr>
          <w:rFonts w:hint="eastAsia" w:ascii="宋体" w:hAnsi="宋体" w:eastAsia="宋体" w:cs="宋体"/>
          <w:kern w:val="0"/>
          <w:sz w:val="24"/>
          <w:szCs w:val="24"/>
        </w:rPr>
      </w:pPr>
      <w:r>
        <w:rPr>
          <w:rFonts w:hint="eastAsia" w:ascii="宋体" w:hAnsi="宋体" w:eastAsia="宋体" w:cs="宋体"/>
          <w:kern w:val="0"/>
          <w:sz w:val="24"/>
          <w:szCs w:val="24"/>
        </w:rPr>
        <w:t xml:space="preserve">最大降幅： 0.00 </w:t>
      </w:r>
    </w:p>
    <w:p w14:paraId="08FB87A2">
      <w:pPr>
        <w:pStyle w:val="4"/>
        <w:keepNext w:val="0"/>
        <w:keepLines w:val="0"/>
        <w:widowControl/>
        <w:suppressLineNumbers w:val="0"/>
        <w:jc w:val="left"/>
        <w:rPr>
          <w:rFonts w:hint="eastAsia" w:ascii="宋体" w:hAnsi="宋体" w:eastAsia="宋体" w:cs="宋体"/>
          <w:b/>
          <w:bCs/>
          <w:kern w:val="0"/>
          <w:sz w:val="27"/>
          <w:szCs w:val="27"/>
        </w:rPr>
      </w:pPr>
      <w:r>
        <w:rPr>
          <w:rFonts w:hint="eastAsia" w:ascii="宋体" w:hAnsi="宋体" w:eastAsia="宋体" w:cs="宋体"/>
          <w:b/>
          <w:bCs/>
          <w:kern w:val="0"/>
          <w:sz w:val="27"/>
          <w:szCs w:val="27"/>
        </w:rPr>
        <w:t>6. 发布公告的媒介</w:t>
      </w:r>
    </w:p>
    <w:p w14:paraId="18FDC580">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https://zc.sxycpc.com/ebidPortal/home-auto.html（延长石油招采网）</w:t>
      </w:r>
    </w:p>
    <w:p w14:paraId="38D5D20A">
      <w:pPr>
        <w:pStyle w:val="4"/>
        <w:keepNext w:val="0"/>
        <w:keepLines w:val="0"/>
        <w:widowControl/>
        <w:suppressLineNumbers w:val="0"/>
        <w:jc w:val="left"/>
        <w:rPr>
          <w:rFonts w:hint="eastAsia" w:ascii="宋体" w:hAnsi="宋体" w:eastAsia="宋体" w:cs="宋体"/>
          <w:b/>
          <w:bCs/>
          <w:kern w:val="0"/>
          <w:sz w:val="27"/>
          <w:szCs w:val="27"/>
        </w:rPr>
      </w:pPr>
      <w:r>
        <w:rPr>
          <w:rFonts w:hint="eastAsia" w:ascii="宋体" w:hAnsi="宋体" w:eastAsia="宋体" w:cs="宋体"/>
          <w:b/>
          <w:bCs/>
          <w:kern w:val="0"/>
          <w:sz w:val="27"/>
          <w:szCs w:val="27"/>
        </w:rPr>
        <w:t>7. 联系方式</w:t>
      </w:r>
    </w:p>
    <w:p w14:paraId="07D51802">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联 系 人： 孙少龙 </w:t>
      </w:r>
    </w:p>
    <w:p w14:paraId="1BDB73F9">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联系电话： 13488441923 </w:t>
      </w:r>
    </w:p>
    <w:p w14:paraId="43CFE579">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电子邮箱： 82399701@qq.com</w:t>
      </w:r>
    </w:p>
    <w:p w14:paraId="666CF580">
      <w:pPr>
        <w:pStyle w:val="14"/>
        <w:keepNext w:val="0"/>
        <w:keepLines w:val="0"/>
        <w:widowControl/>
        <w:suppressLineNumbers w:val="0"/>
        <w:ind w:left="0" w:firstLine="420"/>
        <w:jc w:val="left"/>
        <w:rPr>
          <w:rFonts w:hint="eastAsia" w:ascii="宋体" w:hAnsi="宋体" w:eastAsia="宋体" w:cs="宋体"/>
          <w:kern w:val="0"/>
          <w:sz w:val="24"/>
          <w:szCs w:val="24"/>
        </w:rPr>
      </w:pPr>
      <w:r>
        <w:rPr>
          <w:rFonts w:hint="eastAsia" w:ascii="宋体" w:hAnsi="宋体" w:eastAsia="宋体" w:cs="宋体"/>
          <w:kern w:val="0"/>
          <w:sz w:val="24"/>
          <w:szCs w:val="24"/>
        </w:rPr>
        <w:t>联系地址： 陕西延长石油榆神能源化工有限责任公司</w:t>
      </w:r>
    </w:p>
    <w:p w14:paraId="14211C1D">
      <w:pPr>
        <w:pStyle w:val="14"/>
        <w:keepNext w:val="0"/>
        <w:keepLines w:val="0"/>
        <w:widowControl/>
        <w:suppressLineNumbers w:val="0"/>
        <w:jc w:val="right"/>
        <w:rPr>
          <w:rFonts w:hint="eastAsia" w:ascii="宋体" w:hAnsi="宋体" w:eastAsia="宋体" w:cs="宋体"/>
          <w:kern w:val="0"/>
          <w:sz w:val="24"/>
          <w:szCs w:val="24"/>
        </w:rPr>
      </w:pPr>
      <w:r>
        <w:rPr>
          <w:rFonts w:hint="eastAsia" w:ascii="宋体" w:hAnsi="宋体" w:eastAsia="宋体" w:cs="宋体"/>
          <w:kern w:val="0"/>
          <w:sz w:val="24"/>
          <w:szCs w:val="24"/>
        </w:rPr>
        <w:t>{{未填写}}</w:t>
      </w:r>
    </w:p>
    <w:sectPr>
      <w:pgSz w:w="11906" w:h="16839"/>
      <w:pgMar w:top="1440" w:right="1800" w:bottom="1440" w:left="1800"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3795978"/>
    <w:rsid w:val="6F7447D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iPriority="99"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99"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iPriority="99" w:name="Light Shading"/>
    <w:lsdException w:uiPriority="99" w:name="Light List"/>
    <w:lsdException w:uiPriority="99" w:name="Light Grid"/>
    <w:lsdException w:uiPriority="99" w:name="Medium Shading 1"/>
    <w:lsdException w:uiPriority="99" w:name="Medium Shading 2"/>
    <w:lsdException w:uiPriority="99" w:name="Medium List 1"/>
    <w:lsdException w:uiPriority="99" w:name="Medium List 2"/>
    <w:lsdException w:uiPriority="99" w:name="Medium Grid 1"/>
    <w:lsdException w:uiPriority="99" w:name="Medium Grid 2"/>
    <w:lsdException w:uiPriority="99" w:name="Medium Grid 3"/>
    <w:lsdException w:uiPriority="99" w:name="Dark List"/>
    <w:lsdException w:uiPriority="99" w:name="Colorful Shading"/>
    <w:lsdException w:uiPriority="99" w:name="Colorful List"/>
    <w:lsdException w:uiPriority="99" w:name="Colorful Grid"/>
    <w:lsdException w:uiPriority="99" w:name="Light Shading Accent 1"/>
    <w:lsdException w:uiPriority="99" w:name="Light List Accent 1"/>
    <w:lsdException w:uiPriority="99" w:name="Light Grid Accent 1"/>
    <w:lsdException w:uiPriority="99" w:name="Medium Shading 1 Accent 1"/>
    <w:lsdException w:uiPriority="99" w:name="Medium Shading 2 Accent 1"/>
    <w:lsdException w:uiPriority="99" w:name="Medium List 1 Accent 1"/>
    <w:lsdException w:uiPriority="99" w:name="Medium List 2 Accent 1"/>
    <w:lsdException w:uiPriority="99" w:name="Medium Grid 1 Accent 1"/>
    <w:lsdException w:uiPriority="99" w:name="Medium Grid 2 Accent 1"/>
    <w:lsdException w:uiPriority="99" w:name="Medium Grid 3 Accent 1"/>
    <w:lsdException w:uiPriority="99" w:name="Dark List Accent 1"/>
    <w:lsdException w:uiPriority="99" w:name="Colorful Shading Accent 1"/>
    <w:lsdException w:uiPriority="99" w:name="Colorful List Accent 1"/>
    <w:lsdException w:uiPriority="99" w:name="Colorful Grid Accent 1"/>
    <w:lsdException w:uiPriority="99" w:name="Light Shading Accent 2"/>
    <w:lsdException w:uiPriority="99" w:name="Light List Accent 2"/>
    <w:lsdException w:uiPriority="99" w:name="Light Grid Accent 2"/>
    <w:lsdException w:uiPriority="99" w:name="Medium Shading 1 Accent 2"/>
    <w:lsdException w:uiPriority="99" w:name="Medium Shading 2 Accent 2"/>
    <w:lsdException w:uiPriority="99" w:name="Medium List 1 Accent 2"/>
    <w:lsdException w:uiPriority="99" w:name="Medium List 2 Accent 2"/>
    <w:lsdException w:uiPriority="99" w:name="Medium Grid 1 Accent 2"/>
    <w:lsdException w:uiPriority="99" w:name="Medium Grid 2 Accent 2"/>
    <w:lsdException w:uiPriority="99" w:name="Medium Grid 3 Accent 2"/>
    <w:lsdException w:uiPriority="99" w:name="Dark List Accent 2"/>
    <w:lsdException w:uiPriority="99" w:name="Colorful Shading Accent 2"/>
    <w:lsdException w:uiPriority="99" w:name="Colorful List Accent 2"/>
    <w:lsdException w:uiPriority="99" w:name="Colorful Grid Accent 2"/>
    <w:lsdException w:uiPriority="99" w:name="Light Shading Accent 3"/>
    <w:lsdException w:uiPriority="99" w:name="Light List Accent 3"/>
    <w:lsdException w:uiPriority="99" w:name="Light Grid Accent 3"/>
    <w:lsdException w:uiPriority="99" w:name="Medium Shading 1 Accent 3"/>
    <w:lsdException w:uiPriority="99" w:name="Medium Shading 2 Accent 3"/>
    <w:lsdException w:uiPriority="99" w:name="Medium List 1 Accent 3"/>
    <w:lsdException w:uiPriority="99" w:name="Medium List 2 Accent 3"/>
    <w:lsdException w:uiPriority="99" w:name="Medium Grid 1 Accent 3"/>
    <w:lsdException w:uiPriority="99" w:name="Medium Grid 2 Accent 3"/>
    <w:lsdException w:uiPriority="99" w:name="Medium Grid 3 Accent 3"/>
    <w:lsdException w:uiPriority="99" w:name="Dark List Accent 3"/>
    <w:lsdException w:uiPriority="99" w:name="Colorful Shading Accent 3"/>
    <w:lsdException w:uiPriority="99" w:name="Colorful List Accent 3"/>
    <w:lsdException w:uiPriority="99" w:name="Colorful Grid Accent 3"/>
    <w:lsdException w:uiPriority="99" w:name="Light Shading Accent 4"/>
    <w:lsdException w:uiPriority="99" w:name="Light List Accent 4"/>
    <w:lsdException w:uiPriority="99" w:name="Light Grid Accent 4"/>
    <w:lsdException w:uiPriority="99" w:name="Medium Shading 1 Accent 4"/>
    <w:lsdException w:uiPriority="99" w:name="Medium Shading 2 Accent 4"/>
    <w:lsdException w:uiPriority="99" w:name="Medium List 1 Accent 4"/>
    <w:lsdException w:uiPriority="99" w:name="Medium List 2 Accent 4"/>
    <w:lsdException w:uiPriority="99" w:name="Medium Grid 1 Accent 4"/>
    <w:lsdException w:uiPriority="99" w:name="Medium Grid 2 Accent 4"/>
    <w:lsdException w:uiPriority="99" w:name="Medium Grid 3 Accent 4"/>
    <w:lsdException w:uiPriority="99" w:name="Dark List Accent 4"/>
    <w:lsdException w:uiPriority="99" w:name="Colorful Shading Accent 4"/>
    <w:lsdException w:uiPriority="99" w:name="Colorful List Accent 4"/>
    <w:lsdException w:uiPriority="99" w:name="Colorful Grid Accent 4"/>
    <w:lsdException w:uiPriority="99" w:name="Light Shading Accent 5"/>
    <w:lsdException w:uiPriority="99" w:name="Light List Accent 5"/>
    <w:lsdException w:uiPriority="99" w:name="Light Grid Accent 5"/>
    <w:lsdException w:uiPriority="99" w:name="Medium Shading 1 Accent 5"/>
    <w:lsdException w:uiPriority="99" w:name="Medium Shading 2 Accent 5"/>
    <w:lsdException w:uiPriority="99" w:name="Medium List 1 Accent 5"/>
    <w:lsdException w:uiPriority="99" w:name="Medium List 2 Accent 5"/>
    <w:lsdException w:uiPriority="99" w:name="Medium Grid 1 Accent 5"/>
    <w:lsdException w:uiPriority="99" w:name="Medium Grid 2 Accent 5"/>
    <w:lsdException w:uiPriority="99" w:name="Medium Grid 3 Accent 5"/>
    <w:lsdException w:uiPriority="99" w:name="Dark List Accent 5"/>
    <w:lsdException w:uiPriority="99" w:name="Colorful Shading Accent 5"/>
    <w:lsdException w:uiPriority="99" w:name="Colorful List Accent 5"/>
    <w:lsdException w:uiPriority="99" w:name="Colorful Grid Accent 5"/>
    <w:lsdException w:uiPriority="99" w:name="Light Shading Accent 6"/>
    <w:lsdException w:uiPriority="99" w:name="Light List Accent 6"/>
    <w:lsdException w:uiPriority="99" w:name="Light Grid Accent 6"/>
    <w:lsdException w:uiPriority="99" w:name="Medium Shading 1 Accent 6"/>
    <w:lsdException w:uiPriority="99" w:name="Medium Shading 2 Accent 6"/>
    <w:lsdException w:uiPriority="99" w:name="Medium List 1 Accent 6"/>
    <w:lsdException w:uiPriority="99" w:name="Medium List 2 Accent 6"/>
    <w:lsdException w:uiPriority="99" w:name="Medium Grid 1 Accent 6"/>
    <w:lsdException w:uiPriority="99" w:name="Medium Grid 2 Accent 6"/>
    <w:lsdException w:uiPriority="99" w:name="Medium Grid 3 Accent 6"/>
    <w:lsdException w:uiPriority="99" w:name="Dark List Accent 6"/>
    <w:lsdException w:uiPriority="99" w:name="Colorful Shading Accent 6"/>
    <w:lsdException w:uiPriority="99" w:name="Colorful List Accent 6"/>
    <w:lsdException w:uiPriority="99" w:name="Colorful Grid Accent 6"/>
  </w:latentStyles>
  <w:style w:type="paragraph" w:default="1" w:styleId="1">
    <w:name w:val="Normal"/>
    <w:semiHidden/>
    <w:unhideWhenUsed/>
    <w:uiPriority w:val="99"/>
    <w:pP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paragraph" w:styleId="7">
    <w:name w:val="heading 6"/>
    <w:basedOn w:val="1"/>
    <w:next w:val="1"/>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uiPriority w:val="99"/>
  </w:style>
  <w:style w:type="table" w:default="1" w:styleId="10">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12">
    <w:name w:val="HTML 预设格式 Char"/>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customStyle="1" w:styleId="13">
    <w:name w:val="10"/>
    <w:basedOn w:val="11"/>
    <w:uiPriority w:val="0"/>
    <w:rPr>
      <w:rFonts w:hint="default" w:ascii="Times New Roman" w:hAnsi="Times New Roman" w:cs="Times New Roman"/>
    </w:rPr>
  </w:style>
  <w:style w:type="paragraph" w:customStyle="1" w:styleId="14">
    <w:name w:val="普通(网站) Char"/>
    <w:basedOn w:val="1"/>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1188</Words>
  <Characters>1644</Characters>
  <Lines>1</Lines>
  <Paragraphs>1</Paragraphs>
  <TotalTime>2</TotalTime>
  <ScaleCrop>false</ScaleCrop>
  <LinksUpToDate>false</LinksUpToDate>
  <CharactersWithSpaces>1689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2026-10-27T08:40:18Z</dcterms:created>
  <dc:creator>admin</dc:creator>
  <cp:lastModifiedBy>乐悠悠的妈妈</cp:lastModifiedBy>
  <dcterms:modified xsi:type="dcterms:W3CDTF">2026-10-27T08:42:53Z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eyJoZGlkIjoiMWY3OWZiNTJiZjE4MmE4Y2M4YjE3MTcwOTFhNmUxM2MiLCJ1c2VySWQiOiIzMjE5NDgyNjkifQ==</vt:lpwstr>
  </property>
  <property fmtid="{D5CDD505-2E9C-101B-9397-08002B2CF9AE}" pid="3" name="KSOProductBuildVer">
    <vt:lpwstr>2052-12.1.0.28505</vt:lpwstr>
  </property>
  <property fmtid="{D5CDD505-2E9C-101B-9397-08002B2CF9AE}" pid="4" name="ICV">
    <vt:lpwstr>9CA4F79E9CC84DD1B4EDAA52ADC5A8E5_13</vt:lpwstr>
  </property>
</Properties>
</file>