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F440C59">
      <w:pPr>
        <w:pStyle w:val="145"/>
        <w:widowControl w:val="0"/>
        <w:snapToGrid w:val="0"/>
        <w:spacing w:line="470" w:lineRule="atLeast"/>
        <w:ind w:firstLine="0"/>
        <w:jc w:val="center"/>
        <w:rPr>
          <w:rFonts w:ascii="黑体" w:hAnsi="宋体" w:eastAsia="黑体"/>
          <w:b w:val="0"/>
          <w:color w:val="auto"/>
          <w:sz w:val="32"/>
        </w:rPr>
      </w:pPr>
      <w:bookmarkStart w:id="896" w:name="_GoBack"/>
    </w:p>
    <w:p w14:paraId="4C8C38C0">
      <w:pPr>
        <w:pStyle w:val="145"/>
        <w:widowControl w:val="0"/>
        <w:snapToGrid w:val="0"/>
        <w:spacing w:line="470" w:lineRule="atLeast"/>
        <w:ind w:firstLine="0"/>
        <w:jc w:val="center"/>
        <w:rPr>
          <w:rFonts w:ascii="黑体" w:hAnsi="宋体" w:eastAsia="黑体"/>
          <w:b w:val="0"/>
          <w:color w:val="auto"/>
          <w:sz w:val="32"/>
        </w:rPr>
      </w:pPr>
    </w:p>
    <w:p w14:paraId="79B9B62B">
      <w:pPr>
        <w:pStyle w:val="145"/>
        <w:widowControl w:val="0"/>
        <w:snapToGrid w:val="0"/>
        <w:spacing w:after="156" w:afterLines="50" w:line="470" w:lineRule="atLeast"/>
        <w:ind w:firstLine="0"/>
        <w:jc w:val="center"/>
        <w:outlineLvl w:val="0"/>
        <w:rPr>
          <w:rFonts w:ascii="黑体" w:hAnsi="宋体" w:eastAsia="黑体"/>
          <w:b w:val="0"/>
          <w:color w:val="auto"/>
          <w:sz w:val="52"/>
          <w:szCs w:val="52"/>
        </w:rPr>
      </w:pPr>
      <w:r>
        <w:rPr>
          <w:rFonts w:hint="eastAsia" w:ascii="黑体" w:hAnsi="宋体" w:eastAsia="黑体"/>
          <w:b w:val="0"/>
          <w:color w:val="auto"/>
          <w:sz w:val="52"/>
          <w:szCs w:val="52"/>
        </w:rPr>
        <w:t>杭州电子科技大学</w:t>
      </w:r>
    </w:p>
    <w:p w14:paraId="4BBE61B7">
      <w:pPr>
        <w:pStyle w:val="145"/>
        <w:widowControl w:val="0"/>
        <w:snapToGrid w:val="0"/>
        <w:spacing w:line="470" w:lineRule="atLeast"/>
        <w:ind w:firstLine="0"/>
        <w:jc w:val="center"/>
        <w:outlineLvl w:val="0"/>
        <w:rPr>
          <w:rFonts w:ascii="黑体" w:hAnsi="宋体" w:eastAsia="黑体"/>
          <w:b w:val="0"/>
          <w:color w:val="auto"/>
          <w:sz w:val="48"/>
          <w:szCs w:val="48"/>
        </w:rPr>
      </w:pPr>
      <w:r>
        <w:rPr>
          <w:rFonts w:hint="eastAsia" w:ascii="黑体" w:hAnsi="宋体" w:eastAsia="黑体"/>
          <w:b w:val="0"/>
          <w:color w:val="auto"/>
          <w:sz w:val="48"/>
          <w:szCs w:val="48"/>
        </w:rPr>
        <w:t>四害消杀服务项目</w:t>
      </w:r>
    </w:p>
    <w:p w14:paraId="2A381178">
      <w:pPr>
        <w:pStyle w:val="145"/>
        <w:widowControl w:val="0"/>
        <w:snapToGrid w:val="0"/>
        <w:spacing w:line="470" w:lineRule="atLeast"/>
        <w:ind w:firstLine="0"/>
        <w:jc w:val="center"/>
        <w:rPr>
          <w:rFonts w:ascii="黑体" w:eastAsia="黑体"/>
          <w:b w:val="0"/>
          <w:color w:val="auto"/>
          <w:sz w:val="36"/>
          <w:szCs w:val="36"/>
        </w:rPr>
      </w:pPr>
    </w:p>
    <w:p w14:paraId="2B20097C">
      <w:pPr>
        <w:pStyle w:val="145"/>
        <w:widowControl w:val="0"/>
        <w:snapToGrid w:val="0"/>
        <w:spacing w:line="470" w:lineRule="atLeast"/>
        <w:ind w:firstLine="0"/>
        <w:jc w:val="center"/>
        <w:rPr>
          <w:rFonts w:ascii="黑体" w:eastAsia="黑体"/>
          <w:b w:val="0"/>
          <w:color w:val="auto"/>
          <w:sz w:val="36"/>
        </w:rPr>
      </w:pPr>
    </w:p>
    <w:p w14:paraId="3DED931C">
      <w:pPr>
        <w:pStyle w:val="145"/>
        <w:widowControl w:val="0"/>
        <w:snapToGrid w:val="0"/>
        <w:spacing w:line="470" w:lineRule="atLeast"/>
        <w:ind w:firstLine="0"/>
        <w:jc w:val="center"/>
        <w:rPr>
          <w:rFonts w:ascii="黑体" w:eastAsia="黑体"/>
          <w:b w:val="0"/>
          <w:color w:val="auto"/>
          <w:sz w:val="36"/>
        </w:rPr>
      </w:pPr>
    </w:p>
    <w:p w14:paraId="7B43EA82">
      <w:pPr>
        <w:pStyle w:val="145"/>
        <w:widowControl w:val="0"/>
        <w:snapToGrid w:val="0"/>
        <w:spacing w:line="470" w:lineRule="atLeast"/>
        <w:ind w:firstLine="0"/>
        <w:jc w:val="center"/>
        <w:outlineLvl w:val="0"/>
        <w:rPr>
          <w:rFonts w:ascii="楷体" w:hAnsi="楷体" w:eastAsia="楷体" w:cs="楷体"/>
          <w:b w:val="0"/>
          <w:color w:val="auto"/>
          <w:sz w:val="72"/>
        </w:rPr>
      </w:pPr>
      <w:r>
        <w:rPr>
          <w:rFonts w:hint="eastAsia" w:ascii="楷体" w:hAnsi="楷体" w:eastAsia="楷体" w:cs="楷体"/>
          <w:b w:val="0"/>
          <w:color w:val="auto"/>
          <w:sz w:val="72"/>
        </w:rPr>
        <w:t>竞争性磋商文件</w:t>
      </w:r>
    </w:p>
    <w:p w14:paraId="5F84E768">
      <w:pPr>
        <w:pStyle w:val="145"/>
        <w:widowControl w:val="0"/>
        <w:snapToGrid w:val="0"/>
        <w:spacing w:line="470" w:lineRule="atLeast"/>
        <w:ind w:firstLine="0"/>
        <w:jc w:val="center"/>
        <w:outlineLvl w:val="0"/>
        <w:rPr>
          <w:rFonts w:ascii="黑体" w:hAnsi="宋体" w:eastAsia="黑体"/>
          <w:b w:val="0"/>
          <w:color w:val="auto"/>
          <w:sz w:val="32"/>
        </w:rPr>
      </w:pPr>
      <w:r>
        <w:rPr>
          <w:rFonts w:hint="eastAsia" w:ascii="楷体" w:hAnsi="楷体" w:eastAsia="楷体" w:cs="楷体"/>
          <w:bCs/>
          <w:color w:val="auto"/>
          <w:sz w:val="36"/>
          <w:szCs w:val="36"/>
        </w:rPr>
        <w:t>（线上电子交易）</w:t>
      </w:r>
    </w:p>
    <w:p w14:paraId="4BAD7754">
      <w:pPr>
        <w:pStyle w:val="145"/>
        <w:widowControl w:val="0"/>
        <w:snapToGrid w:val="0"/>
        <w:spacing w:line="360" w:lineRule="auto"/>
        <w:ind w:firstLine="2400" w:firstLineChars="750"/>
        <w:rPr>
          <w:rFonts w:ascii="黑体" w:hAnsi="宋体" w:eastAsia="黑体"/>
          <w:b w:val="0"/>
          <w:color w:val="auto"/>
          <w:sz w:val="32"/>
        </w:rPr>
      </w:pPr>
    </w:p>
    <w:p w14:paraId="26549744">
      <w:pPr>
        <w:pStyle w:val="145"/>
        <w:widowControl w:val="0"/>
        <w:snapToGrid w:val="0"/>
        <w:spacing w:line="360" w:lineRule="auto"/>
        <w:ind w:firstLine="2400" w:firstLineChars="750"/>
        <w:outlineLvl w:val="1"/>
        <w:rPr>
          <w:rFonts w:hint="default" w:ascii="黑体" w:hAnsi="宋体" w:eastAsia="黑体"/>
          <w:b w:val="0"/>
          <w:color w:val="auto"/>
          <w:sz w:val="32"/>
          <w:u w:val="single"/>
          <w:lang w:val="en-US" w:eastAsia="zh-CN"/>
        </w:rPr>
      </w:pPr>
      <w:r>
        <w:rPr>
          <w:rFonts w:hint="eastAsia" w:ascii="黑体" w:hAnsi="宋体" w:eastAsia="黑体"/>
          <w:b w:val="0"/>
          <w:color w:val="auto"/>
          <w:sz w:val="32"/>
        </w:rPr>
        <w:t>项目编号：202</w:t>
      </w:r>
      <w:r>
        <w:rPr>
          <w:rFonts w:hint="eastAsia" w:ascii="黑体" w:hAnsi="宋体" w:eastAsia="黑体"/>
          <w:b w:val="0"/>
          <w:color w:val="auto"/>
          <w:sz w:val="32"/>
          <w:lang w:val="en-US" w:eastAsia="zh-CN"/>
        </w:rPr>
        <w:t>6</w:t>
      </w:r>
      <w:r>
        <w:rPr>
          <w:rFonts w:hint="eastAsia" w:ascii="黑体" w:hAnsi="宋体" w:eastAsia="黑体"/>
          <w:b w:val="0"/>
          <w:color w:val="auto"/>
          <w:sz w:val="32"/>
        </w:rPr>
        <w:t>-JH-CS</w:t>
      </w:r>
      <w:r>
        <w:rPr>
          <w:rFonts w:hint="eastAsia" w:ascii="黑体" w:hAnsi="宋体" w:eastAsia="黑体"/>
          <w:b w:val="0"/>
          <w:color w:val="auto"/>
          <w:sz w:val="32"/>
          <w:lang w:val="en-US" w:eastAsia="zh-CN"/>
        </w:rPr>
        <w:t>16</w:t>
      </w:r>
    </w:p>
    <w:p w14:paraId="4DD76479">
      <w:pPr>
        <w:pStyle w:val="145"/>
        <w:widowControl w:val="0"/>
        <w:snapToGrid w:val="0"/>
        <w:spacing w:line="470" w:lineRule="atLeast"/>
        <w:ind w:firstLine="0"/>
        <w:jc w:val="center"/>
        <w:rPr>
          <w:color w:val="auto"/>
        </w:rPr>
      </w:pPr>
    </w:p>
    <w:p w14:paraId="5F7DD4F8">
      <w:pPr>
        <w:pStyle w:val="145"/>
        <w:widowControl w:val="0"/>
        <w:snapToGrid w:val="0"/>
        <w:spacing w:line="470" w:lineRule="atLeast"/>
        <w:ind w:firstLine="0"/>
        <w:jc w:val="center"/>
        <w:rPr>
          <w:color w:val="auto"/>
        </w:rPr>
      </w:pPr>
    </w:p>
    <w:p w14:paraId="2C5D8E5B">
      <w:pPr>
        <w:pStyle w:val="145"/>
        <w:widowControl w:val="0"/>
        <w:snapToGrid w:val="0"/>
        <w:spacing w:line="470" w:lineRule="atLeast"/>
        <w:ind w:firstLine="0"/>
        <w:jc w:val="center"/>
        <w:rPr>
          <w:color w:val="auto"/>
        </w:rPr>
      </w:pPr>
    </w:p>
    <w:p w14:paraId="24C47AF8">
      <w:pPr>
        <w:pStyle w:val="145"/>
        <w:widowControl w:val="0"/>
        <w:snapToGrid w:val="0"/>
        <w:spacing w:line="470" w:lineRule="atLeast"/>
        <w:ind w:firstLine="0"/>
        <w:jc w:val="center"/>
        <w:rPr>
          <w:color w:val="auto"/>
        </w:rPr>
      </w:pPr>
    </w:p>
    <w:p w14:paraId="09533B6D">
      <w:pPr>
        <w:pStyle w:val="145"/>
        <w:widowControl w:val="0"/>
        <w:snapToGrid w:val="0"/>
        <w:spacing w:line="470" w:lineRule="atLeast"/>
        <w:ind w:firstLine="0"/>
        <w:jc w:val="center"/>
        <w:rPr>
          <w:color w:val="auto"/>
        </w:rPr>
      </w:pPr>
    </w:p>
    <w:p w14:paraId="5CDC4A59">
      <w:pPr>
        <w:pStyle w:val="145"/>
        <w:widowControl w:val="0"/>
        <w:snapToGrid w:val="0"/>
        <w:spacing w:line="470" w:lineRule="atLeast"/>
        <w:ind w:firstLine="0"/>
        <w:jc w:val="center"/>
        <w:rPr>
          <w:color w:val="auto"/>
        </w:rPr>
      </w:pPr>
    </w:p>
    <w:p w14:paraId="4B021ADD">
      <w:pPr>
        <w:pStyle w:val="145"/>
        <w:widowControl w:val="0"/>
        <w:snapToGrid w:val="0"/>
        <w:spacing w:line="470" w:lineRule="atLeast"/>
        <w:ind w:firstLine="0"/>
        <w:jc w:val="center"/>
        <w:rPr>
          <w:color w:val="auto"/>
        </w:rPr>
      </w:pPr>
    </w:p>
    <w:p w14:paraId="110FBA99">
      <w:pPr>
        <w:pStyle w:val="145"/>
        <w:widowControl w:val="0"/>
        <w:snapToGrid w:val="0"/>
        <w:spacing w:line="470" w:lineRule="atLeast"/>
        <w:ind w:firstLine="0"/>
        <w:jc w:val="center"/>
        <w:rPr>
          <w:color w:val="auto"/>
        </w:rPr>
      </w:pPr>
    </w:p>
    <w:p w14:paraId="530ED6B0">
      <w:pPr>
        <w:pStyle w:val="145"/>
        <w:spacing w:line="480" w:lineRule="auto"/>
        <w:ind w:firstLine="0"/>
        <w:jc w:val="center"/>
        <w:outlineLvl w:val="1"/>
        <w:rPr>
          <w:rFonts w:eastAsia="黑体"/>
          <w:b w:val="0"/>
          <w:color w:val="auto"/>
          <w:sz w:val="32"/>
        </w:rPr>
      </w:pPr>
      <w:r>
        <w:rPr>
          <w:rFonts w:hint="eastAsia" w:eastAsia="黑体"/>
          <w:b w:val="0"/>
          <w:color w:val="auto"/>
          <w:sz w:val="32"/>
        </w:rPr>
        <w:t>杭州电子科技大学采购中心</w:t>
      </w:r>
    </w:p>
    <w:p w14:paraId="769290BD">
      <w:pPr>
        <w:pStyle w:val="145"/>
        <w:widowControl w:val="0"/>
        <w:snapToGrid w:val="0"/>
        <w:spacing w:line="700" w:lineRule="exact"/>
        <w:ind w:firstLine="0"/>
        <w:jc w:val="center"/>
        <w:outlineLvl w:val="1"/>
        <w:rPr>
          <w:rFonts w:ascii="黑体" w:eastAsia="黑体"/>
          <w:color w:val="auto"/>
          <w:sz w:val="32"/>
          <w:szCs w:val="32"/>
        </w:rPr>
      </w:pPr>
      <w:r>
        <w:rPr>
          <w:rFonts w:ascii="黑体" w:eastAsia="黑体"/>
          <w:b w:val="0"/>
          <w:color w:val="auto"/>
          <w:sz w:val="32"/>
          <w:szCs w:val="32"/>
        </w:rPr>
        <w:t xml:space="preserve"> </w:t>
      </w:r>
      <w:r>
        <w:rPr>
          <w:rFonts w:hint="eastAsia" w:ascii="黑体" w:eastAsia="黑体"/>
          <w:b w:val="0"/>
          <w:color w:val="auto"/>
          <w:sz w:val="32"/>
          <w:szCs w:val="32"/>
        </w:rPr>
        <w:t>202</w:t>
      </w:r>
      <w:r>
        <w:rPr>
          <w:rFonts w:hint="eastAsia" w:ascii="黑体" w:eastAsia="黑体"/>
          <w:b w:val="0"/>
          <w:color w:val="auto"/>
          <w:sz w:val="32"/>
          <w:szCs w:val="32"/>
          <w:lang w:val="en-US" w:eastAsia="zh-CN"/>
        </w:rPr>
        <w:t>6</w:t>
      </w:r>
      <w:r>
        <w:rPr>
          <w:rFonts w:hint="eastAsia" w:ascii="黑体" w:eastAsia="黑体"/>
          <w:b w:val="0"/>
          <w:color w:val="auto"/>
          <w:sz w:val="32"/>
          <w:szCs w:val="32"/>
        </w:rPr>
        <w:t>年</w:t>
      </w:r>
      <w:r>
        <w:rPr>
          <w:rFonts w:hint="default" w:ascii="黑体" w:eastAsia="黑体"/>
          <w:b w:val="0"/>
          <w:color w:val="auto"/>
          <w:sz w:val="32"/>
          <w:szCs w:val="32"/>
          <w:woUserID w:val="1"/>
        </w:rPr>
        <w:t>10</w:t>
      </w:r>
      <w:r>
        <w:rPr>
          <w:rFonts w:hint="eastAsia" w:ascii="黑体" w:eastAsia="黑体"/>
          <w:b w:val="0"/>
          <w:color w:val="auto"/>
          <w:sz w:val="32"/>
          <w:szCs w:val="32"/>
        </w:rPr>
        <w:t>月</w:t>
      </w:r>
      <w:r>
        <w:rPr>
          <w:rFonts w:hint="default" w:ascii="黑体" w:eastAsia="黑体"/>
          <w:b w:val="0"/>
          <w:color w:val="auto"/>
          <w:sz w:val="32"/>
          <w:szCs w:val="32"/>
          <w:woUserID w:val="1"/>
        </w:rPr>
        <w:t>27</w:t>
      </w:r>
      <w:r>
        <w:rPr>
          <w:rFonts w:hint="eastAsia" w:ascii="黑体" w:eastAsia="黑体"/>
          <w:b w:val="0"/>
          <w:color w:val="auto"/>
          <w:sz w:val="32"/>
          <w:szCs w:val="32"/>
        </w:rPr>
        <w:t>日</w:t>
      </w:r>
    </w:p>
    <w:p w14:paraId="0B3E3FF7">
      <w:pPr>
        <w:pStyle w:val="145"/>
        <w:widowControl w:val="0"/>
        <w:snapToGrid w:val="0"/>
        <w:spacing w:line="442" w:lineRule="atLeast"/>
        <w:ind w:right="-176" w:rightChars="-84" w:firstLine="0"/>
        <w:jc w:val="center"/>
        <w:rPr>
          <w:rFonts w:ascii="宋体"/>
          <w:color w:val="auto"/>
          <w:sz w:val="32"/>
        </w:rPr>
        <w:sectPr>
          <w:headerReference r:id="rId3" w:type="default"/>
          <w:footerReference r:id="rId4" w:type="even"/>
          <w:pgSz w:w="11906" w:h="16838"/>
          <w:pgMar w:top="1134" w:right="1247" w:bottom="1247" w:left="1247" w:header="851" w:footer="992" w:gutter="0"/>
          <w:cols w:space="0" w:num="1"/>
          <w:rtlGutter w:val="0"/>
          <w:docGrid w:type="linesAndChars" w:linePitch="312" w:charSpace="0"/>
        </w:sectPr>
      </w:pPr>
    </w:p>
    <w:p w14:paraId="3C7476E1">
      <w:pPr>
        <w:pStyle w:val="145"/>
        <w:widowControl w:val="0"/>
        <w:snapToGrid w:val="0"/>
        <w:spacing w:line="442" w:lineRule="atLeast"/>
        <w:ind w:right="-176" w:rightChars="-84" w:firstLine="0"/>
        <w:jc w:val="center"/>
        <w:outlineLvl w:val="0"/>
        <w:rPr>
          <w:rFonts w:ascii="宋体"/>
          <w:color w:val="auto"/>
          <w:sz w:val="36"/>
          <w:szCs w:val="36"/>
        </w:rPr>
      </w:pPr>
      <w:r>
        <w:rPr>
          <w:rFonts w:hint="eastAsia" w:ascii="宋体" w:hAnsi="宋体"/>
          <w:color w:val="auto"/>
          <w:sz w:val="36"/>
          <w:szCs w:val="36"/>
        </w:rPr>
        <w:t>目</w:t>
      </w:r>
      <w:r>
        <w:rPr>
          <w:rFonts w:ascii="宋体" w:hAnsi="宋体"/>
          <w:color w:val="auto"/>
          <w:sz w:val="36"/>
          <w:szCs w:val="36"/>
        </w:rPr>
        <w:t xml:space="preserve">  </w:t>
      </w:r>
      <w:r>
        <w:rPr>
          <w:rFonts w:hint="eastAsia" w:ascii="宋体" w:hAnsi="宋体"/>
          <w:color w:val="auto"/>
          <w:sz w:val="36"/>
          <w:szCs w:val="36"/>
        </w:rPr>
        <w:t>录</w:t>
      </w:r>
    </w:p>
    <w:p w14:paraId="27D10775">
      <w:pPr>
        <w:pStyle w:val="34"/>
        <w:tabs>
          <w:tab w:val="right" w:leader="dot" w:pos="9413"/>
        </w:tabs>
        <w:rPr>
          <w:color w:val="auto"/>
          <w:sz w:val="24"/>
          <w:szCs w:val="24"/>
        </w:rPr>
      </w:pPr>
      <w:r>
        <w:rPr>
          <w:color w:val="auto"/>
          <w:sz w:val="24"/>
          <w:szCs w:val="24"/>
        </w:rPr>
        <w:fldChar w:fldCharType="begin"/>
      </w:r>
      <w:r>
        <w:rPr>
          <w:color w:val="auto"/>
          <w:sz w:val="24"/>
          <w:szCs w:val="24"/>
        </w:rPr>
        <w:instrText xml:space="preserve">TOC \o "1-3" \h</w:instrText>
      </w:r>
      <w:r>
        <w:rPr>
          <w:color w:val="auto"/>
          <w:sz w:val="24"/>
          <w:szCs w:val="24"/>
        </w:rPr>
        <w:fldChar w:fldCharType="separate"/>
      </w:r>
      <w:r>
        <w:rPr>
          <w:b/>
          <w:bCs/>
          <w:color w:val="auto"/>
          <w:sz w:val="24"/>
          <w:szCs w:val="24"/>
        </w:rPr>
        <w:fldChar w:fldCharType="begin"/>
      </w:r>
      <w:r>
        <w:rPr>
          <w:b/>
          <w:bCs/>
          <w:color w:val="auto"/>
          <w:sz w:val="24"/>
          <w:szCs w:val="24"/>
        </w:rPr>
        <w:instrText xml:space="preserve"> HYPERLINK \l _Toc14145 </w:instrText>
      </w:r>
      <w:r>
        <w:rPr>
          <w:b/>
          <w:bCs/>
          <w:color w:val="auto"/>
          <w:sz w:val="24"/>
          <w:szCs w:val="24"/>
        </w:rPr>
        <w:fldChar w:fldCharType="separate"/>
      </w:r>
      <w:r>
        <w:rPr>
          <w:rFonts w:hint="eastAsia"/>
          <w:b/>
          <w:bCs/>
          <w:color w:val="auto"/>
          <w:sz w:val="24"/>
          <w:szCs w:val="24"/>
        </w:rPr>
        <w:t>第一部分</w:t>
      </w:r>
      <w:r>
        <w:rPr>
          <w:b/>
          <w:bCs/>
          <w:color w:val="auto"/>
          <w:sz w:val="24"/>
          <w:szCs w:val="24"/>
        </w:rPr>
        <w:t xml:space="preserve"> </w:t>
      </w:r>
      <w:r>
        <w:rPr>
          <w:rFonts w:hint="eastAsia"/>
          <w:b/>
          <w:bCs/>
          <w:color w:val="auto"/>
          <w:sz w:val="24"/>
          <w:szCs w:val="24"/>
        </w:rPr>
        <w:t>竞争性磋商公告</w:t>
      </w:r>
      <w:r>
        <w:rPr>
          <w:b w:val="0"/>
          <w:bCs w:val="0"/>
          <w:color w:val="auto"/>
          <w:sz w:val="24"/>
          <w:szCs w:val="24"/>
        </w:rPr>
        <w:tab/>
      </w:r>
      <w:r>
        <w:rPr>
          <w:b w:val="0"/>
          <w:bCs w:val="0"/>
          <w:color w:val="auto"/>
          <w:sz w:val="24"/>
          <w:szCs w:val="24"/>
        </w:rPr>
        <w:fldChar w:fldCharType="begin"/>
      </w:r>
      <w:r>
        <w:rPr>
          <w:b w:val="0"/>
          <w:bCs w:val="0"/>
          <w:color w:val="auto"/>
          <w:sz w:val="24"/>
          <w:szCs w:val="24"/>
        </w:rPr>
        <w:instrText xml:space="preserve"> PAGEREF _Toc14145 </w:instrText>
      </w:r>
      <w:r>
        <w:rPr>
          <w:b w:val="0"/>
          <w:bCs w:val="0"/>
          <w:color w:val="auto"/>
          <w:sz w:val="24"/>
          <w:szCs w:val="24"/>
        </w:rPr>
        <w:fldChar w:fldCharType="separate"/>
      </w:r>
      <w:r>
        <w:rPr>
          <w:b w:val="0"/>
          <w:bCs w:val="0"/>
          <w:color w:val="auto"/>
          <w:sz w:val="24"/>
          <w:szCs w:val="24"/>
        </w:rPr>
        <w:t>3</w:t>
      </w:r>
      <w:r>
        <w:rPr>
          <w:b w:val="0"/>
          <w:bCs w:val="0"/>
          <w:color w:val="auto"/>
          <w:sz w:val="24"/>
          <w:szCs w:val="24"/>
        </w:rPr>
        <w:fldChar w:fldCharType="end"/>
      </w:r>
      <w:r>
        <w:rPr>
          <w:b/>
          <w:bCs/>
          <w:color w:val="auto"/>
          <w:sz w:val="24"/>
          <w:szCs w:val="24"/>
        </w:rPr>
        <w:fldChar w:fldCharType="end"/>
      </w:r>
    </w:p>
    <w:p w14:paraId="1933BD6B">
      <w:pPr>
        <w:pStyle w:val="34"/>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_Toc20197 </w:instrText>
      </w:r>
      <w:r>
        <w:rPr>
          <w:color w:val="auto"/>
          <w:sz w:val="24"/>
          <w:szCs w:val="24"/>
        </w:rPr>
        <w:fldChar w:fldCharType="separate"/>
      </w:r>
      <w:r>
        <w:rPr>
          <w:rFonts w:hint="eastAsia"/>
          <w:b/>
          <w:bCs/>
          <w:color w:val="auto"/>
          <w:sz w:val="24"/>
          <w:szCs w:val="24"/>
          <w:lang w:val="en-US" w:eastAsia="zh-CN"/>
        </w:rPr>
        <w:t>第二部分 响应方须知</w:t>
      </w:r>
      <w:r>
        <w:rPr>
          <w:color w:val="auto"/>
          <w:sz w:val="24"/>
          <w:szCs w:val="24"/>
        </w:rPr>
        <w:tab/>
      </w:r>
      <w:r>
        <w:rPr>
          <w:color w:val="auto"/>
          <w:sz w:val="24"/>
          <w:szCs w:val="24"/>
        </w:rPr>
        <w:fldChar w:fldCharType="begin"/>
      </w:r>
      <w:r>
        <w:rPr>
          <w:color w:val="auto"/>
          <w:sz w:val="24"/>
          <w:szCs w:val="24"/>
        </w:rPr>
        <w:instrText xml:space="preserve"> PAGEREF _Toc20197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170AC9ED">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_Toc22323 </w:instrText>
      </w:r>
      <w:r>
        <w:rPr>
          <w:color w:val="auto"/>
          <w:sz w:val="24"/>
          <w:szCs w:val="24"/>
        </w:rPr>
        <w:fldChar w:fldCharType="separate"/>
      </w:r>
      <w:r>
        <w:rPr>
          <w:rFonts w:hint="eastAsia" w:ascii="楷体" w:hAnsi="楷体" w:eastAsia="楷体" w:cs="楷体"/>
          <w:snapToGrid w:val="0"/>
          <w:color w:val="auto"/>
          <w:kern w:val="44"/>
          <w:sz w:val="24"/>
          <w:szCs w:val="24"/>
        </w:rPr>
        <w:t>前附表</w:t>
      </w:r>
      <w:r>
        <w:rPr>
          <w:color w:val="auto"/>
          <w:sz w:val="24"/>
          <w:szCs w:val="24"/>
        </w:rPr>
        <w:tab/>
      </w:r>
      <w:r>
        <w:rPr>
          <w:color w:val="auto"/>
          <w:sz w:val="24"/>
          <w:szCs w:val="24"/>
        </w:rPr>
        <w:fldChar w:fldCharType="begin"/>
      </w:r>
      <w:r>
        <w:rPr>
          <w:color w:val="auto"/>
          <w:sz w:val="24"/>
          <w:szCs w:val="24"/>
        </w:rPr>
        <w:instrText xml:space="preserve"> PAGEREF _Toc22323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3686EBF2">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_Toc28551 </w:instrText>
      </w:r>
      <w:r>
        <w:rPr>
          <w:color w:val="auto"/>
          <w:sz w:val="24"/>
          <w:szCs w:val="24"/>
        </w:rPr>
        <w:fldChar w:fldCharType="separate"/>
      </w:r>
      <w:r>
        <w:rPr>
          <w:rFonts w:hint="eastAsia" w:ascii="楷体" w:hAnsi="楷体" w:eastAsia="楷体" w:cs="楷体"/>
          <w:snapToGrid w:val="0"/>
          <w:color w:val="auto"/>
          <w:kern w:val="44"/>
          <w:sz w:val="24"/>
          <w:szCs w:val="24"/>
        </w:rPr>
        <w:t>一、磋商说明</w:t>
      </w:r>
      <w:r>
        <w:rPr>
          <w:color w:val="auto"/>
          <w:sz w:val="24"/>
          <w:szCs w:val="24"/>
        </w:rPr>
        <w:tab/>
      </w:r>
      <w:r>
        <w:rPr>
          <w:color w:val="auto"/>
          <w:sz w:val="24"/>
          <w:szCs w:val="24"/>
        </w:rPr>
        <w:fldChar w:fldCharType="begin"/>
      </w:r>
      <w:r>
        <w:rPr>
          <w:color w:val="auto"/>
          <w:sz w:val="24"/>
          <w:szCs w:val="24"/>
        </w:rPr>
        <w:instrText xml:space="preserve"> PAGEREF _Toc28551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4366B5BF">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_Toc30206 </w:instrText>
      </w:r>
      <w:r>
        <w:rPr>
          <w:color w:val="auto"/>
          <w:sz w:val="24"/>
          <w:szCs w:val="24"/>
        </w:rPr>
        <w:fldChar w:fldCharType="separate"/>
      </w:r>
      <w:r>
        <w:rPr>
          <w:rFonts w:hint="eastAsia" w:ascii="楷体" w:hAnsi="楷体" w:eastAsia="楷体" w:cs="楷体"/>
          <w:snapToGrid w:val="0"/>
          <w:color w:val="auto"/>
          <w:kern w:val="44"/>
          <w:sz w:val="24"/>
          <w:szCs w:val="24"/>
        </w:rPr>
        <w:t>二、磋商文件</w:t>
      </w:r>
      <w:r>
        <w:rPr>
          <w:color w:val="auto"/>
          <w:sz w:val="24"/>
          <w:szCs w:val="24"/>
        </w:rPr>
        <w:tab/>
      </w:r>
      <w:r>
        <w:rPr>
          <w:color w:val="auto"/>
          <w:sz w:val="24"/>
          <w:szCs w:val="24"/>
        </w:rPr>
        <w:fldChar w:fldCharType="begin"/>
      </w:r>
      <w:r>
        <w:rPr>
          <w:color w:val="auto"/>
          <w:sz w:val="24"/>
          <w:szCs w:val="24"/>
        </w:rPr>
        <w:instrText xml:space="preserve"> PAGEREF _Toc30206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6AA0ABB7">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_Toc2738 </w:instrText>
      </w:r>
      <w:r>
        <w:rPr>
          <w:color w:val="auto"/>
          <w:sz w:val="24"/>
          <w:szCs w:val="24"/>
        </w:rPr>
        <w:fldChar w:fldCharType="separate"/>
      </w:r>
      <w:r>
        <w:rPr>
          <w:rFonts w:hint="eastAsia" w:ascii="楷体" w:hAnsi="楷体" w:eastAsia="楷体" w:cs="楷体"/>
          <w:snapToGrid w:val="0"/>
          <w:color w:val="auto"/>
          <w:kern w:val="44"/>
          <w:sz w:val="24"/>
          <w:szCs w:val="24"/>
        </w:rPr>
        <w:t>三、响应文件的编制</w:t>
      </w:r>
      <w:r>
        <w:rPr>
          <w:color w:val="auto"/>
          <w:sz w:val="24"/>
          <w:szCs w:val="24"/>
        </w:rPr>
        <w:tab/>
      </w:r>
      <w:r>
        <w:rPr>
          <w:color w:val="auto"/>
          <w:sz w:val="24"/>
          <w:szCs w:val="24"/>
        </w:rPr>
        <w:fldChar w:fldCharType="begin"/>
      </w:r>
      <w:r>
        <w:rPr>
          <w:color w:val="auto"/>
          <w:sz w:val="24"/>
          <w:szCs w:val="24"/>
        </w:rPr>
        <w:instrText xml:space="preserve"> PAGEREF _Toc2738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ABAC457">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_Toc20735 </w:instrText>
      </w:r>
      <w:r>
        <w:rPr>
          <w:color w:val="auto"/>
          <w:sz w:val="24"/>
          <w:szCs w:val="24"/>
        </w:rPr>
        <w:fldChar w:fldCharType="separate"/>
      </w:r>
      <w:r>
        <w:rPr>
          <w:rFonts w:hint="eastAsia" w:ascii="楷体" w:hAnsi="楷体" w:eastAsia="楷体" w:cs="楷体"/>
          <w:snapToGrid w:val="0"/>
          <w:color w:val="auto"/>
          <w:kern w:val="44"/>
          <w:sz w:val="24"/>
          <w:szCs w:val="24"/>
        </w:rPr>
        <w:t>四、响应无效的情形</w:t>
      </w:r>
      <w:r>
        <w:rPr>
          <w:color w:val="auto"/>
          <w:sz w:val="24"/>
          <w:szCs w:val="24"/>
        </w:rPr>
        <w:tab/>
      </w:r>
      <w:r>
        <w:rPr>
          <w:color w:val="auto"/>
          <w:sz w:val="24"/>
          <w:szCs w:val="24"/>
        </w:rPr>
        <w:fldChar w:fldCharType="begin"/>
      </w:r>
      <w:r>
        <w:rPr>
          <w:color w:val="auto"/>
          <w:sz w:val="24"/>
          <w:szCs w:val="24"/>
        </w:rPr>
        <w:instrText xml:space="preserve"> PAGEREF _Toc20735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73AF67C">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_Toc15051 </w:instrText>
      </w:r>
      <w:r>
        <w:rPr>
          <w:color w:val="auto"/>
          <w:sz w:val="24"/>
          <w:szCs w:val="24"/>
        </w:rPr>
        <w:fldChar w:fldCharType="separate"/>
      </w:r>
      <w:r>
        <w:rPr>
          <w:rFonts w:hint="eastAsia" w:ascii="楷体" w:hAnsi="楷体" w:eastAsia="楷体" w:cs="楷体"/>
          <w:snapToGrid w:val="0"/>
          <w:color w:val="auto"/>
          <w:kern w:val="44"/>
          <w:sz w:val="24"/>
          <w:szCs w:val="24"/>
        </w:rPr>
        <w:t>五、开启响应文件</w:t>
      </w:r>
      <w:r>
        <w:rPr>
          <w:color w:val="auto"/>
          <w:sz w:val="24"/>
          <w:szCs w:val="24"/>
        </w:rPr>
        <w:tab/>
      </w:r>
      <w:r>
        <w:rPr>
          <w:color w:val="auto"/>
          <w:sz w:val="24"/>
          <w:szCs w:val="24"/>
        </w:rPr>
        <w:fldChar w:fldCharType="begin"/>
      </w:r>
      <w:r>
        <w:rPr>
          <w:color w:val="auto"/>
          <w:sz w:val="24"/>
          <w:szCs w:val="24"/>
        </w:rPr>
        <w:instrText xml:space="preserve"> PAGEREF _Toc15051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2DF58296">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_Toc10624 </w:instrText>
      </w:r>
      <w:r>
        <w:rPr>
          <w:color w:val="auto"/>
          <w:sz w:val="24"/>
          <w:szCs w:val="24"/>
        </w:rPr>
        <w:fldChar w:fldCharType="separate"/>
      </w:r>
      <w:r>
        <w:rPr>
          <w:rFonts w:hint="eastAsia" w:ascii="楷体" w:hAnsi="楷体" w:eastAsia="楷体" w:cs="楷体"/>
          <w:snapToGrid w:val="0"/>
          <w:color w:val="auto"/>
          <w:kern w:val="44"/>
          <w:sz w:val="24"/>
          <w:szCs w:val="24"/>
        </w:rPr>
        <w:t>六、评审和磋商</w:t>
      </w:r>
      <w:r>
        <w:rPr>
          <w:color w:val="auto"/>
          <w:sz w:val="24"/>
          <w:szCs w:val="24"/>
        </w:rPr>
        <w:tab/>
      </w:r>
      <w:r>
        <w:rPr>
          <w:color w:val="auto"/>
          <w:sz w:val="24"/>
          <w:szCs w:val="24"/>
        </w:rPr>
        <w:fldChar w:fldCharType="begin"/>
      </w:r>
      <w:r>
        <w:rPr>
          <w:color w:val="auto"/>
          <w:sz w:val="24"/>
          <w:szCs w:val="24"/>
        </w:rPr>
        <w:instrText xml:space="preserve"> PAGEREF _Toc10624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303BB20C">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_Toc29322 </w:instrText>
      </w:r>
      <w:r>
        <w:rPr>
          <w:color w:val="auto"/>
          <w:sz w:val="24"/>
          <w:szCs w:val="24"/>
        </w:rPr>
        <w:fldChar w:fldCharType="separate"/>
      </w:r>
      <w:r>
        <w:rPr>
          <w:rFonts w:hint="eastAsia" w:ascii="楷体" w:hAnsi="楷体" w:eastAsia="楷体" w:cs="楷体"/>
          <w:snapToGrid w:val="0"/>
          <w:color w:val="auto"/>
          <w:kern w:val="44"/>
          <w:sz w:val="24"/>
          <w:szCs w:val="24"/>
        </w:rPr>
        <w:t>七、合同授予</w:t>
      </w:r>
      <w:r>
        <w:rPr>
          <w:color w:val="auto"/>
          <w:sz w:val="24"/>
          <w:szCs w:val="24"/>
        </w:rPr>
        <w:tab/>
      </w:r>
      <w:r>
        <w:rPr>
          <w:color w:val="auto"/>
          <w:sz w:val="24"/>
          <w:szCs w:val="24"/>
        </w:rPr>
        <w:fldChar w:fldCharType="begin"/>
      </w:r>
      <w:r>
        <w:rPr>
          <w:color w:val="auto"/>
          <w:sz w:val="24"/>
          <w:szCs w:val="24"/>
        </w:rPr>
        <w:instrText xml:space="preserve"> PAGEREF _Toc29322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46F1FD65">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_Toc19360 </w:instrText>
      </w:r>
      <w:r>
        <w:rPr>
          <w:color w:val="auto"/>
          <w:sz w:val="24"/>
          <w:szCs w:val="24"/>
        </w:rPr>
        <w:fldChar w:fldCharType="separate"/>
      </w:r>
      <w:r>
        <w:rPr>
          <w:rFonts w:hint="eastAsia" w:ascii="楷体" w:hAnsi="楷体" w:eastAsia="楷体" w:cs="楷体"/>
          <w:snapToGrid w:val="0"/>
          <w:color w:val="auto"/>
          <w:kern w:val="44"/>
          <w:sz w:val="24"/>
          <w:szCs w:val="24"/>
          <w:lang w:val="en-US" w:eastAsia="zh-CN"/>
        </w:rPr>
        <w:t>八</w:t>
      </w:r>
      <w:r>
        <w:rPr>
          <w:rFonts w:hint="eastAsia" w:ascii="楷体" w:hAnsi="楷体" w:eastAsia="楷体" w:cs="楷体"/>
          <w:snapToGrid w:val="0"/>
          <w:color w:val="auto"/>
          <w:kern w:val="44"/>
          <w:sz w:val="24"/>
          <w:szCs w:val="24"/>
        </w:rPr>
        <w:t>、可中止电子交易活动的情形</w:t>
      </w:r>
      <w:r>
        <w:rPr>
          <w:color w:val="auto"/>
          <w:sz w:val="24"/>
          <w:szCs w:val="24"/>
        </w:rPr>
        <w:tab/>
      </w:r>
      <w:r>
        <w:rPr>
          <w:color w:val="auto"/>
          <w:sz w:val="24"/>
          <w:szCs w:val="24"/>
        </w:rPr>
        <w:fldChar w:fldCharType="begin"/>
      </w:r>
      <w:r>
        <w:rPr>
          <w:color w:val="auto"/>
          <w:sz w:val="24"/>
          <w:szCs w:val="24"/>
        </w:rPr>
        <w:instrText xml:space="preserve"> PAGEREF _Toc19360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6A0167EE">
      <w:pPr>
        <w:pStyle w:val="34"/>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_Toc2224 </w:instrText>
      </w:r>
      <w:r>
        <w:rPr>
          <w:color w:val="auto"/>
          <w:sz w:val="24"/>
          <w:szCs w:val="24"/>
        </w:rPr>
        <w:fldChar w:fldCharType="separate"/>
      </w:r>
      <w:r>
        <w:rPr>
          <w:rFonts w:hint="eastAsia"/>
          <w:b/>
          <w:bCs/>
          <w:color w:val="auto"/>
          <w:sz w:val="24"/>
          <w:szCs w:val="24"/>
          <w:lang w:val="en-US" w:eastAsia="zh-CN"/>
        </w:rPr>
        <w:t>第三部分 采购需求</w:t>
      </w:r>
      <w:r>
        <w:rPr>
          <w:color w:val="auto"/>
          <w:sz w:val="24"/>
          <w:szCs w:val="24"/>
        </w:rPr>
        <w:tab/>
      </w:r>
      <w:r>
        <w:rPr>
          <w:color w:val="auto"/>
          <w:sz w:val="24"/>
          <w:szCs w:val="24"/>
        </w:rPr>
        <w:fldChar w:fldCharType="begin"/>
      </w:r>
      <w:r>
        <w:rPr>
          <w:color w:val="auto"/>
          <w:sz w:val="24"/>
          <w:szCs w:val="24"/>
        </w:rPr>
        <w:instrText xml:space="preserve"> PAGEREF _Toc2224 </w:instrText>
      </w:r>
      <w:r>
        <w:rPr>
          <w:color w:val="auto"/>
          <w:sz w:val="24"/>
          <w:szCs w:val="24"/>
        </w:rPr>
        <w:fldChar w:fldCharType="separate"/>
      </w:r>
      <w:r>
        <w:rPr>
          <w:color w:val="auto"/>
          <w:sz w:val="24"/>
          <w:szCs w:val="24"/>
        </w:rPr>
        <w:t>15</w:t>
      </w:r>
      <w:r>
        <w:rPr>
          <w:color w:val="auto"/>
          <w:sz w:val="24"/>
          <w:szCs w:val="24"/>
        </w:rPr>
        <w:fldChar w:fldCharType="end"/>
      </w:r>
      <w:r>
        <w:rPr>
          <w:color w:val="auto"/>
          <w:sz w:val="24"/>
          <w:szCs w:val="24"/>
        </w:rPr>
        <w:fldChar w:fldCharType="end"/>
      </w:r>
    </w:p>
    <w:p w14:paraId="0CD6119D">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_Toc2487 </w:instrText>
      </w:r>
      <w:r>
        <w:rPr>
          <w:color w:val="auto"/>
          <w:sz w:val="24"/>
          <w:szCs w:val="24"/>
        </w:rPr>
        <w:fldChar w:fldCharType="separate"/>
      </w:r>
      <w:r>
        <w:rPr>
          <w:rFonts w:hint="eastAsia"/>
          <w:color w:val="auto"/>
          <w:sz w:val="24"/>
          <w:szCs w:val="24"/>
        </w:rPr>
        <w:t>一、服务内容和详细要求</w:t>
      </w:r>
      <w:r>
        <w:rPr>
          <w:color w:val="auto"/>
          <w:sz w:val="24"/>
          <w:szCs w:val="24"/>
        </w:rPr>
        <w:tab/>
      </w:r>
      <w:r>
        <w:rPr>
          <w:color w:val="auto"/>
          <w:sz w:val="24"/>
          <w:szCs w:val="24"/>
        </w:rPr>
        <w:fldChar w:fldCharType="begin"/>
      </w:r>
      <w:r>
        <w:rPr>
          <w:color w:val="auto"/>
          <w:sz w:val="24"/>
          <w:szCs w:val="24"/>
        </w:rPr>
        <w:instrText xml:space="preserve"> PAGEREF _Toc2487 </w:instrText>
      </w:r>
      <w:r>
        <w:rPr>
          <w:color w:val="auto"/>
          <w:sz w:val="24"/>
          <w:szCs w:val="24"/>
        </w:rPr>
        <w:fldChar w:fldCharType="separate"/>
      </w:r>
      <w:r>
        <w:rPr>
          <w:color w:val="auto"/>
          <w:sz w:val="24"/>
          <w:szCs w:val="24"/>
        </w:rPr>
        <w:t>15</w:t>
      </w:r>
      <w:r>
        <w:rPr>
          <w:color w:val="auto"/>
          <w:sz w:val="24"/>
          <w:szCs w:val="24"/>
        </w:rPr>
        <w:fldChar w:fldCharType="end"/>
      </w:r>
      <w:r>
        <w:rPr>
          <w:color w:val="auto"/>
          <w:sz w:val="24"/>
          <w:szCs w:val="24"/>
        </w:rPr>
        <w:fldChar w:fldCharType="end"/>
      </w:r>
    </w:p>
    <w:p w14:paraId="41861AE0">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_Toc27242 </w:instrText>
      </w:r>
      <w:r>
        <w:rPr>
          <w:color w:val="auto"/>
          <w:sz w:val="24"/>
          <w:szCs w:val="24"/>
        </w:rPr>
        <w:fldChar w:fldCharType="separate"/>
      </w:r>
      <w:r>
        <w:rPr>
          <w:rFonts w:hint="eastAsia"/>
          <w:color w:val="auto"/>
          <w:sz w:val="24"/>
          <w:szCs w:val="24"/>
        </w:rPr>
        <w:t>二、商务要求</w:t>
      </w:r>
      <w:r>
        <w:rPr>
          <w:color w:val="auto"/>
          <w:sz w:val="24"/>
          <w:szCs w:val="24"/>
        </w:rPr>
        <w:tab/>
      </w:r>
      <w:r>
        <w:rPr>
          <w:color w:val="auto"/>
          <w:sz w:val="24"/>
          <w:szCs w:val="24"/>
        </w:rPr>
        <w:fldChar w:fldCharType="begin"/>
      </w:r>
      <w:r>
        <w:rPr>
          <w:color w:val="auto"/>
          <w:sz w:val="24"/>
          <w:szCs w:val="24"/>
        </w:rPr>
        <w:instrText xml:space="preserve"> PAGEREF _Toc27242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10266CEB">
      <w:pPr>
        <w:pStyle w:val="34"/>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_Toc14252 </w:instrText>
      </w:r>
      <w:r>
        <w:rPr>
          <w:color w:val="auto"/>
          <w:sz w:val="24"/>
          <w:szCs w:val="24"/>
        </w:rPr>
        <w:fldChar w:fldCharType="separate"/>
      </w:r>
      <w:r>
        <w:rPr>
          <w:rFonts w:hint="eastAsia"/>
          <w:b/>
          <w:bCs/>
          <w:i w:val="0"/>
          <w:iCs w:val="0"/>
          <w:color w:val="auto"/>
          <w:sz w:val="24"/>
          <w:szCs w:val="24"/>
        </w:rPr>
        <w:t>第四部分 评审办法与评分标准</w:t>
      </w:r>
      <w:r>
        <w:rPr>
          <w:color w:val="auto"/>
          <w:sz w:val="24"/>
          <w:szCs w:val="24"/>
        </w:rPr>
        <w:tab/>
      </w:r>
      <w:r>
        <w:rPr>
          <w:color w:val="auto"/>
          <w:sz w:val="24"/>
          <w:szCs w:val="24"/>
        </w:rPr>
        <w:fldChar w:fldCharType="begin"/>
      </w:r>
      <w:r>
        <w:rPr>
          <w:color w:val="auto"/>
          <w:sz w:val="24"/>
          <w:szCs w:val="24"/>
        </w:rPr>
        <w:instrText xml:space="preserve"> PAGEREF _Toc14252 </w:instrText>
      </w:r>
      <w:r>
        <w:rPr>
          <w:color w:val="auto"/>
          <w:sz w:val="24"/>
          <w:szCs w:val="24"/>
        </w:rPr>
        <w:fldChar w:fldCharType="separate"/>
      </w:r>
      <w:r>
        <w:rPr>
          <w:color w:val="auto"/>
          <w:sz w:val="24"/>
          <w:szCs w:val="24"/>
        </w:rPr>
        <w:t>17</w:t>
      </w:r>
      <w:r>
        <w:rPr>
          <w:color w:val="auto"/>
          <w:sz w:val="24"/>
          <w:szCs w:val="24"/>
        </w:rPr>
        <w:fldChar w:fldCharType="end"/>
      </w:r>
      <w:r>
        <w:rPr>
          <w:color w:val="auto"/>
          <w:sz w:val="24"/>
          <w:szCs w:val="24"/>
        </w:rPr>
        <w:fldChar w:fldCharType="end"/>
      </w:r>
    </w:p>
    <w:p w14:paraId="78A455C3">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_Toc29126 </w:instrText>
      </w:r>
      <w:r>
        <w:rPr>
          <w:color w:val="auto"/>
          <w:sz w:val="24"/>
          <w:szCs w:val="24"/>
        </w:rPr>
        <w:fldChar w:fldCharType="separate"/>
      </w:r>
      <w:r>
        <w:rPr>
          <w:rFonts w:hint="eastAsia"/>
          <w:color w:val="auto"/>
          <w:sz w:val="24"/>
          <w:szCs w:val="24"/>
        </w:rPr>
        <w:t>一、评审方法</w:t>
      </w:r>
      <w:r>
        <w:rPr>
          <w:color w:val="auto"/>
          <w:sz w:val="24"/>
          <w:szCs w:val="24"/>
        </w:rPr>
        <w:tab/>
      </w:r>
      <w:r>
        <w:rPr>
          <w:color w:val="auto"/>
          <w:sz w:val="24"/>
          <w:szCs w:val="24"/>
        </w:rPr>
        <w:fldChar w:fldCharType="begin"/>
      </w:r>
      <w:r>
        <w:rPr>
          <w:color w:val="auto"/>
          <w:sz w:val="24"/>
          <w:szCs w:val="24"/>
        </w:rPr>
        <w:instrText xml:space="preserve"> PAGEREF _Toc29126 </w:instrText>
      </w:r>
      <w:r>
        <w:rPr>
          <w:color w:val="auto"/>
          <w:sz w:val="24"/>
          <w:szCs w:val="24"/>
        </w:rPr>
        <w:fldChar w:fldCharType="separate"/>
      </w:r>
      <w:r>
        <w:rPr>
          <w:color w:val="auto"/>
          <w:sz w:val="24"/>
          <w:szCs w:val="24"/>
        </w:rPr>
        <w:t>17</w:t>
      </w:r>
      <w:r>
        <w:rPr>
          <w:color w:val="auto"/>
          <w:sz w:val="24"/>
          <w:szCs w:val="24"/>
        </w:rPr>
        <w:fldChar w:fldCharType="end"/>
      </w:r>
      <w:r>
        <w:rPr>
          <w:color w:val="auto"/>
          <w:sz w:val="24"/>
          <w:szCs w:val="24"/>
        </w:rPr>
        <w:fldChar w:fldCharType="end"/>
      </w:r>
    </w:p>
    <w:p w14:paraId="0B172DEE">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_Toc19981 </w:instrText>
      </w:r>
      <w:r>
        <w:rPr>
          <w:color w:val="auto"/>
          <w:sz w:val="24"/>
          <w:szCs w:val="24"/>
        </w:rPr>
        <w:fldChar w:fldCharType="separate"/>
      </w:r>
      <w:r>
        <w:rPr>
          <w:rFonts w:hint="eastAsia"/>
          <w:bCs/>
          <w:color w:val="auto"/>
          <w:sz w:val="24"/>
          <w:szCs w:val="24"/>
        </w:rPr>
        <w:t>二、评审标准</w:t>
      </w:r>
      <w:r>
        <w:rPr>
          <w:color w:val="auto"/>
          <w:sz w:val="24"/>
          <w:szCs w:val="24"/>
        </w:rPr>
        <w:tab/>
      </w:r>
      <w:r>
        <w:rPr>
          <w:color w:val="auto"/>
          <w:sz w:val="24"/>
          <w:szCs w:val="24"/>
        </w:rPr>
        <w:fldChar w:fldCharType="begin"/>
      </w:r>
      <w:r>
        <w:rPr>
          <w:color w:val="auto"/>
          <w:sz w:val="24"/>
          <w:szCs w:val="24"/>
        </w:rPr>
        <w:instrText xml:space="preserve"> PAGEREF _Toc19981 </w:instrText>
      </w:r>
      <w:r>
        <w:rPr>
          <w:color w:val="auto"/>
          <w:sz w:val="24"/>
          <w:szCs w:val="24"/>
        </w:rPr>
        <w:fldChar w:fldCharType="separate"/>
      </w:r>
      <w:r>
        <w:rPr>
          <w:color w:val="auto"/>
          <w:sz w:val="24"/>
          <w:szCs w:val="24"/>
        </w:rPr>
        <w:t>17</w:t>
      </w:r>
      <w:r>
        <w:rPr>
          <w:color w:val="auto"/>
          <w:sz w:val="24"/>
          <w:szCs w:val="24"/>
        </w:rPr>
        <w:fldChar w:fldCharType="end"/>
      </w:r>
      <w:r>
        <w:rPr>
          <w:color w:val="auto"/>
          <w:sz w:val="24"/>
          <w:szCs w:val="24"/>
        </w:rPr>
        <w:fldChar w:fldCharType="end"/>
      </w:r>
    </w:p>
    <w:p w14:paraId="037D2CF9">
      <w:pPr>
        <w:pStyle w:val="34"/>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_Toc2280 </w:instrText>
      </w:r>
      <w:r>
        <w:rPr>
          <w:color w:val="auto"/>
          <w:sz w:val="24"/>
          <w:szCs w:val="24"/>
        </w:rPr>
        <w:fldChar w:fldCharType="separate"/>
      </w:r>
      <w:r>
        <w:rPr>
          <w:rFonts w:hint="eastAsia"/>
          <w:b/>
          <w:bCs/>
          <w:color w:val="auto"/>
          <w:sz w:val="24"/>
          <w:szCs w:val="24"/>
        </w:rPr>
        <w:t>第五部分 合同基本条款</w:t>
      </w:r>
      <w:r>
        <w:rPr>
          <w:color w:val="auto"/>
          <w:sz w:val="24"/>
          <w:szCs w:val="24"/>
        </w:rPr>
        <w:tab/>
      </w:r>
      <w:r>
        <w:rPr>
          <w:color w:val="auto"/>
          <w:sz w:val="24"/>
          <w:szCs w:val="24"/>
        </w:rPr>
        <w:fldChar w:fldCharType="begin"/>
      </w:r>
      <w:r>
        <w:rPr>
          <w:color w:val="auto"/>
          <w:sz w:val="24"/>
          <w:szCs w:val="24"/>
        </w:rPr>
        <w:instrText xml:space="preserve"> PAGEREF _Toc2280 </w:instrText>
      </w:r>
      <w:r>
        <w:rPr>
          <w:color w:val="auto"/>
          <w:sz w:val="24"/>
          <w:szCs w:val="24"/>
        </w:rPr>
        <w:fldChar w:fldCharType="separate"/>
      </w:r>
      <w:r>
        <w:rPr>
          <w:color w:val="auto"/>
          <w:sz w:val="24"/>
          <w:szCs w:val="24"/>
        </w:rPr>
        <w:t>19</w:t>
      </w:r>
      <w:r>
        <w:rPr>
          <w:color w:val="auto"/>
          <w:sz w:val="24"/>
          <w:szCs w:val="24"/>
        </w:rPr>
        <w:fldChar w:fldCharType="end"/>
      </w:r>
      <w:r>
        <w:rPr>
          <w:color w:val="auto"/>
          <w:sz w:val="24"/>
          <w:szCs w:val="24"/>
        </w:rPr>
        <w:fldChar w:fldCharType="end"/>
      </w:r>
    </w:p>
    <w:p w14:paraId="549DFF83">
      <w:pPr>
        <w:pStyle w:val="34"/>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_Toc23283 </w:instrText>
      </w:r>
      <w:r>
        <w:rPr>
          <w:color w:val="auto"/>
          <w:sz w:val="24"/>
          <w:szCs w:val="24"/>
        </w:rPr>
        <w:fldChar w:fldCharType="separate"/>
      </w:r>
      <w:r>
        <w:rPr>
          <w:rFonts w:hint="eastAsia"/>
          <w:b/>
          <w:bCs/>
          <w:color w:val="auto"/>
          <w:sz w:val="24"/>
          <w:szCs w:val="24"/>
        </w:rPr>
        <w:t>第六部分</w:t>
      </w:r>
      <w:r>
        <w:rPr>
          <w:b/>
          <w:bCs/>
          <w:color w:val="auto"/>
          <w:sz w:val="24"/>
          <w:szCs w:val="24"/>
        </w:rPr>
        <w:t xml:space="preserve"> </w:t>
      </w:r>
      <w:r>
        <w:rPr>
          <w:rFonts w:hint="eastAsia"/>
          <w:b/>
          <w:bCs/>
          <w:color w:val="auto"/>
          <w:sz w:val="24"/>
          <w:szCs w:val="24"/>
        </w:rPr>
        <w:t>响应文件格式</w:t>
      </w:r>
      <w:r>
        <w:rPr>
          <w:color w:val="auto"/>
          <w:sz w:val="24"/>
          <w:szCs w:val="24"/>
        </w:rPr>
        <w:tab/>
      </w:r>
      <w:r>
        <w:rPr>
          <w:color w:val="auto"/>
          <w:sz w:val="24"/>
          <w:szCs w:val="24"/>
        </w:rPr>
        <w:fldChar w:fldCharType="begin"/>
      </w:r>
      <w:r>
        <w:rPr>
          <w:color w:val="auto"/>
          <w:sz w:val="24"/>
          <w:szCs w:val="24"/>
        </w:rPr>
        <w:instrText xml:space="preserve"> PAGEREF _Toc23283 </w:instrText>
      </w:r>
      <w:r>
        <w:rPr>
          <w:color w:val="auto"/>
          <w:sz w:val="24"/>
          <w:szCs w:val="24"/>
        </w:rPr>
        <w:fldChar w:fldCharType="separate"/>
      </w:r>
      <w:r>
        <w:rPr>
          <w:color w:val="auto"/>
          <w:sz w:val="24"/>
          <w:szCs w:val="24"/>
        </w:rPr>
        <w:t>23</w:t>
      </w:r>
      <w:r>
        <w:rPr>
          <w:color w:val="auto"/>
          <w:sz w:val="24"/>
          <w:szCs w:val="24"/>
        </w:rPr>
        <w:fldChar w:fldCharType="end"/>
      </w:r>
      <w:r>
        <w:rPr>
          <w:color w:val="auto"/>
          <w:sz w:val="24"/>
          <w:szCs w:val="24"/>
        </w:rPr>
        <w:fldChar w:fldCharType="end"/>
      </w:r>
    </w:p>
    <w:p w14:paraId="4C794CB8">
      <w:pPr>
        <w:pStyle w:val="39"/>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_Toc18409 </w:instrText>
      </w:r>
      <w:r>
        <w:rPr>
          <w:color w:val="auto"/>
          <w:sz w:val="24"/>
          <w:szCs w:val="24"/>
        </w:rPr>
        <w:fldChar w:fldCharType="separate"/>
      </w:r>
      <w:r>
        <w:rPr>
          <w:rFonts w:hint="eastAsia"/>
          <w:b/>
          <w:bCs/>
          <w:color w:val="auto"/>
          <w:sz w:val="24"/>
          <w:szCs w:val="24"/>
          <w:lang w:val="en-US" w:eastAsia="zh-CN"/>
        </w:rPr>
        <w:t>资格文件</w:t>
      </w:r>
      <w:r>
        <w:rPr>
          <w:color w:val="auto"/>
          <w:sz w:val="24"/>
          <w:szCs w:val="24"/>
        </w:rPr>
        <w:tab/>
      </w:r>
      <w:r>
        <w:rPr>
          <w:color w:val="auto"/>
          <w:sz w:val="24"/>
          <w:szCs w:val="24"/>
        </w:rPr>
        <w:fldChar w:fldCharType="begin"/>
      </w:r>
      <w:r>
        <w:rPr>
          <w:color w:val="auto"/>
          <w:sz w:val="24"/>
          <w:szCs w:val="24"/>
        </w:rPr>
        <w:instrText xml:space="preserve"> PAGEREF _Toc18409 </w:instrText>
      </w:r>
      <w:r>
        <w:rPr>
          <w:color w:val="auto"/>
          <w:sz w:val="24"/>
          <w:szCs w:val="24"/>
        </w:rPr>
        <w:fldChar w:fldCharType="separate"/>
      </w:r>
      <w:r>
        <w:rPr>
          <w:color w:val="auto"/>
          <w:sz w:val="24"/>
          <w:szCs w:val="24"/>
        </w:rPr>
        <w:t>24</w:t>
      </w:r>
      <w:r>
        <w:rPr>
          <w:color w:val="auto"/>
          <w:sz w:val="24"/>
          <w:szCs w:val="24"/>
        </w:rPr>
        <w:fldChar w:fldCharType="end"/>
      </w:r>
      <w:r>
        <w:rPr>
          <w:color w:val="auto"/>
          <w:sz w:val="24"/>
          <w:szCs w:val="24"/>
        </w:rPr>
        <w:fldChar w:fldCharType="end"/>
      </w:r>
    </w:p>
    <w:p w14:paraId="0DB53699">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_Toc27253 </w:instrText>
      </w:r>
      <w:r>
        <w:rPr>
          <w:color w:val="auto"/>
          <w:sz w:val="24"/>
          <w:szCs w:val="24"/>
        </w:rPr>
        <w:fldChar w:fldCharType="separate"/>
      </w:r>
      <w:r>
        <w:rPr>
          <w:rFonts w:hint="eastAsia"/>
          <w:color w:val="auto"/>
          <w:sz w:val="24"/>
          <w:szCs w:val="24"/>
        </w:rPr>
        <w:t>1）有效的法人或者其他组织的营业执照等证明文件，自然人的身份证明</w:t>
      </w:r>
      <w:r>
        <w:rPr>
          <w:color w:val="auto"/>
          <w:sz w:val="24"/>
          <w:szCs w:val="24"/>
        </w:rPr>
        <w:tab/>
      </w:r>
      <w:r>
        <w:rPr>
          <w:color w:val="auto"/>
          <w:sz w:val="24"/>
          <w:szCs w:val="24"/>
        </w:rPr>
        <w:fldChar w:fldCharType="begin"/>
      </w:r>
      <w:r>
        <w:rPr>
          <w:color w:val="auto"/>
          <w:sz w:val="24"/>
          <w:szCs w:val="24"/>
        </w:rPr>
        <w:instrText xml:space="preserve"> PAGEREF _Toc27253 </w:instrText>
      </w:r>
      <w:r>
        <w:rPr>
          <w:color w:val="auto"/>
          <w:sz w:val="24"/>
          <w:szCs w:val="24"/>
        </w:rPr>
        <w:fldChar w:fldCharType="separate"/>
      </w:r>
      <w:r>
        <w:rPr>
          <w:color w:val="auto"/>
          <w:sz w:val="24"/>
          <w:szCs w:val="24"/>
        </w:rPr>
        <w:t>24</w:t>
      </w:r>
      <w:r>
        <w:rPr>
          <w:color w:val="auto"/>
          <w:sz w:val="24"/>
          <w:szCs w:val="24"/>
        </w:rPr>
        <w:fldChar w:fldCharType="end"/>
      </w:r>
      <w:r>
        <w:rPr>
          <w:color w:val="auto"/>
          <w:sz w:val="24"/>
          <w:szCs w:val="24"/>
        </w:rPr>
        <w:fldChar w:fldCharType="end"/>
      </w:r>
    </w:p>
    <w:p w14:paraId="19201673">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_Toc26293 </w:instrText>
      </w:r>
      <w:r>
        <w:rPr>
          <w:color w:val="auto"/>
          <w:sz w:val="24"/>
          <w:szCs w:val="24"/>
        </w:rPr>
        <w:fldChar w:fldCharType="separate"/>
      </w:r>
      <w:r>
        <w:rPr>
          <w:rFonts w:hint="eastAsia"/>
          <w:color w:val="auto"/>
          <w:sz w:val="24"/>
          <w:szCs w:val="24"/>
        </w:rPr>
        <w:t>2）资格条件承诺函</w:t>
      </w:r>
      <w:r>
        <w:rPr>
          <w:color w:val="auto"/>
          <w:sz w:val="24"/>
          <w:szCs w:val="24"/>
        </w:rPr>
        <w:tab/>
      </w:r>
      <w:r>
        <w:rPr>
          <w:color w:val="auto"/>
          <w:sz w:val="24"/>
          <w:szCs w:val="24"/>
        </w:rPr>
        <w:fldChar w:fldCharType="begin"/>
      </w:r>
      <w:r>
        <w:rPr>
          <w:color w:val="auto"/>
          <w:sz w:val="24"/>
          <w:szCs w:val="24"/>
        </w:rPr>
        <w:instrText xml:space="preserve"> PAGEREF _Toc26293 </w:instrText>
      </w:r>
      <w:r>
        <w:rPr>
          <w:color w:val="auto"/>
          <w:sz w:val="24"/>
          <w:szCs w:val="24"/>
        </w:rPr>
        <w:fldChar w:fldCharType="separate"/>
      </w:r>
      <w:r>
        <w:rPr>
          <w:color w:val="auto"/>
          <w:sz w:val="24"/>
          <w:szCs w:val="24"/>
        </w:rPr>
        <w:t>25</w:t>
      </w:r>
      <w:r>
        <w:rPr>
          <w:color w:val="auto"/>
          <w:sz w:val="24"/>
          <w:szCs w:val="24"/>
        </w:rPr>
        <w:fldChar w:fldCharType="end"/>
      </w:r>
      <w:r>
        <w:rPr>
          <w:color w:val="auto"/>
          <w:sz w:val="24"/>
          <w:szCs w:val="24"/>
        </w:rPr>
        <w:fldChar w:fldCharType="end"/>
      </w:r>
    </w:p>
    <w:p w14:paraId="26F8DEA4">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_Toc9133 </w:instrText>
      </w:r>
      <w:r>
        <w:rPr>
          <w:color w:val="auto"/>
          <w:sz w:val="24"/>
          <w:szCs w:val="24"/>
        </w:rPr>
        <w:fldChar w:fldCharType="separate"/>
      </w:r>
      <w:r>
        <w:rPr>
          <w:rFonts w:hint="eastAsia"/>
          <w:color w:val="auto"/>
          <w:sz w:val="24"/>
          <w:szCs w:val="24"/>
          <w:lang w:val="en-US" w:eastAsia="zh-CN"/>
        </w:rPr>
        <w:t>3）</w:t>
      </w:r>
      <w:r>
        <w:rPr>
          <w:rFonts w:hint="eastAsia"/>
          <w:color w:val="auto"/>
          <w:sz w:val="24"/>
          <w:szCs w:val="24"/>
        </w:rPr>
        <w:t>落实政府采购政策需满足的资格要求：中小企业声明函</w:t>
      </w:r>
      <w:r>
        <w:rPr>
          <w:color w:val="auto"/>
          <w:sz w:val="24"/>
          <w:szCs w:val="24"/>
        </w:rPr>
        <w:tab/>
      </w:r>
      <w:r>
        <w:rPr>
          <w:color w:val="auto"/>
          <w:sz w:val="24"/>
          <w:szCs w:val="24"/>
        </w:rPr>
        <w:fldChar w:fldCharType="begin"/>
      </w:r>
      <w:r>
        <w:rPr>
          <w:color w:val="auto"/>
          <w:sz w:val="24"/>
          <w:szCs w:val="24"/>
        </w:rPr>
        <w:instrText xml:space="preserve"> PAGEREF _Toc9133 </w:instrText>
      </w:r>
      <w:r>
        <w:rPr>
          <w:color w:val="auto"/>
          <w:sz w:val="24"/>
          <w:szCs w:val="24"/>
        </w:rPr>
        <w:fldChar w:fldCharType="separate"/>
      </w:r>
      <w:r>
        <w:rPr>
          <w:color w:val="auto"/>
          <w:sz w:val="24"/>
          <w:szCs w:val="24"/>
        </w:rPr>
        <w:t>25</w:t>
      </w:r>
      <w:r>
        <w:rPr>
          <w:color w:val="auto"/>
          <w:sz w:val="24"/>
          <w:szCs w:val="24"/>
        </w:rPr>
        <w:fldChar w:fldCharType="end"/>
      </w:r>
      <w:r>
        <w:rPr>
          <w:color w:val="auto"/>
          <w:sz w:val="24"/>
          <w:szCs w:val="24"/>
        </w:rPr>
        <w:fldChar w:fldCharType="end"/>
      </w:r>
    </w:p>
    <w:p w14:paraId="45361765">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_Toc5576 </w:instrText>
      </w:r>
      <w:r>
        <w:rPr>
          <w:color w:val="auto"/>
          <w:sz w:val="24"/>
          <w:szCs w:val="24"/>
        </w:rPr>
        <w:fldChar w:fldCharType="separate"/>
      </w:r>
      <w:r>
        <w:rPr>
          <w:rFonts w:hint="eastAsia"/>
          <w:color w:val="auto"/>
          <w:sz w:val="24"/>
          <w:szCs w:val="24"/>
          <w:lang w:val="en-US" w:eastAsia="zh-CN"/>
        </w:rPr>
        <w:t>4）</w:t>
      </w:r>
      <w:r>
        <w:rPr>
          <w:rFonts w:hint="eastAsia"/>
          <w:color w:val="auto"/>
          <w:sz w:val="24"/>
          <w:szCs w:val="24"/>
        </w:rPr>
        <w:t>特定资格：浙江省病媒生物预防控制服务单位备案证明</w:t>
      </w:r>
      <w:r>
        <w:rPr>
          <w:color w:val="auto"/>
          <w:sz w:val="24"/>
          <w:szCs w:val="24"/>
        </w:rPr>
        <w:tab/>
      </w:r>
      <w:r>
        <w:rPr>
          <w:color w:val="auto"/>
          <w:sz w:val="24"/>
          <w:szCs w:val="24"/>
        </w:rPr>
        <w:fldChar w:fldCharType="begin"/>
      </w:r>
      <w:r>
        <w:rPr>
          <w:color w:val="auto"/>
          <w:sz w:val="24"/>
          <w:szCs w:val="24"/>
        </w:rPr>
        <w:instrText xml:space="preserve"> PAGEREF _Toc5576 </w:instrText>
      </w:r>
      <w:r>
        <w:rPr>
          <w:color w:val="auto"/>
          <w:sz w:val="24"/>
          <w:szCs w:val="24"/>
        </w:rPr>
        <w:fldChar w:fldCharType="separate"/>
      </w:r>
      <w:r>
        <w:rPr>
          <w:color w:val="auto"/>
          <w:sz w:val="24"/>
          <w:szCs w:val="24"/>
        </w:rPr>
        <w:t>30</w:t>
      </w:r>
      <w:r>
        <w:rPr>
          <w:color w:val="auto"/>
          <w:sz w:val="24"/>
          <w:szCs w:val="24"/>
        </w:rPr>
        <w:fldChar w:fldCharType="end"/>
      </w:r>
      <w:r>
        <w:rPr>
          <w:color w:val="auto"/>
          <w:sz w:val="24"/>
          <w:szCs w:val="24"/>
        </w:rPr>
        <w:fldChar w:fldCharType="end"/>
      </w:r>
    </w:p>
    <w:p w14:paraId="45457775">
      <w:pPr>
        <w:pStyle w:val="39"/>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_Toc18911 </w:instrText>
      </w:r>
      <w:r>
        <w:rPr>
          <w:color w:val="auto"/>
          <w:sz w:val="24"/>
          <w:szCs w:val="24"/>
        </w:rPr>
        <w:fldChar w:fldCharType="separate"/>
      </w:r>
      <w:r>
        <w:rPr>
          <w:rFonts w:hint="eastAsia"/>
          <w:b/>
          <w:bCs/>
          <w:color w:val="auto"/>
          <w:sz w:val="24"/>
          <w:szCs w:val="24"/>
          <w:lang w:val="en-US" w:eastAsia="zh-CN"/>
        </w:rPr>
        <w:t>报价文件</w:t>
      </w:r>
      <w:r>
        <w:rPr>
          <w:color w:val="auto"/>
          <w:sz w:val="24"/>
          <w:szCs w:val="24"/>
        </w:rPr>
        <w:tab/>
      </w:r>
      <w:r>
        <w:rPr>
          <w:color w:val="auto"/>
          <w:sz w:val="24"/>
          <w:szCs w:val="24"/>
        </w:rPr>
        <w:fldChar w:fldCharType="begin"/>
      </w:r>
      <w:r>
        <w:rPr>
          <w:color w:val="auto"/>
          <w:sz w:val="24"/>
          <w:szCs w:val="24"/>
        </w:rPr>
        <w:instrText xml:space="preserve"> PAGEREF _Toc18911 </w:instrText>
      </w:r>
      <w:r>
        <w:rPr>
          <w:color w:val="auto"/>
          <w:sz w:val="24"/>
          <w:szCs w:val="24"/>
        </w:rPr>
        <w:fldChar w:fldCharType="separate"/>
      </w:r>
      <w:r>
        <w:rPr>
          <w:color w:val="auto"/>
          <w:sz w:val="24"/>
          <w:szCs w:val="24"/>
        </w:rPr>
        <w:t>31</w:t>
      </w:r>
      <w:r>
        <w:rPr>
          <w:color w:val="auto"/>
          <w:sz w:val="24"/>
          <w:szCs w:val="24"/>
        </w:rPr>
        <w:fldChar w:fldCharType="end"/>
      </w:r>
      <w:r>
        <w:rPr>
          <w:color w:val="auto"/>
          <w:sz w:val="24"/>
          <w:szCs w:val="24"/>
        </w:rPr>
        <w:fldChar w:fldCharType="end"/>
      </w:r>
    </w:p>
    <w:p w14:paraId="60A22F89">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_Toc15891 </w:instrText>
      </w:r>
      <w:r>
        <w:rPr>
          <w:color w:val="auto"/>
          <w:sz w:val="24"/>
          <w:szCs w:val="24"/>
        </w:rPr>
        <w:fldChar w:fldCharType="separate"/>
      </w:r>
      <w:r>
        <w:rPr>
          <w:rFonts w:hint="eastAsia"/>
          <w:color w:val="auto"/>
          <w:sz w:val="24"/>
          <w:szCs w:val="24"/>
        </w:rPr>
        <w:t>（1）初次报价一览表</w:t>
      </w:r>
      <w:r>
        <w:rPr>
          <w:color w:val="auto"/>
          <w:sz w:val="24"/>
          <w:szCs w:val="24"/>
        </w:rPr>
        <w:tab/>
      </w:r>
      <w:r>
        <w:rPr>
          <w:color w:val="auto"/>
          <w:sz w:val="24"/>
          <w:szCs w:val="24"/>
        </w:rPr>
        <w:fldChar w:fldCharType="begin"/>
      </w:r>
      <w:r>
        <w:rPr>
          <w:color w:val="auto"/>
          <w:sz w:val="24"/>
          <w:szCs w:val="24"/>
        </w:rPr>
        <w:instrText xml:space="preserve"> PAGEREF _Toc15891 </w:instrText>
      </w:r>
      <w:r>
        <w:rPr>
          <w:color w:val="auto"/>
          <w:sz w:val="24"/>
          <w:szCs w:val="24"/>
        </w:rPr>
        <w:fldChar w:fldCharType="separate"/>
      </w:r>
      <w:r>
        <w:rPr>
          <w:color w:val="auto"/>
          <w:sz w:val="24"/>
          <w:szCs w:val="24"/>
        </w:rPr>
        <w:t>31</w:t>
      </w:r>
      <w:r>
        <w:rPr>
          <w:color w:val="auto"/>
          <w:sz w:val="24"/>
          <w:szCs w:val="24"/>
        </w:rPr>
        <w:fldChar w:fldCharType="end"/>
      </w:r>
      <w:r>
        <w:rPr>
          <w:color w:val="auto"/>
          <w:sz w:val="24"/>
          <w:szCs w:val="24"/>
        </w:rPr>
        <w:fldChar w:fldCharType="end"/>
      </w:r>
    </w:p>
    <w:p w14:paraId="4984674C">
      <w:pPr>
        <w:pStyle w:val="39"/>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_Toc24832 </w:instrText>
      </w:r>
      <w:r>
        <w:rPr>
          <w:color w:val="auto"/>
          <w:sz w:val="24"/>
          <w:szCs w:val="24"/>
        </w:rPr>
        <w:fldChar w:fldCharType="separate"/>
      </w:r>
      <w:r>
        <w:rPr>
          <w:rFonts w:hint="eastAsia"/>
          <w:b/>
          <w:bCs/>
          <w:color w:val="auto"/>
          <w:sz w:val="24"/>
          <w:szCs w:val="24"/>
          <w:lang w:val="en-US" w:eastAsia="zh-CN"/>
        </w:rPr>
        <w:t>商务和技术文件</w:t>
      </w:r>
      <w:r>
        <w:rPr>
          <w:color w:val="auto"/>
          <w:sz w:val="24"/>
          <w:szCs w:val="24"/>
        </w:rPr>
        <w:tab/>
      </w:r>
      <w:r>
        <w:rPr>
          <w:color w:val="auto"/>
          <w:sz w:val="24"/>
          <w:szCs w:val="24"/>
        </w:rPr>
        <w:fldChar w:fldCharType="begin"/>
      </w:r>
      <w:r>
        <w:rPr>
          <w:color w:val="auto"/>
          <w:sz w:val="24"/>
          <w:szCs w:val="24"/>
        </w:rPr>
        <w:instrText xml:space="preserve"> PAGEREF _Toc24832 </w:instrText>
      </w:r>
      <w:r>
        <w:rPr>
          <w:color w:val="auto"/>
          <w:sz w:val="24"/>
          <w:szCs w:val="24"/>
        </w:rPr>
        <w:fldChar w:fldCharType="separate"/>
      </w:r>
      <w:r>
        <w:rPr>
          <w:color w:val="auto"/>
          <w:sz w:val="24"/>
          <w:szCs w:val="24"/>
        </w:rPr>
        <w:t>32</w:t>
      </w:r>
      <w:r>
        <w:rPr>
          <w:color w:val="auto"/>
          <w:sz w:val="24"/>
          <w:szCs w:val="24"/>
        </w:rPr>
        <w:fldChar w:fldCharType="end"/>
      </w:r>
      <w:r>
        <w:rPr>
          <w:color w:val="auto"/>
          <w:sz w:val="24"/>
          <w:szCs w:val="24"/>
        </w:rPr>
        <w:fldChar w:fldCharType="end"/>
      </w:r>
    </w:p>
    <w:p w14:paraId="73553CDA">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_Toc9934 </w:instrText>
      </w:r>
      <w:r>
        <w:rPr>
          <w:color w:val="auto"/>
          <w:sz w:val="24"/>
          <w:szCs w:val="24"/>
        </w:rPr>
        <w:fldChar w:fldCharType="separate"/>
      </w:r>
      <w:r>
        <w:rPr>
          <w:rFonts w:hint="eastAsia"/>
          <w:color w:val="auto"/>
          <w:sz w:val="24"/>
          <w:szCs w:val="24"/>
        </w:rPr>
        <w:t>（1）磋商响应函</w:t>
      </w:r>
      <w:r>
        <w:rPr>
          <w:color w:val="auto"/>
          <w:sz w:val="24"/>
          <w:szCs w:val="24"/>
        </w:rPr>
        <w:tab/>
      </w:r>
      <w:r>
        <w:rPr>
          <w:color w:val="auto"/>
          <w:sz w:val="24"/>
          <w:szCs w:val="24"/>
        </w:rPr>
        <w:fldChar w:fldCharType="begin"/>
      </w:r>
      <w:r>
        <w:rPr>
          <w:color w:val="auto"/>
          <w:sz w:val="24"/>
          <w:szCs w:val="24"/>
        </w:rPr>
        <w:instrText xml:space="preserve"> PAGEREF _Toc9934 </w:instrText>
      </w:r>
      <w:r>
        <w:rPr>
          <w:color w:val="auto"/>
          <w:sz w:val="24"/>
          <w:szCs w:val="24"/>
        </w:rPr>
        <w:fldChar w:fldCharType="separate"/>
      </w:r>
      <w:r>
        <w:rPr>
          <w:color w:val="auto"/>
          <w:sz w:val="24"/>
          <w:szCs w:val="24"/>
        </w:rPr>
        <w:t>32</w:t>
      </w:r>
      <w:r>
        <w:rPr>
          <w:color w:val="auto"/>
          <w:sz w:val="24"/>
          <w:szCs w:val="24"/>
        </w:rPr>
        <w:fldChar w:fldCharType="end"/>
      </w:r>
      <w:r>
        <w:rPr>
          <w:color w:val="auto"/>
          <w:sz w:val="24"/>
          <w:szCs w:val="24"/>
        </w:rPr>
        <w:fldChar w:fldCharType="end"/>
      </w:r>
    </w:p>
    <w:p w14:paraId="5EF4B960">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_Toc538 </w:instrText>
      </w:r>
      <w:r>
        <w:rPr>
          <w:color w:val="auto"/>
          <w:sz w:val="24"/>
          <w:szCs w:val="24"/>
        </w:rPr>
        <w:fldChar w:fldCharType="separate"/>
      </w:r>
      <w:r>
        <w:rPr>
          <w:rFonts w:hint="eastAsia"/>
          <w:color w:val="auto"/>
          <w:sz w:val="24"/>
          <w:szCs w:val="24"/>
        </w:rPr>
        <w:t>（2）法定代表人授权书（非法定代表人参加时提供）</w:t>
      </w:r>
      <w:r>
        <w:rPr>
          <w:color w:val="auto"/>
          <w:sz w:val="24"/>
          <w:szCs w:val="24"/>
        </w:rPr>
        <w:tab/>
      </w:r>
      <w:r>
        <w:rPr>
          <w:color w:val="auto"/>
          <w:sz w:val="24"/>
          <w:szCs w:val="24"/>
        </w:rPr>
        <w:fldChar w:fldCharType="begin"/>
      </w:r>
      <w:r>
        <w:rPr>
          <w:color w:val="auto"/>
          <w:sz w:val="24"/>
          <w:szCs w:val="24"/>
        </w:rPr>
        <w:instrText xml:space="preserve"> PAGEREF _Toc538 </w:instrText>
      </w:r>
      <w:r>
        <w:rPr>
          <w:color w:val="auto"/>
          <w:sz w:val="24"/>
          <w:szCs w:val="24"/>
        </w:rPr>
        <w:fldChar w:fldCharType="separate"/>
      </w:r>
      <w:r>
        <w:rPr>
          <w:color w:val="auto"/>
          <w:sz w:val="24"/>
          <w:szCs w:val="24"/>
        </w:rPr>
        <w:t>34</w:t>
      </w:r>
      <w:r>
        <w:rPr>
          <w:color w:val="auto"/>
          <w:sz w:val="24"/>
          <w:szCs w:val="24"/>
        </w:rPr>
        <w:fldChar w:fldCharType="end"/>
      </w:r>
      <w:r>
        <w:rPr>
          <w:color w:val="auto"/>
          <w:sz w:val="24"/>
          <w:szCs w:val="24"/>
        </w:rPr>
        <w:fldChar w:fldCharType="end"/>
      </w:r>
    </w:p>
    <w:p w14:paraId="0BA7DDDA">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_Toc196 </w:instrText>
      </w:r>
      <w:r>
        <w:rPr>
          <w:color w:val="auto"/>
          <w:sz w:val="24"/>
          <w:szCs w:val="24"/>
        </w:rPr>
        <w:fldChar w:fldCharType="separate"/>
      </w:r>
      <w:r>
        <w:rPr>
          <w:rFonts w:hint="eastAsia"/>
          <w:color w:val="auto"/>
          <w:sz w:val="24"/>
          <w:szCs w:val="24"/>
        </w:rPr>
        <w:t>（3）授权代表社保缴纳证明</w:t>
      </w:r>
      <w:r>
        <w:rPr>
          <w:color w:val="auto"/>
          <w:sz w:val="24"/>
          <w:szCs w:val="24"/>
        </w:rPr>
        <w:tab/>
      </w:r>
      <w:r>
        <w:rPr>
          <w:color w:val="auto"/>
          <w:sz w:val="24"/>
          <w:szCs w:val="24"/>
        </w:rPr>
        <w:fldChar w:fldCharType="begin"/>
      </w:r>
      <w:r>
        <w:rPr>
          <w:color w:val="auto"/>
          <w:sz w:val="24"/>
          <w:szCs w:val="24"/>
        </w:rPr>
        <w:instrText xml:space="preserve"> PAGEREF _Toc196 </w:instrText>
      </w:r>
      <w:r>
        <w:rPr>
          <w:color w:val="auto"/>
          <w:sz w:val="24"/>
          <w:szCs w:val="24"/>
        </w:rPr>
        <w:fldChar w:fldCharType="separate"/>
      </w:r>
      <w:r>
        <w:rPr>
          <w:color w:val="auto"/>
          <w:sz w:val="24"/>
          <w:szCs w:val="24"/>
        </w:rPr>
        <w:t>35</w:t>
      </w:r>
      <w:r>
        <w:rPr>
          <w:color w:val="auto"/>
          <w:sz w:val="24"/>
          <w:szCs w:val="24"/>
        </w:rPr>
        <w:fldChar w:fldCharType="end"/>
      </w:r>
      <w:r>
        <w:rPr>
          <w:color w:val="auto"/>
          <w:sz w:val="24"/>
          <w:szCs w:val="24"/>
        </w:rPr>
        <w:fldChar w:fldCharType="end"/>
      </w:r>
    </w:p>
    <w:p w14:paraId="557ED07E">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_Toc20234 </w:instrText>
      </w:r>
      <w:r>
        <w:rPr>
          <w:color w:val="auto"/>
          <w:sz w:val="24"/>
          <w:szCs w:val="24"/>
        </w:rPr>
        <w:fldChar w:fldCharType="separate"/>
      </w:r>
      <w:r>
        <w:rPr>
          <w:rFonts w:hint="eastAsia"/>
          <w:color w:val="auto"/>
          <w:sz w:val="24"/>
          <w:szCs w:val="24"/>
        </w:rPr>
        <w:t>（4）法定代表人资格证明书（法定代表人参加时提供）</w:t>
      </w:r>
      <w:r>
        <w:rPr>
          <w:color w:val="auto"/>
          <w:sz w:val="24"/>
          <w:szCs w:val="24"/>
        </w:rPr>
        <w:tab/>
      </w:r>
      <w:r>
        <w:rPr>
          <w:color w:val="auto"/>
          <w:sz w:val="24"/>
          <w:szCs w:val="24"/>
        </w:rPr>
        <w:fldChar w:fldCharType="begin"/>
      </w:r>
      <w:r>
        <w:rPr>
          <w:color w:val="auto"/>
          <w:sz w:val="24"/>
          <w:szCs w:val="24"/>
        </w:rPr>
        <w:instrText xml:space="preserve"> PAGEREF _Toc20234 </w:instrText>
      </w:r>
      <w:r>
        <w:rPr>
          <w:color w:val="auto"/>
          <w:sz w:val="24"/>
          <w:szCs w:val="24"/>
        </w:rPr>
        <w:fldChar w:fldCharType="separate"/>
      </w:r>
      <w:r>
        <w:rPr>
          <w:color w:val="auto"/>
          <w:sz w:val="24"/>
          <w:szCs w:val="24"/>
        </w:rPr>
        <w:t>36</w:t>
      </w:r>
      <w:r>
        <w:rPr>
          <w:color w:val="auto"/>
          <w:sz w:val="24"/>
          <w:szCs w:val="24"/>
        </w:rPr>
        <w:fldChar w:fldCharType="end"/>
      </w:r>
      <w:r>
        <w:rPr>
          <w:color w:val="auto"/>
          <w:sz w:val="24"/>
          <w:szCs w:val="24"/>
        </w:rPr>
        <w:fldChar w:fldCharType="end"/>
      </w:r>
    </w:p>
    <w:p w14:paraId="7EAF33A9">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_Toc20887 </w:instrText>
      </w:r>
      <w:r>
        <w:rPr>
          <w:color w:val="auto"/>
          <w:sz w:val="24"/>
          <w:szCs w:val="24"/>
        </w:rPr>
        <w:fldChar w:fldCharType="separate"/>
      </w:r>
      <w:r>
        <w:rPr>
          <w:rFonts w:hint="eastAsia"/>
          <w:color w:val="auto"/>
          <w:sz w:val="24"/>
          <w:szCs w:val="24"/>
        </w:rPr>
        <w:t>（5）采购需求偏离表</w:t>
      </w:r>
      <w:r>
        <w:rPr>
          <w:color w:val="auto"/>
          <w:sz w:val="24"/>
          <w:szCs w:val="24"/>
        </w:rPr>
        <w:tab/>
      </w:r>
      <w:r>
        <w:rPr>
          <w:color w:val="auto"/>
          <w:sz w:val="24"/>
          <w:szCs w:val="24"/>
        </w:rPr>
        <w:fldChar w:fldCharType="begin"/>
      </w:r>
      <w:r>
        <w:rPr>
          <w:color w:val="auto"/>
          <w:sz w:val="24"/>
          <w:szCs w:val="24"/>
        </w:rPr>
        <w:instrText xml:space="preserve"> PAGEREF _Toc20887 </w:instrText>
      </w:r>
      <w:r>
        <w:rPr>
          <w:color w:val="auto"/>
          <w:sz w:val="24"/>
          <w:szCs w:val="24"/>
        </w:rPr>
        <w:fldChar w:fldCharType="separate"/>
      </w:r>
      <w:r>
        <w:rPr>
          <w:color w:val="auto"/>
          <w:sz w:val="24"/>
          <w:szCs w:val="24"/>
        </w:rPr>
        <w:t>37</w:t>
      </w:r>
      <w:r>
        <w:rPr>
          <w:color w:val="auto"/>
          <w:sz w:val="24"/>
          <w:szCs w:val="24"/>
        </w:rPr>
        <w:fldChar w:fldCharType="end"/>
      </w:r>
      <w:r>
        <w:rPr>
          <w:color w:val="auto"/>
          <w:sz w:val="24"/>
          <w:szCs w:val="24"/>
        </w:rPr>
        <w:fldChar w:fldCharType="end"/>
      </w:r>
    </w:p>
    <w:p w14:paraId="26E29B71">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_Toc23871 </w:instrText>
      </w:r>
      <w:r>
        <w:rPr>
          <w:color w:val="auto"/>
          <w:sz w:val="24"/>
          <w:szCs w:val="24"/>
        </w:rPr>
        <w:fldChar w:fldCharType="separate"/>
      </w:r>
      <w:r>
        <w:rPr>
          <w:rFonts w:hint="eastAsia"/>
          <w:color w:val="auto"/>
          <w:sz w:val="24"/>
          <w:szCs w:val="24"/>
        </w:rPr>
        <w:t>（6）响应方基本情况表</w:t>
      </w:r>
      <w:r>
        <w:rPr>
          <w:color w:val="auto"/>
          <w:sz w:val="24"/>
          <w:szCs w:val="24"/>
        </w:rPr>
        <w:tab/>
      </w:r>
      <w:r>
        <w:rPr>
          <w:color w:val="auto"/>
          <w:sz w:val="24"/>
          <w:szCs w:val="24"/>
        </w:rPr>
        <w:fldChar w:fldCharType="begin"/>
      </w:r>
      <w:r>
        <w:rPr>
          <w:color w:val="auto"/>
          <w:sz w:val="24"/>
          <w:szCs w:val="24"/>
        </w:rPr>
        <w:instrText xml:space="preserve"> PAGEREF _Toc23871 </w:instrText>
      </w:r>
      <w:r>
        <w:rPr>
          <w:color w:val="auto"/>
          <w:sz w:val="24"/>
          <w:szCs w:val="24"/>
        </w:rPr>
        <w:fldChar w:fldCharType="separate"/>
      </w:r>
      <w:r>
        <w:rPr>
          <w:color w:val="auto"/>
          <w:sz w:val="24"/>
          <w:szCs w:val="24"/>
        </w:rPr>
        <w:t>38</w:t>
      </w:r>
      <w:r>
        <w:rPr>
          <w:color w:val="auto"/>
          <w:sz w:val="24"/>
          <w:szCs w:val="24"/>
        </w:rPr>
        <w:fldChar w:fldCharType="end"/>
      </w:r>
      <w:r>
        <w:rPr>
          <w:color w:val="auto"/>
          <w:sz w:val="24"/>
          <w:szCs w:val="24"/>
        </w:rPr>
        <w:fldChar w:fldCharType="end"/>
      </w:r>
    </w:p>
    <w:p w14:paraId="63E2BAF6">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_Toc11785 </w:instrText>
      </w:r>
      <w:r>
        <w:rPr>
          <w:color w:val="auto"/>
          <w:sz w:val="24"/>
          <w:szCs w:val="24"/>
        </w:rPr>
        <w:fldChar w:fldCharType="separate"/>
      </w:r>
      <w:r>
        <w:rPr>
          <w:rFonts w:hint="eastAsia"/>
          <w:color w:val="auto"/>
          <w:sz w:val="24"/>
          <w:szCs w:val="24"/>
        </w:rPr>
        <w:t>（7）供应商同类合同一览表</w:t>
      </w:r>
      <w:r>
        <w:rPr>
          <w:color w:val="auto"/>
          <w:sz w:val="24"/>
          <w:szCs w:val="24"/>
        </w:rPr>
        <w:tab/>
      </w:r>
      <w:r>
        <w:rPr>
          <w:color w:val="auto"/>
          <w:sz w:val="24"/>
          <w:szCs w:val="24"/>
        </w:rPr>
        <w:fldChar w:fldCharType="begin"/>
      </w:r>
      <w:r>
        <w:rPr>
          <w:color w:val="auto"/>
          <w:sz w:val="24"/>
          <w:szCs w:val="24"/>
        </w:rPr>
        <w:instrText xml:space="preserve"> PAGEREF _Toc11785 </w:instrText>
      </w:r>
      <w:r>
        <w:rPr>
          <w:color w:val="auto"/>
          <w:sz w:val="24"/>
          <w:szCs w:val="24"/>
        </w:rPr>
        <w:fldChar w:fldCharType="separate"/>
      </w:r>
      <w:r>
        <w:rPr>
          <w:color w:val="auto"/>
          <w:sz w:val="24"/>
          <w:szCs w:val="24"/>
        </w:rPr>
        <w:t>39</w:t>
      </w:r>
      <w:r>
        <w:rPr>
          <w:color w:val="auto"/>
          <w:sz w:val="24"/>
          <w:szCs w:val="24"/>
        </w:rPr>
        <w:fldChar w:fldCharType="end"/>
      </w:r>
      <w:r>
        <w:rPr>
          <w:color w:val="auto"/>
          <w:sz w:val="24"/>
          <w:szCs w:val="24"/>
        </w:rPr>
        <w:fldChar w:fldCharType="end"/>
      </w:r>
    </w:p>
    <w:p w14:paraId="0DF51713">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_Toc5976 </w:instrText>
      </w:r>
      <w:r>
        <w:rPr>
          <w:color w:val="auto"/>
          <w:sz w:val="24"/>
          <w:szCs w:val="24"/>
        </w:rPr>
        <w:fldChar w:fldCharType="separate"/>
      </w:r>
      <w:r>
        <w:rPr>
          <w:rFonts w:hint="eastAsia"/>
          <w:color w:val="auto"/>
          <w:sz w:val="24"/>
          <w:szCs w:val="24"/>
        </w:rPr>
        <w:t>（8）详细技术和服务方案</w:t>
      </w:r>
      <w:r>
        <w:rPr>
          <w:color w:val="auto"/>
          <w:sz w:val="24"/>
          <w:szCs w:val="24"/>
        </w:rPr>
        <w:tab/>
      </w:r>
      <w:r>
        <w:rPr>
          <w:color w:val="auto"/>
          <w:sz w:val="24"/>
          <w:szCs w:val="24"/>
        </w:rPr>
        <w:fldChar w:fldCharType="begin"/>
      </w:r>
      <w:r>
        <w:rPr>
          <w:color w:val="auto"/>
          <w:sz w:val="24"/>
          <w:szCs w:val="24"/>
        </w:rPr>
        <w:instrText xml:space="preserve"> PAGEREF _Toc5976 </w:instrText>
      </w:r>
      <w:r>
        <w:rPr>
          <w:color w:val="auto"/>
          <w:sz w:val="24"/>
          <w:szCs w:val="24"/>
        </w:rPr>
        <w:fldChar w:fldCharType="separate"/>
      </w:r>
      <w:r>
        <w:rPr>
          <w:color w:val="auto"/>
          <w:sz w:val="24"/>
          <w:szCs w:val="24"/>
        </w:rPr>
        <w:t>40</w:t>
      </w:r>
      <w:r>
        <w:rPr>
          <w:color w:val="auto"/>
          <w:sz w:val="24"/>
          <w:szCs w:val="24"/>
        </w:rPr>
        <w:fldChar w:fldCharType="end"/>
      </w:r>
      <w:r>
        <w:rPr>
          <w:color w:val="auto"/>
          <w:sz w:val="24"/>
          <w:szCs w:val="24"/>
        </w:rPr>
        <w:fldChar w:fldCharType="end"/>
      </w:r>
    </w:p>
    <w:p w14:paraId="5FB5F37F">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_Toc25492 </w:instrText>
      </w:r>
      <w:r>
        <w:rPr>
          <w:color w:val="auto"/>
          <w:sz w:val="24"/>
          <w:szCs w:val="24"/>
        </w:rPr>
        <w:fldChar w:fldCharType="separate"/>
      </w:r>
      <w:r>
        <w:rPr>
          <w:rFonts w:hint="eastAsia"/>
          <w:color w:val="auto"/>
          <w:sz w:val="24"/>
          <w:szCs w:val="24"/>
        </w:rPr>
        <w:t>（9）项目组成员一览表</w:t>
      </w:r>
      <w:r>
        <w:rPr>
          <w:color w:val="auto"/>
          <w:sz w:val="24"/>
          <w:szCs w:val="24"/>
        </w:rPr>
        <w:tab/>
      </w:r>
      <w:r>
        <w:rPr>
          <w:color w:val="auto"/>
          <w:sz w:val="24"/>
          <w:szCs w:val="24"/>
        </w:rPr>
        <w:fldChar w:fldCharType="begin"/>
      </w:r>
      <w:r>
        <w:rPr>
          <w:color w:val="auto"/>
          <w:sz w:val="24"/>
          <w:szCs w:val="24"/>
        </w:rPr>
        <w:instrText xml:space="preserve"> PAGEREF _Toc25492 </w:instrText>
      </w:r>
      <w:r>
        <w:rPr>
          <w:color w:val="auto"/>
          <w:sz w:val="24"/>
          <w:szCs w:val="24"/>
        </w:rPr>
        <w:fldChar w:fldCharType="separate"/>
      </w:r>
      <w:r>
        <w:rPr>
          <w:color w:val="auto"/>
          <w:sz w:val="24"/>
          <w:szCs w:val="24"/>
        </w:rPr>
        <w:t>40</w:t>
      </w:r>
      <w:r>
        <w:rPr>
          <w:color w:val="auto"/>
          <w:sz w:val="24"/>
          <w:szCs w:val="24"/>
        </w:rPr>
        <w:fldChar w:fldCharType="end"/>
      </w:r>
      <w:r>
        <w:rPr>
          <w:color w:val="auto"/>
          <w:sz w:val="24"/>
          <w:szCs w:val="24"/>
        </w:rPr>
        <w:fldChar w:fldCharType="end"/>
      </w:r>
    </w:p>
    <w:p w14:paraId="44D3CE5C">
      <w:pPr>
        <w:pStyle w:val="26"/>
        <w:tabs>
          <w:tab w:val="right" w:leader="dot" w:pos="9413"/>
        </w:tabs>
        <w:rPr>
          <w:color w:val="auto"/>
          <w:sz w:val="24"/>
          <w:szCs w:val="24"/>
        </w:rPr>
      </w:pPr>
      <w:r>
        <w:rPr>
          <w:color w:val="auto"/>
          <w:sz w:val="24"/>
          <w:szCs w:val="24"/>
        </w:rPr>
        <w:fldChar w:fldCharType="begin"/>
      </w:r>
      <w:r>
        <w:rPr>
          <w:color w:val="auto"/>
          <w:sz w:val="24"/>
          <w:szCs w:val="24"/>
        </w:rPr>
        <w:instrText xml:space="preserve"> HYPERLINK \l _Toc21717 </w:instrText>
      </w:r>
      <w:r>
        <w:rPr>
          <w:color w:val="auto"/>
          <w:sz w:val="24"/>
          <w:szCs w:val="24"/>
        </w:rPr>
        <w:fldChar w:fldCharType="separate"/>
      </w:r>
      <w:r>
        <w:rPr>
          <w:rFonts w:hint="eastAsia"/>
          <w:color w:val="auto"/>
          <w:sz w:val="24"/>
          <w:szCs w:val="24"/>
        </w:rPr>
        <w:t>（10）关于对磋商文件中有关条款的拒绝声明(如有)</w:t>
      </w:r>
      <w:r>
        <w:rPr>
          <w:color w:val="auto"/>
          <w:sz w:val="24"/>
          <w:szCs w:val="24"/>
        </w:rPr>
        <w:tab/>
      </w:r>
      <w:r>
        <w:rPr>
          <w:color w:val="auto"/>
          <w:sz w:val="24"/>
          <w:szCs w:val="24"/>
        </w:rPr>
        <w:fldChar w:fldCharType="begin"/>
      </w:r>
      <w:r>
        <w:rPr>
          <w:color w:val="auto"/>
          <w:sz w:val="24"/>
          <w:szCs w:val="24"/>
        </w:rPr>
        <w:instrText xml:space="preserve"> PAGEREF _Toc21717 </w:instrText>
      </w:r>
      <w:r>
        <w:rPr>
          <w:color w:val="auto"/>
          <w:sz w:val="24"/>
          <w:szCs w:val="24"/>
        </w:rPr>
        <w:fldChar w:fldCharType="separate"/>
      </w:r>
      <w:r>
        <w:rPr>
          <w:color w:val="auto"/>
          <w:sz w:val="24"/>
          <w:szCs w:val="24"/>
        </w:rPr>
        <w:t>40</w:t>
      </w:r>
      <w:r>
        <w:rPr>
          <w:color w:val="auto"/>
          <w:sz w:val="24"/>
          <w:szCs w:val="24"/>
        </w:rPr>
        <w:fldChar w:fldCharType="end"/>
      </w:r>
      <w:r>
        <w:rPr>
          <w:color w:val="auto"/>
          <w:sz w:val="24"/>
          <w:szCs w:val="24"/>
        </w:rPr>
        <w:fldChar w:fldCharType="end"/>
      </w:r>
    </w:p>
    <w:p w14:paraId="001ADE9C">
      <w:pPr>
        <w:pStyle w:val="26"/>
        <w:tabs>
          <w:tab w:val="right" w:leader="dot" w:pos="9413"/>
        </w:tabs>
        <w:ind w:left="0" w:leftChars="0" w:firstLine="0" w:firstLineChars="0"/>
        <w:rPr>
          <w:color w:val="auto"/>
          <w:sz w:val="24"/>
          <w:szCs w:val="24"/>
        </w:rPr>
      </w:pPr>
      <w:r>
        <w:rPr>
          <w:color w:val="auto"/>
          <w:sz w:val="24"/>
          <w:szCs w:val="24"/>
        </w:rPr>
        <w:fldChar w:fldCharType="begin"/>
      </w:r>
      <w:r>
        <w:rPr>
          <w:color w:val="auto"/>
          <w:sz w:val="24"/>
          <w:szCs w:val="24"/>
        </w:rPr>
        <w:instrText xml:space="preserve"> HYPERLINK \l _Toc29667 </w:instrText>
      </w:r>
      <w:r>
        <w:rPr>
          <w:color w:val="auto"/>
          <w:sz w:val="24"/>
          <w:szCs w:val="24"/>
        </w:rPr>
        <w:fldChar w:fldCharType="separate"/>
      </w:r>
      <w:r>
        <w:rPr>
          <w:rFonts w:hint="eastAsia"/>
          <w:b/>
          <w:bCs/>
          <w:color w:val="auto"/>
          <w:sz w:val="24"/>
          <w:szCs w:val="24"/>
        </w:rPr>
        <w:t>评分标准索引表</w:t>
      </w:r>
      <w:r>
        <w:rPr>
          <w:color w:val="auto"/>
          <w:sz w:val="24"/>
          <w:szCs w:val="24"/>
        </w:rPr>
        <w:tab/>
      </w:r>
      <w:r>
        <w:rPr>
          <w:color w:val="auto"/>
          <w:sz w:val="24"/>
          <w:szCs w:val="24"/>
        </w:rPr>
        <w:fldChar w:fldCharType="begin"/>
      </w:r>
      <w:r>
        <w:rPr>
          <w:color w:val="auto"/>
          <w:sz w:val="24"/>
          <w:szCs w:val="24"/>
        </w:rPr>
        <w:instrText xml:space="preserve"> PAGEREF _Toc29667 </w:instrText>
      </w:r>
      <w:r>
        <w:rPr>
          <w:color w:val="auto"/>
          <w:sz w:val="24"/>
          <w:szCs w:val="24"/>
        </w:rPr>
        <w:fldChar w:fldCharType="separate"/>
      </w:r>
      <w:r>
        <w:rPr>
          <w:color w:val="auto"/>
          <w:sz w:val="24"/>
          <w:szCs w:val="24"/>
        </w:rPr>
        <w:t>41</w:t>
      </w:r>
      <w:r>
        <w:rPr>
          <w:color w:val="auto"/>
          <w:sz w:val="24"/>
          <w:szCs w:val="24"/>
        </w:rPr>
        <w:fldChar w:fldCharType="end"/>
      </w:r>
      <w:r>
        <w:rPr>
          <w:color w:val="auto"/>
          <w:sz w:val="24"/>
          <w:szCs w:val="24"/>
        </w:rPr>
        <w:fldChar w:fldCharType="end"/>
      </w:r>
    </w:p>
    <w:p w14:paraId="22C92421">
      <w:pPr>
        <w:rPr>
          <w:color w:val="auto"/>
        </w:rPr>
      </w:pPr>
      <w:r>
        <w:rPr>
          <w:color w:val="auto"/>
          <w:sz w:val="24"/>
          <w:szCs w:val="24"/>
        </w:rPr>
        <w:fldChar w:fldCharType="end"/>
      </w:r>
    </w:p>
    <w:p w14:paraId="2CB5D19D">
      <w:pPr>
        <w:pStyle w:val="4"/>
        <w:tabs>
          <w:tab w:val="right" w:leader="dot" w:pos="9000"/>
        </w:tabs>
        <w:snapToGrid w:val="0"/>
        <w:spacing w:before="0" w:after="0"/>
        <w:outlineLvl w:val="0"/>
        <w:rPr>
          <w:rStyle w:val="55"/>
          <w:b/>
          <w:color w:val="auto"/>
        </w:rPr>
      </w:pPr>
      <w:r>
        <w:rPr>
          <w:color w:val="auto"/>
          <w:sz w:val="24"/>
        </w:rPr>
        <w:br w:type="page"/>
      </w:r>
      <w:bookmarkStart w:id="0" w:name="_Toc118516209"/>
      <w:bookmarkStart w:id="1" w:name="_Toc171394907"/>
      <w:bookmarkStart w:id="2" w:name="_Toc13062"/>
      <w:bookmarkStart w:id="3" w:name="_Toc14280"/>
      <w:bookmarkStart w:id="4" w:name="_Toc3034"/>
      <w:bookmarkStart w:id="5" w:name="_Toc20259"/>
      <w:bookmarkStart w:id="6" w:name="_Toc9769"/>
      <w:bookmarkStart w:id="7" w:name="_Toc29876"/>
      <w:bookmarkStart w:id="8" w:name="_Toc9280"/>
      <w:bookmarkStart w:id="9" w:name="_Toc24330"/>
      <w:bookmarkStart w:id="10" w:name="_Toc25143"/>
      <w:bookmarkStart w:id="11" w:name="_Toc17969"/>
      <w:bookmarkStart w:id="12" w:name="_Toc23298"/>
      <w:bookmarkStart w:id="13" w:name="_Toc3154"/>
      <w:bookmarkStart w:id="14" w:name="_Toc29438"/>
      <w:bookmarkStart w:id="15" w:name="_Toc10026"/>
      <w:bookmarkStart w:id="16" w:name="_Toc938"/>
      <w:bookmarkStart w:id="17" w:name="_Toc7321"/>
      <w:bookmarkStart w:id="18" w:name="_Toc27478"/>
      <w:bookmarkStart w:id="19" w:name="_Toc15311"/>
      <w:bookmarkStart w:id="20" w:name="_Toc1621_WPSOffice_Level1"/>
      <w:bookmarkStart w:id="21" w:name="_Toc14546"/>
      <w:bookmarkStart w:id="22" w:name="_Toc12306_WPSOffice_Level1"/>
      <w:bookmarkStart w:id="23" w:name="_Toc4488"/>
      <w:bookmarkStart w:id="24" w:name="_Toc32496"/>
      <w:bookmarkStart w:id="25" w:name="_Toc6441"/>
      <w:bookmarkStart w:id="26" w:name="_Toc433537961"/>
      <w:bookmarkStart w:id="27" w:name="_Toc12052"/>
      <w:bookmarkStart w:id="28" w:name="_Toc10391"/>
      <w:bookmarkStart w:id="29" w:name="_Toc4547"/>
      <w:bookmarkStart w:id="30" w:name="_Toc32381"/>
      <w:bookmarkStart w:id="31" w:name="_Toc16674"/>
      <w:bookmarkStart w:id="32" w:name="_Toc440"/>
      <w:bookmarkStart w:id="33" w:name="_Toc9372"/>
      <w:bookmarkStart w:id="34" w:name="_Toc12840"/>
      <w:bookmarkStart w:id="35" w:name="_Toc7090"/>
      <w:bookmarkStart w:id="36" w:name="_Toc14145"/>
      <w:bookmarkStart w:id="37" w:name="_Toc25841"/>
      <w:r>
        <w:rPr>
          <w:rStyle w:val="55"/>
          <w:rFonts w:hint="eastAsia"/>
          <w:b/>
          <w:color w:val="auto"/>
        </w:rPr>
        <w:t>第一部分</w:t>
      </w:r>
      <w:bookmarkEnd w:id="0"/>
      <w:r>
        <w:rPr>
          <w:rStyle w:val="55"/>
          <w:b/>
          <w:color w:val="auto"/>
        </w:rPr>
        <w:t xml:space="preserve"> </w:t>
      </w:r>
      <w:r>
        <w:rPr>
          <w:rStyle w:val="55"/>
          <w:rFonts w:hint="eastAsia"/>
          <w:b/>
          <w:color w:val="auto"/>
        </w:rPr>
        <w:t>竞争性磋商</w:t>
      </w:r>
      <w:bookmarkEnd w:id="1"/>
      <w:r>
        <w:rPr>
          <w:rStyle w:val="55"/>
          <w:rFonts w:hint="eastAsia"/>
          <w:b/>
          <w:color w:val="auto"/>
        </w:rPr>
        <w:t>公告</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D475132">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175"/>
        <w:textAlignment w:val="auto"/>
        <w:rPr>
          <w:rFonts w:hint="eastAsia" w:asciiTheme="minorEastAsia" w:hAnsiTheme="minorEastAsia" w:eastAsiaTheme="minorEastAsia" w:cstheme="minorEastAsia"/>
          <w:color w:val="auto"/>
          <w:sz w:val="24"/>
          <w:szCs w:val="24"/>
        </w:rPr>
      </w:pPr>
      <w:bookmarkStart w:id="38" w:name="_Toc171394908"/>
      <w:bookmarkStart w:id="39" w:name="_Toc171394910"/>
      <w:bookmarkStart w:id="40" w:name="_Toc309064919"/>
      <w:r>
        <w:rPr>
          <w:rFonts w:hint="eastAsia" w:asciiTheme="minorEastAsia" w:hAnsiTheme="minorEastAsia" w:eastAsiaTheme="minorEastAsia" w:cstheme="minorEastAsia"/>
          <w:color w:val="auto"/>
          <w:sz w:val="24"/>
          <w:szCs w:val="24"/>
        </w:rPr>
        <w:t>根</w:t>
      </w:r>
      <w:r>
        <w:rPr>
          <w:rFonts w:hint="eastAsia" w:asciiTheme="minorEastAsia" w:hAnsiTheme="minorEastAsia" w:eastAsiaTheme="minorEastAsia" w:cstheme="minorEastAsia"/>
          <w:color w:val="auto"/>
          <w:sz w:val="24"/>
          <w:szCs w:val="24"/>
        </w:rPr>
        <w:t>据杭州电子科技大学采购管理办法，参照《中华人民共和国政府采购法》、《中华人民共和国政府采购法实施条例》、《政府采购竞争性磋商采购方式管理暂行办法》、《浙江省政府采购活动现场组织管理办法》等法律法规部分相关条款，现就杭州电子科技大学四害消杀服务项目进行竞争性磋商(简称磋商)采购，欢迎国内合格的供应商前来参加。</w:t>
      </w:r>
    </w:p>
    <w:p w14:paraId="14624427">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default" w:asciiTheme="minorEastAsia" w:hAnsiTheme="minorEastAsia" w:eastAsiaTheme="minorEastAsia" w:cstheme="minorEastAsia"/>
          <w:color w:val="auto"/>
          <w:sz w:val="24"/>
          <w:szCs w:val="24"/>
          <w:lang w:val="en-US" w:eastAsia="zh-CN"/>
        </w:rPr>
      </w:pPr>
      <w:bookmarkStart w:id="41" w:name="_Toc29429_WPSOffice_Level2"/>
      <w:bookmarkStart w:id="42" w:name="_Toc21083"/>
      <w:bookmarkStart w:id="43" w:name="_Toc12969"/>
      <w:bookmarkStart w:id="44" w:name="_Toc10031"/>
      <w:bookmarkStart w:id="45" w:name="_Toc6517"/>
      <w:bookmarkStart w:id="46" w:name="_Toc28017"/>
      <w:bookmarkStart w:id="47" w:name="_Toc19591"/>
      <w:bookmarkStart w:id="48" w:name="_Toc25225"/>
      <w:bookmarkStart w:id="49" w:name="_Toc433537963"/>
      <w:bookmarkStart w:id="50" w:name="_Toc183786415"/>
      <w:r>
        <w:rPr>
          <w:rFonts w:hint="eastAsia" w:asciiTheme="minorEastAsia" w:hAnsiTheme="minorEastAsia" w:eastAsiaTheme="minorEastAsia" w:cstheme="minorEastAsia"/>
          <w:b/>
          <w:bCs/>
          <w:color w:val="auto"/>
          <w:sz w:val="24"/>
          <w:szCs w:val="24"/>
        </w:rPr>
        <w:t>一、</w:t>
      </w:r>
      <w:bookmarkEnd w:id="38"/>
      <w:r>
        <w:rPr>
          <w:rFonts w:hint="eastAsia" w:asciiTheme="minorEastAsia" w:hAnsiTheme="minorEastAsia" w:eastAsiaTheme="minorEastAsia" w:cstheme="minorEastAsia"/>
          <w:b/>
          <w:bCs/>
          <w:color w:val="auto"/>
          <w:sz w:val="24"/>
          <w:szCs w:val="24"/>
        </w:rPr>
        <w:t>项目编号</w:t>
      </w:r>
      <w:r>
        <w:rPr>
          <w:rFonts w:hint="eastAsia" w:asciiTheme="minorEastAsia" w:hAnsiTheme="minorEastAsia" w:eastAsiaTheme="minorEastAsia" w:cstheme="minorEastAsia"/>
          <w:color w:val="auto"/>
          <w:sz w:val="24"/>
          <w:szCs w:val="24"/>
        </w:rPr>
        <w:t>：202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-JH-CS</w:t>
      </w:r>
      <w:bookmarkEnd w:id="41"/>
      <w:r>
        <w:rPr>
          <w:rFonts w:hint="eastAsia" w:asciiTheme="minorEastAsia" w:hAnsiTheme="minorEastAsia" w:eastAsiaTheme="minorEastAsia" w:cstheme="minorEastAsia"/>
          <w:color w:val="auto"/>
          <w:sz w:val="24"/>
          <w:szCs w:val="24"/>
          <w:lang w:val="en-US" w:eastAsia="zh-CN"/>
        </w:rPr>
        <w:t>16</w:t>
      </w:r>
    </w:p>
    <w:p w14:paraId="717F925F">
      <w:pPr>
        <w:keepNext w:val="0"/>
        <w:keepLines w:val="0"/>
        <w:pageBreakBefore w:val="0"/>
        <w:widowControl w:val="0"/>
        <w:kinsoku/>
        <w:wordWrap/>
        <w:overflowPunct/>
        <w:topLinePunct w:val="0"/>
        <w:autoSpaceDE/>
        <w:autoSpaceDN/>
        <w:bidi w:val="0"/>
        <w:adjustRightInd/>
        <w:snapToGrid/>
        <w:spacing w:line="420" w:lineRule="exact"/>
        <w:ind w:left="0" w:leftChars="0" w:firstLine="422" w:firstLineChars="175"/>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采购类型和采购方式</w:t>
      </w:r>
      <w:r>
        <w:rPr>
          <w:rFonts w:hint="eastAsia" w:asciiTheme="minorEastAsia" w:hAnsiTheme="minorEastAsia" w:eastAsiaTheme="minorEastAsia" w:cstheme="minorEastAsia"/>
          <w:color w:val="auto"/>
          <w:sz w:val="24"/>
          <w:szCs w:val="24"/>
        </w:rPr>
        <w:t>：单位自行采购，竞争性磋商</w:t>
      </w:r>
    </w:p>
    <w:p w14:paraId="152E4F84">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51" w:name="_Toc21250_WPSOffice_Level2"/>
      <w:r>
        <w:rPr>
          <w:rFonts w:hint="eastAsia" w:asciiTheme="minorEastAsia" w:hAnsiTheme="minorEastAsia" w:eastAsiaTheme="minorEastAsia" w:cstheme="minorEastAsia"/>
          <w:b/>
          <w:bCs/>
          <w:color w:val="auto"/>
          <w:sz w:val="24"/>
          <w:szCs w:val="24"/>
        </w:rPr>
        <w:t>二、采购项目概况</w:t>
      </w:r>
      <w:bookmarkEnd w:id="51"/>
    </w:p>
    <w:tbl>
      <w:tblPr>
        <w:tblStyle w:val="45"/>
        <w:tblW w:w="939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5"/>
        <w:gridCol w:w="4155"/>
        <w:gridCol w:w="1185"/>
        <w:gridCol w:w="1921"/>
      </w:tblGrid>
      <w:tr w14:paraId="7A68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29" w:type="dxa"/>
            <w:vAlign w:val="center"/>
          </w:tcPr>
          <w:p w14:paraId="15D1A8AE">
            <w:pPr>
              <w:spacing w:line="400" w:lineRule="exact"/>
              <w:jc w:val="center"/>
              <w:rPr>
                <w:rFonts w:ascii="宋体" w:hAnsi="宋体" w:cs="宋体"/>
                <w:bCs/>
                <w:color w:val="auto"/>
                <w:spacing w:val="-6"/>
                <w:sz w:val="24"/>
                <w:szCs w:val="24"/>
              </w:rPr>
            </w:pPr>
            <w:r>
              <w:rPr>
                <w:rFonts w:hint="eastAsia" w:ascii="宋体" w:hAnsi="宋体" w:cs="宋体"/>
                <w:bCs/>
                <w:color w:val="auto"/>
                <w:spacing w:val="-6"/>
                <w:sz w:val="24"/>
                <w:szCs w:val="24"/>
              </w:rPr>
              <w:t>序号</w:t>
            </w:r>
          </w:p>
        </w:tc>
        <w:tc>
          <w:tcPr>
            <w:tcW w:w="1305" w:type="dxa"/>
            <w:tcBorders>
              <w:right w:val="single" w:color="000000" w:sz="4" w:space="0"/>
            </w:tcBorders>
            <w:vAlign w:val="center"/>
          </w:tcPr>
          <w:p w14:paraId="22F2A77F">
            <w:pPr>
              <w:spacing w:line="400" w:lineRule="exact"/>
              <w:jc w:val="center"/>
              <w:rPr>
                <w:rFonts w:ascii="宋体" w:hAnsi="宋体" w:cs="宋体"/>
                <w:bCs/>
                <w:color w:val="auto"/>
                <w:spacing w:val="-6"/>
                <w:sz w:val="24"/>
                <w:szCs w:val="24"/>
              </w:rPr>
            </w:pPr>
            <w:r>
              <w:rPr>
                <w:rFonts w:hint="eastAsia" w:ascii="宋体" w:hAnsi="宋体" w:cs="宋体"/>
                <w:bCs/>
                <w:color w:val="auto"/>
                <w:spacing w:val="-6"/>
                <w:sz w:val="24"/>
                <w:szCs w:val="24"/>
              </w:rPr>
              <w:t>项目名称</w:t>
            </w:r>
          </w:p>
        </w:tc>
        <w:tc>
          <w:tcPr>
            <w:tcW w:w="4155" w:type="dxa"/>
            <w:tcBorders>
              <w:right w:val="single" w:color="000000" w:sz="4" w:space="0"/>
            </w:tcBorders>
            <w:vAlign w:val="center"/>
          </w:tcPr>
          <w:p w14:paraId="7483E819">
            <w:pPr>
              <w:spacing w:line="400" w:lineRule="exact"/>
              <w:jc w:val="center"/>
              <w:rPr>
                <w:rFonts w:ascii="宋体" w:hAnsi="宋体" w:cs="宋体"/>
                <w:bCs/>
                <w:color w:val="auto"/>
                <w:spacing w:val="-6"/>
                <w:sz w:val="24"/>
                <w:szCs w:val="24"/>
              </w:rPr>
            </w:pPr>
            <w:r>
              <w:rPr>
                <w:rFonts w:hint="eastAsia" w:ascii="宋体" w:hAnsi="宋体" w:cs="宋体"/>
                <w:bCs/>
                <w:color w:val="auto"/>
                <w:spacing w:val="-6"/>
                <w:sz w:val="24"/>
                <w:szCs w:val="24"/>
              </w:rPr>
              <w:t>简述</w:t>
            </w:r>
          </w:p>
        </w:tc>
        <w:tc>
          <w:tcPr>
            <w:tcW w:w="1185" w:type="dxa"/>
            <w:tcBorders>
              <w:left w:val="single" w:color="000000" w:sz="4" w:space="0"/>
            </w:tcBorders>
            <w:vAlign w:val="center"/>
          </w:tcPr>
          <w:p w14:paraId="055EE9EB">
            <w:pPr>
              <w:spacing w:line="400" w:lineRule="exact"/>
              <w:jc w:val="center"/>
              <w:rPr>
                <w:rFonts w:ascii="宋体" w:hAnsi="宋体" w:cs="宋体"/>
                <w:bCs/>
                <w:color w:val="auto"/>
                <w:spacing w:val="-6"/>
                <w:sz w:val="24"/>
                <w:szCs w:val="24"/>
              </w:rPr>
            </w:pPr>
            <w:r>
              <w:rPr>
                <w:rFonts w:hint="eastAsia" w:ascii="宋体" w:hAnsi="宋体" w:cs="宋体"/>
                <w:bCs/>
                <w:color w:val="auto"/>
                <w:spacing w:val="-6"/>
                <w:sz w:val="24"/>
                <w:szCs w:val="24"/>
              </w:rPr>
              <w:t>服务期限</w:t>
            </w:r>
          </w:p>
        </w:tc>
        <w:tc>
          <w:tcPr>
            <w:tcW w:w="1921" w:type="dxa"/>
            <w:vAlign w:val="center"/>
          </w:tcPr>
          <w:p w14:paraId="3385F4BD">
            <w:pPr>
              <w:spacing w:line="400" w:lineRule="exact"/>
              <w:ind w:firstLine="211"/>
              <w:jc w:val="center"/>
              <w:rPr>
                <w:rFonts w:ascii="宋体" w:hAnsi="宋体" w:cs="宋体"/>
                <w:bCs/>
                <w:color w:val="auto"/>
                <w:spacing w:val="-6"/>
                <w:sz w:val="24"/>
                <w:szCs w:val="24"/>
              </w:rPr>
            </w:pPr>
            <w:r>
              <w:rPr>
                <w:rFonts w:hint="eastAsia" w:ascii="宋体" w:hAnsi="宋体" w:cs="宋体"/>
                <w:bCs/>
                <w:color w:val="auto"/>
                <w:spacing w:val="-6"/>
                <w:sz w:val="24"/>
                <w:szCs w:val="24"/>
              </w:rPr>
              <w:t>最高限价</w:t>
            </w:r>
          </w:p>
        </w:tc>
      </w:tr>
      <w:tr w14:paraId="3583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trPr>
        <w:tc>
          <w:tcPr>
            <w:tcW w:w="829" w:type="dxa"/>
            <w:vAlign w:val="center"/>
          </w:tcPr>
          <w:p w14:paraId="717DDFDF">
            <w:pPr>
              <w:spacing w:line="420" w:lineRule="exact"/>
              <w:jc w:val="center"/>
              <w:rPr>
                <w:rFonts w:ascii="宋体" w:hAnsi="宋体"/>
                <w:color w:val="auto"/>
                <w:sz w:val="24"/>
                <w:szCs w:val="24"/>
              </w:rPr>
            </w:pPr>
            <w:r>
              <w:rPr>
                <w:rFonts w:hint="eastAsia" w:ascii="宋体" w:hAnsi="宋体"/>
                <w:color w:val="auto"/>
                <w:sz w:val="24"/>
                <w:szCs w:val="24"/>
              </w:rPr>
              <w:t>1</w:t>
            </w:r>
          </w:p>
        </w:tc>
        <w:tc>
          <w:tcPr>
            <w:tcW w:w="1305" w:type="dxa"/>
            <w:tcBorders>
              <w:right w:val="single" w:color="000000" w:sz="4" w:space="0"/>
            </w:tcBorders>
            <w:vAlign w:val="center"/>
          </w:tcPr>
          <w:p w14:paraId="1BFB507F">
            <w:pPr>
              <w:spacing w:line="420" w:lineRule="exact"/>
              <w:jc w:val="center"/>
              <w:rPr>
                <w:rFonts w:ascii="宋体" w:hAnsi="宋体"/>
                <w:color w:val="auto"/>
                <w:sz w:val="24"/>
                <w:szCs w:val="24"/>
              </w:rPr>
            </w:pPr>
            <w:r>
              <w:rPr>
                <w:rFonts w:hint="eastAsia" w:ascii="宋体" w:hAnsi="宋体"/>
                <w:color w:val="auto"/>
                <w:sz w:val="24"/>
                <w:szCs w:val="24"/>
              </w:rPr>
              <w:t>杭州电子科技大学四害消杀服务</w:t>
            </w:r>
          </w:p>
        </w:tc>
        <w:tc>
          <w:tcPr>
            <w:tcW w:w="4155" w:type="dxa"/>
            <w:tcBorders>
              <w:right w:val="single" w:color="000000" w:sz="4" w:space="0"/>
            </w:tcBorders>
            <w:vAlign w:val="center"/>
          </w:tcPr>
          <w:p w14:paraId="65016158">
            <w:pPr>
              <w:spacing w:line="420" w:lineRule="exact"/>
              <w:jc w:val="center"/>
              <w:rPr>
                <w:rFonts w:ascii="宋体" w:hAnsi="宋体"/>
                <w:color w:val="auto"/>
                <w:sz w:val="24"/>
                <w:szCs w:val="24"/>
              </w:rPr>
            </w:pPr>
            <w:r>
              <w:rPr>
                <w:rFonts w:hint="eastAsia" w:ascii="宋体" w:hAnsi="宋体" w:cs="宋体"/>
                <w:color w:val="auto"/>
                <w:sz w:val="24"/>
              </w:rPr>
              <w:t>提供对下沙校区（含生活区）、文一校区、东岳校区、东校区及G区（研究生公寓）的室外环境；下沙校区（含生活区）、东校区及G区的室内环境（宿舍楼）的四害消杀服务。</w:t>
            </w:r>
          </w:p>
        </w:tc>
        <w:tc>
          <w:tcPr>
            <w:tcW w:w="1185" w:type="dxa"/>
            <w:tcBorders>
              <w:left w:val="single" w:color="000000" w:sz="4" w:space="0"/>
            </w:tcBorders>
            <w:vAlign w:val="center"/>
          </w:tcPr>
          <w:p w14:paraId="1EEDCFD2">
            <w:pPr>
              <w:spacing w:line="420" w:lineRule="exact"/>
              <w:jc w:val="center"/>
              <w:rPr>
                <w:rFonts w:hint="default" w:ascii="宋体" w:hAnsi="宋体" w:eastAsia="宋体"/>
                <w:color w:val="auto"/>
                <w:sz w:val="24"/>
                <w:szCs w:val="24"/>
                <w:lang w:val="en-US" w:eastAsia="zh-CN"/>
              </w:rPr>
            </w:pPr>
            <w:r>
              <w:rPr>
                <w:rFonts w:hint="eastAsia" w:ascii="宋体" w:hAnsi="宋体" w:cs="宋体"/>
                <w:color w:val="auto"/>
                <w:sz w:val="24"/>
                <w:lang w:val="en-US" w:eastAsia="zh-CN"/>
              </w:rPr>
              <w:t>3年</w:t>
            </w:r>
          </w:p>
        </w:tc>
        <w:tc>
          <w:tcPr>
            <w:tcW w:w="1921" w:type="dxa"/>
            <w:vAlign w:val="center"/>
          </w:tcPr>
          <w:p w14:paraId="7BA7133D">
            <w:pPr>
              <w:spacing w:line="420" w:lineRule="exact"/>
              <w:jc w:val="center"/>
              <w:rPr>
                <w:rFonts w:hint="eastAsia" w:ascii="宋体" w:hAnsi="宋体" w:cs="宋体"/>
                <w:color w:val="auto"/>
                <w:sz w:val="24"/>
                <w:lang w:val="en-US" w:eastAsia="zh-CN"/>
              </w:rPr>
            </w:pPr>
            <w:r>
              <w:rPr>
                <w:rFonts w:hint="eastAsia" w:ascii="宋体" w:hAnsi="宋体" w:cs="宋体"/>
                <w:color w:val="auto"/>
                <w:sz w:val="24"/>
              </w:rPr>
              <w:t>240000</w:t>
            </w:r>
            <w:r>
              <w:rPr>
                <w:rFonts w:hint="eastAsia" w:ascii="宋体" w:hAnsi="宋体" w:cs="宋体"/>
                <w:color w:val="auto"/>
                <w:sz w:val="24"/>
                <w:lang w:val="en-US" w:eastAsia="zh-CN"/>
              </w:rPr>
              <w:t>元</w:t>
            </w:r>
          </w:p>
          <w:p w14:paraId="02B84333">
            <w:pPr>
              <w:spacing w:line="420" w:lineRule="exact"/>
              <w:jc w:val="center"/>
              <w:rPr>
                <w:rFonts w:hint="eastAsia" w:ascii="宋体" w:hAnsi="宋体" w:eastAsia="宋体"/>
                <w:color w:val="auto"/>
                <w:sz w:val="24"/>
                <w:szCs w:val="24"/>
                <w:lang w:val="en-US" w:eastAsia="zh-CN"/>
              </w:rPr>
            </w:pPr>
            <w:r>
              <w:rPr>
                <w:rFonts w:hint="eastAsia" w:ascii="宋体" w:hAnsi="宋体" w:cs="宋体"/>
                <w:color w:val="auto"/>
                <w:sz w:val="24"/>
                <w:lang w:val="en-US" w:eastAsia="zh-CN"/>
              </w:rPr>
              <w:t>（80000元/年）</w:t>
            </w:r>
          </w:p>
        </w:tc>
      </w:tr>
    </w:tbl>
    <w:p w14:paraId="5DD32256">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52" w:name="_Toc22109_WPSOffice_Level2"/>
      <w:r>
        <w:rPr>
          <w:rFonts w:hint="eastAsia" w:asciiTheme="minorEastAsia" w:hAnsiTheme="minorEastAsia" w:eastAsiaTheme="minorEastAsia" w:cstheme="minorEastAsia"/>
          <w:b/>
          <w:bCs/>
          <w:color w:val="auto"/>
          <w:sz w:val="24"/>
          <w:szCs w:val="24"/>
        </w:rPr>
        <w:t>三、供应商的资格要求:</w:t>
      </w:r>
      <w:bookmarkEnd w:id="39"/>
      <w:bookmarkEnd w:id="40"/>
      <w:bookmarkEnd w:id="52"/>
    </w:p>
    <w:p w14:paraId="5F94CD8D">
      <w:pPr>
        <w:keepNext w:val="0"/>
        <w:keepLines w:val="0"/>
        <w:pageBreakBefore w:val="0"/>
        <w:widowControl/>
        <w:kinsoku/>
        <w:wordWrap/>
        <w:overflowPunct/>
        <w:topLinePunct w:val="0"/>
        <w:autoSpaceDE/>
        <w:autoSpaceDN/>
        <w:bidi w:val="0"/>
        <w:adjustRightInd/>
        <w:snapToGrid/>
        <w:spacing w:line="420" w:lineRule="exact"/>
        <w:ind w:right="60" w:firstLine="420" w:firstLineChars="175"/>
        <w:jc w:val="left"/>
        <w:textAlignment w:val="auto"/>
        <w:rPr>
          <w:rFonts w:ascii="宋体" w:hAnsi="宋体"/>
          <w:color w:val="auto"/>
          <w:sz w:val="24"/>
          <w:szCs w:val="24"/>
        </w:rPr>
      </w:pPr>
      <w:r>
        <w:rPr>
          <w:rFonts w:hint="eastAsia" w:ascii="宋体" w:hAnsi="宋体"/>
          <w:color w:val="auto"/>
          <w:sz w:val="24"/>
          <w:szCs w:val="24"/>
        </w:rPr>
        <w:t>1、</w:t>
      </w:r>
      <w:r>
        <w:rPr>
          <w:rFonts w:hint="eastAsia" w:hAnsi="宋体"/>
          <w:color w:val="auto"/>
          <w:sz w:val="24"/>
          <w:szCs w:val="24"/>
        </w:rPr>
        <w:t>满足《中华人民共和国政府采购法》第二十二条规定；未被“信用中国”（www.creditchina.gov.cn)、中国政府采购网（www.ccgp.gov.cn）列入失信被执行人、重大税收违法案件当事人名单、政府采购严重违法失信行为记录名单。</w:t>
      </w:r>
    </w:p>
    <w:p w14:paraId="118AA3F8">
      <w:pPr>
        <w:keepNext w:val="0"/>
        <w:keepLines w:val="0"/>
        <w:pageBreakBefore w:val="0"/>
        <w:widowControl/>
        <w:kinsoku/>
        <w:wordWrap/>
        <w:overflowPunct/>
        <w:topLinePunct w:val="0"/>
        <w:autoSpaceDE/>
        <w:autoSpaceDN/>
        <w:bidi w:val="0"/>
        <w:adjustRightInd/>
        <w:snapToGrid/>
        <w:spacing w:line="420" w:lineRule="exact"/>
        <w:ind w:right="60" w:firstLine="420" w:firstLineChars="175"/>
        <w:jc w:val="left"/>
        <w:textAlignment w:val="auto"/>
        <w:rPr>
          <w:rFonts w:hint="eastAsia" w:ascii="宋体" w:hAnsi="宋体"/>
          <w:color w:val="auto"/>
          <w:sz w:val="24"/>
          <w:szCs w:val="24"/>
        </w:rPr>
      </w:pPr>
      <w:bookmarkStart w:id="53" w:name="_Toc171394913"/>
      <w:r>
        <w:rPr>
          <w:rFonts w:hint="eastAsia" w:ascii="宋体" w:hAnsi="宋体"/>
          <w:color w:val="auto"/>
          <w:sz w:val="24"/>
          <w:szCs w:val="24"/>
        </w:rPr>
        <w:t>2.落实政府采购政策需满足的资格要求：本项目整体专门面向中小企业采购。监狱企业、残疾人福利性单位视同小型、微型企业。</w:t>
      </w:r>
    </w:p>
    <w:p w14:paraId="6D376FF4">
      <w:pPr>
        <w:keepNext w:val="0"/>
        <w:keepLines w:val="0"/>
        <w:pageBreakBefore w:val="0"/>
        <w:widowControl/>
        <w:kinsoku/>
        <w:wordWrap/>
        <w:overflowPunct/>
        <w:topLinePunct w:val="0"/>
        <w:autoSpaceDE/>
        <w:autoSpaceDN/>
        <w:bidi w:val="0"/>
        <w:adjustRightInd/>
        <w:snapToGrid/>
        <w:spacing w:line="420" w:lineRule="exact"/>
        <w:ind w:right="60" w:firstLine="420" w:firstLineChars="175"/>
        <w:jc w:val="left"/>
        <w:textAlignment w:val="auto"/>
        <w:rPr>
          <w:rFonts w:hint="eastAsia" w:ascii="宋体" w:hAnsi="宋体"/>
          <w:color w:val="auto"/>
          <w:sz w:val="24"/>
          <w:szCs w:val="24"/>
        </w:rPr>
      </w:pPr>
      <w:r>
        <w:rPr>
          <w:rFonts w:hint="eastAsia" w:ascii="宋体" w:hAnsi="宋体"/>
          <w:color w:val="auto"/>
          <w:sz w:val="24"/>
          <w:szCs w:val="24"/>
        </w:rPr>
        <w:t>3.本项目的特定资格要求：供应商</w:t>
      </w:r>
      <w:r>
        <w:rPr>
          <w:rFonts w:hint="eastAsia" w:ascii="宋体" w:hAnsi="宋体"/>
          <w:color w:val="auto"/>
          <w:sz w:val="24"/>
          <w:szCs w:val="24"/>
          <w:lang w:val="en-US" w:eastAsia="zh-CN"/>
        </w:rPr>
        <w:t>须</w:t>
      </w:r>
      <w:r>
        <w:rPr>
          <w:rFonts w:hint="eastAsia" w:ascii="宋体" w:hAnsi="宋体"/>
          <w:color w:val="auto"/>
          <w:sz w:val="24"/>
          <w:szCs w:val="24"/>
        </w:rPr>
        <w:t>提供杭州市卫生主管部门的浙江省病媒生物预防控制服务单位备案证明。</w:t>
      </w:r>
    </w:p>
    <w:p w14:paraId="665ED13D">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54" w:name="_Toc31736_WPSOffice_Level2"/>
      <w:r>
        <w:rPr>
          <w:rFonts w:hint="eastAsia" w:asciiTheme="minorEastAsia" w:hAnsiTheme="minorEastAsia" w:eastAsiaTheme="minorEastAsia" w:cstheme="minorEastAsia"/>
          <w:b/>
          <w:bCs/>
          <w:color w:val="auto"/>
          <w:sz w:val="24"/>
          <w:szCs w:val="24"/>
        </w:rPr>
        <w:t>四、竞争性磋商文件的获取：</w:t>
      </w:r>
      <w:bookmarkEnd w:id="54"/>
    </w:p>
    <w:p w14:paraId="084B76B0">
      <w:pPr>
        <w:spacing w:line="288" w:lineRule="auto"/>
        <w:ind w:left="29" w:leftChars="14" w:firstLine="444" w:firstLineChars="185"/>
        <w:rPr>
          <w:rFonts w:ascii="宋体" w:hAnsi="宋体"/>
          <w:color w:val="auto"/>
          <w:sz w:val="24"/>
          <w:szCs w:val="24"/>
        </w:rPr>
      </w:pPr>
      <w:r>
        <w:rPr>
          <w:rFonts w:hint="eastAsia" w:ascii="宋体" w:hAnsi="宋体"/>
          <w:color w:val="auto"/>
          <w:sz w:val="24"/>
          <w:szCs w:val="24"/>
        </w:rPr>
        <w:t>1.时间：</w:t>
      </w:r>
      <w:r>
        <w:rPr>
          <w:rFonts w:hint="eastAsia" w:ascii="宋体" w:hAnsi="宋体"/>
          <w:color w:val="auto"/>
          <w:sz w:val="24"/>
          <w:szCs w:val="24"/>
        </w:rPr>
        <w:t>202</w:t>
      </w:r>
      <w:r>
        <w:rPr>
          <w:rFonts w:hint="eastAsia" w:ascii="宋体" w:hAnsi="宋体"/>
          <w:color w:val="auto"/>
          <w:sz w:val="24"/>
          <w:szCs w:val="24"/>
          <w:lang w:val="en-US" w:eastAsia="zh-CN"/>
        </w:rPr>
        <w:t>6</w:t>
      </w:r>
      <w:r>
        <w:rPr>
          <w:rFonts w:hint="eastAsia" w:ascii="宋体" w:hAnsi="宋体"/>
          <w:color w:val="auto"/>
          <w:sz w:val="24"/>
          <w:szCs w:val="24"/>
        </w:rPr>
        <w:t>年</w:t>
      </w:r>
      <w:r>
        <w:rPr>
          <w:rFonts w:hint="default" w:ascii="宋体" w:hAnsi="宋体"/>
          <w:color w:val="auto"/>
          <w:sz w:val="24"/>
          <w:szCs w:val="24"/>
          <w:woUserID w:val="1"/>
        </w:rPr>
        <w:t>10</w:t>
      </w:r>
      <w:r>
        <w:rPr>
          <w:rFonts w:hint="eastAsia" w:ascii="宋体" w:hAnsi="宋体"/>
          <w:color w:val="auto"/>
          <w:sz w:val="24"/>
          <w:szCs w:val="24"/>
        </w:rPr>
        <w:t>月</w:t>
      </w:r>
      <w:r>
        <w:rPr>
          <w:rFonts w:hint="default" w:ascii="宋体" w:hAnsi="宋体"/>
          <w:color w:val="auto"/>
          <w:sz w:val="24"/>
          <w:szCs w:val="24"/>
          <w:woUserID w:val="1"/>
        </w:rPr>
        <w:t>27</w:t>
      </w:r>
      <w:r>
        <w:rPr>
          <w:rFonts w:hint="eastAsia" w:ascii="宋体" w:hAnsi="宋体"/>
          <w:color w:val="auto"/>
          <w:sz w:val="24"/>
          <w:szCs w:val="24"/>
        </w:rPr>
        <w:t>日至202</w:t>
      </w:r>
      <w:r>
        <w:rPr>
          <w:rFonts w:hint="eastAsia" w:ascii="宋体" w:hAnsi="宋体"/>
          <w:color w:val="auto"/>
          <w:sz w:val="24"/>
          <w:szCs w:val="24"/>
          <w:lang w:val="en-US" w:eastAsia="zh-CN"/>
        </w:rPr>
        <w:t>6</w:t>
      </w:r>
      <w:r>
        <w:rPr>
          <w:rFonts w:hint="eastAsia" w:ascii="宋体" w:hAnsi="宋体"/>
          <w:color w:val="auto"/>
          <w:sz w:val="24"/>
          <w:szCs w:val="24"/>
        </w:rPr>
        <w:t>年</w:t>
      </w:r>
      <w:r>
        <w:rPr>
          <w:rFonts w:hint="default" w:ascii="宋体" w:hAnsi="宋体"/>
          <w:color w:val="auto"/>
          <w:sz w:val="24"/>
          <w:szCs w:val="24"/>
          <w:woUserID w:val="1"/>
        </w:rPr>
        <w:t>11</w:t>
      </w:r>
      <w:r>
        <w:rPr>
          <w:rFonts w:hint="eastAsia" w:ascii="宋体" w:hAnsi="宋体"/>
          <w:color w:val="auto"/>
          <w:sz w:val="24"/>
          <w:szCs w:val="24"/>
        </w:rPr>
        <w:t>月</w:t>
      </w:r>
      <w:r>
        <w:rPr>
          <w:rFonts w:hint="default" w:ascii="宋体" w:hAnsi="宋体"/>
          <w:color w:val="auto"/>
          <w:sz w:val="24"/>
          <w:szCs w:val="24"/>
          <w:woUserID w:val="1"/>
        </w:rPr>
        <w:t>10</w:t>
      </w:r>
      <w:r>
        <w:rPr>
          <w:rFonts w:hint="eastAsia" w:ascii="宋体" w:hAnsi="宋体"/>
          <w:color w:val="auto"/>
          <w:sz w:val="24"/>
          <w:szCs w:val="24"/>
        </w:rPr>
        <w:t>日</w:t>
      </w:r>
      <w:r>
        <w:rPr>
          <w:rFonts w:hint="eastAsia" w:ascii="宋体" w:hAnsi="宋体"/>
          <w:color w:val="auto"/>
          <w:sz w:val="24"/>
          <w:szCs w:val="24"/>
        </w:rPr>
        <w:t>，上午00:00至12:00，下午12:00至23:59（北京时间，线上获取法定节假日均可，线下获取双休日及法定节假日除外）。</w:t>
      </w:r>
    </w:p>
    <w:p w14:paraId="2ACBF1CA">
      <w:pPr>
        <w:spacing w:line="288" w:lineRule="auto"/>
        <w:ind w:left="29" w:leftChars="14" w:firstLine="444" w:firstLineChars="185"/>
        <w:rPr>
          <w:rFonts w:ascii="宋体" w:hAnsi="宋体"/>
          <w:color w:val="auto"/>
          <w:sz w:val="24"/>
          <w:szCs w:val="24"/>
        </w:rPr>
      </w:pPr>
      <w:r>
        <w:rPr>
          <w:rFonts w:hint="eastAsia" w:ascii="宋体" w:hAnsi="宋体"/>
          <w:color w:val="auto"/>
          <w:sz w:val="24"/>
          <w:szCs w:val="24"/>
        </w:rPr>
        <w:t>2.地点（网址）：政府采购云平台（https://www.zcygov.cn）</w:t>
      </w:r>
    </w:p>
    <w:p w14:paraId="407E6B35">
      <w:pPr>
        <w:spacing w:line="288" w:lineRule="auto"/>
        <w:ind w:left="29" w:leftChars="14" w:firstLine="444" w:firstLineChars="185"/>
        <w:rPr>
          <w:rFonts w:ascii="宋体" w:hAnsi="宋体"/>
          <w:color w:val="auto"/>
          <w:sz w:val="24"/>
          <w:szCs w:val="24"/>
        </w:rPr>
      </w:pPr>
      <w:r>
        <w:rPr>
          <w:rFonts w:hint="eastAsia" w:ascii="宋体" w:hAnsi="宋体"/>
          <w:color w:val="auto"/>
          <w:sz w:val="24"/>
          <w:szCs w:val="24"/>
        </w:rPr>
        <w:t>3.方式：供应商登录政采云平台（https://www.zcygov.cn）在线申请获取采购文件（进入“</w:t>
      </w:r>
      <w:r>
        <w:rPr>
          <w:rFonts w:hint="eastAsia" w:ascii="宋体" w:hAnsi="宋体"/>
          <w:color w:val="auto"/>
          <w:sz w:val="24"/>
          <w:szCs w:val="24"/>
        </w:rPr>
        <w:t>项目采购”应用，在获取采购文件菜单中选择项目，申请获取采购文件。</w:t>
      </w:r>
    </w:p>
    <w:p w14:paraId="33F5D4FD">
      <w:pPr>
        <w:spacing w:line="288" w:lineRule="auto"/>
        <w:ind w:left="29" w:leftChars="14" w:firstLine="444" w:firstLineChars="185"/>
        <w:rPr>
          <w:rFonts w:ascii="宋体" w:hAnsi="宋体"/>
          <w:color w:val="auto"/>
          <w:sz w:val="24"/>
          <w:szCs w:val="24"/>
        </w:rPr>
      </w:pPr>
      <w:r>
        <w:rPr>
          <w:rFonts w:hint="eastAsia" w:ascii="宋体" w:hAnsi="宋体"/>
          <w:color w:val="auto"/>
          <w:sz w:val="24"/>
          <w:szCs w:val="24"/>
        </w:rPr>
        <w:t>4、获取文件联系人：</w:t>
      </w:r>
      <w:r>
        <w:rPr>
          <w:rFonts w:hint="eastAsia" w:ascii="宋体" w:hAnsi="宋体"/>
          <w:color w:val="auto"/>
          <w:sz w:val="24"/>
          <w:szCs w:val="24"/>
          <w:lang w:val="en-US" w:eastAsia="zh-CN"/>
        </w:rPr>
        <w:t>施</w:t>
      </w:r>
      <w:r>
        <w:rPr>
          <w:rFonts w:hint="eastAsia" w:ascii="宋体" w:hAnsi="宋体"/>
          <w:color w:val="auto"/>
          <w:sz w:val="24"/>
          <w:szCs w:val="24"/>
        </w:rPr>
        <w:t>老师；联系方式：0571-87713548。</w:t>
      </w:r>
    </w:p>
    <w:p w14:paraId="08FF7994">
      <w:pPr>
        <w:spacing w:line="288" w:lineRule="auto"/>
        <w:ind w:left="29" w:leftChars="14" w:firstLine="444" w:firstLineChars="185"/>
        <w:rPr>
          <w:rFonts w:ascii="宋体" w:hAnsi="宋体"/>
          <w:color w:val="auto"/>
          <w:sz w:val="24"/>
          <w:szCs w:val="24"/>
        </w:rPr>
      </w:pPr>
      <w:r>
        <w:rPr>
          <w:rFonts w:hint="eastAsia" w:ascii="宋体" w:hAnsi="宋体"/>
          <w:color w:val="auto"/>
          <w:sz w:val="24"/>
          <w:szCs w:val="24"/>
        </w:rPr>
        <w:t>5.</w:t>
      </w:r>
      <w:r>
        <w:rPr>
          <w:rFonts w:hint="eastAsia" w:ascii="宋体" w:hAnsi="宋体"/>
          <w:color w:val="auto"/>
          <w:sz w:val="24"/>
          <w:szCs w:val="24"/>
          <w:lang w:val="en-US" w:eastAsia="zh-CN"/>
        </w:rPr>
        <w:t>响应方</w:t>
      </w:r>
      <w:r>
        <w:rPr>
          <w:rFonts w:hint="eastAsia" w:ascii="宋体" w:hAnsi="宋体"/>
          <w:color w:val="auto"/>
          <w:sz w:val="24"/>
          <w:szCs w:val="24"/>
        </w:rPr>
        <w:t>未按照本公告规定的方式获取文件的，</w:t>
      </w:r>
      <w:r>
        <w:rPr>
          <w:rFonts w:hint="eastAsia" w:ascii="宋体" w:hAnsi="宋体"/>
          <w:color w:val="auto"/>
          <w:sz w:val="24"/>
          <w:szCs w:val="24"/>
          <w:lang w:val="en-US" w:eastAsia="zh-CN"/>
        </w:rPr>
        <w:t>响应</w:t>
      </w:r>
      <w:r>
        <w:rPr>
          <w:rFonts w:hint="eastAsia" w:ascii="宋体" w:hAnsi="宋体"/>
          <w:color w:val="auto"/>
          <w:sz w:val="24"/>
          <w:szCs w:val="24"/>
        </w:rPr>
        <w:t>文件将被拒绝</w:t>
      </w:r>
      <w:r>
        <w:rPr>
          <w:rFonts w:hint="eastAsia" w:ascii="宋体" w:hAnsi="宋体"/>
          <w:color w:val="auto"/>
          <w:sz w:val="24"/>
          <w:szCs w:val="24"/>
        </w:rPr>
        <w:t>。</w:t>
      </w:r>
    </w:p>
    <w:p w14:paraId="5CBBFF24">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val="0"/>
          <w:bCs w:val="0"/>
          <w:color w:val="auto"/>
          <w:sz w:val="24"/>
          <w:szCs w:val="24"/>
        </w:rPr>
      </w:pPr>
      <w:bookmarkStart w:id="55" w:name="_Toc28046_WPSOffice_Level2"/>
      <w:r>
        <w:rPr>
          <w:rFonts w:hint="eastAsia" w:asciiTheme="minorEastAsia" w:hAnsiTheme="minorEastAsia" w:eastAsiaTheme="minorEastAsia" w:cstheme="minorEastAsia"/>
          <w:b/>
          <w:bCs/>
          <w:color w:val="auto"/>
          <w:sz w:val="24"/>
          <w:szCs w:val="24"/>
        </w:rPr>
        <w:t>五、磋商保证金(人民币)：</w:t>
      </w:r>
      <w:r>
        <w:rPr>
          <w:rFonts w:hint="eastAsia" w:asciiTheme="minorEastAsia" w:hAnsiTheme="minorEastAsia" w:eastAsiaTheme="minorEastAsia" w:cstheme="minorEastAsia"/>
          <w:b w:val="0"/>
          <w:bCs w:val="0"/>
          <w:color w:val="auto"/>
          <w:sz w:val="24"/>
          <w:szCs w:val="24"/>
        </w:rPr>
        <w:t>0元。</w:t>
      </w:r>
      <w:bookmarkEnd w:id="55"/>
    </w:p>
    <w:p w14:paraId="54E77688">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56" w:name="_Toc23880_WPSOffice_Level2"/>
      <w:r>
        <w:rPr>
          <w:rFonts w:hint="eastAsia" w:asciiTheme="minorEastAsia" w:hAnsiTheme="minorEastAsia" w:eastAsiaTheme="minorEastAsia" w:cstheme="minorEastAsia"/>
          <w:b/>
          <w:bCs/>
          <w:color w:val="auto"/>
          <w:sz w:val="24"/>
          <w:szCs w:val="24"/>
        </w:rPr>
        <w:t>六、响应文件提交（上传）</w:t>
      </w:r>
      <w:bookmarkEnd w:id="56"/>
    </w:p>
    <w:p w14:paraId="4B6A9ACF">
      <w:pPr>
        <w:keepNext w:val="0"/>
        <w:keepLines w:val="0"/>
        <w:pageBreakBefore w:val="0"/>
        <w:widowControl/>
        <w:kinsoku/>
        <w:wordWrap/>
        <w:overflowPunct/>
        <w:topLinePunct w:val="0"/>
        <w:autoSpaceDE/>
        <w:autoSpaceDN/>
        <w:bidi w:val="0"/>
        <w:adjustRightInd/>
        <w:snapToGrid/>
        <w:spacing w:line="420" w:lineRule="exact"/>
        <w:ind w:right="60" w:firstLine="420" w:firstLineChars="175"/>
        <w:jc w:val="left"/>
        <w:textAlignment w:val="auto"/>
        <w:rPr>
          <w:rFonts w:hint="eastAsia" w:ascii="宋体" w:hAnsi="宋体"/>
          <w:b/>
          <w:bCs/>
          <w:color w:val="auto"/>
          <w:sz w:val="24"/>
          <w:szCs w:val="24"/>
        </w:rPr>
      </w:pPr>
      <w:r>
        <w:rPr>
          <w:rFonts w:hint="eastAsia" w:ascii="宋体" w:hAnsi="宋体"/>
          <w:color w:val="auto"/>
          <w:sz w:val="24"/>
          <w:szCs w:val="24"/>
        </w:rPr>
        <w:t>截止时间：</w:t>
      </w:r>
      <w:r>
        <w:rPr>
          <w:rFonts w:hint="eastAsia" w:ascii="宋体" w:hAnsi="宋体"/>
          <w:b/>
          <w:bCs/>
          <w:color w:val="auto"/>
          <w:sz w:val="24"/>
          <w:szCs w:val="24"/>
        </w:rPr>
        <w:t>202</w:t>
      </w:r>
      <w:r>
        <w:rPr>
          <w:rFonts w:hint="eastAsia" w:ascii="宋体" w:hAnsi="宋体"/>
          <w:b/>
          <w:bCs/>
          <w:color w:val="auto"/>
          <w:sz w:val="24"/>
          <w:szCs w:val="24"/>
          <w:lang w:val="en-US" w:eastAsia="zh-CN"/>
        </w:rPr>
        <w:t>6</w:t>
      </w:r>
      <w:r>
        <w:rPr>
          <w:rFonts w:hint="eastAsia" w:ascii="宋体" w:hAnsi="宋体"/>
          <w:b/>
          <w:bCs/>
          <w:color w:val="auto"/>
          <w:sz w:val="24"/>
          <w:szCs w:val="24"/>
        </w:rPr>
        <w:t>年</w:t>
      </w:r>
      <w:r>
        <w:rPr>
          <w:rFonts w:hint="default" w:ascii="宋体" w:hAnsi="宋体"/>
          <w:b/>
          <w:bCs/>
          <w:color w:val="auto"/>
          <w:sz w:val="24"/>
          <w:szCs w:val="24"/>
          <w:woUserID w:val="1"/>
        </w:rPr>
        <w:t>11</w:t>
      </w:r>
      <w:r>
        <w:rPr>
          <w:rFonts w:hint="eastAsia" w:ascii="宋体" w:hAnsi="宋体"/>
          <w:b/>
          <w:bCs/>
          <w:color w:val="auto"/>
          <w:sz w:val="24"/>
          <w:szCs w:val="24"/>
        </w:rPr>
        <w:t>月</w:t>
      </w:r>
      <w:r>
        <w:rPr>
          <w:rFonts w:hint="default" w:ascii="宋体" w:hAnsi="宋体"/>
          <w:b/>
          <w:bCs/>
          <w:color w:val="auto"/>
          <w:sz w:val="24"/>
          <w:szCs w:val="24"/>
          <w:woUserID w:val="1"/>
        </w:rPr>
        <w:t>10</w:t>
      </w:r>
      <w:r>
        <w:rPr>
          <w:rFonts w:hint="eastAsia" w:ascii="宋体" w:hAnsi="宋体"/>
          <w:b/>
          <w:bCs/>
          <w:color w:val="auto"/>
          <w:sz w:val="24"/>
          <w:szCs w:val="24"/>
        </w:rPr>
        <w:t>日</w:t>
      </w:r>
      <w:r>
        <w:rPr>
          <w:rFonts w:hint="eastAsia" w:ascii="宋体" w:hAnsi="宋体"/>
          <w:b/>
          <w:bCs/>
          <w:color w:val="auto"/>
          <w:sz w:val="24"/>
          <w:szCs w:val="24"/>
        </w:rPr>
        <w:t xml:space="preserve">上午9时整 </w:t>
      </w:r>
    </w:p>
    <w:p w14:paraId="721512C3">
      <w:pPr>
        <w:keepNext w:val="0"/>
        <w:keepLines w:val="0"/>
        <w:pageBreakBefore w:val="0"/>
        <w:widowControl/>
        <w:kinsoku/>
        <w:wordWrap/>
        <w:overflowPunct/>
        <w:topLinePunct w:val="0"/>
        <w:autoSpaceDE/>
        <w:autoSpaceDN/>
        <w:bidi w:val="0"/>
        <w:adjustRightInd/>
        <w:snapToGrid/>
        <w:spacing w:line="420" w:lineRule="exact"/>
        <w:ind w:right="60" w:firstLine="420" w:firstLineChars="175"/>
        <w:jc w:val="left"/>
        <w:textAlignment w:val="auto"/>
        <w:rPr>
          <w:rFonts w:hint="eastAsia" w:ascii="宋体" w:hAnsi="宋体"/>
          <w:color w:val="auto"/>
          <w:sz w:val="24"/>
          <w:szCs w:val="24"/>
        </w:rPr>
      </w:pPr>
      <w:r>
        <w:rPr>
          <w:rFonts w:hint="eastAsia" w:ascii="宋体" w:hAnsi="宋体"/>
          <w:color w:val="auto"/>
          <w:sz w:val="24"/>
          <w:szCs w:val="24"/>
        </w:rPr>
        <w:t>地点（网址）：政府采购云平台（https://login.zcygov.cn）</w:t>
      </w:r>
    </w:p>
    <w:p w14:paraId="73516ED2">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57" w:name="_Toc15771_WPSOffice_Level2"/>
      <w:r>
        <w:rPr>
          <w:rFonts w:hint="eastAsia" w:asciiTheme="minorEastAsia" w:hAnsiTheme="minorEastAsia" w:eastAsiaTheme="minorEastAsia" w:cstheme="minorEastAsia"/>
          <w:b/>
          <w:bCs/>
          <w:color w:val="auto"/>
          <w:sz w:val="24"/>
          <w:szCs w:val="24"/>
        </w:rPr>
        <w:t>七、响应文件开启</w:t>
      </w:r>
      <w:bookmarkEnd w:id="57"/>
    </w:p>
    <w:p w14:paraId="74CC2E27">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175"/>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开启时间：</w:t>
      </w:r>
      <w:r>
        <w:rPr>
          <w:rFonts w:hint="eastAsia" w:ascii="宋体" w:hAnsi="宋体"/>
          <w:b/>
          <w:bCs/>
          <w:color w:val="auto"/>
          <w:sz w:val="24"/>
          <w:szCs w:val="24"/>
          <w:lang w:val="en-US" w:eastAsia="zh-CN"/>
        </w:rPr>
        <w:t>2026年</w:t>
      </w:r>
      <w:r>
        <w:rPr>
          <w:rFonts w:hint="default" w:ascii="宋体" w:hAnsi="宋体"/>
          <w:b/>
          <w:bCs/>
          <w:color w:val="auto"/>
          <w:sz w:val="24"/>
          <w:szCs w:val="24"/>
          <w:lang w:eastAsia="zh-CN"/>
          <w:woUserID w:val="1"/>
        </w:rPr>
        <w:t>11</w:t>
      </w:r>
      <w:r>
        <w:rPr>
          <w:rFonts w:hint="eastAsia" w:ascii="宋体" w:hAnsi="宋体"/>
          <w:b/>
          <w:bCs/>
          <w:color w:val="auto"/>
          <w:sz w:val="24"/>
          <w:szCs w:val="24"/>
          <w:lang w:val="en-US" w:eastAsia="zh-CN"/>
        </w:rPr>
        <w:t>月</w:t>
      </w:r>
      <w:r>
        <w:rPr>
          <w:rFonts w:hint="default" w:ascii="宋体" w:hAnsi="宋体"/>
          <w:b/>
          <w:bCs/>
          <w:color w:val="auto"/>
          <w:sz w:val="24"/>
          <w:szCs w:val="24"/>
          <w:lang w:eastAsia="zh-CN"/>
          <w:woUserID w:val="1"/>
        </w:rPr>
        <w:t>10</w:t>
      </w:r>
      <w:r>
        <w:rPr>
          <w:rFonts w:hint="eastAsia" w:ascii="宋体" w:hAnsi="宋体"/>
          <w:b/>
          <w:bCs/>
          <w:color w:val="auto"/>
          <w:sz w:val="24"/>
          <w:szCs w:val="24"/>
          <w:lang w:val="en-US" w:eastAsia="zh-CN"/>
        </w:rPr>
        <w:t>日</w:t>
      </w:r>
      <w:r>
        <w:rPr>
          <w:rFonts w:hint="eastAsia" w:ascii="宋体" w:hAnsi="宋体"/>
          <w:b/>
          <w:bCs/>
          <w:color w:val="auto"/>
          <w:sz w:val="24"/>
          <w:szCs w:val="24"/>
          <w:lang w:val="en-US" w:eastAsia="zh-CN"/>
        </w:rPr>
        <w:t xml:space="preserve">上午9时整 </w:t>
      </w:r>
    </w:p>
    <w:p w14:paraId="71AE7879">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175"/>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地点（网址）：</w:t>
      </w:r>
      <w:r>
        <w:rPr>
          <w:rFonts w:hint="eastAsia" w:asciiTheme="minorEastAsia" w:hAnsiTheme="minorEastAsia" w:eastAsiaTheme="minorEastAsia" w:cstheme="minorEastAsia"/>
          <w:color w:val="auto"/>
          <w:sz w:val="24"/>
          <w:szCs w:val="24"/>
        </w:rPr>
        <w:t>政府采购云平台（https://login.zcygov.cn）/杭州电子科技大学下沙校区行政楼 805开标室（杭州下沙高教园区二号大街1158号，2号路和3号路交界）</w:t>
      </w:r>
    </w:p>
    <w:p w14:paraId="0CCB335F">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58" w:name="_Toc22353_WPSOffice_Level2"/>
      <w:r>
        <w:rPr>
          <w:rFonts w:hint="eastAsia" w:asciiTheme="minorEastAsia" w:hAnsiTheme="minorEastAsia" w:eastAsiaTheme="minorEastAsia" w:cstheme="minorEastAsia"/>
          <w:b/>
          <w:bCs/>
          <w:color w:val="auto"/>
          <w:sz w:val="24"/>
          <w:szCs w:val="24"/>
          <w:lang w:val="en-US" w:eastAsia="zh-CN"/>
        </w:rPr>
        <w:t>八</w:t>
      </w:r>
      <w:r>
        <w:rPr>
          <w:rFonts w:hint="eastAsia" w:asciiTheme="minorEastAsia" w:hAnsiTheme="minorEastAsia" w:eastAsiaTheme="minorEastAsia" w:cstheme="minorEastAsia"/>
          <w:b/>
          <w:bCs/>
          <w:color w:val="auto"/>
          <w:sz w:val="24"/>
          <w:szCs w:val="24"/>
        </w:rPr>
        <w:t>、</w:t>
      </w:r>
      <w:bookmarkStart w:id="59" w:name="OLE_LINK5"/>
      <w:r>
        <w:rPr>
          <w:rFonts w:hint="eastAsia" w:asciiTheme="minorEastAsia" w:hAnsiTheme="minorEastAsia" w:eastAsiaTheme="minorEastAsia" w:cstheme="minorEastAsia"/>
          <w:b/>
          <w:bCs/>
          <w:color w:val="auto"/>
          <w:sz w:val="24"/>
          <w:szCs w:val="24"/>
        </w:rPr>
        <w:t>公告期限</w:t>
      </w:r>
      <w:bookmarkEnd w:id="58"/>
      <w:bookmarkEnd w:id="59"/>
    </w:p>
    <w:p w14:paraId="143EEEE5">
      <w:pPr>
        <w:widowControl/>
        <w:spacing w:line="288" w:lineRule="auto"/>
        <w:ind w:firstLine="480" w:firstLineChars="200"/>
        <w:jc w:val="left"/>
        <w:rPr>
          <w:rFonts w:hint="eastAsia" w:ascii="宋体" w:hAnsi="宋体"/>
          <w:color w:val="auto"/>
          <w:sz w:val="24"/>
          <w:szCs w:val="24"/>
        </w:rPr>
      </w:pPr>
      <w:r>
        <w:rPr>
          <w:rFonts w:hint="eastAsia" w:ascii="宋体" w:hAnsi="宋体"/>
          <w:color w:val="auto"/>
          <w:sz w:val="24"/>
          <w:szCs w:val="24"/>
        </w:rPr>
        <w:t>自本公告发布之日起3个工作日。</w:t>
      </w:r>
    </w:p>
    <w:p w14:paraId="34FE4434">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rFonts w:hint="eastAsia" w:asciiTheme="minorEastAsia" w:hAnsiTheme="minorEastAsia" w:eastAsiaTheme="minorEastAsia" w:cstheme="minorEastAsia"/>
          <w:b/>
          <w:bCs/>
          <w:color w:val="auto"/>
          <w:sz w:val="24"/>
          <w:szCs w:val="24"/>
        </w:rPr>
      </w:pPr>
      <w:bookmarkStart w:id="60" w:name="_Toc16019_WPSOffice_Level2"/>
      <w:r>
        <w:rPr>
          <w:rFonts w:hint="eastAsia" w:asciiTheme="minorEastAsia" w:hAnsiTheme="minorEastAsia" w:eastAsiaTheme="minorEastAsia" w:cstheme="minorEastAsia"/>
          <w:b/>
          <w:bCs/>
          <w:color w:val="auto"/>
          <w:sz w:val="24"/>
          <w:szCs w:val="24"/>
          <w:lang w:val="en-US" w:eastAsia="zh-CN"/>
        </w:rPr>
        <w:t>九</w:t>
      </w:r>
      <w:r>
        <w:rPr>
          <w:rFonts w:hint="eastAsia" w:asciiTheme="minorEastAsia" w:hAnsiTheme="minorEastAsia" w:eastAsiaTheme="minorEastAsia" w:cstheme="minorEastAsia"/>
          <w:b/>
          <w:bCs/>
          <w:color w:val="auto"/>
          <w:sz w:val="24"/>
          <w:szCs w:val="24"/>
        </w:rPr>
        <w:t>、联系方式</w:t>
      </w:r>
      <w:bookmarkEnd w:id="60"/>
    </w:p>
    <w:p w14:paraId="3E61F2F6">
      <w:pPr>
        <w:widowControl/>
        <w:spacing w:line="288" w:lineRule="auto"/>
        <w:ind w:firstLine="480" w:firstLineChars="200"/>
        <w:jc w:val="left"/>
        <w:rPr>
          <w:rFonts w:ascii="宋体"/>
          <w:color w:val="auto"/>
          <w:sz w:val="24"/>
          <w:szCs w:val="24"/>
        </w:rPr>
      </w:pPr>
      <w:r>
        <w:rPr>
          <w:rFonts w:hint="eastAsia" w:ascii="宋体" w:hAnsi="宋体"/>
          <w:color w:val="auto"/>
          <w:sz w:val="24"/>
          <w:szCs w:val="24"/>
        </w:rPr>
        <w:t>采购人：</w:t>
      </w:r>
      <w:r>
        <w:rPr>
          <w:rFonts w:hint="eastAsia" w:ascii="宋体" w:hAnsi="宋体"/>
          <w:color w:val="auto"/>
          <w:sz w:val="24"/>
          <w:szCs w:val="24"/>
        </w:rPr>
        <w:t>杭州电子科技大学</w:t>
      </w:r>
    </w:p>
    <w:p w14:paraId="48E53F2B">
      <w:pPr>
        <w:widowControl/>
        <w:spacing w:line="288" w:lineRule="auto"/>
        <w:ind w:firstLine="480" w:firstLineChars="200"/>
        <w:jc w:val="left"/>
        <w:rPr>
          <w:rFonts w:hint="eastAsia" w:ascii="宋体" w:eastAsia="宋体"/>
          <w:color w:val="auto"/>
          <w:sz w:val="24"/>
          <w:szCs w:val="24"/>
          <w:lang w:val="en-US" w:eastAsia="zh-CN"/>
        </w:rPr>
      </w:pPr>
      <w:r>
        <w:rPr>
          <w:rFonts w:hint="eastAsia" w:ascii="宋体" w:hAnsi="宋体"/>
          <w:color w:val="auto"/>
          <w:sz w:val="24"/>
          <w:szCs w:val="24"/>
        </w:rPr>
        <w:t>采购需求联系人：</w:t>
      </w:r>
      <w:r>
        <w:rPr>
          <w:rFonts w:hint="eastAsia"/>
          <w:color w:val="auto"/>
          <w:sz w:val="24"/>
          <w:u w:val="single"/>
        </w:rPr>
        <w:t xml:space="preserve"> 陈</w:t>
      </w:r>
      <w:r>
        <w:rPr>
          <w:rFonts w:hint="eastAsia" w:ascii="宋体" w:hAnsi="宋体"/>
          <w:color w:val="auto"/>
          <w:sz w:val="24"/>
          <w:szCs w:val="24"/>
          <w:u w:val="single"/>
        </w:rPr>
        <w:t xml:space="preserve">老师 </w:t>
      </w:r>
      <w:r>
        <w:rPr>
          <w:rFonts w:hint="eastAsia" w:ascii="宋体" w:hAnsi="宋体"/>
          <w:color w:val="auto"/>
          <w:sz w:val="24"/>
          <w:szCs w:val="24"/>
        </w:rPr>
        <w:t xml:space="preserve"> ， 电话：</w:t>
      </w:r>
      <w:r>
        <w:rPr>
          <w:rFonts w:hint="eastAsia" w:ascii="宋体" w:hAnsi="宋体"/>
          <w:color w:val="auto"/>
          <w:sz w:val="24"/>
          <w:szCs w:val="24"/>
          <w:u w:val="single"/>
        </w:rPr>
        <w:t xml:space="preserve"> 18257139588</w:t>
      </w:r>
      <w:r>
        <w:rPr>
          <w:rFonts w:hint="eastAsia" w:ascii="宋体" w:hAnsi="宋体"/>
          <w:color w:val="auto"/>
          <w:sz w:val="24"/>
          <w:szCs w:val="24"/>
          <w:u w:val="single"/>
          <w:lang w:eastAsia="zh-CN"/>
        </w:rPr>
        <w:t>，</w:t>
      </w:r>
      <w:r>
        <w:rPr>
          <w:rFonts w:hint="eastAsia" w:ascii="宋体" w:hAnsi="宋体"/>
          <w:color w:val="auto"/>
          <w:sz w:val="24"/>
          <w:szCs w:val="24"/>
          <w:u w:val="single"/>
        </w:rPr>
        <w:t>0571-86919284</w:t>
      </w:r>
      <w:r>
        <w:rPr>
          <w:rFonts w:hint="eastAsia" w:ascii="宋体" w:hAnsi="宋体"/>
          <w:color w:val="auto"/>
          <w:sz w:val="24"/>
          <w:szCs w:val="24"/>
          <w:u w:val="single"/>
          <w:lang w:val="en-US" w:eastAsia="zh-CN"/>
        </w:rPr>
        <w:t xml:space="preserve"> </w:t>
      </w:r>
    </w:p>
    <w:p w14:paraId="6D4B06F9">
      <w:pPr>
        <w:widowControl/>
        <w:spacing w:line="288" w:lineRule="auto"/>
        <w:ind w:firstLine="480" w:firstLineChars="200"/>
        <w:jc w:val="left"/>
        <w:rPr>
          <w:rFonts w:ascii="宋体"/>
          <w:color w:val="auto"/>
          <w:sz w:val="24"/>
          <w:szCs w:val="24"/>
        </w:rPr>
      </w:pPr>
      <w:r>
        <w:rPr>
          <w:rFonts w:hint="eastAsia" w:ascii="宋体" w:hAnsi="宋体"/>
          <w:color w:val="auto"/>
          <w:sz w:val="24"/>
          <w:szCs w:val="24"/>
        </w:rPr>
        <w:t>采购机构名称：杭州电子科技大学采购中心</w:t>
      </w:r>
      <w:r>
        <w:rPr>
          <w:rFonts w:ascii="宋体" w:hAnsi="宋体"/>
          <w:color w:val="auto"/>
          <w:sz w:val="24"/>
          <w:szCs w:val="24"/>
        </w:rPr>
        <w:t xml:space="preserve"> </w:t>
      </w:r>
    </w:p>
    <w:p w14:paraId="77E3B918">
      <w:pPr>
        <w:widowControl/>
        <w:spacing w:line="288" w:lineRule="auto"/>
        <w:ind w:firstLine="480" w:firstLineChars="200"/>
        <w:jc w:val="left"/>
        <w:rPr>
          <w:rFonts w:ascii="宋体"/>
          <w:color w:val="auto"/>
          <w:sz w:val="24"/>
          <w:szCs w:val="24"/>
        </w:rPr>
      </w:pPr>
      <w:r>
        <w:rPr>
          <w:rFonts w:hint="eastAsia" w:ascii="宋体" w:hAnsi="宋体"/>
          <w:color w:val="auto"/>
          <w:sz w:val="24"/>
          <w:szCs w:val="24"/>
        </w:rPr>
        <w:t>地点：杭州电子科技大学行政楼</w:t>
      </w:r>
      <w:r>
        <w:rPr>
          <w:rFonts w:ascii="宋体" w:hAnsi="宋体"/>
          <w:color w:val="auto"/>
          <w:sz w:val="24"/>
          <w:szCs w:val="24"/>
          <w:u w:val="single"/>
        </w:rPr>
        <w:t xml:space="preserve"> 9</w:t>
      </w:r>
      <w:r>
        <w:rPr>
          <w:rFonts w:hint="eastAsia" w:ascii="宋体" w:hAnsi="宋体"/>
          <w:color w:val="auto"/>
          <w:sz w:val="24"/>
          <w:szCs w:val="24"/>
          <w:u w:val="single"/>
          <w:lang w:val="en-US" w:eastAsia="zh-CN"/>
        </w:rPr>
        <w:t>08、913</w:t>
      </w:r>
      <w:r>
        <w:rPr>
          <w:rFonts w:hint="eastAsia" w:ascii="宋体" w:hAnsi="宋体"/>
          <w:color w:val="auto"/>
          <w:sz w:val="24"/>
          <w:szCs w:val="24"/>
        </w:rPr>
        <w:t>室</w:t>
      </w:r>
      <w:r>
        <w:rPr>
          <w:rFonts w:ascii="宋体" w:hAnsi="宋体"/>
          <w:color w:val="auto"/>
          <w:sz w:val="24"/>
          <w:szCs w:val="24"/>
        </w:rPr>
        <w:t xml:space="preserve"> </w:t>
      </w:r>
    </w:p>
    <w:p w14:paraId="3F134E33">
      <w:pPr>
        <w:widowControl/>
        <w:spacing w:line="288" w:lineRule="auto"/>
        <w:ind w:firstLine="480" w:firstLineChars="200"/>
        <w:jc w:val="left"/>
        <w:rPr>
          <w:rFonts w:hint="default" w:ascii="宋体" w:hAnsi="宋体" w:eastAsia="宋体"/>
          <w:color w:val="auto"/>
          <w:sz w:val="24"/>
          <w:szCs w:val="24"/>
          <w:u w:val="single"/>
          <w:lang w:val="en-US" w:eastAsia="zh-CN"/>
        </w:rPr>
      </w:pPr>
      <w:r>
        <w:rPr>
          <w:rFonts w:hint="eastAsia" w:ascii="宋体" w:hAnsi="宋体"/>
          <w:color w:val="auto"/>
          <w:sz w:val="24"/>
          <w:szCs w:val="24"/>
        </w:rPr>
        <w:t>业务联系人：</w:t>
      </w:r>
      <w:r>
        <w:rPr>
          <w:rFonts w:ascii="宋体" w:hAnsi="宋体"/>
          <w:color w:val="auto"/>
          <w:sz w:val="24"/>
          <w:szCs w:val="24"/>
          <w:u w:val="single"/>
        </w:rPr>
        <w:t xml:space="preserve">  </w:t>
      </w:r>
      <w:r>
        <w:rPr>
          <w:rFonts w:hint="eastAsia" w:ascii="宋体" w:hAnsi="宋体"/>
          <w:color w:val="auto"/>
          <w:sz w:val="24"/>
          <w:szCs w:val="24"/>
          <w:u w:val="single"/>
          <w:lang w:val="en-US" w:eastAsia="zh-CN"/>
        </w:rPr>
        <w:t>施</w:t>
      </w:r>
      <w:r>
        <w:rPr>
          <w:rFonts w:hint="eastAsia" w:ascii="宋体" w:hAnsi="宋体"/>
          <w:color w:val="auto"/>
          <w:sz w:val="24"/>
          <w:szCs w:val="24"/>
          <w:u w:val="single"/>
        </w:rPr>
        <w:t>老师</w:t>
      </w:r>
      <w:r>
        <w:rPr>
          <w:rFonts w:ascii="宋体" w:hAnsi="宋体"/>
          <w:color w:val="auto"/>
          <w:sz w:val="24"/>
          <w:szCs w:val="24"/>
          <w:u w:val="single"/>
        </w:rPr>
        <w:t xml:space="preserve">  </w:t>
      </w:r>
      <w:r>
        <w:rPr>
          <w:rFonts w:ascii="宋体" w:hAnsi="宋体"/>
          <w:color w:val="auto"/>
          <w:sz w:val="24"/>
          <w:szCs w:val="24"/>
        </w:rPr>
        <w:t xml:space="preserve"> , </w:t>
      </w:r>
      <w:r>
        <w:rPr>
          <w:rFonts w:hint="eastAsia" w:ascii="宋体" w:hAnsi="宋体"/>
          <w:color w:val="auto"/>
          <w:sz w:val="24"/>
          <w:szCs w:val="24"/>
        </w:rPr>
        <w:t>电话：</w:t>
      </w:r>
      <w:r>
        <w:rPr>
          <w:rFonts w:ascii="宋体" w:hAnsi="宋体"/>
          <w:color w:val="auto"/>
          <w:sz w:val="24"/>
          <w:szCs w:val="24"/>
          <w:u w:val="single"/>
        </w:rPr>
        <w:t xml:space="preserve"> 0571-</w:t>
      </w:r>
      <w:r>
        <w:rPr>
          <w:rFonts w:hint="eastAsia" w:ascii="宋体" w:hAnsi="宋体"/>
          <w:color w:val="auto"/>
          <w:sz w:val="24"/>
          <w:szCs w:val="24"/>
          <w:u w:val="single"/>
          <w:lang w:val="en-US" w:eastAsia="zh-CN"/>
        </w:rPr>
        <w:t>87713548</w:t>
      </w:r>
      <w:r>
        <w:rPr>
          <w:rFonts w:ascii="宋体" w:hAnsi="宋体"/>
          <w:color w:val="auto"/>
          <w:sz w:val="24"/>
          <w:szCs w:val="24"/>
          <w:u w:val="single"/>
        </w:rPr>
        <w:t xml:space="preserve"> </w:t>
      </w:r>
      <w:r>
        <w:rPr>
          <w:rFonts w:hint="eastAsia" w:ascii="宋体" w:hAnsi="宋体"/>
          <w:color w:val="auto"/>
          <w:sz w:val="24"/>
          <w:szCs w:val="24"/>
          <w:u w:val="none"/>
          <w:lang w:eastAsia="zh-CN"/>
        </w:rPr>
        <w:t>，</w:t>
      </w:r>
      <w:r>
        <w:rPr>
          <w:rFonts w:hint="eastAsia" w:ascii="宋体" w:hAnsi="宋体"/>
          <w:color w:val="auto"/>
          <w:sz w:val="24"/>
          <w:szCs w:val="24"/>
          <w:u w:val="none"/>
          <w:lang w:val="en-US" w:eastAsia="zh-CN"/>
        </w:rPr>
        <w:t>地点</w:t>
      </w:r>
      <w:r>
        <w:rPr>
          <w:rFonts w:hint="eastAsia" w:ascii="宋体" w:hAnsi="宋体"/>
          <w:color w:val="auto"/>
          <w:sz w:val="24"/>
          <w:szCs w:val="24"/>
          <w:u w:val="single"/>
          <w:lang w:val="en-US" w:eastAsia="zh-CN"/>
        </w:rPr>
        <w:t>908</w:t>
      </w:r>
      <w:r>
        <w:rPr>
          <w:rFonts w:hint="eastAsia" w:ascii="宋体" w:hAnsi="宋体"/>
          <w:color w:val="auto"/>
          <w:sz w:val="24"/>
          <w:szCs w:val="24"/>
          <w:u w:val="none"/>
          <w:lang w:val="en-US" w:eastAsia="zh-CN"/>
        </w:rPr>
        <w:t>室。</w:t>
      </w:r>
    </w:p>
    <w:p w14:paraId="76AB52AC">
      <w:pPr>
        <w:widowControl/>
        <w:spacing w:line="288" w:lineRule="auto"/>
        <w:ind w:firstLine="480" w:firstLineChars="200"/>
        <w:jc w:val="left"/>
        <w:rPr>
          <w:rFonts w:ascii="宋体" w:hAnsi="宋体"/>
          <w:color w:val="auto"/>
          <w:sz w:val="24"/>
          <w:szCs w:val="24"/>
          <w:u w:val="single"/>
        </w:rPr>
      </w:pPr>
      <w:r>
        <w:rPr>
          <w:rFonts w:hint="eastAsia" w:ascii="宋体" w:hAnsi="宋体"/>
          <w:color w:val="auto"/>
          <w:sz w:val="24"/>
          <w:szCs w:val="24"/>
        </w:rPr>
        <w:t>质疑联系人：</w:t>
      </w:r>
      <w:r>
        <w:rPr>
          <w:rFonts w:ascii="宋体" w:hAnsi="宋体"/>
          <w:color w:val="auto"/>
          <w:sz w:val="24"/>
          <w:szCs w:val="24"/>
          <w:u w:val="single"/>
        </w:rPr>
        <w:t xml:space="preserve">  </w:t>
      </w:r>
      <w:r>
        <w:rPr>
          <w:rFonts w:hint="eastAsia" w:ascii="宋体" w:hAnsi="宋体"/>
          <w:color w:val="auto"/>
          <w:sz w:val="24"/>
          <w:szCs w:val="24"/>
          <w:u w:val="single"/>
          <w:lang w:val="en-US" w:eastAsia="zh-CN"/>
        </w:rPr>
        <w:t>许</w:t>
      </w:r>
      <w:r>
        <w:rPr>
          <w:rFonts w:hint="eastAsia" w:ascii="宋体" w:hAnsi="宋体"/>
          <w:color w:val="auto"/>
          <w:sz w:val="24"/>
          <w:szCs w:val="24"/>
          <w:u w:val="single"/>
        </w:rPr>
        <w:t>老师</w:t>
      </w:r>
      <w:r>
        <w:rPr>
          <w:rFonts w:ascii="宋体" w:hAnsi="宋体"/>
          <w:color w:val="auto"/>
          <w:sz w:val="24"/>
          <w:szCs w:val="24"/>
          <w:u w:val="single"/>
        </w:rPr>
        <w:t xml:space="preserve">  </w:t>
      </w:r>
      <w:r>
        <w:rPr>
          <w:rFonts w:ascii="宋体" w:hAnsi="宋体"/>
          <w:color w:val="auto"/>
          <w:sz w:val="24"/>
          <w:szCs w:val="24"/>
        </w:rPr>
        <w:t xml:space="preserve"> , </w:t>
      </w:r>
      <w:r>
        <w:rPr>
          <w:rFonts w:hint="eastAsia" w:ascii="宋体" w:hAnsi="宋体"/>
          <w:color w:val="auto"/>
          <w:sz w:val="24"/>
          <w:szCs w:val="24"/>
        </w:rPr>
        <w:t>电话：</w:t>
      </w:r>
      <w:r>
        <w:rPr>
          <w:rFonts w:ascii="宋体" w:hAnsi="宋体"/>
          <w:color w:val="auto"/>
          <w:sz w:val="24"/>
          <w:szCs w:val="24"/>
          <w:u w:val="single"/>
        </w:rPr>
        <w:t xml:space="preserve"> 0571-8</w:t>
      </w:r>
      <w:r>
        <w:rPr>
          <w:rFonts w:hint="eastAsia" w:ascii="宋体" w:hAnsi="宋体"/>
          <w:color w:val="auto"/>
          <w:sz w:val="24"/>
          <w:szCs w:val="24"/>
          <w:u w:val="single"/>
          <w:lang w:val="en-US" w:eastAsia="zh-CN"/>
        </w:rPr>
        <w:t>7713573</w:t>
      </w:r>
      <w:r>
        <w:rPr>
          <w:rFonts w:ascii="宋体" w:hAnsi="宋体"/>
          <w:color w:val="auto"/>
          <w:sz w:val="24"/>
          <w:szCs w:val="24"/>
          <w:u w:val="single"/>
        </w:rPr>
        <w:t xml:space="preserve"> </w:t>
      </w:r>
      <w:r>
        <w:rPr>
          <w:rFonts w:hint="eastAsia" w:ascii="宋体" w:hAnsi="宋体"/>
          <w:color w:val="auto"/>
          <w:sz w:val="24"/>
          <w:szCs w:val="24"/>
          <w:u w:val="none"/>
          <w:lang w:eastAsia="zh-CN"/>
        </w:rPr>
        <w:t>，</w:t>
      </w:r>
      <w:r>
        <w:rPr>
          <w:rFonts w:hint="eastAsia" w:ascii="宋体" w:hAnsi="宋体"/>
          <w:color w:val="auto"/>
          <w:sz w:val="24"/>
          <w:szCs w:val="24"/>
          <w:u w:val="none"/>
          <w:lang w:val="en-US" w:eastAsia="zh-CN"/>
        </w:rPr>
        <w:t>地点</w:t>
      </w:r>
      <w:r>
        <w:rPr>
          <w:rFonts w:hint="eastAsia" w:ascii="宋体" w:hAnsi="宋体"/>
          <w:color w:val="auto"/>
          <w:sz w:val="24"/>
          <w:szCs w:val="24"/>
          <w:u w:val="single"/>
          <w:lang w:val="en-US" w:eastAsia="zh-CN"/>
        </w:rPr>
        <w:t>913</w:t>
      </w:r>
      <w:r>
        <w:rPr>
          <w:rFonts w:hint="eastAsia" w:ascii="宋体" w:hAnsi="宋体"/>
          <w:color w:val="auto"/>
          <w:sz w:val="24"/>
          <w:szCs w:val="24"/>
          <w:u w:val="none"/>
          <w:lang w:val="en-US" w:eastAsia="zh-CN"/>
        </w:rPr>
        <w:t>室。</w:t>
      </w:r>
    </w:p>
    <w:p w14:paraId="06F69F1B">
      <w:pPr>
        <w:pStyle w:val="53"/>
        <w:rPr>
          <w:color w:val="auto"/>
        </w:rPr>
      </w:pPr>
    </w:p>
    <w:p w14:paraId="5E58A2F9">
      <w:pPr>
        <w:widowControl/>
        <w:spacing w:line="288" w:lineRule="auto"/>
        <w:ind w:firstLine="480" w:firstLineChars="200"/>
        <w:jc w:val="left"/>
        <w:rPr>
          <w:rFonts w:ascii="宋体" w:hAnsi="宋体"/>
          <w:color w:val="auto"/>
          <w:sz w:val="24"/>
          <w:szCs w:val="24"/>
        </w:rPr>
      </w:pPr>
      <w:r>
        <w:rPr>
          <w:rFonts w:hint="eastAsia" w:ascii="宋体" w:hAnsi="宋体"/>
          <w:color w:val="auto"/>
          <w:sz w:val="24"/>
          <w:szCs w:val="24"/>
        </w:rPr>
        <w:t>若对项目采购电子交易系统操作有疑问，可登录政采云（https://www.zcygov.cn/），点击右侧咨询小采，获取采小蜜智能服务管家帮助，或拨打政采云服务热线400-881-7190获取热线服务帮助。</w:t>
      </w:r>
    </w:p>
    <w:p w14:paraId="19900C45">
      <w:pPr>
        <w:widowControl/>
        <w:spacing w:line="288" w:lineRule="auto"/>
        <w:ind w:firstLine="480" w:firstLineChars="200"/>
        <w:jc w:val="left"/>
        <w:rPr>
          <w:rFonts w:ascii="宋体" w:hAnsi="宋体"/>
          <w:color w:val="auto"/>
          <w:sz w:val="24"/>
          <w:szCs w:val="24"/>
        </w:rPr>
      </w:pPr>
      <w:r>
        <w:rPr>
          <w:rFonts w:hint="eastAsia" w:ascii="宋体" w:hAnsi="宋体"/>
          <w:color w:val="auto"/>
          <w:sz w:val="24"/>
          <w:szCs w:val="24"/>
        </w:rPr>
        <w:t>CA问题联系电话（人工）：汇信CA 400-888-4636；天谷CA 400-087-8198。</w:t>
      </w:r>
    </w:p>
    <w:p w14:paraId="7FB689FE">
      <w:pPr>
        <w:pStyle w:val="2"/>
        <w:rPr>
          <w:color w:val="auto"/>
        </w:rPr>
      </w:pPr>
    </w:p>
    <w:p w14:paraId="3F506D01">
      <w:pPr>
        <w:adjustRightInd w:val="0"/>
        <w:snapToGrid w:val="0"/>
        <w:spacing w:line="420" w:lineRule="exact"/>
        <w:ind w:left="31" w:right="480" w:hanging="31" w:hangingChars="13"/>
        <w:jc w:val="right"/>
        <w:rPr>
          <w:rFonts w:ascii="宋体"/>
          <w:color w:val="auto"/>
          <w:sz w:val="24"/>
          <w:szCs w:val="24"/>
        </w:rPr>
      </w:pPr>
      <w:r>
        <w:rPr>
          <w:rFonts w:hint="eastAsia" w:ascii="宋体" w:hAnsi="宋体"/>
          <w:color w:val="auto"/>
          <w:sz w:val="24"/>
          <w:szCs w:val="24"/>
        </w:rPr>
        <w:t>杭州电子科技大学采购中心</w:t>
      </w:r>
    </w:p>
    <w:p w14:paraId="29763AB8">
      <w:pPr>
        <w:wordWrap w:val="0"/>
        <w:adjustRightInd w:val="0"/>
        <w:snapToGrid w:val="0"/>
        <w:spacing w:line="420" w:lineRule="exact"/>
        <w:ind w:left="31" w:right="480" w:hanging="31" w:hangingChars="13"/>
        <w:jc w:val="right"/>
        <w:rPr>
          <w:rFonts w:ascii="宋体"/>
          <w:color w:val="auto"/>
          <w:sz w:val="24"/>
          <w:szCs w:val="24"/>
        </w:rPr>
      </w:pPr>
      <w:r>
        <w:rPr>
          <w:rFonts w:hint="eastAsia" w:ascii="宋体" w:hAnsi="宋体"/>
          <w:color w:val="auto"/>
          <w:sz w:val="24"/>
          <w:szCs w:val="24"/>
        </w:rPr>
        <w:t>202</w:t>
      </w:r>
      <w:r>
        <w:rPr>
          <w:rFonts w:hint="eastAsia" w:ascii="宋体" w:hAnsi="宋体"/>
          <w:color w:val="auto"/>
          <w:sz w:val="24"/>
          <w:szCs w:val="24"/>
          <w:lang w:val="en-US" w:eastAsia="zh-CN"/>
        </w:rPr>
        <w:t>6</w:t>
      </w:r>
      <w:r>
        <w:rPr>
          <w:rFonts w:hint="eastAsia" w:ascii="宋体" w:hAnsi="宋体"/>
          <w:color w:val="auto"/>
          <w:sz w:val="24"/>
          <w:szCs w:val="24"/>
        </w:rPr>
        <w:t>年</w:t>
      </w:r>
      <w:r>
        <w:rPr>
          <w:rFonts w:hint="default" w:ascii="宋体" w:hAnsi="宋体"/>
          <w:color w:val="auto"/>
          <w:sz w:val="24"/>
          <w:szCs w:val="24"/>
          <w:woUserID w:val="1"/>
        </w:rPr>
        <w:t>10</w:t>
      </w:r>
      <w:r>
        <w:rPr>
          <w:rFonts w:hint="eastAsia" w:ascii="宋体" w:hAnsi="宋体"/>
          <w:color w:val="auto"/>
          <w:sz w:val="24"/>
          <w:szCs w:val="24"/>
        </w:rPr>
        <w:t>月</w:t>
      </w:r>
      <w:r>
        <w:rPr>
          <w:rFonts w:hint="default" w:ascii="宋体" w:hAnsi="宋体"/>
          <w:color w:val="auto"/>
          <w:sz w:val="24"/>
          <w:szCs w:val="24"/>
          <w:woUserID w:val="1"/>
        </w:rPr>
        <w:t>27</w:t>
      </w:r>
      <w:r>
        <w:rPr>
          <w:rFonts w:hint="eastAsia" w:ascii="宋体" w:hAnsi="宋体"/>
          <w:color w:val="auto"/>
          <w:sz w:val="24"/>
          <w:szCs w:val="24"/>
        </w:rPr>
        <w:t>日</w:t>
      </w:r>
    </w:p>
    <w:p w14:paraId="49B32113">
      <w:pPr>
        <w:wordWrap w:val="0"/>
        <w:adjustRightInd w:val="0"/>
        <w:snapToGrid w:val="0"/>
        <w:spacing w:line="420" w:lineRule="exact"/>
        <w:ind w:left="31" w:right="480" w:hanging="31" w:hangingChars="13"/>
        <w:jc w:val="right"/>
        <w:rPr>
          <w:rFonts w:ascii="宋体"/>
          <w:color w:val="auto"/>
          <w:sz w:val="24"/>
          <w:szCs w:val="24"/>
        </w:rPr>
      </w:pPr>
    </w:p>
    <w:p w14:paraId="0480962E">
      <w:pPr>
        <w:adjustRightInd w:val="0"/>
        <w:snapToGrid w:val="0"/>
        <w:spacing w:before="120" w:beforeLines="50" w:after="120" w:afterLines="50" w:line="420" w:lineRule="exact"/>
        <w:ind w:right="480"/>
        <w:jc w:val="center"/>
        <w:outlineLvl w:val="0"/>
        <w:rPr>
          <w:rStyle w:val="55"/>
          <w:rFonts w:hint="eastAsia"/>
          <w:color w:val="auto"/>
          <w:lang w:val="en-US" w:eastAsia="zh-CN"/>
        </w:rPr>
      </w:pPr>
      <w:r>
        <w:rPr>
          <w:rStyle w:val="111"/>
          <w:b w:val="0"/>
          <w:snapToGrid/>
          <w:color w:val="auto"/>
          <w:sz w:val="24"/>
          <w:szCs w:val="24"/>
        </w:rPr>
        <w:br w:type="page"/>
      </w:r>
      <w:bookmarkStart w:id="61" w:name="_Toc31520_WPSOffice_Level1"/>
      <w:bookmarkStart w:id="62" w:name="_Toc29429_WPSOffice_Level1"/>
      <w:bookmarkStart w:id="63" w:name="_Toc13359"/>
      <w:bookmarkStart w:id="64" w:name="_Toc21096"/>
      <w:bookmarkStart w:id="65" w:name="_Toc27007"/>
      <w:bookmarkStart w:id="66" w:name="_Toc6139"/>
      <w:bookmarkStart w:id="67" w:name="_Toc10682"/>
      <w:bookmarkStart w:id="68" w:name="_Toc25493"/>
      <w:bookmarkStart w:id="69" w:name="_Toc7205"/>
      <w:bookmarkStart w:id="70" w:name="_Toc18447"/>
      <w:bookmarkStart w:id="71" w:name="_Toc8413"/>
      <w:bookmarkStart w:id="72" w:name="_Toc27564"/>
      <w:bookmarkStart w:id="73" w:name="_Toc8923"/>
      <w:bookmarkStart w:id="74" w:name="_Toc14015"/>
      <w:bookmarkStart w:id="75" w:name="_Toc14371"/>
      <w:bookmarkStart w:id="76" w:name="_Toc30864"/>
      <w:bookmarkStart w:id="77" w:name="_Toc20197"/>
      <w:bookmarkStart w:id="78" w:name="_Toc13468"/>
      <w:bookmarkStart w:id="79" w:name="_Toc30939"/>
      <w:bookmarkStart w:id="80" w:name="_Toc15380"/>
      <w:bookmarkStart w:id="81" w:name="_Toc8774"/>
      <w:bookmarkStart w:id="82" w:name="_Toc31424"/>
      <w:bookmarkStart w:id="83" w:name="_Toc5412"/>
      <w:bookmarkStart w:id="84" w:name="_Toc28369"/>
      <w:bookmarkStart w:id="85" w:name="_Toc19935"/>
      <w:bookmarkStart w:id="86" w:name="_Toc31392"/>
      <w:bookmarkStart w:id="87" w:name="_Toc20151"/>
      <w:bookmarkStart w:id="88" w:name="_Toc9474"/>
      <w:bookmarkStart w:id="89" w:name="_Toc14615"/>
      <w:bookmarkStart w:id="90" w:name="_Toc20175"/>
      <w:bookmarkStart w:id="91" w:name="_Toc30984"/>
      <w:bookmarkStart w:id="92" w:name="_Toc16190"/>
      <w:bookmarkStart w:id="93" w:name="_Toc11189"/>
      <w:bookmarkStart w:id="94" w:name="_Toc31607"/>
      <w:bookmarkStart w:id="95" w:name="_Toc25903"/>
      <w:r>
        <w:rPr>
          <w:rStyle w:val="55"/>
          <w:rFonts w:hint="eastAsia"/>
          <w:color w:val="auto"/>
          <w:lang w:val="en-US" w:eastAsia="zh-CN"/>
        </w:rPr>
        <w:t>第二部分 响应方须知</w:t>
      </w:r>
      <w:bookmarkEnd w:id="61"/>
      <w:bookmarkEnd w:id="62"/>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2AE2B256">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96" w:name="_Toc27500"/>
      <w:bookmarkStart w:id="97" w:name="_Toc23359"/>
      <w:bookmarkStart w:id="98" w:name="_Toc23155"/>
      <w:bookmarkStart w:id="99" w:name="_Toc23420"/>
      <w:bookmarkStart w:id="100" w:name="_Toc6715"/>
      <w:bookmarkStart w:id="101" w:name="_Toc32596"/>
      <w:bookmarkStart w:id="102" w:name="_Toc28026"/>
      <w:bookmarkStart w:id="103" w:name="_Toc29458"/>
      <w:bookmarkStart w:id="104" w:name="_Toc26853"/>
      <w:bookmarkStart w:id="105" w:name="_Toc26073"/>
      <w:bookmarkStart w:id="106" w:name="_Toc29793"/>
      <w:bookmarkStart w:id="107" w:name="_Toc17697"/>
      <w:bookmarkStart w:id="108" w:name="_Toc1714"/>
      <w:bookmarkStart w:id="109" w:name="_Toc20573"/>
      <w:bookmarkStart w:id="110" w:name="_Toc10414"/>
      <w:bookmarkStart w:id="111" w:name="_Toc22323"/>
      <w:bookmarkStart w:id="112" w:name="_Toc3269"/>
      <w:bookmarkStart w:id="113" w:name="_Toc4505"/>
      <w:bookmarkStart w:id="114" w:name="_Toc12644"/>
      <w:bookmarkStart w:id="115" w:name="_Toc28079"/>
      <w:bookmarkStart w:id="116" w:name="_Toc16998"/>
      <w:bookmarkStart w:id="117" w:name="_Toc6421"/>
      <w:bookmarkStart w:id="118" w:name="_Toc483"/>
      <w:bookmarkStart w:id="119" w:name="_Toc30159"/>
      <w:bookmarkStart w:id="120" w:name="_Toc20565"/>
      <w:bookmarkStart w:id="121" w:name="_Toc32333_WPSOffice_Level2"/>
      <w:bookmarkStart w:id="122" w:name="_Toc1743"/>
      <w:bookmarkStart w:id="123" w:name="_Toc22339"/>
      <w:bookmarkStart w:id="124" w:name="_Toc26025"/>
      <w:bookmarkStart w:id="125" w:name="_Toc9123"/>
      <w:bookmarkStart w:id="126" w:name="_Toc10518"/>
      <w:bookmarkStart w:id="127" w:name="_Toc10657"/>
      <w:bookmarkStart w:id="128" w:name="_Toc9778"/>
      <w:bookmarkStart w:id="129" w:name="_Toc31880"/>
      <w:r>
        <w:rPr>
          <w:rFonts w:hint="eastAsia" w:ascii="楷体" w:hAnsi="楷体" w:eastAsia="楷体" w:cs="楷体"/>
          <w:snapToGrid w:val="0"/>
          <w:color w:val="auto"/>
          <w:kern w:val="44"/>
          <w:sz w:val="32"/>
          <w:szCs w:val="32"/>
        </w:rPr>
        <w:t>前附表</w:t>
      </w:r>
      <w:bookmarkEnd w:id="53"/>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Start w:id="130" w:name="_Toc183786414"/>
    </w:p>
    <w:tbl>
      <w:tblPr>
        <w:tblStyle w:val="45"/>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043"/>
        <w:gridCol w:w="6348"/>
      </w:tblGrid>
      <w:tr w14:paraId="464B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4" w:type="dxa"/>
            <w:vAlign w:val="center"/>
          </w:tcPr>
          <w:p w14:paraId="229D4790">
            <w:pPr>
              <w:rPr>
                <w:rFonts w:ascii="宋体"/>
                <w:b/>
                <w:color w:val="auto"/>
                <w:sz w:val="24"/>
                <w:szCs w:val="24"/>
              </w:rPr>
            </w:pPr>
            <w:r>
              <w:rPr>
                <w:rFonts w:hint="eastAsia" w:ascii="宋体" w:hAnsi="宋体"/>
                <w:b/>
                <w:color w:val="auto"/>
                <w:sz w:val="24"/>
                <w:szCs w:val="24"/>
              </w:rPr>
              <w:t>序号</w:t>
            </w:r>
          </w:p>
        </w:tc>
        <w:tc>
          <w:tcPr>
            <w:tcW w:w="2043" w:type="dxa"/>
            <w:vAlign w:val="center"/>
          </w:tcPr>
          <w:p w14:paraId="5F05043F">
            <w:pPr>
              <w:jc w:val="center"/>
              <w:rPr>
                <w:rFonts w:ascii="宋体"/>
                <w:b/>
                <w:color w:val="auto"/>
                <w:sz w:val="24"/>
                <w:szCs w:val="24"/>
              </w:rPr>
            </w:pPr>
            <w:r>
              <w:rPr>
                <w:rFonts w:hint="eastAsia" w:ascii="宋体" w:hAnsi="宋体"/>
                <w:b/>
                <w:color w:val="auto"/>
                <w:sz w:val="24"/>
                <w:szCs w:val="24"/>
              </w:rPr>
              <w:t>项目</w:t>
            </w:r>
          </w:p>
        </w:tc>
        <w:tc>
          <w:tcPr>
            <w:tcW w:w="6348" w:type="dxa"/>
            <w:vAlign w:val="center"/>
          </w:tcPr>
          <w:p w14:paraId="6D624890">
            <w:pPr>
              <w:jc w:val="center"/>
              <w:rPr>
                <w:rFonts w:ascii="宋体"/>
                <w:b/>
                <w:color w:val="auto"/>
                <w:sz w:val="24"/>
                <w:szCs w:val="24"/>
              </w:rPr>
            </w:pPr>
            <w:r>
              <w:rPr>
                <w:rFonts w:hint="eastAsia" w:ascii="宋体" w:hAnsi="宋体"/>
                <w:b/>
                <w:color w:val="auto"/>
                <w:sz w:val="24"/>
                <w:szCs w:val="24"/>
              </w:rPr>
              <w:t>内容</w:t>
            </w:r>
          </w:p>
        </w:tc>
      </w:tr>
      <w:tr w14:paraId="5E89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679CD906">
            <w:pPr>
              <w:pStyle w:val="181"/>
              <w:adjustRightInd/>
              <w:spacing w:line="240" w:lineRule="auto"/>
              <w:rPr>
                <w:color w:val="auto"/>
                <w:szCs w:val="24"/>
              </w:rPr>
            </w:pPr>
            <w:r>
              <w:rPr>
                <w:rFonts w:hint="eastAsia"/>
                <w:color w:val="auto"/>
                <w:szCs w:val="24"/>
              </w:rPr>
              <w:t>1</w:t>
            </w:r>
          </w:p>
        </w:tc>
        <w:tc>
          <w:tcPr>
            <w:tcW w:w="2043" w:type="dxa"/>
            <w:vAlign w:val="center"/>
          </w:tcPr>
          <w:p w14:paraId="53B7B3F2">
            <w:pPr>
              <w:jc w:val="center"/>
              <w:rPr>
                <w:rFonts w:ascii="宋体"/>
                <w:color w:val="auto"/>
                <w:sz w:val="24"/>
                <w:szCs w:val="24"/>
              </w:rPr>
            </w:pPr>
            <w:r>
              <w:rPr>
                <w:rFonts w:hint="eastAsia" w:ascii="宋体" w:hAnsi="宋体"/>
                <w:color w:val="auto"/>
                <w:sz w:val="24"/>
                <w:szCs w:val="24"/>
              </w:rPr>
              <w:t>项目名称</w:t>
            </w:r>
          </w:p>
        </w:tc>
        <w:tc>
          <w:tcPr>
            <w:tcW w:w="6348" w:type="dxa"/>
            <w:vAlign w:val="center"/>
          </w:tcPr>
          <w:p w14:paraId="0D872EA7">
            <w:pPr>
              <w:rPr>
                <w:rFonts w:ascii="宋体"/>
                <w:color w:val="auto"/>
                <w:sz w:val="24"/>
                <w:szCs w:val="24"/>
              </w:rPr>
            </w:pPr>
            <w:r>
              <w:rPr>
                <w:rFonts w:hint="eastAsia" w:ascii="宋体" w:hAnsi="宋体"/>
                <w:color w:val="auto"/>
                <w:sz w:val="24"/>
                <w:szCs w:val="24"/>
              </w:rPr>
              <w:t>杭州电子科技大学四害消杀服务</w:t>
            </w:r>
          </w:p>
        </w:tc>
      </w:tr>
      <w:tr w14:paraId="443B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087D3624">
            <w:pPr>
              <w:jc w:val="center"/>
              <w:rPr>
                <w:rFonts w:ascii="宋体" w:hAnsi="宋体"/>
                <w:color w:val="auto"/>
                <w:sz w:val="24"/>
                <w:szCs w:val="24"/>
              </w:rPr>
            </w:pPr>
          </w:p>
        </w:tc>
        <w:tc>
          <w:tcPr>
            <w:tcW w:w="2043" w:type="dxa"/>
            <w:vAlign w:val="center"/>
          </w:tcPr>
          <w:p w14:paraId="7487C755">
            <w:pPr>
              <w:jc w:val="center"/>
              <w:rPr>
                <w:rFonts w:ascii="宋体" w:hAnsi="宋体"/>
                <w:color w:val="auto"/>
                <w:sz w:val="24"/>
                <w:szCs w:val="24"/>
              </w:rPr>
            </w:pPr>
            <w:r>
              <w:rPr>
                <w:rFonts w:hint="eastAsia" w:ascii="宋体" w:hAnsi="宋体"/>
                <w:color w:val="auto"/>
                <w:sz w:val="24"/>
                <w:szCs w:val="24"/>
              </w:rPr>
              <w:t>行业类型</w:t>
            </w:r>
          </w:p>
        </w:tc>
        <w:tc>
          <w:tcPr>
            <w:tcW w:w="6348" w:type="dxa"/>
            <w:vAlign w:val="center"/>
          </w:tcPr>
          <w:p w14:paraId="3D7A48DF">
            <w:pPr>
              <w:rPr>
                <w:rFonts w:ascii="宋体" w:hAnsi="宋体"/>
                <w:color w:val="auto"/>
                <w:sz w:val="24"/>
                <w:szCs w:val="24"/>
              </w:rPr>
            </w:pPr>
            <w:r>
              <w:rPr>
                <w:rFonts w:hint="eastAsia" w:ascii="宋体" w:hAnsi="宋体" w:cs="宋体"/>
                <w:color w:val="auto"/>
                <w:szCs w:val="21"/>
              </w:rPr>
              <w:t>本项目对应的中小企业划分标准所属行业为：</w:t>
            </w:r>
            <w:r>
              <w:rPr>
                <w:rFonts w:hint="eastAsia" w:ascii="宋体" w:hAnsi="宋体" w:cs="宋体"/>
                <w:b/>
                <w:bCs/>
                <w:color w:val="auto"/>
                <w:szCs w:val="21"/>
                <w:u w:val="single"/>
              </w:rPr>
              <w:t xml:space="preserve"> 其他未列明行业。</w:t>
            </w:r>
            <w:r>
              <w:rPr>
                <w:rFonts w:hint="eastAsia" w:ascii="宋体" w:hAnsi="宋体" w:cs="宋体"/>
                <w:b/>
                <w:bCs/>
                <w:color w:val="auto"/>
                <w:szCs w:val="21"/>
              </w:rPr>
              <w:t>从业人员300人以下的为中小微型企业。其中，从业人员100人及以上的为中型企业；从业人员10人及以上的为小型企业；从业人员10人以下的为微型企业。</w:t>
            </w:r>
          </w:p>
        </w:tc>
      </w:tr>
      <w:tr w14:paraId="0BE4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51B07A10">
            <w:pPr>
              <w:jc w:val="center"/>
              <w:rPr>
                <w:rFonts w:ascii="宋体"/>
                <w:color w:val="auto"/>
                <w:sz w:val="24"/>
                <w:szCs w:val="24"/>
              </w:rPr>
            </w:pPr>
            <w:r>
              <w:rPr>
                <w:rFonts w:hint="eastAsia" w:ascii="宋体" w:hAnsi="宋体"/>
                <w:color w:val="auto"/>
                <w:sz w:val="24"/>
                <w:szCs w:val="24"/>
              </w:rPr>
              <w:t>2</w:t>
            </w:r>
          </w:p>
        </w:tc>
        <w:tc>
          <w:tcPr>
            <w:tcW w:w="2043" w:type="dxa"/>
            <w:vAlign w:val="center"/>
          </w:tcPr>
          <w:p w14:paraId="2115A239">
            <w:pPr>
              <w:jc w:val="center"/>
              <w:rPr>
                <w:rFonts w:ascii="宋体"/>
                <w:color w:val="auto"/>
                <w:sz w:val="24"/>
                <w:szCs w:val="24"/>
              </w:rPr>
            </w:pPr>
            <w:r>
              <w:rPr>
                <w:rFonts w:hint="eastAsia" w:ascii="宋体" w:hAnsi="宋体"/>
                <w:color w:val="auto"/>
                <w:sz w:val="24"/>
                <w:szCs w:val="24"/>
              </w:rPr>
              <w:t>项目编号</w:t>
            </w:r>
          </w:p>
        </w:tc>
        <w:tc>
          <w:tcPr>
            <w:tcW w:w="6348" w:type="dxa"/>
            <w:vAlign w:val="center"/>
          </w:tcPr>
          <w:p w14:paraId="2F6ED20A">
            <w:pPr>
              <w:rPr>
                <w:rFonts w:hint="default" w:ascii="宋体" w:eastAsia="宋体"/>
                <w:color w:val="auto"/>
                <w:sz w:val="24"/>
                <w:szCs w:val="24"/>
                <w:lang w:val="en-US" w:eastAsia="zh-CN"/>
              </w:rPr>
            </w:pPr>
            <w:r>
              <w:rPr>
                <w:rFonts w:hint="eastAsia" w:ascii="宋体" w:hAnsi="宋体"/>
                <w:color w:val="auto"/>
                <w:sz w:val="24"/>
                <w:szCs w:val="24"/>
              </w:rPr>
              <w:t>202</w:t>
            </w:r>
            <w:r>
              <w:rPr>
                <w:rFonts w:hint="eastAsia" w:ascii="宋体" w:hAnsi="宋体"/>
                <w:color w:val="auto"/>
                <w:sz w:val="24"/>
                <w:szCs w:val="24"/>
                <w:lang w:val="en-US" w:eastAsia="zh-CN"/>
              </w:rPr>
              <w:t>6</w:t>
            </w:r>
            <w:r>
              <w:rPr>
                <w:rFonts w:hint="eastAsia" w:ascii="宋体" w:hAnsi="宋体"/>
                <w:color w:val="auto"/>
                <w:sz w:val="24"/>
                <w:szCs w:val="24"/>
              </w:rPr>
              <w:t>-JH-CS</w:t>
            </w:r>
            <w:r>
              <w:rPr>
                <w:rFonts w:hint="eastAsia" w:ascii="宋体" w:hAnsi="宋体"/>
                <w:color w:val="auto"/>
                <w:sz w:val="24"/>
                <w:szCs w:val="24"/>
                <w:lang w:val="en-US" w:eastAsia="zh-CN"/>
              </w:rPr>
              <w:t>16</w:t>
            </w:r>
          </w:p>
        </w:tc>
      </w:tr>
      <w:tr w14:paraId="53DF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4B8C632C">
            <w:pPr>
              <w:jc w:val="center"/>
              <w:rPr>
                <w:rFonts w:ascii="宋体"/>
                <w:color w:val="auto"/>
                <w:sz w:val="24"/>
                <w:szCs w:val="24"/>
              </w:rPr>
            </w:pPr>
          </w:p>
        </w:tc>
        <w:tc>
          <w:tcPr>
            <w:tcW w:w="2043" w:type="dxa"/>
            <w:vAlign w:val="center"/>
          </w:tcPr>
          <w:p w14:paraId="06452C9D">
            <w:pPr>
              <w:jc w:val="center"/>
              <w:rPr>
                <w:rFonts w:ascii="宋体"/>
                <w:color w:val="auto"/>
                <w:sz w:val="24"/>
                <w:szCs w:val="24"/>
              </w:rPr>
            </w:pPr>
            <w:r>
              <w:rPr>
                <w:rFonts w:hint="eastAsia" w:ascii="宋体" w:hAnsi="宋体"/>
                <w:color w:val="auto"/>
                <w:sz w:val="24"/>
                <w:szCs w:val="24"/>
              </w:rPr>
              <w:t>采购方式</w:t>
            </w:r>
          </w:p>
        </w:tc>
        <w:tc>
          <w:tcPr>
            <w:tcW w:w="6348" w:type="dxa"/>
            <w:vAlign w:val="center"/>
          </w:tcPr>
          <w:p w14:paraId="06D29B74">
            <w:pPr>
              <w:pStyle w:val="28"/>
              <w:ind w:left="0" w:leftChars="0"/>
              <w:rPr>
                <w:color w:val="auto"/>
                <w:szCs w:val="24"/>
              </w:rPr>
            </w:pPr>
            <w:r>
              <w:rPr>
                <w:rFonts w:hint="eastAsia"/>
                <w:color w:val="auto"/>
                <w:szCs w:val="24"/>
              </w:rPr>
              <w:t>竞争性磋商</w:t>
            </w:r>
            <w:r>
              <w:rPr>
                <w:rFonts w:hint="eastAsia"/>
                <w:b/>
                <w:bCs/>
                <w:color w:val="auto"/>
                <w:szCs w:val="24"/>
              </w:rPr>
              <w:t>（线上电子交易）</w:t>
            </w:r>
          </w:p>
        </w:tc>
      </w:tr>
      <w:tr w14:paraId="3CE5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166B2DB0">
            <w:pPr>
              <w:jc w:val="center"/>
              <w:rPr>
                <w:rFonts w:ascii="宋体"/>
                <w:color w:val="auto"/>
                <w:sz w:val="24"/>
                <w:szCs w:val="24"/>
              </w:rPr>
            </w:pPr>
            <w:r>
              <w:rPr>
                <w:rFonts w:hint="eastAsia" w:ascii="宋体" w:hAnsi="宋体"/>
                <w:color w:val="auto"/>
                <w:sz w:val="24"/>
                <w:szCs w:val="24"/>
              </w:rPr>
              <w:t>3</w:t>
            </w:r>
          </w:p>
        </w:tc>
        <w:tc>
          <w:tcPr>
            <w:tcW w:w="2043" w:type="dxa"/>
            <w:vAlign w:val="center"/>
          </w:tcPr>
          <w:p w14:paraId="0D51B0E1">
            <w:pPr>
              <w:jc w:val="center"/>
              <w:rPr>
                <w:rFonts w:ascii="宋体"/>
                <w:color w:val="auto"/>
                <w:sz w:val="24"/>
                <w:szCs w:val="24"/>
              </w:rPr>
            </w:pPr>
            <w:r>
              <w:rPr>
                <w:rFonts w:hint="eastAsia" w:ascii="宋体" w:hAnsi="宋体"/>
                <w:color w:val="auto"/>
                <w:sz w:val="24"/>
                <w:szCs w:val="24"/>
              </w:rPr>
              <w:t>采购人</w:t>
            </w:r>
          </w:p>
        </w:tc>
        <w:tc>
          <w:tcPr>
            <w:tcW w:w="6348" w:type="dxa"/>
            <w:vAlign w:val="center"/>
          </w:tcPr>
          <w:p w14:paraId="1AACEE36">
            <w:pPr>
              <w:pStyle w:val="28"/>
              <w:ind w:left="0" w:leftChars="0"/>
              <w:rPr>
                <w:color w:val="auto"/>
                <w:szCs w:val="24"/>
              </w:rPr>
            </w:pPr>
            <w:r>
              <w:rPr>
                <w:rFonts w:hint="eastAsia"/>
                <w:color w:val="auto"/>
                <w:szCs w:val="24"/>
              </w:rPr>
              <w:t>杭州电子科技大学</w:t>
            </w:r>
          </w:p>
        </w:tc>
      </w:tr>
      <w:tr w14:paraId="4EC8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0E4A45B2">
            <w:pPr>
              <w:jc w:val="center"/>
              <w:rPr>
                <w:rFonts w:ascii="宋体"/>
                <w:color w:val="auto"/>
                <w:sz w:val="24"/>
                <w:szCs w:val="24"/>
              </w:rPr>
            </w:pPr>
            <w:r>
              <w:rPr>
                <w:rFonts w:hint="eastAsia" w:ascii="宋体" w:hAnsi="宋体"/>
                <w:color w:val="auto"/>
                <w:sz w:val="24"/>
                <w:szCs w:val="24"/>
              </w:rPr>
              <w:t>4</w:t>
            </w:r>
          </w:p>
        </w:tc>
        <w:tc>
          <w:tcPr>
            <w:tcW w:w="2043" w:type="dxa"/>
            <w:vAlign w:val="center"/>
          </w:tcPr>
          <w:p w14:paraId="014F1BA7">
            <w:pPr>
              <w:jc w:val="center"/>
              <w:rPr>
                <w:rFonts w:ascii="宋体"/>
                <w:color w:val="auto"/>
                <w:sz w:val="24"/>
                <w:szCs w:val="24"/>
              </w:rPr>
            </w:pPr>
            <w:r>
              <w:rPr>
                <w:rFonts w:hint="eastAsia" w:ascii="宋体" w:hAnsi="宋体"/>
                <w:color w:val="auto"/>
                <w:sz w:val="24"/>
                <w:szCs w:val="24"/>
              </w:rPr>
              <w:t>磋商内容</w:t>
            </w:r>
          </w:p>
        </w:tc>
        <w:tc>
          <w:tcPr>
            <w:tcW w:w="6348" w:type="dxa"/>
            <w:vAlign w:val="center"/>
          </w:tcPr>
          <w:p w14:paraId="06B80609">
            <w:pPr>
              <w:rPr>
                <w:rFonts w:ascii="宋体"/>
                <w:color w:val="auto"/>
                <w:sz w:val="24"/>
                <w:szCs w:val="24"/>
              </w:rPr>
            </w:pPr>
            <w:r>
              <w:rPr>
                <w:rFonts w:hint="eastAsia" w:ascii="宋体" w:hAnsi="宋体"/>
                <w:color w:val="auto"/>
                <w:sz w:val="24"/>
                <w:szCs w:val="24"/>
              </w:rPr>
              <w:t>详见第三部分采购需求</w:t>
            </w:r>
          </w:p>
        </w:tc>
      </w:tr>
      <w:tr w14:paraId="5DC5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5345D441">
            <w:pPr>
              <w:jc w:val="center"/>
              <w:rPr>
                <w:rFonts w:ascii="宋体"/>
                <w:color w:val="auto"/>
                <w:sz w:val="24"/>
                <w:szCs w:val="24"/>
              </w:rPr>
            </w:pPr>
            <w:r>
              <w:rPr>
                <w:rFonts w:hint="eastAsia" w:ascii="宋体" w:hAnsi="宋体"/>
                <w:color w:val="auto"/>
                <w:sz w:val="24"/>
                <w:szCs w:val="24"/>
              </w:rPr>
              <w:t>5</w:t>
            </w:r>
          </w:p>
        </w:tc>
        <w:tc>
          <w:tcPr>
            <w:tcW w:w="2043" w:type="dxa"/>
            <w:vAlign w:val="center"/>
          </w:tcPr>
          <w:p w14:paraId="44BEEF25">
            <w:pPr>
              <w:jc w:val="center"/>
              <w:rPr>
                <w:color w:val="auto"/>
                <w:sz w:val="24"/>
              </w:rPr>
            </w:pPr>
            <w:r>
              <w:rPr>
                <w:rFonts w:hint="eastAsia"/>
                <w:color w:val="auto"/>
                <w:sz w:val="24"/>
              </w:rPr>
              <w:t>磋商报价及费用</w:t>
            </w:r>
          </w:p>
        </w:tc>
        <w:tc>
          <w:tcPr>
            <w:tcW w:w="6348" w:type="dxa"/>
            <w:vAlign w:val="center"/>
          </w:tcPr>
          <w:p w14:paraId="16D0E28E">
            <w:pPr>
              <w:rPr>
                <w:color w:val="auto"/>
                <w:sz w:val="24"/>
              </w:rPr>
            </w:pPr>
            <w:r>
              <w:rPr>
                <w:rFonts w:hint="eastAsia"/>
                <w:color w:val="auto"/>
                <w:sz w:val="24"/>
              </w:rPr>
              <w:t>详见采购文件第二部分第三节第（三）点报价内容。</w:t>
            </w:r>
          </w:p>
        </w:tc>
      </w:tr>
      <w:tr w14:paraId="0772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371AAA54">
            <w:pPr>
              <w:jc w:val="center"/>
              <w:rPr>
                <w:rFonts w:ascii="宋体"/>
                <w:color w:val="auto"/>
                <w:sz w:val="24"/>
                <w:szCs w:val="24"/>
              </w:rPr>
            </w:pPr>
            <w:r>
              <w:rPr>
                <w:rFonts w:hint="eastAsia" w:ascii="宋体" w:hAnsi="宋体"/>
                <w:color w:val="auto"/>
                <w:sz w:val="24"/>
                <w:szCs w:val="24"/>
              </w:rPr>
              <w:t>6</w:t>
            </w:r>
          </w:p>
        </w:tc>
        <w:tc>
          <w:tcPr>
            <w:tcW w:w="2043" w:type="dxa"/>
            <w:vAlign w:val="center"/>
          </w:tcPr>
          <w:p w14:paraId="4ACE815B">
            <w:pPr>
              <w:jc w:val="center"/>
              <w:rPr>
                <w:rFonts w:ascii="宋体"/>
                <w:color w:val="auto"/>
                <w:sz w:val="24"/>
                <w:szCs w:val="24"/>
              </w:rPr>
            </w:pPr>
            <w:r>
              <w:rPr>
                <w:rFonts w:hint="eastAsia"/>
                <w:color w:val="auto"/>
                <w:sz w:val="24"/>
              </w:rPr>
              <w:t>磋商响应有效期</w:t>
            </w:r>
          </w:p>
        </w:tc>
        <w:tc>
          <w:tcPr>
            <w:tcW w:w="6348" w:type="dxa"/>
            <w:vAlign w:val="center"/>
          </w:tcPr>
          <w:p w14:paraId="45815871">
            <w:pPr>
              <w:jc w:val="left"/>
              <w:rPr>
                <w:rFonts w:ascii="宋体"/>
                <w:color w:val="auto"/>
                <w:sz w:val="24"/>
                <w:szCs w:val="24"/>
                <w:u w:val="single"/>
              </w:rPr>
            </w:pPr>
            <w:r>
              <w:rPr>
                <w:rFonts w:hint="eastAsia" w:hAnsi="宋体"/>
                <w:bCs/>
                <w:color w:val="auto"/>
                <w:sz w:val="24"/>
                <w:szCs w:val="24"/>
              </w:rPr>
              <w:t>提交首次响应文件截止</w:t>
            </w:r>
            <w:r>
              <w:rPr>
                <w:rFonts w:hint="eastAsia"/>
                <w:color w:val="auto"/>
                <w:sz w:val="24"/>
              </w:rPr>
              <w:t>日后</w:t>
            </w:r>
            <w:r>
              <w:rPr>
                <w:color w:val="auto"/>
                <w:sz w:val="24"/>
              </w:rPr>
              <w:t>90</w:t>
            </w:r>
            <w:r>
              <w:rPr>
                <w:rFonts w:hint="eastAsia"/>
                <w:color w:val="auto"/>
                <w:sz w:val="24"/>
              </w:rPr>
              <w:t>天内</w:t>
            </w:r>
          </w:p>
        </w:tc>
      </w:tr>
      <w:tr w14:paraId="7FB7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3416D12B">
            <w:pPr>
              <w:jc w:val="center"/>
              <w:rPr>
                <w:rFonts w:ascii="宋体"/>
                <w:color w:val="auto"/>
                <w:sz w:val="24"/>
                <w:szCs w:val="24"/>
              </w:rPr>
            </w:pPr>
            <w:r>
              <w:rPr>
                <w:rFonts w:hint="eastAsia" w:ascii="宋体" w:hAnsi="宋体"/>
                <w:color w:val="auto"/>
                <w:sz w:val="24"/>
                <w:szCs w:val="24"/>
              </w:rPr>
              <w:t>7</w:t>
            </w:r>
          </w:p>
        </w:tc>
        <w:tc>
          <w:tcPr>
            <w:tcW w:w="2043" w:type="dxa"/>
            <w:vAlign w:val="center"/>
          </w:tcPr>
          <w:p w14:paraId="07E12C94">
            <w:pPr>
              <w:jc w:val="center"/>
              <w:rPr>
                <w:rFonts w:ascii="宋体"/>
                <w:color w:val="auto"/>
                <w:sz w:val="24"/>
                <w:szCs w:val="24"/>
              </w:rPr>
            </w:pPr>
            <w:r>
              <w:rPr>
                <w:rFonts w:hint="eastAsia"/>
                <w:color w:val="auto"/>
                <w:sz w:val="24"/>
              </w:rPr>
              <w:t>磋商文件答疑</w:t>
            </w:r>
          </w:p>
        </w:tc>
        <w:tc>
          <w:tcPr>
            <w:tcW w:w="6348" w:type="dxa"/>
            <w:vAlign w:val="center"/>
          </w:tcPr>
          <w:p w14:paraId="14EF4F62">
            <w:pPr>
              <w:jc w:val="left"/>
              <w:rPr>
                <w:rFonts w:ascii="宋体"/>
                <w:color w:val="auto"/>
                <w:sz w:val="24"/>
                <w:szCs w:val="24"/>
              </w:rPr>
            </w:pPr>
            <w:r>
              <w:rPr>
                <w:rFonts w:hint="eastAsia"/>
                <w:color w:val="auto"/>
                <w:sz w:val="24"/>
              </w:rPr>
              <w:t>各供应商如对磋商文件有疑问，请以书面形式于</w:t>
            </w:r>
            <w:r>
              <w:rPr>
                <w:rFonts w:hint="eastAsia"/>
                <w:color w:val="auto"/>
                <w:sz w:val="24"/>
                <w:u w:val="single"/>
              </w:rPr>
              <w:t>202</w:t>
            </w:r>
            <w:r>
              <w:rPr>
                <w:rFonts w:hint="eastAsia"/>
                <w:color w:val="auto"/>
                <w:sz w:val="24"/>
                <w:u w:val="single"/>
                <w:lang w:val="en-US" w:eastAsia="zh-CN"/>
              </w:rPr>
              <w:t>6</w:t>
            </w:r>
            <w:r>
              <w:rPr>
                <w:rFonts w:hint="eastAsia"/>
                <w:color w:val="auto"/>
                <w:sz w:val="24"/>
                <w:u w:val="single"/>
              </w:rPr>
              <w:t>年</w:t>
            </w:r>
            <w:r>
              <w:rPr>
                <w:rFonts w:hint="default"/>
                <w:color w:val="auto"/>
                <w:sz w:val="24"/>
                <w:u w:val="single"/>
                <w:woUserID w:val="1"/>
              </w:rPr>
              <w:t>11</w:t>
            </w:r>
            <w:r>
              <w:rPr>
                <w:rFonts w:hint="eastAsia"/>
                <w:color w:val="auto"/>
                <w:sz w:val="24"/>
                <w:u w:val="single"/>
              </w:rPr>
              <w:t>月</w:t>
            </w:r>
            <w:r>
              <w:rPr>
                <w:rFonts w:hint="default"/>
                <w:color w:val="auto"/>
                <w:sz w:val="24"/>
                <w:u w:val="single"/>
                <w:woUserID w:val="1"/>
              </w:rPr>
              <w:t>9</w:t>
            </w:r>
            <w:r>
              <w:rPr>
                <w:rFonts w:hint="eastAsia"/>
                <w:color w:val="auto"/>
                <w:sz w:val="24"/>
                <w:u w:val="single"/>
              </w:rPr>
              <w:t>日</w:t>
            </w:r>
            <w:r>
              <w:rPr>
                <w:color w:val="auto"/>
                <w:sz w:val="24"/>
                <w:u w:val="single"/>
              </w:rPr>
              <w:t xml:space="preserve"> 9</w:t>
            </w:r>
            <w:r>
              <w:rPr>
                <w:rFonts w:hint="eastAsia"/>
                <w:color w:val="auto"/>
                <w:sz w:val="24"/>
                <w:u w:val="single"/>
              </w:rPr>
              <w:t>：</w:t>
            </w:r>
            <w:r>
              <w:rPr>
                <w:color w:val="auto"/>
                <w:sz w:val="24"/>
                <w:u w:val="single"/>
              </w:rPr>
              <w:t xml:space="preserve">00 </w:t>
            </w:r>
            <w:r>
              <w:rPr>
                <w:rFonts w:hint="eastAsia"/>
                <w:color w:val="auto"/>
                <w:sz w:val="24"/>
              </w:rPr>
              <w:t>前通知采购机构。采购机构仅对供应商提出的合理疑问进行答复。采购机构将于</w:t>
            </w:r>
            <w:r>
              <w:rPr>
                <w:color w:val="auto"/>
                <w:sz w:val="24"/>
                <w:u w:val="single"/>
              </w:rPr>
              <w:t xml:space="preserve"> </w:t>
            </w:r>
            <w:r>
              <w:rPr>
                <w:rFonts w:hint="eastAsia"/>
                <w:color w:val="auto"/>
                <w:sz w:val="24"/>
                <w:u w:val="single"/>
              </w:rPr>
              <w:t>202</w:t>
            </w:r>
            <w:r>
              <w:rPr>
                <w:rFonts w:hint="eastAsia"/>
                <w:color w:val="auto"/>
                <w:sz w:val="24"/>
                <w:u w:val="single"/>
                <w:lang w:val="en-US" w:eastAsia="zh-CN"/>
              </w:rPr>
              <w:t>6</w:t>
            </w:r>
            <w:r>
              <w:rPr>
                <w:rFonts w:hint="eastAsia"/>
                <w:color w:val="auto"/>
                <w:sz w:val="24"/>
                <w:u w:val="single"/>
              </w:rPr>
              <w:t>年</w:t>
            </w:r>
            <w:r>
              <w:rPr>
                <w:rFonts w:hint="default"/>
                <w:color w:val="auto"/>
                <w:sz w:val="24"/>
                <w:u w:val="single"/>
                <w:woUserID w:val="1"/>
              </w:rPr>
              <w:t>11</w:t>
            </w:r>
            <w:r>
              <w:rPr>
                <w:rFonts w:hint="eastAsia"/>
                <w:color w:val="auto"/>
                <w:sz w:val="24"/>
                <w:u w:val="single"/>
              </w:rPr>
              <w:t>月</w:t>
            </w:r>
            <w:r>
              <w:rPr>
                <w:rFonts w:hint="default"/>
                <w:color w:val="auto"/>
                <w:sz w:val="24"/>
                <w:u w:val="single"/>
                <w:woUserID w:val="1"/>
              </w:rPr>
              <w:t>9</w:t>
            </w:r>
            <w:r>
              <w:rPr>
                <w:rFonts w:hint="eastAsia"/>
                <w:color w:val="auto"/>
                <w:sz w:val="24"/>
                <w:u w:val="single"/>
              </w:rPr>
              <w:t>日17：</w:t>
            </w:r>
            <w:r>
              <w:rPr>
                <w:color w:val="auto"/>
                <w:sz w:val="24"/>
                <w:u w:val="single"/>
              </w:rPr>
              <w:t xml:space="preserve">00 </w:t>
            </w:r>
            <w:r>
              <w:rPr>
                <w:rFonts w:hint="eastAsia"/>
                <w:color w:val="auto"/>
                <w:sz w:val="24"/>
              </w:rPr>
              <w:t>前给予答复。</w:t>
            </w:r>
            <w:r>
              <w:rPr>
                <w:rFonts w:hint="eastAsia" w:ascii="宋体"/>
                <w:color w:val="auto"/>
                <w:sz w:val="24"/>
                <w:szCs w:val="24"/>
              </w:rPr>
              <w:t>联</w:t>
            </w:r>
            <w:r>
              <w:rPr>
                <w:rFonts w:hint="eastAsia" w:ascii="宋体"/>
                <w:color w:val="auto"/>
                <w:sz w:val="24"/>
                <w:szCs w:val="24"/>
              </w:rPr>
              <w:t>系人：</w:t>
            </w:r>
            <w:r>
              <w:rPr>
                <w:rFonts w:hint="eastAsia" w:ascii="宋体"/>
                <w:color w:val="auto"/>
                <w:sz w:val="24"/>
                <w:szCs w:val="24"/>
                <w:u w:val="single"/>
              </w:rPr>
              <w:t xml:space="preserve"> 许老师 </w:t>
            </w:r>
            <w:r>
              <w:rPr>
                <w:rFonts w:hint="eastAsia" w:ascii="宋体"/>
                <w:color w:val="auto"/>
                <w:sz w:val="24"/>
                <w:szCs w:val="24"/>
              </w:rPr>
              <w:t>，电话：</w:t>
            </w:r>
            <w:r>
              <w:rPr>
                <w:rFonts w:hint="eastAsia"/>
                <w:color w:val="auto"/>
                <w:sz w:val="24"/>
                <w:u w:val="single"/>
              </w:rPr>
              <w:t>0571-</w:t>
            </w:r>
            <w:r>
              <w:rPr>
                <w:rFonts w:hint="eastAsia" w:ascii="宋体"/>
                <w:color w:val="auto"/>
                <w:sz w:val="24"/>
                <w:szCs w:val="24"/>
                <w:u w:val="single"/>
              </w:rPr>
              <w:t>8</w:t>
            </w:r>
            <w:r>
              <w:rPr>
                <w:rFonts w:ascii="宋体"/>
                <w:color w:val="auto"/>
                <w:sz w:val="24"/>
                <w:szCs w:val="24"/>
                <w:u w:val="single"/>
              </w:rPr>
              <w:t>7713573</w:t>
            </w:r>
            <w:r>
              <w:rPr>
                <w:rFonts w:hint="eastAsia" w:ascii="宋体"/>
                <w:color w:val="auto"/>
                <w:sz w:val="24"/>
                <w:szCs w:val="24"/>
                <w:u w:val="single"/>
                <w:lang w:eastAsia="zh-CN"/>
              </w:rPr>
              <w:t>，</w:t>
            </w:r>
            <w:r>
              <w:rPr>
                <w:rFonts w:hint="eastAsia" w:ascii="宋体"/>
                <w:color w:val="auto"/>
                <w:sz w:val="24"/>
                <w:szCs w:val="24"/>
                <w:lang w:val="en-US" w:eastAsia="zh-CN"/>
              </w:rPr>
              <w:t>邮箱：</w:t>
            </w:r>
            <w:r>
              <w:rPr>
                <w:rFonts w:hint="eastAsia" w:ascii="宋体"/>
                <w:color w:val="auto"/>
                <w:sz w:val="24"/>
                <w:szCs w:val="24"/>
                <w:u w:val="single"/>
                <w:lang w:val="en-US" w:eastAsia="zh-CN"/>
              </w:rPr>
              <w:t>cnxjh@hdu.edu.cn</w:t>
            </w:r>
            <w:r>
              <w:rPr>
                <w:rFonts w:hint="eastAsia" w:ascii="宋体"/>
                <w:color w:val="auto"/>
                <w:sz w:val="24"/>
                <w:szCs w:val="24"/>
                <w:u w:val="single"/>
              </w:rPr>
              <w:t>。</w:t>
            </w:r>
          </w:p>
        </w:tc>
      </w:tr>
      <w:tr w14:paraId="5F54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6D90BA78">
            <w:pPr>
              <w:jc w:val="center"/>
              <w:rPr>
                <w:rFonts w:ascii="宋体"/>
                <w:color w:val="auto"/>
                <w:sz w:val="24"/>
                <w:szCs w:val="24"/>
              </w:rPr>
            </w:pPr>
            <w:r>
              <w:rPr>
                <w:rFonts w:hint="eastAsia" w:ascii="宋体" w:hAnsi="宋体"/>
                <w:color w:val="auto"/>
                <w:sz w:val="24"/>
                <w:szCs w:val="24"/>
              </w:rPr>
              <w:t>8</w:t>
            </w:r>
          </w:p>
        </w:tc>
        <w:tc>
          <w:tcPr>
            <w:tcW w:w="2043" w:type="dxa"/>
            <w:vAlign w:val="center"/>
          </w:tcPr>
          <w:p w14:paraId="236E84F8">
            <w:pPr>
              <w:jc w:val="center"/>
              <w:rPr>
                <w:rFonts w:ascii="宋体"/>
                <w:color w:val="auto"/>
                <w:sz w:val="24"/>
                <w:szCs w:val="24"/>
              </w:rPr>
            </w:pPr>
            <w:r>
              <w:rPr>
                <w:rFonts w:hint="eastAsia"/>
                <w:color w:val="auto"/>
                <w:sz w:val="24"/>
              </w:rPr>
              <w:t>响应文件份数</w:t>
            </w:r>
            <w:r>
              <w:rPr>
                <w:rFonts w:hint="eastAsia"/>
                <w:color w:val="auto"/>
                <w:sz w:val="24"/>
                <w:lang w:val="en-US" w:eastAsia="zh-CN"/>
              </w:rPr>
              <w:t>和</w:t>
            </w:r>
            <w:r>
              <w:rPr>
                <w:rFonts w:hint="eastAsia"/>
                <w:b/>
                <w:bCs/>
                <w:color w:val="auto"/>
                <w:sz w:val="24"/>
                <w:lang w:val="en-US" w:eastAsia="zh-CN"/>
              </w:rPr>
              <w:t>演示视频（如有）</w:t>
            </w:r>
          </w:p>
        </w:tc>
        <w:tc>
          <w:tcPr>
            <w:tcW w:w="6348" w:type="dxa"/>
            <w:vAlign w:val="center"/>
          </w:tcPr>
          <w:p w14:paraId="51DBBB9A">
            <w:pPr>
              <w:jc w:val="left"/>
              <w:rPr>
                <w:color w:val="auto"/>
                <w:sz w:val="24"/>
              </w:rPr>
            </w:pPr>
            <w:r>
              <w:rPr>
                <w:rFonts w:hint="eastAsia"/>
                <w:b/>
                <w:bCs/>
                <w:color w:val="auto"/>
                <w:sz w:val="24"/>
              </w:rPr>
              <w:t>电子加密响应文件</w:t>
            </w:r>
            <w:r>
              <w:rPr>
                <w:rFonts w:hint="eastAsia"/>
                <w:color w:val="auto"/>
                <w:sz w:val="24"/>
              </w:rPr>
              <w:t>：</w:t>
            </w:r>
            <w:r>
              <w:rPr>
                <w:rFonts w:hint="eastAsia"/>
                <w:b/>
                <w:bCs/>
                <w:color w:val="auto"/>
                <w:sz w:val="24"/>
              </w:rPr>
              <w:t>政府采购云平台在线上传一份；备份响应文件（自主选择是否递交）</w:t>
            </w:r>
            <w:r>
              <w:rPr>
                <w:rFonts w:hint="eastAsia"/>
                <w:b/>
                <w:bCs/>
                <w:color w:val="auto"/>
                <w:sz w:val="24"/>
                <w:lang w:eastAsia="zh-CN"/>
              </w:rPr>
              <w:t>、</w:t>
            </w:r>
            <w:r>
              <w:rPr>
                <w:rFonts w:hint="eastAsia"/>
                <w:b/>
                <w:bCs/>
                <w:color w:val="auto"/>
                <w:sz w:val="24"/>
                <w:lang w:val="en-US" w:eastAsia="zh-CN"/>
              </w:rPr>
              <w:t>演示视频</w:t>
            </w:r>
            <w:r>
              <w:rPr>
                <w:rFonts w:hint="default"/>
                <w:b/>
                <w:bCs/>
                <w:color w:val="auto"/>
                <w:sz w:val="24"/>
                <w:szCs w:val="20"/>
                <w:lang w:eastAsia="zh-CN"/>
              </w:rPr>
              <w:t>（如有）</w:t>
            </w:r>
            <w:r>
              <w:rPr>
                <w:rFonts w:hint="eastAsia"/>
                <w:b/>
                <w:bCs/>
                <w:color w:val="auto"/>
                <w:sz w:val="24"/>
              </w:rPr>
              <w:t>：密封包装</w:t>
            </w:r>
            <w:r>
              <w:rPr>
                <w:rFonts w:hint="eastAsia" w:ascii="宋体" w:hAnsi="宋体" w:eastAsia="宋体" w:cs="宋体"/>
                <w:b/>
                <w:bCs/>
                <w:color w:val="auto"/>
                <w:kern w:val="0"/>
                <w:sz w:val="24"/>
                <w:szCs w:val="24"/>
                <w:lang w:val="en-US" w:eastAsia="zh-CN" w:bidi="ar"/>
              </w:rPr>
              <w:t>，包装上标</w:t>
            </w:r>
            <w:r>
              <w:rPr>
                <w:rFonts w:hint="eastAsia" w:ascii="宋体" w:hAnsi="宋体" w:eastAsia="宋体" w:cs="宋体"/>
                <w:b/>
                <w:bCs/>
                <w:color w:val="auto"/>
                <w:kern w:val="0"/>
                <w:sz w:val="24"/>
                <w:szCs w:val="24"/>
                <w:u w:val="none"/>
                <w:lang w:val="en-US" w:eastAsia="zh-CN" w:bidi="ar"/>
              </w:rPr>
              <w:t>注采购项目编号、项目名称、响应单位名称等并加盖公章。没有密封包装或者逾期送达将不予接收</w:t>
            </w:r>
            <w:r>
              <w:rPr>
                <w:rFonts w:hint="eastAsia" w:ascii="宋体" w:hAnsi="宋体" w:cs="宋体"/>
                <w:b/>
                <w:bCs/>
                <w:color w:val="auto"/>
                <w:kern w:val="0"/>
                <w:sz w:val="24"/>
                <w:szCs w:val="24"/>
                <w:u w:val="none"/>
                <w:lang w:val="en-US" w:eastAsia="zh-CN" w:bidi="ar"/>
              </w:rPr>
              <w:t>，</w:t>
            </w:r>
            <w:r>
              <w:rPr>
                <w:rFonts w:hint="eastAsia"/>
                <w:b/>
                <w:bCs/>
                <w:color w:val="auto"/>
                <w:sz w:val="24"/>
                <w:u w:val="none"/>
                <w:lang w:val="en-US" w:eastAsia="zh-CN"/>
              </w:rPr>
              <w:t>通过</w:t>
            </w:r>
            <w:r>
              <w:rPr>
                <w:rFonts w:hint="eastAsia"/>
                <w:b/>
                <w:bCs/>
                <w:color w:val="auto"/>
                <w:sz w:val="24"/>
                <w:u w:val="none"/>
              </w:rPr>
              <w:t>EMS或顺丰邮</w:t>
            </w:r>
            <w:r>
              <w:rPr>
                <w:rFonts w:hint="eastAsia"/>
                <w:b/>
                <w:bCs/>
                <w:color w:val="auto"/>
                <w:sz w:val="24"/>
              </w:rPr>
              <w:t>寄形式递交一份</w:t>
            </w:r>
            <w:r>
              <w:rPr>
                <w:rFonts w:hint="eastAsia"/>
                <w:color w:val="auto"/>
                <w:sz w:val="24"/>
              </w:rPr>
              <w:t>（邮寄地址：</w:t>
            </w:r>
            <w:r>
              <w:rPr>
                <w:rFonts w:hint="eastAsia"/>
                <w:color w:val="auto"/>
                <w:sz w:val="24"/>
                <w:u w:val="single"/>
              </w:rPr>
              <w:t>杭州市钱塘区白杨街道2号大街1158号，杭州电子科技大学采购中心</w:t>
            </w:r>
            <w:r>
              <w:rPr>
                <w:rFonts w:hint="eastAsia"/>
                <w:color w:val="auto"/>
                <w:sz w:val="24"/>
                <w:u w:val="single"/>
                <w:lang w:val="en-US" w:eastAsia="zh-CN"/>
              </w:rPr>
              <w:t>施</w:t>
            </w:r>
            <w:r>
              <w:rPr>
                <w:rFonts w:hint="eastAsia"/>
                <w:color w:val="auto"/>
                <w:sz w:val="24"/>
                <w:u w:val="single"/>
              </w:rPr>
              <w:t>老师收，电话：0571-87713548</w:t>
            </w:r>
            <w:r>
              <w:rPr>
                <w:rFonts w:hint="eastAsia"/>
                <w:color w:val="auto"/>
                <w:sz w:val="24"/>
              </w:rPr>
              <w:t>。寄出后将快递单号、项目名称、公司名称、联系方式等相关信息发至：</w:t>
            </w:r>
            <w:r>
              <w:rPr>
                <w:rFonts w:hint="eastAsia" w:ascii="宋体" w:hAnsi="宋体"/>
                <w:color w:val="auto"/>
                <w:sz w:val="24"/>
                <w:szCs w:val="24"/>
                <w:lang w:val="en-US" w:eastAsia="zh-CN"/>
              </w:rPr>
              <w:t>40368</w:t>
            </w:r>
            <w:r>
              <w:rPr>
                <w:rFonts w:hint="eastAsia"/>
                <w:color w:val="auto"/>
                <w:sz w:val="24"/>
              </w:rPr>
              <w:t>@hdu.edu.cn，以便查收）。</w:t>
            </w:r>
          </w:p>
          <w:p w14:paraId="60B6D6A0">
            <w:pPr>
              <w:jc w:val="left"/>
              <w:rPr>
                <w:rFonts w:ascii="宋体"/>
                <w:color w:val="auto"/>
                <w:sz w:val="24"/>
                <w:szCs w:val="24"/>
              </w:rPr>
            </w:pPr>
            <w:r>
              <w:rPr>
                <w:rFonts w:hint="eastAsia"/>
                <w:b/>
                <w:bCs/>
                <w:color w:val="auto"/>
                <w:sz w:val="24"/>
              </w:rPr>
              <w:t>特别说明：</w:t>
            </w:r>
            <w:r>
              <w:rPr>
                <w:rFonts w:hint="eastAsia"/>
                <w:color w:val="auto"/>
                <w:sz w:val="24"/>
              </w:rPr>
              <w:t>双休日和法定节假日不</w:t>
            </w:r>
            <w:r>
              <w:rPr>
                <w:rFonts w:hint="eastAsia"/>
                <w:color w:val="auto"/>
                <w:sz w:val="24"/>
              </w:rPr>
              <w:t>收件，供应商自行承担邮寄风险。）</w:t>
            </w:r>
          </w:p>
        </w:tc>
      </w:tr>
      <w:tr w14:paraId="3102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2D875DDE">
            <w:pPr>
              <w:jc w:val="center"/>
              <w:rPr>
                <w:rFonts w:ascii="宋体"/>
                <w:color w:val="auto"/>
                <w:sz w:val="24"/>
                <w:szCs w:val="24"/>
              </w:rPr>
            </w:pPr>
            <w:r>
              <w:rPr>
                <w:rFonts w:hint="eastAsia" w:ascii="宋体" w:hAnsi="宋体"/>
                <w:color w:val="auto"/>
                <w:sz w:val="24"/>
                <w:szCs w:val="24"/>
              </w:rPr>
              <w:t>9</w:t>
            </w:r>
          </w:p>
        </w:tc>
        <w:tc>
          <w:tcPr>
            <w:tcW w:w="2043" w:type="dxa"/>
            <w:vAlign w:val="center"/>
          </w:tcPr>
          <w:p w14:paraId="082CB135">
            <w:pPr>
              <w:jc w:val="center"/>
              <w:rPr>
                <w:rFonts w:ascii="宋体"/>
                <w:color w:val="auto"/>
                <w:sz w:val="24"/>
                <w:szCs w:val="24"/>
              </w:rPr>
            </w:pPr>
            <w:r>
              <w:rPr>
                <w:rFonts w:hint="eastAsia" w:ascii="宋体" w:hAnsi="宋体"/>
                <w:color w:val="auto"/>
                <w:sz w:val="24"/>
                <w:szCs w:val="24"/>
              </w:rPr>
              <w:t>磋商地点</w:t>
            </w:r>
          </w:p>
        </w:tc>
        <w:tc>
          <w:tcPr>
            <w:tcW w:w="6348" w:type="dxa"/>
            <w:vAlign w:val="center"/>
          </w:tcPr>
          <w:p w14:paraId="6DD13424">
            <w:pPr>
              <w:jc w:val="left"/>
              <w:rPr>
                <w:color w:val="auto"/>
                <w:sz w:val="24"/>
              </w:rPr>
            </w:pPr>
            <w:r>
              <w:rPr>
                <w:rFonts w:hint="eastAsia"/>
                <w:color w:val="auto"/>
                <w:sz w:val="24"/>
                <w:szCs w:val="24"/>
              </w:rPr>
              <w:t>杭州钱塘区白杨街道2号大街</w:t>
            </w:r>
            <w:r>
              <w:rPr>
                <w:color w:val="auto"/>
                <w:sz w:val="24"/>
                <w:szCs w:val="24"/>
              </w:rPr>
              <w:t>1158</w:t>
            </w:r>
            <w:r>
              <w:rPr>
                <w:rFonts w:hint="eastAsia"/>
                <w:color w:val="auto"/>
                <w:sz w:val="24"/>
                <w:szCs w:val="24"/>
              </w:rPr>
              <w:t>号，2号路和3号路交界，</w:t>
            </w:r>
            <w:r>
              <w:rPr>
                <w:rFonts w:hint="eastAsia"/>
                <w:color w:val="auto"/>
                <w:sz w:val="24"/>
              </w:rPr>
              <w:t>杭州电子科技大学行政楼805开标室。</w:t>
            </w:r>
          </w:p>
        </w:tc>
      </w:tr>
      <w:tr w14:paraId="0D8C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3B30BFE4">
            <w:pPr>
              <w:jc w:val="center"/>
              <w:rPr>
                <w:rFonts w:ascii="宋体"/>
                <w:color w:val="auto"/>
                <w:sz w:val="24"/>
                <w:szCs w:val="24"/>
              </w:rPr>
            </w:pPr>
            <w:r>
              <w:rPr>
                <w:rFonts w:hint="eastAsia" w:ascii="宋体" w:hAnsi="宋体"/>
                <w:color w:val="auto"/>
                <w:sz w:val="24"/>
                <w:szCs w:val="24"/>
              </w:rPr>
              <w:t>10</w:t>
            </w:r>
          </w:p>
        </w:tc>
        <w:tc>
          <w:tcPr>
            <w:tcW w:w="2043" w:type="dxa"/>
            <w:vAlign w:val="center"/>
          </w:tcPr>
          <w:p w14:paraId="0D0B6227">
            <w:pPr>
              <w:jc w:val="center"/>
              <w:rPr>
                <w:rFonts w:ascii="宋体"/>
                <w:color w:val="auto"/>
                <w:sz w:val="24"/>
                <w:szCs w:val="24"/>
              </w:rPr>
            </w:pPr>
            <w:r>
              <w:rPr>
                <w:rFonts w:hint="eastAsia" w:ascii="宋体" w:hAnsi="宋体"/>
                <w:color w:val="auto"/>
                <w:sz w:val="24"/>
                <w:szCs w:val="24"/>
              </w:rPr>
              <w:t>评审办法</w:t>
            </w:r>
          </w:p>
        </w:tc>
        <w:tc>
          <w:tcPr>
            <w:tcW w:w="6348" w:type="dxa"/>
            <w:vAlign w:val="center"/>
          </w:tcPr>
          <w:p w14:paraId="271EB29C">
            <w:pPr>
              <w:jc w:val="left"/>
              <w:rPr>
                <w:rFonts w:ascii="宋体"/>
                <w:color w:val="auto"/>
                <w:sz w:val="24"/>
                <w:szCs w:val="24"/>
              </w:rPr>
            </w:pPr>
            <w:r>
              <w:rPr>
                <w:rFonts w:hint="eastAsia"/>
                <w:color w:val="auto"/>
                <w:sz w:val="24"/>
              </w:rPr>
              <w:t>综合评分法</w:t>
            </w:r>
          </w:p>
        </w:tc>
      </w:tr>
      <w:tr w14:paraId="2BC7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585F0862">
            <w:pPr>
              <w:jc w:val="center"/>
              <w:rPr>
                <w:rFonts w:ascii="宋体"/>
                <w:color w:val="auto"/>
                <w:sz w:val="24"/>
                <w:szCs w:val="24"/>
              </w:rPr>
            </w:pPr>
            <w:r>
              <w:rPr>
                <w:rFonts w:hint="eastAsia" w:ascii="宋体" w:hAnsi="宋体"/>
                <w:color w:val="auto"/>
                <w:sz w:val="24"/>
                <w:szCs w:val="24"/>
              </w:rPr>
              <w:t>11</w:t>
            </w:r>
          </w:p>
        </w:tc>
        <w:tc>
          <w:tcPr>
            <w:tcW w:w="2043" w:type="dxa"/>
            <w:vAlign w:val="center"/>
          </w:tcPr>
          <w:p w14:paraId="37190D56">
            <w:pPr>
              <w:jc w:val="center"/>
              <w:rPr>
                <w:rFonts w:hint="default" w:ascii="宋体" w:eastAsia="宋体"/>
                <w:color w:val="auto"/>
                <w:sz w:val="24"/>
                <w:szCs w:val="24"/>
                <w:lang w:val="en-US" w:eastAsia="zh-CN"/>
              </w:rPr>
            </w:pPr>
            <w:r>
              <w:rPr>
                <w:rFonts w:hint="eastAsia"/>
                <w:color w:val="auto"/>
                <w:sz w:val="24"/>
                <w:lang w:val="en-US" w:eastAsia="zh-CN"/>
              </w:rPr>
              <w:t>公告媒体</w:t>
            </w:r>
          </w:p>
        </w:tc>
        <w:tc>
          <w:tcPr>
            <w:tcW w:w="6348" w:type="dxa"/>
            <w:vAlign w:val="center"/>
          </w:tcPr>
          <w:p w14:paraId="7C53F235">
            <w:pPr>
              <w:jc w:val="left"/>
              <w:rPr>
                <w:rFonts w:hint="default" w:ascii="宋体" w:eastAsia="宋体"/>
                <w:color w:val="auto"/>
                <w:sz w:val="24"/>
                <w:szCs w:val="24"/>
                <w:lang w:val="en-US" w:eastAsia="zh-CN"/>
              </w:rPr>
            </w:pPr>
            <w:r>
              <w:rPr>
                <w:rFonts w:hint="eastAsia"/>
                <w:color w:val="auto"/>
                <w:sz w:val="24"/>
                <w:lang w:val="en-US" w:eastAsia="zh-CN"/>
              </w:rPr>
              <w:t>杭州电子科技大学采购中心网站</w:t>
            </w:r>
          </w:p>
        </w:tc>
      </w:tr>
      <w:tr w14:paraId="108B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4" w:type="dxa"/>
            <w:vAlign w:val="center"/>
          </w:tcPr>
          <w:p w14:paraId="0EB1C0FA">
            <w:pPr>
              <w:jc w:val="center"/>
              <w:rPr>
                <w:rFonts w:ascii="宋体"/>
                <w:color w:val="auto"/>
                <w:sz w:val="24"/>
                <w:szCs w:val="24"/>
              </w:rPr>
            </w:pPr>
            <w:r>
              <w:rPr>
                <w:rFonts w:hint="eastAsia" w:ascii="宋体" w:hAnsi="宋体"/>
                <w:color w:val="auto"/>
                <w:sz w:val="24"/>
                <w:szCs w:val="24"/>
              </w:rPr>
              <w:t>12</w:t>
            </w:r>
          </w:p>
        </w:tc>
        <w:tc>
          <w:tcPr>
            <w:tcW w:w="2043" w:type="dxa"/>
            <w:vAlign w:val="center"/>
          </w:tcPr>
          <w:p w14:paraId="45E9AC90">
            <w:pPr>
              <w:jc w:val="center"/>
              <w:rPr>
                <w:rFonts w:ascii="宋体"/>
                <w:color w:val="auto"/>
                <w:sz w:val="24"/>
                <w:szCs w:val="24"/>
              </w:rPr>
            </w:pPr>
            <w:r>
              <w:rPr>
                <w:rFonts w:hint="eastAsia"/>
                <w:color w:val="auto"/>
                <w:sz w:val="24"/>
              </w:rPr>
              <w:t>解释</w:t>
            </w:r>
          </w:p>
        </w:tc>
        <w:tc>
          <w:tcPr>
            <w:tcW w:w="6348" w:type="dxa"/>
            <w:vAlign w:val="center"/>
          </w:tcPr>
          <w:p w14:paraId="030896EE">
            <w:pPr>
              <w:jc w:val="left"/>
              <w:rPr>
                <w:rFonts w:ascii="宋体"/>
                <w:color w:val="auto"/>
                <w:sz w:val="24"/>
                <w:szCs w:val="24"/>
              </w:rPr>
            </w:pPr>
            <w:r>
              <w:rPr>
                <w:rFonts w:hint="eastAsia"/>
                <w:color w:val="auto"/>
                <w:sz w:val="24"/>
              </w:rPr>
              <w:t>本磋商文件的解释权属于杭州电子科技大学采购中心。采购文件中未尽事宜，杭州电子科技大学采购中心有权参照政府采购法相关法律法规作出解释并执行。</w:t>
            </w:r>
          </w:p>
        </w:tc>
      </w:tr>
    </w:tbl>
    <w:p w14:paraId="3DFCD37F">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r>
        <w:rPr>
          <w:rFonts w:hAnsi="宋体"/>
          <w:color w:val="auto"/>
          <w:sz w:val="32"/>
        </w:rPr>
        <w:br w:type="page"/>
      </w:r>
      <w:bookmarkEnd w:id="130"/>
      <w:bookmarkStart w:id="131" w:name="_Toc15369"/>
      <w:bookmarkStart w:id="132" w:name="_Toc26898"/>
      <w:bookmarkStart w:id="133" w:name="_Toc20897"/>
      <w:bookmarkStart w:id="134" w:name="_Toc11749"/>
      <w:bookmarkStart w:id="135" w:name="_Toc27769"/>
      <w:bookmarkStart w:id="136" w:name="_Toc67"/>
      <w:bookmarkStart w:id="137" w:name="_Toc19879"/>
      <w:bookmarkStart w:id="138" w:name="_Toc23407"/>
      <w:bookmarkStart w:id="139" w:name="_Toc689"/>
      <w:bookmarkStart w:id="140" w:name="_Toc7947"/>
      <w:bookmarkStart w:id="141" w:name="_Toc15091"/>
      <w:bookmarkStart w:id="142" w:name="_Toc15936"/>
      <w:bookmarkStart w:id="143" w:name="_Toc11583"/>
      <w:bookmarkStart w:id="144" w:name="_Toc18556"/>
      <w:bookmarkStart w:id="145" w:name="_Toc3922"/>
      <w:bookmarkStart w:id="146" w:name="_Toc24333"/>
      <w:bookmarkStart w:id="147" w:name="_Toc18182"/>
      <w:bookmarkStart w:id="148" w:name="_Toc30371"/>
      <w:bookmarkStart w:id="149" w:name="_Toc12127"/>
      <w:bookmarkStart w:id="150" w:name="_Toc6802"/>
      <w:bookmarkStart w:id="151" w:name="_Toc2257"/>
      <w:bookmarkStart w:id="152" w:name="_Toc22060"/>
      <w:bookmarkStart w:id="153" w:name="_Toc6501"/>
      <w:bookmarkStart w:id="154" w:name="_Toc1408"/>
      <w:bookmarkStart w:id="155" w:name="_Toc1492"/>
      <w:bookmarkStart w:id="156" w:name="_Toc24686"/>
      <w:bookmarkStart w:id="157" w:name="_Toc7875"/>
      <w:bookmarkStart w:id="158" w:name="_Toc14022"/>
      <w:bookmarkStart w:id="159" w:name="_Toc26253_WPSOffice_Level2"/>
      <w:bookmarkStart w:id="160" w:name="_Toc9017"/>
      <w:bookmarkStart w:id="161" w:name="_Toc6841"/>
      <w:bookmarkStart w:id="162" w:name="_Toc19375"/>
      <w:bookmarkStart w:id="163" w:name="_Toc28551"/>
      <w:bookmarkStart w:id="164" w:name="_Toc3209"/>
      <w:bookmarkStart w:id="165" w:name="_Toc6934"/>
      <w:bookmarkStart w:id="166" w:name="_Toc6991"/>
      <w:bookmarkStart w:id="167" w:name="_Toc20458"/>
      <w:r>
        <w:rPr>
          <w:rFonts w:hint="eastAsia" w:ascii="楷体" w:hAnsi="楷体" w:eastAsia="楷体" w:cs="楷体"/>
          <w:snapToGrid w:val="0"/>
          <w:color w:val="auto"/>
          <w:kern w:val="44"/>
          <w:sz w:val="32"/>
          <w:szCs w:val="32"/>
        </w:rPr>
        <w:t>一、磋商说明</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0FED0CA">
      <w:pPr>
        <w:spacing w:before="120" w:beforeLines="50" w:after="120" w:afterLines="50" w:line="288" w:lineRule="auto"/>
        <w:ind w:firstLine="248" w:firstLineChars="103"/>
        <w:outlineLvl w:val="2"/>
        <w:rPr>
          <w:b/>
          <w:bCs/>
          <w:color w:val="auto"/>
          <w:sz w:val="24"/>
        </w:rPr>
      </w:pPr>
      <w:r>
        <w:rPr>
          <w:rFonts w:hint="eastAsia"/>
          <w:b/>
          <w:bCs/>
          <w:color w:val="auto"/>
          <w:sz w:val="24"/>
        </w:rPr>
        <w:t>（一）总则</w:t>
      </w:r>
      <w:r>
        <w:rPr>
          <w:b/>
          <w:bCs/>
          <w:color w:val="auto"/>
          <w:sz w:val="24"/>
        </w:rPr>
        <w:t xml:space="preserve"> </w:t>
      </w:r>
    </w:p>
    <w:p w14:paraId="18A5BB4F">
      <w:pPr>
        <w:numPr>
          <w:ilvl w:val="0"/>
          <w:numId w:val="1"/>
        </w:numPr>
        <w:spacing w:line="288" w:lineRule="auto"/>
        <w:ind w:firstLine="477" w:firstLineChars="199"/>
        <w:rPr>
          <w:color w:val="auto"/>
          <w:sz w:val="24"/>
        </w:rPr>
      </w:pPr>
      <w:r>
        <w:rPr>
          <w:rFonts w:hint="eastAsia"/>
          <w:color w:val="auto"/>
          <w:sz w:val="24"/>
        </w:rPr>
        <w:t>本次磋商采购文件根据</w:t>
      </w:r>
      <w:r>
        <w:rPr>
          <w:rFonts w:hint="eastAsia" w:hAnsi="宋体"/>
          <w:color w:val="auto"/>
          <w:sz w:val="24"/>
          <w:szCs w:val="24"/>
        </w:rPr>
        <w:t>杭州电子科技大学采购管理办法</w:t>
      </w:r>
      <w:r>
        <w:rPr>
          <w:rFonts w:hint="eastAsia"/>
          <w:color w:val="auto"/>
          <w:sz w:val="24"/>
        </w:rPr>
        <w:t>，</w:t>
      </w:r>
      <w:r>
        <w:rPr>
          <w:rFonts w:hint="eastAsia" w:hAnsi="宋体"/>
          <w:color w:val="auto"/>
          <w:sz w:val="24"/>
          <w:szCs w:val="24"/>
        </w:rPr>
        <w:t>参照《中华人民共和国政府采购法》、《中华人民共和国政府采购法实施条例》、《政府采购竞争性磋商采购方式管理暂行办法》、《浙江省政府采购活动现场组织管理办法》</w:t>
      </w:r>
      <w:r>
        <w:rPr>
          <w:rFonts w:hint="eastAsia"/>
          <w:color w:val="auto"/>
          <w:sz w:val="24"/>
        </w:rPr>
        <w:t>等部分相关条款制定。</w:t>
      </w:r>
    </w:p>
    <w:p w14:paraId="3E6681F4">
      <w:pPr>
        <w:numPr>
          <w:ilvl w:val="0"/>
          <w:numId w:val="1"/>
        </w:numPr>
        <w:spacing w:line="288" w:lineRule="auto"/>
        <w:ind w:firstLine="477" w:firstLineChars="199"/>
        <w:rPr>
          <w:color w:val="auto"/>
          <w:sz w:val="24"/>
        </w:rPr>
      </w:pPr>
      <w:r>
        <w:rPr>
          <w:rFonts w:hint="eastAsia"/>
          <w:color w:val="auto"/>
          <w:sz w:val="24"/>
        </w:rPr>
        <w:t>响应方一旦参与本次磋商活动，即被视为接受了本磋商文件的所有内容，如有任何异议，均应在答疑截止时间前提出。</w:t>
      </w:r>
      <w:r>
        <w:rPr>
          <w:color w:val="auto"/>
          <w:sz w:val="24"/>
        </w:rPr>
        <w:t xml:space="preserve"> </w:t>
      </w:r>
    </w:p>
    <w:p w14:paraId="6301EAC3">
      <w:pPr>
        <w:spacing w:line="288" w:lineRule="auto"/>
        <w:ind w:firstLine="477" w:firstLineChars="199"/>
        <w:rPr>
          <w:color w:val="auto"/>
          <w:sz w:val="24"/>
        </w:rPr>
      </w:pPr>
      <w:r>
        <w:rPr>
          <w:color w:val="auto"/>
          <w:sz w:val="24"/>
        </w:rPr>
        <w:t>3</w:t>
      </w:r>
      <w:r>
        <w:rPr>
          <w:rFonts w:hint="eastAsia"/>
          <w:color w:val="auto"/>
          <w:sz w:val="24"/>
        </w:rPr>
        <w:t>、响应方对所投产品、方案、技术、服务等内容出现文字、图片、商标和技术等方面的侵权行为，由响应供应商承担一切后果。</w:t>
      </w:r>
    </w:p>
    <w:p w14:paraId="721CF821">
      <w:pPr>
        <w:spacing w:line="288" w:lineRule="auto"/>
        <w:ind w:firstLine="477" w:firstLineChars="199"/>
        <w:rPr>
          <w:color w:val="auto"/>
          <w:sz w:val="24"/>
        </w:rPr>
      </w:pPr>
      <w:r>
        <w:rPr>
          <w:color w:val="auto"/>
          <w:sz w:val="24"/>
        </w:rPr>
        <w:t>4</w:t>
      </w:r>
      <w:r>
        <w:rPr>
          <w:rFonts w:hint="eastAsia"/>
          <w:color w:val="auto"/>
          <w:sz w:val="24"/>
        </w:rPr>
        <w:t>、供应商出现下列情形之一，采购方将有权对违法违规供应商予以通报批评，扣除供应商履约保证金；情节严重的，报经采购监督管理部门批准，暂停或取消其采购成交资格，将其列入不良供应商名单，在网上公开曝光，在一至三年内禁止参加杭州电子科技大学采购活动。</w:t>
      </w:r>
    </w:p>
    <w:p w14:paraId="7E8635FE">
      <w:pPr>
        <w:spacing w:line="288" w:lineRule="auto"/>
        <w:ind w:firstLine="420" w:firstLineChars="175"/>
        <w:rPr>
          <w:color w:val="auto"/>
          <w:sz w:val="24"/>
        </w:rPr>
      </w:pPr>
      <w:r>
        <w:rPr>
          <w:rFonts w:hint="eastAsia"/>
          <w:color w:val="auto"/>
          <w:sz w:val="24"/>
        </w:rPr>
        <w:t>（1）产品质量、服务等不符合国家有关规定和响应文件承诺的标准的；</w:t>
      </w:r>
    </w:p>
    <w:p w14:paraId="0B2D3537">
      <w:pPr>
        <w:spacing w:line="288" w:lineRule="auto"/>
        <w:ind w:firstLine="420" w:firstLineChars="175"/>
        <w:rPr>
          <w:color w:val="auto"/>
          <w:sz w:val="24"/>
        </w:rPr>
      </w:pPr>
      <w:r>
        <w:rPr>
          <w:rFonts w:hint="eastAsia"/>
          <w:color w:val="auto"/>
          <w:sz w:val="24"/>
        </w:rPr>
        <w:t>（2）被质疑投诉，经证实情况严重的；</w:t>
      </w:r>
    </w:p>
    <w:p w14:paraId="1FD4D903">
      <w:pPr>
        <w:spacing w:line="288" w:lineRule="auto"/>
        <w:ind w:firstLine="420" w:firstLineChars="175"/>
        <w:rPr>
          <w:color w:val="auto"/>
          <w:sz w:val="24"/>
        </w:rPr>
      </w:pPr>
      <w:r>
        <w:rPr>
          <w:rFonts w:hint="eastAsia"/>
          <w:color w:val="auto"/>
          <w:sz w:val="24"/>
        </w:rPr>
        <w:t>（3）使用不正当竞争手段，影响采购人正常采购活动的；</w:t>
      </w:r>
    </w:p>
    <w:p w14:paraId="76598437">
      <w:pPr>
        <w:spacing w:line="288" w:lineRule="auto"/>
        <w:ind w:firstLine="420" w:firstLineChars="175"/>
        <w:rPr>
          <w:color w:val="auto"/>
          <w:sz w:val="24"/>
        </w:rPr>
      </w:pPr>
      <w:r>
        <w:rPr>
          <w:rFonts w:hint="eastAsia"/>
          <w:color w:val="auto"/>
          <w:sz w:val="24"/>
        </w:rPr>
        <w:t>（4）响应方串通投标的；</w:t>
      </w:r>
    </w:p>
    <w:p w14:paraId="3D62F1F4">
      <w:pPr>
        <w:spacing w:line="288" w:lineRule="auto"/>
        <w:ind w:firstLine="420" w:firstLineChars="175"/>
        <w:rPr>
          <w:color w:val="auto"/>
          <w:sz w:val="24"/>
        </w:rPr>
      </w:pPr>
      <w:r>
        <w:rPr>
          <w:rFonts w:hint="eastAsia"/>
          <w:color w:val="auto"/>
          <w:sz w:val="24"/>
        </w:rPr>
        <w:t>（5）拒绝承担成交的项目；或提出采购方不能接受的条件，致使合同无法签订的。</w:t>
      </w:r>
    </w:p>
    <w:p w14:paraId="0340FF3C">
      <w:pPr>
        <w:spacing w:line="288" w:lineRule="auto"/>
        <w:ind w:firstLine="420" w:firstLineChars="175"/>
        <w:rPr>
          <w:color w:val="auto"/>
          <w:sz w:val="24"/>
        </w:rPr>
      </w:pPr>
      <w:r>
        <w:rPr>
          <w:rFonts w:hint="eastAsia"/>
          <w:color w:val="auto"/>
          <w:sz w:val="24"/>
        </w:rPr>
        <w:t>（6）响应方在投标中弄虚作假，提供虚假材料的；</w:t>
      </w:r>
    </w:p>
    <w:p w14:paraId="5C912405">
      <w:pPr>
        <w:spacing w:line="288" w:lineRule="auto"/>
        <w:ind w:firstLine="420" w:firstLineChars="175"/>
        <w:rPr>
          <w:color w:val="auto"/>
          <w:sz w:val="24"/>
        </w:rPr>
      </w:pPr>
      <w:r>
        <w:rPr>
          <w:rFonts w:hint="eastAsia"/>
          <w:color w:val="auto"/>
          <w:sz w:val="24"/>
        </w:rPr>
        <w:t>（7）成交方未按规定的时间、地点与采购人签订合同或未能按规定履行合同的；</w:t>
      </w:r>
    </w:p>
    <w:p w14:paraId="1AF1CC9E">
      <w:pPr>
        <w:spacing w:line="288" w:lineRule="auto"/>
        <w:ind w:firstLine="420" w:firstLineChars="175"/>
        <w:rPr>
          <w:color w:val="auto"/>
          <w:sz w:val="24"/>
        </w:rPr>
      </w:pPr>
      <w:r>
        <w:rPr>
          <w:rFonts w:hint="eastAsia"/>
          <w:color w:val="auto"/>
          <w:sz w:val="24"/>
        </w:rPr>
        <w:t>（8）将成交项目转让给他人；或者在响应文件中未说明且未经采购方同意，将成交项目分包给他人的；</w:t>
      </w:r>
    </w:p>
    <w:p w14:paraId="31950EFD">
      <w:pPr>
        <w:spacing w:line="288" w:lineRule="auto"/>
        <w:ind w:firstLine="420" w:firstLineChars="175"/>
        <w:rPr>
          <w:color w:val="auto"/>
          <w:sz w:val="24"/>
        </w:rPr>
      </w:pPr>
      <w:r>
        <w:rPr>
          <w:rFonts w:hint="eastAsia"/>
          <w:color w:val="auto"/>
          <w:sz w:val="24"/>
        </w:rPr>
        <w:t>（9）其他严重扰乱磋商程序的；</w:t>
      </w:r>
    </w:p>
    <w:p w14:paraId="114087E5">
      <w:pPr>
        <w:spacing w:line="288" w:lineRule="auto"/>
        <w:ind w:firstLine="420" w:firstLineChars="175"/>
        <w:rPr>
          <w:color w:val="auto"/>
          <w:sz w:val="24"/>
        </w:rPr>
      </w:pPr>
      <w:r>
        <w:rPr>
          <w:rFonts w:hint="eastAsia"/>
          <w:color w:val="auto"/>
          <w:sz w:val="24"/>
        </w:rPr>
        <w:t>（10）未成交供应商恶意质疑、投诉的。</w:t>
      </w:r>
    </w:p>
    <w:p w14:paraId="5D83A3F6">
      <w:pPr>
        <w:spacing w:line="288" w:lineRule="auto"/>
        <w:ind w:firstLine="420" w:firstLineChars="175"/>
        <w:rPr>
          <w:color w:val="auto"/>
          <w:sz w:val="24"/>
        </w:rPr>
      </w:pPr>
      <w:r>
        <w:rPr>
          <w:rFonts w:hint="eastAsia"/>
          <w:color w:val="auto"/>
          <w:sz w:val="24"/>
        </w:rPr>
        <w:t>（11）违反法律法规和合同约定的其他情形的。</w:t>
      </w:r>
    </w:p>
    <w:p w14:paraId="000B9EC2">
      <w:pPr>
        <w:spacing w:line="288" w:lineRule="auto"/>
        <w:ind w:firstLine="477" w:firstLineChars="199"/>
        <w:rPr>
          <w:color w:val="auto"/>
          <w:sz w:val="24"/>
        </w:rPr>
      </w:pPr>
      <w:r>
        <w:rPr>
          <w:rFonts w:hint="eastAsia"/>
          <w:color w:val="auto"/>
          <w:sz w:val="24"/>
          <w:lang w:val="en-US" w:eastAsia="zh-CN"/>
        </w:rPr>
        <w:t>5</w:t>
      </w:r>
      <w:r>
        <w:rPr>
          <w:rFonts w:hint="eastAsia"/>
          <w:color w:val="auto"/>
          <w:sz w:val="24"/>
        </w:rPr>
        <w:t>、在本次磋商采购过程中，如果出现采购人利益损失、当事人违法违规或学校政策变更等情况，采购人有权终止本次磋商采购，供应商需自行承担相应的风险和损失。</w:t>
      </w:r>
    </w:p>
    <w:p w14:paraId="7C172ACD">
      <w:pPr>
        <w:spacing w:before="120" w:beforeLines="50" w:after="120" w:afterLines="50" w:line="288" w:lineRule="auto"/>
        <w:ind w:firstLine="248" w:firstLineChars="103"/>
        <w:outlineLvl w:val="2"/>
        <w:rPr>
          <w:b/>
          <w:bCs/>
          <w:color w:val="auto"/>
          <w:sz w:val="24"/>
        </w:rPr>
      </w:pPr>
      <w:r>
        <w:rPr>
          <w:rFonts w:hint="eastAsia"/>
          <w:b/>
          <w:bCs/>
          <w:color w:val="auto"/>
          <w:sz w:val="24"/>
        </w:rPr>
        <w:t>（二）释义说明</w:t>
      </w:r>
    </w:p>
    <w:p w14:paraId="1CD44F24">
      <w:pPr>
        <w:spacing w:line="288" w:lineRule="auto"/>
        <w:ind w:firstLine="477" w:firstLineChars="199"/>
        <w:rPr>
          <w:color w:val="auto"/>
          <w:sz w:val="24"/>
        </w:rPr>
      </w:pPr>
      <w:r>
        <w:rPr>
          <w:color w:val="auto"/>
          <w:sz w:val="24"/>
        </w:rPr>
        <w:t>1</w:t>
      </w:r>
      <w:r>
        <w:rPr>
          <w:rFonts w:hint="eastAsia"/>
          <w:color w:val="auto"/>
          <w:sz w:val="24"/>
        </w:rPr>
        <w:t>、“甲方”“采购人”“采购方”“采购单位”指杭州电子科技大学。“采购机构”指杭州电子科技大学采购中心。</w:t>
      </w:r>
    </w:p>
    <w:p w14:paraId="5924EE06">
      <w:pPr>
        <w:spacing w:line="288" w:lineRule="auto"/>
        <w:ind w:firstLine="477" w:firstLineChars="199"/>
        <w:rPr>
          <w:color w:val="auto"/>
          <w:sz w:val="24"/>
        </w:rPr>
      </w:pPr>
      <w:r>
        <w:rPr>
          <w:color w:val="auto"/>
          <w:sz w:val="24"/>
        </w:rPr>
        <w:t>2</w:t>
      </w:r>
      <w:r>
        <w:rPr>
          <w:rFonts w:hint="eastAsia"/>
          <w:color w:val="auto"/>
          <w:sz w:val="24"/>
        </w:rPr>
        <w:t>、“响应方”“投标人”“投标方”指符合本次磋商资格要求（竞争性磋商公告第三条）、按磋商文件规定向采购机构提交响应文件的供应商。</w:t>
      </w:r>
    </w:p>
    <w:p w14:paraId="4D33EE1F">
      <w:pPr>
        <w:spacing w:line="288" w:lineRule="auto"/>
        <w:ind w:firstLine="477" w:firstLineChars="199"/>
        <w:rPr>
          <w:color w:val="auto"/>
          <w:sz w:val="24"/>
        </w:rPr>
      </w:pPr>
      <w:r>
        <w:rPr>
          <w:color w:val="auto"/>
          <w:sz w:val="24"/>
        </w:rPr>
        <w:t>3</w:t>
      </w:r>
      <w:r>
        <w:rPr>
          <w:rFonts w:hint="eastAsia"/>
          <w:color w:val="auto"/>
          <w:sz w:val="24"/>
        </w:rPr>
        <w:t>、“乙方”</w:t>
      </w:r>
      <w:r>
        <w:rPr>
          <w:rFonts w:hint="eastAsia"/>
          <w:color w:val="auto"/>
          <w:sz w:val="24"/>
          <w:lang w:eastAsia="zh-CN"/>
        </w:rPr>
        <w:t>“</w:t>
      </w:r>
      <w:r>
        <w:rPr>
          <w:rFonts w:hint="eastAsia"/>
          <w:color w:val="auto"/>
          <w:sz w:val="24"/>
          <w:lang w:val="en-US" w:eastAsia="zh-CN"/>
        </w:rPr>
        <w:t>成交人</w:t>
      </w:r>
      <w:r>
        <w:rPr>
          <w:rFonts w:hint="eastAsia"/>
          <w:color w:val="auto"/>
          <w:sz w:val="24"/>
          <w:lang w:eastAsia="zh-CN"/>
        </w:rPr>
        <w:t>”</w:t>
      </w:r>
      <w:r>
        <w:rPr>
          <w:rFonts w:hint="eastAsia"/>
          <w:color w:val="auto"/>
          <w:sz w:val="24"/>
        </w:rPr>
        <w:t>“成交方”“中标人”“</w:t>
      </w:r>
      <w:r>
        <w:rPr>
          <w:rFonts w:hint="eastAsia"/>
          <w:color w:val="auto"/>
          <w:sz w:val="24"/>
          <w:lang w:val="en-US" w:eastAsia="zh-CN"/>
        </w:rPr>
        <w:t>中标</w:t>
      </w:r>
      <w:r>
        <w:rPr>
          <w:rFonts w:hint="eastAsia"/>
          <w:color w:val="auto"/>
          <w:sz w:val="24"/>
        </w:rPr>
        <w:t>方”指本次磋商的成交供应商。</w:t>
      </w:r>
    </w:p>
    <w:p w14:paraId="713EF1DB">
      <w:pPr>
        <w:spacing w:line="288" w:lineRule="auto"/>
        <w:ind w:firstLine="477" w:firstLineChars="199"/>
        <w:rPr>
          <w:color w:val="auto"/>
          <w:sz w:val="24"/>
        </w:rPr>
      </w:pPr>
      <w:r>
        <w:rPr>
          <w:color w:val="auto"/>
          <w:sz w:val="24"/>
        </w:rPr>
        <w:t>4</w:t>
      </w:r>
      <w:r>
        <w:rPr>
          <w:rFonts w:hint="eastAsia"/>
          <w:color w:val="auto"/>
          <w:sz w:val="24"/>
        </w:rPr>
        <w:t>、“货物”、“产品”指响应方按磋商文件规定，须向采购人提供的一切设备、保险、税金、备品备件、工具、手册及其它有关技术资料和材料。</w:t>
      </w:r>
    </w:p>
    <w:p w14:paraId="21297514">
      <w:pPr>
        <w:spacing w:line="288" w:lineRule="auto"/>
        <w:ind w:firstLine="480" w:firstLineChars="200"/>
        <w:rPr>
          <w:color w:val="auto"/>
          <w:sz w:val="24"/>
        </w:rPr>
      </w:pPr>
      <w:r>
        <w:rPr>
          <w:color w:val="auto"/>
          <w:sz w:val="24"/>
        </w:rPr>
        <w:t>5</w:t>
      </w:r>
      <w:r>
        <w:rPr>
          <w:rFonts w:hint="eastAsia"/>
          <w:color w:val="auto"/>
          <w:sz w:val="24"/>
        </w:rPr>
        <w:t>、“服务”指磋商文件规定的响应方承担采购人所要求的送货、安装调试、培训、技术协助、售后服务</w:t>
      </w:r>
      <w:r>
        <w:rPr>
          <w:rFonts w:hint="eastAsia" w:ascii="宋体" w:hAnsi="宋体"/>
          <w:color w:val="auto"/>
          <w:sz w:val="24"/>
          <w:szCs w:val="24"/>
        </w:rPr>
        <w:t>、其它类似服务</w:t>
      </w:r>
      <w:r>
        <w:rPr>
          <w:rFonts w:hint="eastAsia"/>
          <w:color w:val="auto"/>
          <w:sz w:val="24"/>
        </w:rPr>
        <w:t>及磋商文件规定的其它事项。</w:t>
      </w:r>
    </w:p>
    <w:p w14:paraId="26AC78AD">
      <w:pPr>
        <w:spacing w:line="288" w:lineRule="auto"/>
        <w:ind w:firstLine="477" w:firstLineChars="199"/>
        <w:rPr>
          <w:color w:val="auto"/>
          <w:sz w:val="24"/>
        </w:rPr>
      </w:pPr>
      <w:r>
        <w:rPr>
          <w:color w:val="auto"/>
          <w:sz w:val="24"/>
        </w:rPr>
        <w:t>6</w:t>
      </w:r>
      <w:r>
        <w:rPr>
          <w:rFonts w:hint="eastAsia"/>
          <w:color w:val="auto"/>
          <w:sz w:val="24"/>
        </w:rPr>
        <w:t>、“书面形式”包括信函、传真、电子文档等。</w:t>
      </w:r>
    </w:p>
    <w:p w14:paraId="0E6271DF">
      <w:pPr>
        <w:spacing w:line="288" w:lineRule="auto"/>
        <w:ind w:firstLine="477" w:firstLineChars="199"/>
        <w:rPr>
          <w:color w:val="auto"/>
          <w:sz w:val="24"/>
        </w:rPr>
      </w:pPr>
      <w:r>
        <w:rPr>
          <w:rFonts w:hint="eastAsia"/>
          <w:color w:val="auto"/>
          <w:sz w:val="24"/>
        </w:rPr>
        <w:t>7、“电子加密响应文件”系指通过政采云电子交易客户端（政采云响应客户端）完成响应文件编制后生成并加密的数据电文形式的响应文件（文件扩展名为.jmbs），“备份响应文件”系指与“电子加密响应文件”同时生成的数据电文形式的电子文件（文件扩展名为.bfbs）；</w:t>
      </w:r>
    </w:p>
    <w:p w14:paraId="5449E799">
      <w:pPr>
        <w:spacing w:line="288" w:lineRule="auto"/>
        <w:ind w:firstLine="477" w:firstLineChars="199"/>
        <w:rPr>
          <w:color w:val="auto"/>
          <w:sz w:val="24"/>
        </w:rPr>
      </w:pPr>
      <w:r>
        <w:rPr>
          <w:rFonts w:hint="eastAsia"/>
          <w:color w:val="auto"/>
          <w:sz w:val="24"/>
        </w:rPr>
        <w:t>“电子签名”系指数据电文中以电子形式所含、所附用于识别签名人身份并表明签名人认可其中内容的数据；“公章”系指单位法定名称章。因特殊原因需要使用冠以法定名称的业务专用章的，响应时须提供《业务专用章使用说明函》（须承诺同等法律效力并加盖单位法定名称章）。</w:t>
      </w:r>
    </w:p>
    <w:p w14:paraId="56EDAFBF">
      <w:pPr>
        <w:spacing w:line="288" w:lineRule="auto"/>
        <w:ind w:firstLine="477" w:firstLineChars="199"/>
        <w:rPr>
          <w:color w:val="auto"/>
          <w:sz w:val="24"/>
        </w:rPr>
      </w:pPr>
      <w:r>
        <w:rPr>
          <w:rFonts w:hint="eastAsia"/>
          <w:color w:val="auto"/>
          <w:sz w:val="24"/>
        </w:rPr>
        <w:t>磋商文件对响应文件签署、盖章的要求适用于电子签名。</w:t>
      </w:r>
    </w:p>
    <w:p w14:paraId="70CD50CC">
      <w:pPr>
        <w:spacing w:line="288" w:lineRule="auto"/>
        <w:ind w:firstLine="477" w:firstLineChars="199"/>
        <w:rPr>
          <w:color w:val="auto"/>
          <w:sz w:val="24"/>
        </w:rPr>
      </w:pPr>
      <w:r>
        <w:rPr>
          <w:rFonts w:hint="eastAsia"/>
          <w:color w:val="auto"/>
          <w:sz w:val="24"/>
        </w:rPr>
        <w:t>8、磋商费用：无论磋商过程中的做法和结果如何，响应方需自行承担涉及磋商的一切费用。</w:t>
      </w:r>
    </w:p>
    <w:p w14:paraId="4811C0DD">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168" w:name="_Toc25478"/>
      <w:bookmarkStart w:id="169" w:name="_Toc6681"/>
      <w:bookmarkStart w:id="170" w:name="_Toc14339"/>
      <w:bookmarkStart w:id="171" w:name="_Toc15004"/>
      <w:bookmarkStart w:id="172" w:name="_Toc25249"/>
      <w:bookmarkStart w:id="173" w:name="_Toc11863"/>
      <w:bookmarkStart w:id="174" w:name="_Toc17024"/>
      <w:bookmarkStart w:id="175" w:name="_Toc13352"/>
      <w:bookmarkStart w:id="176" w:name="_Toc12934"/>
      <w:bookmarkStart w:id="177" w:name="_Toc29315"/>
      <w:bookmarkStart w:id="178" w:name="_Toc12939"/>
      <w:bookmarkStart w:id="179" w:name="_Toc4587"/>
      <w:bookmarkStart w:id="180" w:name="_Toc12746"/>
      <w:bookmarkStart w:id="181" w:name="_Toc23441"/>
      <w:bookmarkStart w:id="182" w:name="_Toc24504_WPSOffice_Level2"/>
      <w:bookmarkStart w:id="183" w:name="_Toc23883"/>
      <w:bookmarkStart w:id="184" w:name="_Toc10460"/>
      <w:bookmarkStart w:id="185" w:name="_Toc17921"/>
      <w:bookmarkStart w:id="186" w:name="_Toc10503"/>
      <w:bookmarkStart w:id="187" w:name="_Toc4054"/>
      <w:bookmarkStart w:id="188" w:name="_Toc30356"/>
      <w:bookmarkStart w:id="189" w:name="_Toc16259"/>
      <w:bookmarkStart w:id="190" w:name="_Toc30651"/>
      <w:bookmarkStart w:id="191" w:name="_Toc16623"/>
      <w:bookmarkStart w:id="192" w:name="_Toc2692"/>
      <w:bookmarkStart w:id="193" w:name="_Toc14905"/>
      <w:bookmarkStart w:id="194" w:name="_Toc32029"/>
      <w:bookmarkStart w:id="195" w:name="_Toc7225"/>
      <w:bookmarkStart w:id="196" w:name="_Toc30206"/>
      <w:r>
        <w:rPr>
          <w:rFonts w:hint="eastAsia" w:ascii="楷体" w:hAnsi="楷体" w:eastAsia="楷体" w:cs="楷体"/>
          <w:snapToGrid w:val="0"/>
          <w:color w:val="auto"/>
          <w:kern w:val="44"/>
          <w:sz w:val="32"/>
          <w:szCs w:val="32"/>
        </w:rPr>
        <w:t>二、磋商文件</w:t>
      </w:r>
      <w:bookmarkEnd w:id="42"/>
      <w:bookmarkEnd w:id="43"/>
      <w:bookmarkEnd w:id="44"/>
      <w:bookmarkEnd w:id="45"/>
      <w:bookmarkEnd w:id="46"/>
      <w:bookmarkEnd w:id="47"/>
      <w:bookmarkEnd w:id="48"/>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7FCAB5F7">
      <w:pPr>
        <w:spacing w:line="288" w:lineRule="auto"/>
        <w:outlineLvl w:val="2"/>
        <w:rPr>
          <w:color w:val="auto"/>
          <w:sz w:val="24"/>
        </w:rPr>
      </w:pPr>
      <w:r>
        <w:rPr>
          <w:rFonts w:hint="eastAsia"/>
          <w:b/>
          <w:bCs/>
          <w:color w:val="auto"/>
          <w:sz w:val="24"/>
        </w:rPr>
        <w:t>（一）磋商文件的构成。</w:t>
      </w:r>
      <w:r>
        <w:rPr>
          <w:rFonts w:hint="eastAsia"/>
          <w:color w:val="auto"/>
          <w:sz w:val="24"/>
        </w:rPr>
        <w:t>本磋商文件由以下部分组成：</w:t>
      </w:r>
    </w:p>
    <w:p w14:paraId="385ECEB4">
      <w:pPr>
        <w:spacing w:line="288" w:lineRule="auto"/>
        <w:ind w:firstLine="360" w:firstLineChars="150"/>
        <w:rPr>
          <w:color w:val="auto"/>
          <w:sz w:val="24"/>
        </w:rPr>
      </w:pPr>
      <w:r>
        <w:rPr>
          <w:color w:val="auto"/>
          <w:sz w:val="24"/>
        </w:rPr>
        <w:t>1</w:t>
      </w:r>
      <w:r>
        <w:rPr>
          <w:rFonts w:hint="eastAsia"/>
          <w:color w:val="auto"/>
          <w:sz w:val="24"/>
        </w:rPr>
        <w:t>、磋商公告</w:t>
      </w:r>
    </w:p>
    <w:p w14:paraId="36748D93">
      <w:pPr>
        <w:spacing w:line="288" w:lineRule="auto"/>
        <w:ind w:firstLine="360" w:firstLineChars="150"/>
        <w:rPr>
          <w:color w:val="auto"/>
          <w:sz w:val="24"/>
        </w:rPr>
      </w:pPr>
      <w:r>
        <w:rPr>
          <w:color w:val="auto"/>
          <w:sz w:val="24"/>
        </w:rPr>
        <w:t>2</w:t>
      </w:r>
      <w:r>
        <w:rPr>
          <w:rFonts w:hint="eastAsia"/>
          <w:color w:val="auto"/>
          <w:sz w:val="24"/>
        </w:rPr>
        <w:t>、响应方须知</w:t>
      </w:r>
    </w:p>
    <w:p w14:paraId="66C48F75">
      <w:pPr>
        <w:spacing w:line="288" w:lineRule="auto"/>
        <w:ind w:firstLine="360" w:firstLineChars="150"/>
        <w:rPr>
          <w:color w:val="auto"/>
          <w:sz w:val="24"/>
        </w:rPr>
      </w:pPr>
      <w:r>
        <w:rPr>
          <w:color w:val="auto"/>
          <w:sz w:val="24"/>
        </w:rPr>
        <w:t>3</w:t>
      </w:r>
      <w:r>
        <w:rPr>
          <w:rFonts w:hint="eastAsia"/>
          <w:color w:val="auto"/>
          <w:sz w:val="24"/>
        </w:rPr>
        <w:t>、采购要求</w:t>
      </w:r>
    </w:p>
    <w:p w14:paraId="2EF95B0D">
      <w:pPr>
        <w:spacing w:line="288" w:lineRule="auto"/>
        <w:ind w:firstLine="360" w:firstLineChars="150"/>
        <w:rPr>
          <w:color w:val="auto"/>
          <w:sz w:val="24"/>
        </w:rPr>
      </w:pPr>
      <w:r>
        <w:rPr>
          <w:color w:val="auto"/>
          <w:sz w:val="24"/>
        </w:rPr>
        <w:t>4</w:t>
      </w:r>
      <w:r>
        <w:rPr>
          <w:rFonts w:hint="eastAsia"/>
          <w:color w:val="auto"/>
          <w:sz w:val="24"/>
        </w:rPr>
        <w:t>、评审办法及评分标准</w:t>
      </w:r>
    </w:p>
    <w:p w14:paraId="6B40560A">
      <w:pPr>
        <w:spacing w:line="288" w:lineRule="auto"/>
        <w:ind w:firstLine="360" w:firstLineChars="150"/>
        <w:rPr>
          <w:color w:val="auto"/>
          <w:sz w:val="24"/>
        </w:rPr>
      </w:pPr>
      <w:r>
        <w:rPr>
          <w:color w:val="auto"/>
          <w:sz w:val="24"/>
        </w:rPr>
        <w:t>5</w:t>
      </w:r>
      <w:r>
        <w:rPr>
          <w:rFonts w:hint="eastAsia"/>
          <w:color w:val="auto"/>
          <w:sz w:val="24"/>
        </w:rPr>
        <w:t>、合同主要条款</w:t>
      </w:r>
    </w:p>
    <w:p w14:paraId="4E838DE0">
      <w:pPr>
        <w:spacing w:line="288" w:lineRule="auto"/>
        <w:ind w:firstLine="360" w:firstLineChars="150"/>
        <w:rPr>
          <w:color w:val="auto"/>
          <w:sz w:val="24"/>
        </w:rPr>
      </w:pPr>
      <w:r>
        <w:rPr>
          <w:color w:val="auto"/>
          <w:sz w:val="24"/>
        </w:rPr>
        <w:t>6</w:t>
      </w:r>
      <w:r>
        <w:rPr>
          <w:rFonts w:hint="eastAsia"/>
          <w:color w:val="auto"/>
          <w:sz w:val="24"/>
        </w:rPr>
        <w:t>、响应文件格式</w:t>
      </w:r>
    </w:p>
    <w:p w14:paraId="51F6F3AA">
      <w:pPr>
        <w:spacing w:line="288" w:lineRule="auto"/>
        <w:ind w:firstLine="360" w:firstLineChars="150"/>
        <w:rPr>
          <w:color w:val="auto"/>
          <w:sz w:val="24"/>
        </w:rPr>
      </w:pPr>
      <w:r>
        <w:rPr>
          <w:color w:val="auto"/>
          <w:sz w:val="24"/>
        </w:rPr>
        <w:t>7</w:t>
      </w:r>
      <w:r>
        <w:rPr>
          <w:rFonts w:hint="eastAsia"/>
          <w:color w:val="auto"/>
          <w:sz w:val="24"/>
        </w:rPr>
        <w:t>、本项目磋商文件以书面形式澄清、答复、修改、补充的内容</w:t>
      </w:r>
    </w:p>
    <w:p w14:paraId="2AE65B56">
      <w:pPr>
        <w:spacing w:line="288" w:lineRule="auto"/>
        <w:outlineLvl w:val="2"/>
        <w:rPr>
          <w:b/>
          <w:bCs/>
          <w:color w:val="auto"/>
          <w:sz w:val="24"/>
        </w:rPr>
      </w:pPr>
      <w:r>
        <w:rPr>
          <w:rFonts w:hint="eastAsia"/>
          <w:b/>
          <w:bCs/>
          <w:color w:val="auto"/>
          <w:sz w:val="24"/>
        </w:rPr>
        <w:t>（二）磋商文件的澄清与修改</w:t>
      </w:r>
      <w:r>
        <w:rPr>
          <w:b/>
          <w:bCs/>
          <w:color w:val="auto"/>
          <w:sz w:val="24"/>
        </w:rPr>
        <w:t xml:space="preserve"> </w:t>
      </w:r>
    </w:p>
    <w:p w14:paraId="3260CD3D">
      <w:pPr>
        <w:spacing w:line="288" w:lineRule="auto"/>
        <w:rPr>
          <w:color w:val="auto"/>
          <w:sz w:val="24"/>
        </w:rPr>
      </w:pPr>
      <w:r>
        <w:rPr>
          <w:color w:val="auto"/>
          <w:sz w:val="24"/>
        </w:rPr>
        <w:t xml:space="preserve">    1</w:t>
      </w:r>
      <w:r>
        <w:rPr>
          <w:rFonts w:hint="eastAsia"/>
          <w:color w:val="auto"/>
          <w:sz w:val="24"/>
        </w:rPr>
        <w:t>、响应方应仔细阅读本磋商文件，如对本次磋商文件存在疑问，请将书面文件在响应方须知前附表中规定的时间之前送至采购机构，采购机构将酌情予以答复，并将不包含问题来源的答复书面通知所有购买磋商文件的响应方，同时视情况做出是否延长磋商截止时间和开启响应文件时间的决定，如规定时间内未收到任何疑问，则视为各响应方均对此无异议。</w:t>
      </w:r>
    </w:p>
    <w:p w14:paraId="54B50205">
      <w:pPr>
        <w:spacing w:line="288" w:lineRule="auto"/>
        <w:rPr>
          <w:color w:val="auto"/>
          <w:sz w:val="24"/>
        </w:rPr>
      </w:pPr>
      <w:r>
        <w:rPr>
          <w:color w:val="auto"/>
          <w:sz w:val="24"/>
        </w:rPr>
        <w:t xml:space="preserve">    2</w:t>
      </w:r>
      <w:r>
        <w:rPr>
          <w:rFonts w:hint="eastAsia"/>
          <w:color w:val="auto"/>
          <w:sz w:val="24"/>
        </w:rPr>
        <w:t>、无论出于何种原因，采购机构可主动地或在解答响应方提出的澄清问题时对磋商文件进行修改，磋商文件的修改将以书面形式，包括传真、电子邮件形式，通知所有购买磋商文件的响应方，并对其具有约束力。响应方应立即以书面形式，包括传真、电子邮件形式确认已收到修改文件。</w:t>
      </w:r>
    </w:p>
    <w:p w14:paraId="682C2A6B">
      <w:pPr>
        <w:spacing w:line="288" w:lineRule="auto"/>
        <w:rPr>
          <w:color w:val="auto"/>
          <w:sz w:val="24"/>
        </w:rPr>
      </w:pPr>
      <w:r>
        <w:rPr>
          <w:color w:val="auto"/>
          <w:sz w:val="24"/>
        </w:rPr>
        <w:t xml:space="preserve">    3</w:t>
      </w:r>
      <w:r>
        <w:rPr>
          <w:rFonts w:hint="eastAsia"/>
          <w:color w:val="auto"/>
          <w:sz w:val="24"/>
        </w:rPr>
        <w:t>、磋商文件澄清、答复、修改、补充的内容为磋商文件的组成部分。当磋商文件与磋商文件的答复、澄清、修改、补充通知就同一内容的表述不一致时，以最后发出的书面形式文件为准。</w:t>
      </w:r>
    </w:p>
    <w:p w14:paraId="273E3463">
      <w:pPr>
        <w:numPr>
          <w:ilvl w:val="0"/>
          <w:numId w:val="2"/>
        </w:numPr>
        <w:spacing w:line="288" w:lineRule="auto"/>
        <w:ind w:firstLine="480"/>
        <w:rPr>
          <w:color w:val="auto"/>
          <w:sz w:val="24"/>
        </w:rPr>
      </w:pPr>
      <w:r>
        <w:rPr>
          <w:rFonts w:hint="eastAsia"/>
          <w:color w:val="auto"/>
          <w:sz w:val="24"/>
        </w:rPr>
        <w:t>磋商文件的澄清、答复、修改或补充都应该通过采购机构以法定形式发布。</w:t>
      </w:r>
    </w:p>
    <w:p w14:paraId="1D503688">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197" w:name="_Toc17035"/>
      <w:bookmarkStart w:id="198" w:name="_Toc15797"/>
      <w:bookmarkStart w:id="199" w:name="_Toc16752"/>
      <w:bookmarkStart w:id="200" w:name="_Toc28201"/>
      <w:bookmarkStart w:id="201" w:name="_Toc10605"/>
      <w:bookmarkStart w:id="202" w:name="_Toc7515"/>
      <w:bookmarkStart w:id="203" w:name="_Toc32051"/>
      <w:bookmarkStart w:id="204" w:name="_Toc21890"/>
      <w:bookmarkStart w:id="205" w:name="_Toc32494"/>
      <w:bookmarkStart w:id="206" w:name="_Toc4837"/>
      <w:bookmarkStart w:id="207" w:name="_Toc6322"/>
      <w:bookmarkStart w:id="208" w:name="_Toc11900"/>
      <w:bookmarkStart w:id="209" w:name="_Toc21501"/>
      <w:bookmarkStart w:id="210" w:name="_Toc15772"/>
      <w:bookmarkStart w:id="211" w:name="_Toc9434"/>
      <w:bookmarkStart w:id="212" w:name="_Toc25502"/>
      <w:bookmarkStart w:id="213" w:name="_Toc8035"/>
      <w:bookmarkStart w:id="214" w:name="_Toc24465"/>
      <w:bookmarkStart w:id="215" w:name="_Toc22140"/>
      <w:bookmarkStart w:id="216" w:name="_Toc13358"/>
      <w:bookmarkStart w:id="217" w:name="_Toc805"/>
      <w:bookmarkStart w:id="218" w:name="_Toc19339"/>
      <w:bookmarkStart w:id="219" w:name="_Toc28569"/>
      <w:bookmarkStart w:id="220" w:name="_Toc2334"/>
      <w:bookmarkStart w:id="221" w:name="_Toc4055"/>
      <w:bookmarkStart w:id="222" w:name="_Toc22572"/>
      <w:bookmarkStart w:id="223" w:name="_Toc789"/>
      <w:bookmarkStart w:id="224" w:name="_Toc26634"/>
      <w:bookmarkStart w:id="225" w:name="_Toc6503"/>
      <w:bookmarkStart w:id="226" w:name="_Toc3328"/>
      <w:bookmarkStart w:id="227" w:name="_Toc7450"/>
      <w:bookmarkStart w:id="228" w:name="_Toc30772"/>
      <w:bookmarkStart w:id="229" w:name="_Toc25933"/>
      <w:bookmarkStart w:id="230" w:name="_Toc14673"/>
      <w:bookmarkStart w:id="231" w:name="_Toc9701_WPSOffice_Level2"/>
      <w:bookmarkStart w:id="232" w:name="_Toc2738"/>
      <w:r>
        <w:rPr>
          <w:rFonts w:hint="eastAsia" w:ascii="楷体" w:hAnsi="楷体" w:eastAsia="楷体" w:cs="楷体"/>
          <w:snapToGrid w:val="0"/>
          <w:color w:val="auto"/>
          <w:kern w:val="44"/>
          <w:sz w:val="32"/>
          <w:szCs w:val="32"/>
        </w:rPr>
        <w:t>三、响应文件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Fonts w:hint="eastAsia" w:ascii="楷体" w:hAnsi="楷体" w:eastAsia="楷体" w:cs="楷体"/>
          <w:snapToGrid w:val="0"/>
          <w:color w:val="auto"/>
          <w:kern w:val="44"/>
          <w:sz w:val="32"/>
          <w:szCs w:val="32"/>
        </w:rPr>
        <w:t>的编制</w:t>
      </w:r>
      <w:bookmarkEnd w:id="231"/>
      <w:bookmarkEnd w:id="232"/>
    </w:p>
    <w:p w14:paraId="605B758A">
      <w:pPr>
        <w:spacing w:line="288" w:lineRule="auto"/>
        <w:outlineLvl w:val="2"/>
        <w:rPr>
          <w:b/>
          <w:bCs/>
          <w:color w:val="auto"/>
          <w:sz w:val="24"/>
        </w:rPr>
      </w:pPr>
      <w:r>
        <w:rPr>
          <w:rFonts w:hint="eastAsia"/>
          <w:b/>
          <w:bCs/>
          <w:color w:val="auto"/>
          <w:sz w:val="24"/>
        </w:rPr>
        <w:t>（一）响应文件的组成</w:t>
      </w:r>
    </w:p>
    <w:p w14:paraId="7F411805">
      <w:pPr>
        <w:spacing w:line="288" w:lineRule="auto"/>
        <w:ind w:firstLine="420" w:firstLineChars="175"/>
        <w:rPr>
          <w:color w:val="auto"/>
          <w:sz w:val="24"/>
        </w:rPr>
      </w:pPr>
      <w:r>
        <w:rPr>
          <w:rFonts w:hint="eastAsia"/>
          <w:color w:val="auto"/>
          <w:sz w:val="24"/>
        </w:rPr>
        <w:t>响应文件（电子加密响应文件）由</w:t>
      </w:r>
      <w:r>
        <w:rPr>
          <w:rFonts w:hint="eastAsia"/>
          <w:b/>
          <w:bCs/>
          <w:color w:val="auto"/>
          <w:sz w:val="24"/>
        </w:rPr>
        <w:t>资格文件、报价文件、商务和技术文件三部分</w:t>
      </w:r>
      <w:r>
        <w:rPr>
          <w:rFonts w:hint="eastAsia"/>
          <w:color w:val="auto"/>
          <w:sz w:val="24"/>
        </w:rPr>
        <w:t>组成（格式详见磋商文件第六</w:t>
      </w:r>
      <w:r>
        <w:rPr>
          <w:rFonts w:hint="eastAsia"/>
          <w:color w:val="auto"/>
          <w:sz w:val="24"/>
          <w:lang w:val="en-US" w:eastAsia="zh-CN"/>
        </w:rPr>
        <w:t>部分</w:t>
      </w:r>
      <w:r>
        <w:rPr>
          <w:rFonts w:hint="eastAsia"/>
          <w:color w:val="auto"/>
          <w:sz w:val="24"/>
        </w:rPr>
        <w:t>）。供应商应将响应文件各部分</w:t>
      </w:r>
      <w:r>
        <w:rPr>
          <w:rFonts w:hint="eastAsia"/>
          <w:b/>
          <w:bCs/>
          <w:color w:val="auto"/>
          <w:sz w:val="24"/>
        </w:rPr>
        <w:t>分别上传</w:t>
      </w:r>
      <w:r>
        <w:rPr>
          <w:rFonts w:hint="eastAsia"/>
          <w:color w:val="auto"/>
          <w:sz w:val="24"/>
        </w:rPr>
        <w:t>至政府采购云平台指定位置。</w:t>
      </w:r>
    </w:p>
    <w:p w14:paraId="0D80FEA1">
      <w:pPr>
        <w:spacing w:line="288" w:lineRule="auto"/>
        <w:ind w:firstLine="422" w:firstLineChars="175"/>
        <w:rPr>
          <w:color w:val="auto"/>
          <w:sz w:val="24"/>
        </w:rPr>
      </w:pPr>
      <w:r>
        <w:rPr>
          <w:rFonts w:hint="eastAsia"/>
          <w:b/>
          <w:bCs/>
          <w:color w:val="auto"/>
          <w:sz w:val="24"/>
        </w:rPr>
        <w:t>响应文件组成：详见“第六部分  响应文件格式”目录</w:t>
      </w:r>
    </w:p>
    <w:p w14:paraId="2A824D6C">
      <w:pPr>
        <w:spacing w:line="288" w:lineRule="auto"/>
        <w:outlineLvl w:val="2"/>
        <w:rPr>
          <w:b/>
          <w:bCs/>
          <w:color w:val="auto"/>
          <w:sz w:val="24"/>
        </w:rPr>
      </w:pPr>
      <w:r>
        <w:rPr>
          <w:rFonts w:hint="eastAsia"/>
          <w:b/>
          <w:bCs/>
          <w:color w:val="auto"/>
          <w:sz w:val="24"/>
        </w:rPr>
        <w:t>（二）响应文件的签署和份数</w:t>
      </w:r>
    </w:p>
    <w:p w14:paraId="3F72412E">
      <w:pPr>
        <w:spacing w:line="288" w:lineRule="auto"/>
        <w:ind w:firstLine="420" w:firstLineChars="175"/>
        <w:rPr>
          <w:color w:val="auto"/>
          <w:sz w:val="24"/>
        </w:rPr>
      </w:pPr>
      <w:r>
        <w:rPr>
          <w:rFonts w:hint="eastAsia"/>
          <w:color w:val="auto"/>
          <w:sz w:val="24"/>
        </w:rPr>
        <w:t>1.供应商应按照磋商文件和政府采购云平台的要求，根据响应文件的组成规定的内容及顺序通过政采云电子交易客户端（政采云响应客户端）编制加密响应文件，响应文件内容不完整、编排混乱导致响应文件被误读、漏读或者查找不到相关内容的，是供应商的责任。</w:t>
      </w:r>
    </w:p>
    <w:p w14:paraId="7C91B35D">
      <w:pPr>
        <w:spacing w:line="288" w:lineRule="auto"/>
        <w:ind w:firstLine="420" w:firstLineChars="175"/>
        <w:rPr>
          <w:color w:val="auto"/>
          <w:sz w:val="24"/>
        </w:rPr>
      </w:pPr>
      <w:r>
        <w:rPr>
          <w:rFonts w:hint="eastAsia"/>
          <w:color w:val="auto"/>
          <w:sz w:val="24"/>
        </w:rPr>
        <w:t>2.响应文件须由供应商在规定位置加盖公章</w:t>
      </w:r>
      <w:bookmarkStart w:id="233" w:name="_Hlk96329193"/>
      <w:r>
        <w:rPr>
          <w:rFonts w:hint="eastAsia"/>
          <w:color w:val="auto"/>
          <w:sz w:val="24"/>
        </w:rPr>
        <w:t>，供应商应写全称。</w:t>
      </w:r>
      <w:bookmarkEnd w:id="233"/>
    </w:p>
    <w:p w14:paraId="319638E3">
      <w:pPr>
        <w:spacing w:line="288" w:lineRule="auto"/>
        <w:ind w:firstLine="420" w:firstLineChars="175"/>
        <w:rPr>
          <w:color w:val="auto"/>
          <w:sz w:val="24"/>
        </w:rPr>
      </w:pPr>
      <w:r>
        <w:rPr>
          <w:rFonts w:hint="eastAsia"/>
          <w:color w:val="auto"/>
          <w:sz w:val="24"/>
        </w:rPr>
        <w:t>3.响应文件不得涂改，若</w:t>
      </w:r>
      <w:r>
        <w:rPr>
          <w:rFonts w:hint="eastAsia"/>
          <w:color w:val="auto"/>
          <w:sz w:val="24"/>
          <w:u w:val="single"/>
        </w:rPr>
        <w:t>有</w:t>
      </w:r>
      <w:r>
        <w:rPr>
          <w:rFonts w:hint="eastAsia"/>
          <w:color w:val="auto"/>
          <w:sz w:val="24"/>
        </w:rPr>
        <w:t>修改错漏处，须由供应商加盖公章，或者由法定代表人或其授权的代表签名。响应文件因字迹潦草或表达不清所引起的后果由供应商负责。</w:t>
      </w:r>
    </w:p>
    <w:p w14:paraId="1CEFE9A1">
      <w:pPr>
        <w:spacing w:line="288" w:lineRule="auto"/>
        <w:ind w:firstLine="420" w:firstLineChars="175"/>
        <w:rPr>
          <w:color w:val="auto"/>
          <w:sz w:val="24"/>
        </w:rPr>
      </w:pPr>
      <w:r>
        <w:rPr>
          <w:rFonts w:hint="eastAsia"/>
          <w:color w:val="auto"/>
          <w:sz w:val="24"/>
        </w:rPr>
        <w:t>4.响应文件份数：</w:t>
      </w:r>
    </w:p>
    <w:p w14:paraId="3D13868E">
      <w:pPr>
        <w:spacing w:line="288" w:lineRule="auto"/>
        <w:ind w:firstLine="422" w:firstLineChars="175"/>
        <w:rPr>
          <w:color w:val="auto"/>
          <w:sz w:val="24"/>
        </w:rPr>
      </w:pPr>
      <w:r>
        <w:rPr>
          <w:rFonts w:hint="eastAsia"/>
          <w:b/>
          <w:bCs/>
          <w:color w:val="auto"/>
          <w:sz w:val="24"/>
        </w:rPr>
        <w:t>电子加密响应文件：政府采购云平台在线上传一份；备份响应文件（自主选择是否递交）：密封包装</w:t>
      </w:r>
      <w:r>
        <w:rPr>
          <w:rFonts w:hint="eastAsia" w:ascii="宋体" w:hAnsi="宋体" w:eastAsia="宋体" w:cs="宋体"/>
          <w:b/>
          <w:bCs/>
          <w:color w:val="auto"/>
          <w:kern w:val="0"/>
          <w:sz w:val="24"/>
          <w:szCs w:val="24"/>
          <w:lang w:val="en-US" w:eastAsia="zh-CN" w:bidi="ar"/>
        </w:rPr>
        <w:t>，包装上标</w:t>
      </w:r>
      <w:r>
        <w:rPr>
          <w:rFonts w:hint="eastAsia" w:ascii="宋体" w:hAnsi="宋体" w:eastAsia="宋体" w:cs="宋体"/>
          <w:b/>
          <w:bCs/>
          <w:color w:val="auto"/>
          <w:kern w:val="0"/>
          <w:sz w:val="24"/>
          <w:szCs w:val="24"/>
          <w:u w:val="none"/>
          <w:lang w:val="en-US" w:eastAsia="zh-CN" w:bidi="ar"/>
        </w:rPr>
        <w:t>注采购项目编号、项目名称、响应单位名称等并加盖公章。没有密封包装或者逾期送达将不予接收</w:t>
      </w:r>
      <w:r>
        <w:rPr>
          <w:rFonts w:hint="eastAsia" w:ascii="宋体" w:hAnsi="宋体" w:cs="宋体"/>
          <w:b/>
          <w:bCs/>
          <w:color w:val="auto"/>
          <w:kern w:val="0"/>
          <w:sz w:val="24"/>
          <w:szCs w:val="24"/>
          <w:u w:val="none"/>
          <w:lang w:val="en-US" w:eastAsia="zh-CN" w:bidi="ar"/>
        </w:rPr>
        <w:t>，</w:t>
      </w:r>
      <w:r>
        <w:rPr>
          <w:rFonts w:hint="eastAsia"/>
          <w:b/>
          <w:bCs/>
          <w:color w:val="auto"/>
          <w:sz w:val="24"/>
          <w:u w:val="none"/>
          <w:lang w:val="en-US" w:eastAsia="zh-CN"/>
        </w:rPr>
        <w:t>通过</w:t>
      </w:r>
      <w:r>
        <w:rPr>
          <w:rFonts w:hint="eastAsia"/>
          <w:b/>
          <w:bCs/>
          <w:color w:val="auto"/>
          <w:sz w:val="24"/>
          <w:u w:val="none"/>
        </w:rPr>
        <w:t>EMS或顺丰邮</w:t>
      </w:r>
      <w:r>
        <w:rPr>
          <w:rFonts w:hint="eastAsia"/>
          <w:b/>
          <w:bCs/>
          <w:color w:val="auto"/>
          <w:sz w:val="24"/>
        </w:rPr>
        <w:t>寄形式递交一份</w:t>
      </w:r>
      <w:r>
        <w:rPr>
          <w:rFonts w:hint="eastAsia"/>
          <w:color w:val="auto"/>
          <w:sz w:val="24"/>
        </w:rPr>
        <w:t>（</w:t>
      </w:r>
      <w:r>
        <w:rPr>
          <w:rFonts w:hint="eastAsia"/>
          <w:b/>
          <w:bCs/>
          <w:color w:val="auto"/>
          <w:sz w:val="24"/>
        </w:rPr>
        <w:t>邮寄地址</w:t>
      </w:r>
      <w:r>
        <w:rPr>
          <w:rFonts w:hint="eastAsia"/>
          <w:color w:val="auto"/>
          <w:sz w:val="24"/>
        </w:rPr>
        <w:t>：</w:t>
      </w:r>
      <w:r>
        <w:rPr>
          <w:rFonts w:hint="eastAsia"/>
          <w:color w:val="auto"/>
          <w:sz w:val="24"/>
          <w:u w:val="single"/>
        </w:rPr>
        <w:t>杭州市钱塘区白杨街道2号大街1158号，杭州电子科技大学采购中心</w:t>
      </w:r>
      <w:r>
        <w:rPr>
          <w:rFonts w:hint="eastAsia"/>
          <w:color w:val="auto"/>
          <w:sz w:val="24"/>
          <w:u w:val="single"/>
          <w:lang w:val="en-US" w:eastAsia="zh-CN"/>
        </w:rPr>
        <w:t>施</w:t>
      </w:r>
      <w:r>
        <w:rPr>
          <w:rFonts w:hint="eastAsia"/>
          <w:color w:val="auto"/>
          <w:sz w:val="24"/>
          <w:u w:val="single"/>
        </w:rPr>
        <w:t>老师收，电话：0571-87713548</w:t>
      </w:r>
      <w:r>
        <w:rPr>
          <w:rFonts w:hint="eastAsia"/>
          <w:color w:val="auto"/>
          <w:sz w:val="24"/>
        </w:rPr>
        <w:t>。寄出后将快递单号、项目名称、公司名称、联系方式等相关信息发至：</w:t>
      </w:r>
      <w:r>
        <w:rPr>
          <w:rFonts w:hint="eastAsia"/>
          <w:color w:val="auto"/>
          <w:sz w:val="24"/>
          <w:lang w:val="en-US" w:eastAsia="zh-CN"/>
        </w:rPr>
        <w:t>40368</w:t>
      </w:r>
      <w:r>
        <w:rPr>
          <w:rFonts w:hint="eastAsia"/>
          <w:color w:val="auto"/>
          <w:sz w:val="24"/>
        </w:rPr>
        <w:t>@hdu.edu.cn，以便查收）。</w:t>
      </w:r>
    </w:p>
    <w:p w14:paraId="3F1459A1">
      <w:pPr>
        <w:spacing w:line="288" w:lineRule="auto"/>
        <w:ind w:firstLine="422" w:firstLineChars="175"/>
        <w:rPr>
          <w:b/>
          <w:bCs/>
          <w:color w:val="auto"/>
          <w:sz w:val="24"/>
        </w:rPr>
      </w:pPr>
      <w:r>
        <w:rPr>
          <w:rFonts w:hint="eastAsia"/>
          <w:b/>
          <w:bCs/>
          <w:color w:val="auto"/>
          <w:sz w:val="24"/>
        </w:rPr>
        <w:t>特别说明：双休日和法定节假日不收件，供应商自行承担邮寄风险。</w:t>
      </w:r>
    </w:p>
    <w:p w14:paraId="6DC646BE">
      <w:pPr>
        <w:spacing w:line="288" w:lineRule="auto"/>
        <w:outlineLvl w:val="2"/>
        <w:rPr>
          <w:b/>
          <w:bCs/>
          <w:color w:val="auto"/>
          <w:sz w:val="24"/>
        </w:rPr>
      </w:pPr>
      <w:r>
        <w:rPr>
          <w:rFonts w:hint="eastAsia"/>
          <w:b/>
          <w:bCs/>
          <w:color w:val="auto"/>
          <w:sz w:val="24"/>
        </w:rPr>
        <w:t>（三）响应文件的上传、递交、修改和撤回</w:t>
      </w:r>
    </w:p>
    <w:p w14:paraId="6F7E9930">
      <w:pPr>
        <w:spacing w:line="288" w:lineRule="auto"/>
        <w:ind w:firstLine="422" w:firstLineChars="175"/>
        <w:rPr>
          <w:b/>
          <w:bCs/>
          <w:color w:val="auto"/>
          <w:sz w:val="24"/>
        </w:rPr>
      </w:pPr>
      <w:r>
        <w:rPr>
          <w:rFonts w:hint="eastAsia"/>
          <w:b/>
          <w:bCs/>
          <w:color w:val="auto"/>
          <w:sz w:val="24"/>
        </w:rPr>
        <w:t>1.响应文件的上传、递交：</w:t>
      </w:r>
    </w:p>
    <w:p w14:paraId="3530733E">
      <w:pPr>
        <w:spacing w:line="288" w:lineRule="auto"/>
        <w:ind w:firstLine="420" w:firstLineChars="175"/>
        <w:rPr>
          <w:color w:val="auto"/>
          <w:sz w:val="24"/>
        </w:rPr>
      </w:pPr>
      <w:r>
        <w:rPr>
          <w:rFonts w:hint="eastAsia"/>
          <w:color w:val="auto"/>
          <w:sz w:val="24"/>
        </w:rPr>
        <w:t>（1）电子加密响应文件的上传：</w:t>
      </w:r>
    </w:p>
    <w:p w14:paraId="1CCA6637">
      <w:pPr>
        <w:spacing w:line="288" w:lineRule="auto"/>
        <w:ind w:firstLine="420" w:firstLineChars="175"/>
        <w:rPr>
          <w:color w:val="auto"/>
          <w:sz w:val="24"/>
        </w:rPr>
      </w:pPr>
      <w:r>
        <w:rPr>
          <w:rFonts w:hint="eastAsia"/>
          <w:color w:val="auto"/>
          <w:sz w:val="24"/>
        </w:rPr>
        <w:t>▲a.供应商应在响应文件提交截止时间前将电子加密响应文件成功上传至政府采购云平台，否则响应无效；</w:t>
      </w:r>
    </w:p>
    <w:p w14:paraId="77B6D7D1">
      <w:pPr>
        <w:spacing w:line="288" w:lineRule="auto"/>
        <w:ind w:firstLine="420" w:firstLineChars="175"/>
        <w:rPr>
          <w:color w:val="auto"/>
          <w:sz w:val="24"/>
        </w:rPr>
      </w:pPr>
      <w:r>
        <w:rPr>
          <w:rFonts w:hint="eastAsia"/>
          <w:color w:val="auto"/>
          <w:sz w:val="24"/>
        </w:rPr>
        <w:t>b.电子加密响应文件成功上传后，供应商可自行打印响</w:t>
      </w:r>
      <w:r>
        <w:rPr>
          <w:rFonts w:hint="eastAsia"/>
          <w:color w:val="auto"/>
          <w:sz w:val="24"/>
        </w:rPr>
        <w:t>应文件接收回执。</w:t>
      </w:r>
    </w:p>
    <w:p w14:paraId="456D9430">
      <w:pPr>
        <w:spacing w:line="288" w:lineRule="auto"/>
        <w:ind w:firstLine="420" w:firstLineChars="175"/>
        <w:rPr>
          <w:color w:val="auto"/>
          <w:sz w:val="24"/>
        </w:rPr>
      </w:pPr>
      <w:r>
        <w:rPr>
          <w:rFonts w:hint="eastAsia"/>
          <w:color w:val="auto"/>
          <w:sz w:val="24"/>
        </w:rPr>
        <w:t>（2）备份响应文件的密封包装、递交：</w:t>
      </w:r>
    </w:p>
    <w:p w14:paraId="79B5F331">
      <w:pPr>
        <w:spacing w:line="288" w:lineRule="auto"/>
        <w:ind w:firstLine="420" w:firstLineChars="175"/>
        <w:rPr>
          <w:color w:val="auto"/>
          <w:sz w:val="24"/>
        </w:rPr>
      </w:pPr>
      <w:r>
        <w:rPr>
          <w:rFonts w:hint="eastAsia"/>
          <w:color w:val="auto"/>
          <w:sz w:val="24"/>
        </w:rPr>
        <w:t>a.供应商在政府采购云平台完成电子加密响应文件的上传后，可以EMS邮寄形式在响应文件提交截止时间前递交以介质（U盘）存储的数据电文形式的备份响应文件；</w:t>
      </w:r>
    </w:p>
    <w:p w14:paraId="246F077E">
      <w:pPr>
        <w:spacing w:line="288" w:lineRule="auto"/>
        <w:ind w:firstLine="420" w:firstLineChars="175"/>
        <w:rPr>
          <w:color w:val="auto"/>
          <w:sz w:val="24"/>
        </w:rPr>
      </w:pPr>
      <w:r>
        <w:rPr>
          <w:rFonts w:hint="eastAsia"/>
          <w:color w:val="auto"/>
          <w:sz w:val="24"/>
        </w:rPr>
        <w:t>b.备份响应文件应当密封包装并在包装上标注响应项目名称、供应商名称并加盖公章（非电子签章），供应商逾期送达或者未密封包装的备份响应文件采购人将予以拒收；</w:t>
      </w:r>
    </w:p>
    <w:p w14:paraId="1AAF4231">
      <w:pPr>
        <w:spacing w:line="288" w:lineRule="auto"/>
        <w:ind w:firstLine="420" w:firstLineChars="175"/>
        <w:rPr>
          <w:color w:val="auto"/>
          <w:sz w:val="24"/>
        </w:rPr>
      </w:pPr>
      <w:r>
        <w:rPr>
          <w:rFonts w:hint="eastAsia"/>
          <w:color w:val="auto"/>
          <w:sz w:val="24"/>
        </w:rPr>
        <w:t>▲c.通过政府采购云平台成功上传的电子加密响应文件已按时解密的，备份响应文件自动失效。</w:t>
      </w:r>
    </w:p>
    <w:p w14:paraId="2B6FA6AE">
      <w:pPr>
        <w:spacing w:line="288" w:lineRule="auto"/>
        <w:ind w:firstLine="420" w:firstLineChars="175"/>
        <w:rPr>
          <w:color w:val="auto"/>
          <w:sz w:val="24"/>
        </w:rPr>
      </w:pPr>
      <w:r>
        <w:rPr>
          <w:rFonts w:hint="eastAsia"/>
          <w:color w:val="auto"/>
          <w:sz w:val="24"/>
        </w:rPr>
        <w:t>▲d.响应截止时间前，供应商仅递交备份响应文件而未将电子加密响应文件成功上传至政府采购云平台的，响应无效。</w:t>
      </w:r>
    </w:p>
    <w:p w14:paraId="754252BD">
      <w:pPr>
        <w:spacing w:line="288" w:lineRule="auto"/>
        <w:ind w:firstLine="420" w:firstLineChars="175"/>
        <w:rPr>
          <w:color w:val="auto"/>
          <w:sz w:val="24"/>
        </w:rPr>
      </w:pPr>
      <w:r>
        <w:rPr>
          <w:rFonts w:hint="eastAsia"/>
          <w:color w:val="auto"/>
          <w:sz w:val="24"/>
        </w:rPr>
        <w:t>2.供应商应当在响应文件提交截止时间前完成响应文件的上传、递交，并可以补充、修改或者撤回响应文件。补充或者修改响应文件的，应当先行撤回原文件，补充、修改后重新上传、递交。响应文件提交截止时间前未完成上传、递交的，视为撤回响应文件。响应文件提交截止时间后上传、递交的响应文件，政府采购云平台及采购机构将予以拒收。</w:t>
      </w:r>
    </w:p>
    <w:p w14:paraId="6E387F14">
      <w:pPr>
        <w:spacing w:line="288" w:lineRule="auto"/>
        <w:ind w:firstLine="420" w:firstLineChars="175"/>
        <w:rPr>
          <w:color w:val="auto"/>
          <w:sz w:val="24"/>
        </w:rPr>
      </w:pPr>
      <w:r>
        <w:rPr>
          <w:rFonts w:hint="eastAsia"/>
          <w:color w:val="auto"/>
          <w:sz w:val="24"/>
        </w:rPr>
        <w:t>3.供应商因未在线参加开标而导致电子加密响应文件无法按时解密等一切后果由供应商自行承担。</w:t>
      </w:r>
    </w:p>
    <w:p w14:paraId="5CFBD535">
      <w:pPr>
        <w:spacing w:line="288" w:lineRule="auto"/>
        <w:ind w:firstLine="420" w:firstLineChars="175"/>
        <w:rPr>
          <w:color w:val="auto"/>
          <w:sz w:val="24"/>
        </w:rPr>
      </w:pPr>
      <w:r>
        <w:rPr>
          <w:rFonts w:hint="eastAsia"/>
          <w:color w:val="auto"/>
          <w:sz w:val="24"/>
        </w:rPr>
        <w:t>4.供应商应按照磋商文件和政府采购云平台的要求，根据响应文件的组成规定的内容及顺序通过政采云电子交易客户端（政采云响应客户端）编制加密响应文件。</w:t>
      </w:r>
    </w:p>
    <w:p w14:paraId="2740297F">
      <w:pPr>
        <w:spacing w:line="288" w:lineRule="auto"/>
        <w:ind w:firstLine="422" w:firstLineChars="175"/>
        <w:rPr>
          <w:color w:val="auto"/>
          <w:sz w:val="24"/>
        </w:rPr>
      </w:pPr>
      <w:r>
        <w:rPr>
          <w:rFonts w:hint="eastAsia"/>
          <w:b/>
          <w:bCs/>
          <w:color w:val="auto"/>
          <w:sz w:val="24"/>
        </w:rPr>
        <w:t>供应商可通过浙江省“电子交易/不见面开评标”学习专题提前进行专题学习，熟悉操作，避免影响采购活动（https://edu.zcygov.cn/luban/e-biding）</w:t>
      </w:r>
      <w:r>
        <w:rPr>
          <w:rFonts w:hint="eastAsia"/>
          <w:color w:val="auto"/>
          <w:sz w:val="24"/>
        </w:rPr>
        <w:t>。</w:t>
      </w:r>
    </w:p>
    <w:p w14:paraId="58547FFF">
      <w:pPr>
        <w:spacing w:line="288" w:lineRule="auto"/>
        <w:outlineLvl w:val="2"/>
        <w:rPr>
          <w:b/>
          <w:bCs/>
          <w:color w:val="auto"/>
          <w:sz w:val="24"/>
        </w:rPr>
      </w:pPr>
      <w:r>
        <w:rPr>
          <w:rFonts w:hint="eastAsia"/>
          <w:b/>
          <w:bCs/>
          <w:color w:val="auto"/>
          <w:sz w:val="24"/>
        </w:rPr>
        <w:t>（四）响应文件的语言及计量</w:t>
      </w:r>
    </w:p>
    <w:p w14:paraId="4AB0CD9C">
      <w:pPr>
        <w:spacing w:line="288" w:lineRule="auto"/>
        <w:ind w:firstLine="420" w:firstLineChars="175"/>
        <w:rPr>
          <w:color w:val="auto"/>
          <w:sz w:val="24"/>
        </w:rPr>
      </w:pPr>
      <w:r>
        <w:rPr>
          <w:rFonts w:hint="eastAsia"/>
          <w:color w:val="auto"/>
          <w:sz w:val="24"/>
        </w:rPr>
        <w:t>响应文件以及供应商与采购人就有关磋商响应事宜的所有来往函电，均应以中文汉语书写。除签名、盖章、专用名称等特殊情形外，以中文汉语以外的文字表述的响应文件视同未提供（有中文汉语说明的除外）。</w:t>
      </w:r>
    </w:p>
    <w:p w14:paraId="67952687">
      <w:pPr>
        <w:spacing w:line="288" w:lineRule="auto"/>
        <w:outlineLvl w:val="2"/>
        <w:rPr>
          <w:b/>
          <w:bCs/>
          <w:color w:val="auto"/>
          <w:sz w:val="24"/>
        </w:rPr>
      </w:pPr>
      <w:r>
        <w:rPr>
          <w:rFonts w:hint="eastAsia"/>
          <w:b/>
          <w:bCs/>
          <w:color w:val="auto"/>
          <w:sz w:val="24"/>
        </w:rPr>
        <w:t>（五）磋商报价</w:t>
      </w:r>
    </w:p>
    <w:p w14:paraId="068713B5">
      <w:pPr>
        <w:spacing w:line="288" w:lineRule="auto"/>
        <w:ind w:firstLine="360" w:firstLineChars="150"/>
        <w:rPr>
          <w:color w:val="auto"/>
          <w:sz w:val="24"/>
        </w:rPr>
      </w:pPr>
      <w:r>
        <w:rPr>
          <w:color w:val="auto"/>
          <w:sz w:val="24"/>
        </w:rPr>
        <w:t>1</w:t>
      </w:r>
      <w:r>
        <w:rPr>
          <w:rFonts w:hint="eastAsia"/>
          <w:color w:val="auto"/>
          <w:sz w:val="24"/>
        </w:rPr>
        <w:t>、响应方须将设备（软件）费、包装费、运输费、装卸费、保险费、安装调试费、技术服务费、培训费、保修保换费、税费、验收费（通过验收直至交付用户使用，达到使用要求及质量标准）、税金、投标费、合同包含的所有风险责任等所需的全部费用都包含在总价之中，一次性包死，合同价不再作调整，除磋商范围更改。</w:t>
      </w:r>
    </w:p>
    <w:p w14:paraId="2AC32337">
      <w:pPr>
        <w:spacing w:line="288" w:lineRule="auto"/>
        <w:ind w:firstLine="360" w:firstLineChars="150"/>
        <w:rPr>
          <w:color w:val="auto"/>
          <w:sz w:val="24"/>
        </w:rPr>
      </w:pPr>
      <w:r>
        <w:rPr>
          <w:color w:val="auto"/>
          <w:sz w:val="24"/>
        </w:rPr>
        <w:t>2</w:t>
      </w:r>
      <w:r>
        <w:rPr>
          <w:rFonts w:hint="eastAsia"/>
          <w:color w:val="auto"/>
          <w:sz w:val="24"/>
        </w:rPr>
        <w:t>、响应方的报价表应按磋商文件要求的格式编制、填写报价内容</w:t>
      </w:r>
      <w:r>
        <w:rPr>
          <w:color w:val="auto"/>
          <w:sz w:val="24"/>
        </w:rPr>
        <w:t>(</w:t>
      </w:r>
      <w:r>
        <w:rPr>
          <w:rFonts w:hint="eastAsia"/>
          <w:color w:val="auto"/>
          <w:sz w:val="24"/>
        </w:rPr>
        <w:t>可自动增行</w:t>
      </w:r>
      <w:r>
        <w:rPr>
          <w:color w:val="auto"/>
          <w:sz w:val="24"/>
        </w:rPr>
        <w:t>)</w:t>
      </w:r>
      <w:r>
        <w:rPr>
          <w:rFonts w:hint="eastAsia"/>
          <w:color w:val="auto"/>
          <w:sz w:val="24"/>
        </w:rPr>
        <w:t>，未按磋商文件要求编制、填写的</w:t>
      </w:r>
      <w:r>
        <w:rPr>
          <w:rFonts w:hint="eastAsia"/>
          <w:color w:val="auto"/>
          <w:sz w:val="24"/>
          <w:lang w:val="en-US" w:eastAsia="zh-CN"/>
        </w:rPr>
        <w:t>响应</w:t>
      </w:r>
      <w:r>
        <w:rPr>
          <w:rFonts w:hint="eastAsia"/>
          <w:color w:val="auto"/>
          <w:sz w:val="24"/>
        </w:rPr>
        <w:t>文件可能被拒绝。</w:t>
      </w:r>
    </w:p>
    <w:p w14:paraId="2A6D303A">
      <w:pPr>
        <w:spacing w:line="288" w:lineRule="auto"/>
        <w:ind w:firstLine="360" w:firstLineChars="150"/>
        <w:rPr>
          <w:color w:val="auto"/>
          <w:sz w:val="24"/>
        </w:rPr>
      </w:pPr>
      <w:r>
        <w:rPr>
          <w:color w:val="auto"/>
          <w:sz w:val="24"/>
        </w:rPr>
        <w:t>3</w:t>
      </w:r>
      <w:r>
        <w:rPr>
          <w:rFonts w:hint="eastAsia"/>
          <w:color w:val="auto"/>
          <w:sz w:val="24"/>
        </w:rPr>
        <w:t>、响应文件只允许有一个报价，有选择的报价将不予接受。</w:t>
      </w:r>
    </w:p>
    <w:p w14:paraId="68A8FC3F">
      <w:pPr>
        <w:spacing w:line="288" w:lineRule="auto"/>
        <w:ind w:firstLine="360" w:firstLineChars="150"/>
        <w:rPr>
          <w:color w:val="auto"/>
          <w:sz w:val="24"/>
        </w:rPr>
      </w:pPr>
      <w:r>
        <w:rPr>
          <w:color w:val="auto"/>
          <w:sz w:val="24"/>
        </w:rPr>
        <w:t>4</w:t>
      </w:r>
      <w:r>
        <w:rPr>
          <w:rFonts w:hint="eastAsia"/>
          <w:color w:val="auto"/>
          <w:sz w:val="24"/>
        </w:rPr>
        <w:t>、响应方所报的价格在合同执行过程中是固定不变的，不得以任何理由予以变更，任何包含价格调整的要求，将被认为是非响应性报价而予以拒绝。</w:t>
      </w:r>
    </w:p>
    <w:p w14:paraId="26995690">
      <w:pPr>
        <w:spacing w:line="288" w:lineRule="auto"/>
        <w:outlineLvl w:val="2"/>
        <w:rPr>
          <w:b/>
          <w:bCs/>
          <w:color w:val="auto"/>
          <w:sz w:val="24"/>
        </w:rPr>
      </w:pPr>
      <w:r>
        <w:rPr>
          <w:rFonts w:hint="eastAsia"/>
          <w:b/>
          <w:bCs/>
          <w:color w:val="auto"/>
          <w:sz w:val="24"/>
        </w:rPr>
        <w:t>（六）响应有效期</w:t>
      </w:r>
    </w:p>
    <w:p w14:paraId="71AD2450">
      <w:pPr>
        <w:spacing w:line="288" w:lineRule="auto"/>
        <w:ind w:firstLine="420" w:firstLineChars="175"/>
        <w:rPr>
          <w:color w:val="auto"/>
          <w:sz w:val="24"/>
        </w:rPr>
      </w:pPr>
      <w:r>
        <w:rPr>
          <w:rFonts w:hint="eastAsia"/>
          <w:color w:val="auto"/>
          <w:sz w:val="24"/>
        </w:rPr>
        <w:t>▲从提交响应文件的截止之日起90天。在原响应有效期满之前，如果出现特殊情况，采购机构以书面形式通知供应商延长响应有效期。</w:t>
      </w:r>
    </w:p>
    <w:p w14:paraId="3ACC774F">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234" w:name="_Toc10243_WPSOffice_Level2"/>
      <w:bookmarkStart w:id="235" w:name="_Toc20735"/>
      <w:r>
        <w:rPr>
          <w:rFonts w:hint="eastAsia" w:ascii="楷体" w:hAnsi="楷体" w:eastAsia="楷体" w:cs="楷体"/>
          <w:snapToGrid w:val="0"/>
          <w:color w:val="auto"/>
          <w:kern w:val="44"/>
          <w:sz w:val="32"/>
          <w:szCs w:val="32"/>
        </w:rPr>
        <w:t>四、响应无效的情形</w:t>
      </w:r>
      <w:bookmarkEnd w:id="234"/>
      <w:bookmarkEnd w:id="235"/>
    </w:p>
    <w:p w14:paraId="4D5F3961">
      <w:pPr>
        <w:widowControl/>
        <w:adjustRightInd w:val="0"/>
        <w:snapToGrid w:val="0"/>
        <w:spacing w:line="288" w:lineRule="auto"/>
        <w:ind w:firstLine="458" w:firstLineChars="200"/>
        <w:jc w:val="left"/>
        <w:outlineLvl w:val="2"/>
        <w:rPr>
          <w:rFonts w:ascii="宋体" w:hAnsi="宋体"/>
          <w:b/>
          <w:color w:val="auto"/>
          <w:spacing w:val="-6"/>
          <w:sz w:val="24"/>
          <w:szCs w:val="24"/>
        </w:rPr>
      </w:pPr>
      <w:r>
        <w:rPr>
          <w:rFonts w:hint="eastAsia" w:ascii="宋体" w:hAnsi="宋体"/>
          <w:b/>
          <w:color w:val="auto"/>
          <w:spacing w:val="-6"/>
          <w:sz w:val="24"/>
          <w:szCs w:val="24"/>
        </w:rPr>
        <w:t>1、以下情况认定响应无效：</w:t>
      </w:r>
    </w:p>
    <w:p w14:paraId="2BD18C12">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1）未提供标▲的内容文件；</w:t>
      </w:r>
    </w:p>
    <w:p w14:paraId="3ACA4D8D">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2）未按磋商文件要求签署、盖章的；</w:t>
      </w:r>
    </w:p>
    <w:p w14:paraId="5361CABD">
      <w:pPr>
        <w:adjustRightInd w:val="0"/>
        <w:snapToGrid w:val="0"/>
        <w:spacing w:line="288" w:lineRule="auto"/>
        <w:ind w:firstLine="456" w:firstLineChars="200"/>
        <w:rPr>
          <w:rFonts w:hint="eastAsia" w:ascii="宋体" w:hAnsi="宋体" w:eastAsia="宋体"/>
          <w:color w:val="auto"/>
          <w:spacing w:val="-6"/>
          <w:sz w:val="24"/>
          <w:szCs w:val="24"/>
          <w:lang w:eastAsia="zh-CN"/>
        </w:rPr>
      </w:pPr>
      <w:r>
        <w:rPr>
          <w:rFonts w:hint="eastAsia" w:ascii="宋体" w:hAnsi="宋体"/>
          <w:color w:val="auto"/>
          <w:spacing w:val="-6"/>
          <w:sz w:val="24"/>
          <w:szCs w:val="24"/>
          <w:lang w:val="en-US" w:eastAsia="zh-CN"/>
        </w:rPr>
        <w:t>3</w:t>
      </w:r>
      <w:r>
        <w:rPr>
          <w:rFonts w:hint="eastAsia" w:ascii="宋体" w:hAnsi="宋体"/>
          <w:color w:val="auto"/>
          <w:spacing w:val="-6"/>
          <w:sz w:val="24"/>
          <w:szCs w:val="24"/>
        </w:rPr>
        <w:t>）被拒绝的响应文件</w:t>
      </w:r>
      <w:r>
        <w:rPr>
          <w:rFonts w:hint="eastAsia" w:ascii="宋体" w:hAnsi="宋体"/>
          <w:color w:val="auto"/>
          <w:spacing w:val="-6"/>
          <w:sz w:val="24"/>
          <w:szCs w:val="24"/>
          <w:lang w:val="en-US" w:eastAsia="zh-CN"/>
        </w:rPr>
        <w:t>；</w:t>
      </w:r>
    </w:p>
    <w:p w14:paraId="227348E9">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lang w:val="en-US" w:eastAsia="zh-CN"/>
        </w:rPr>
        <w:t>4</w:t>
      </w:r>
      <w:r>
        <w:rPr>
          <w:rFonts w:hint="eastAsia" w:ascii="宋体" w:hAnsi="宋体"/>
          <w:color w:val="auto"/>
          <w:spacing w:val="-6"/>
          <w:sz w:val="24"/>
          <w:szCs w:val="24"/>
        </w:rPr>
        <w:t>）法律、法规和磋商文件规定的其他无效情形。</w:t>
      </w:r>
    </w:p>
    <w:p w14:paraId="417DEF3B">
      <w:pPr>
        <w:widowControl/>
        <w:adjustRightInd w:val="0"/>
        <w:snapToGrid w:val="0"/>
        <w:spacing w:line="288" w:lineRule="auto"/>
        <w:ind w:firstLine="458" w:firstLineChars="200"/>
        <w:jc w:val="left"/>
        <w:outlineLvl w:val="2"/>
        <w:rPr>
          <w:rFonts w:ascii="宋体" w:hAnsi="宋体"/>
          <w:b/>
          <w:color w:val="auto"/>
          <w:spacing w:val="-6"/>
          <w:sz w:val="24"/>
          <w:szCs w:val="24"/>
        </w:rPr>
      </w:pPr>
      <w:r>
        <w:rPr>
          <w:rFonts w:hint="eastAsia" w:ascii="宋体" w:hAnsi="宋体"/>
          <w:b/>
          <w:color w:val="auto"/>
          <w:spacing w:val="-6"/>
          <w:sz w:val="24"/>
          <w:szCs w:val="24"/>
        </w:rPr>
        <w:t>2</w:t>
      </w:r>
      <w:r>
        <w:rPr>
          <w:rFonts w:ascii="宋体" w:hAnsi="宋体"/>
          <w:b/>
          <w:color w:val="auto"/>
          <w:spacing w:val="-6"/>
          <w:sz w:val="24"/>
          <w:szCs w:val="24"/>
        </w:rPr>
        <w:t>.</w:t>
      </w:r>
      <w:r>
        <w:rPr>
          <w:rFonts w:hint="eastAsia" w:ascii="宋体" w:hAnsi="宋体"/>
          <w:b/>
          <w:color w:val="auto"/>
          <w:spacing w:val="-6"/>
          <w:sz w:val="24"/>
          <w:szCs w:val="24"/>
        </w:rPr>
        <w:t>在资格审查时，如发现下列情形之一的，响应方将被视为资格审查不通过：</w:t>
      </w:r>
    </w:p>
    <w:p w14:paraId="3AF42D0D">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1）</w:t>
      </w:r>
      <w:r>
        <w:rPr>
          <w:rFonts w:ascii="宋体" w:hAnsi="宋体"/>
          <w:color w:val="auto"/>
          <w:spacing w:val="-6"/>
          <w:sz w:val="24"/>
          <w:szCs w:val="24"/>
        </w:rPr>
        <w:t>资格证明</w:t>
      </w:r>
      <w:r>
        <w:rPr>
          <w:rFonts w:hint="eastAsia" w:ascii="宋体" w:hAnsi="宋体"/>
          <w:color w:val="auto"/>
          <w:spacing w:val="-6"/>
          <w:sz w:val="24"/>
          <w:szCs w:val="24"/>
        </w:rPr>
        <w:t>材料</w:t>
      </w:r>
      <w:r>
        <w:rPr>
          <w:rFonts w:ascii="宋体" w:hAnsi="宋体"/>
          <w:color w:val="auto"/>
          <w:spacing w:val="-6"/>
          <w:sz w:val="24"/>
          <w:szCs w:val="24"/>
        </w:rPr>
        <w:t>不全的，或者不符合</w:t>
      </w:r>
      <w:r>
        <w:rPr>
          <w:rFonts w:hint="eastAsia" w:ascii="宋体" w:hAnsi="宋体"/>
          <w:color w:val="auto"/>
          <w:spacing w:val="-6"/>
          <w:sz w:val="24"/>
          <w:szCs w:val="24"/>
        </w:rPr>
        <w:t>磋商</w:t>
      </w:r>
      <w:r>
        <w:rPr>
          <w:rFonts w:ascii="宋体" w:hAnsi="宋体"/>
          <w:color w:val="auto"/>
          <w:spacing w:val="-6"/>
          <w:sz w:val="24"/>
          <w:szCs w:val="24"/>
        </w:rPr>
        <w:t>文件要求的</w:t>
      </w:r>
      <w:r>
        <w:rPr>
          <w:rFonts w:hint="eastAsia" w:ascii="宋体" w:hAnsi="宋体"/>
          <w:color w:val="auto"/>
          <w:spacing w:val="-6"/>
          <w:sz w:val="24"/>
          <w:szCs w:val="24"/>
        </w:rPr>
        <w:t>；</w:t>
      </w:r>
    </w:p>
    <w:p w14:paraId="2BAB770C">
      <w:pPr>
        <w:adjustRightInd w:val="0"/>
        <w:snapToGrid w:val="0"/>
        <w:spacing w:line="288" w:lineRule="auto"/>
        <w:ind w:firstLine="456" w:firstLineChars="200"/>
        <w:rPr>
          <w:rFonts w:hint="eastAsia" w:ascii="宋体" w:hAnsi="宋体"/>
          <w:color w:val="auto"/>
          <w:spacing w:val="-6"/>
          <w:sz w:val="24"/>
          <w:szCs w:val="24"/>
        </w:rPr>
      </w:pPr>
      <w:r>
        <w:rPr>
          <w:rFonts w:ascii="宋体" w:hAnsi="宋体"/>
          <w:color w:val="auto"/>
          <w:spacing w:val="-6"/>
          <w:sz w:val="24"/>
          <w:szCs w:val="24"/>
        </w:rPr>
        <w:t>2</w:t>
      </w:r>
      <w:r>
        <w:rPr>
          <w:rFonts w:hint="eastAsia" w:ascii="宋体" w:hAnsi="宋体"/>
          <w:color w:val="auto"/>
          <w:spacing w:val="-6"/>
          <w:sz w:val="24"/>
          <w:szCs w:val="24"/>
        </w:rPr>
        <w:t>）响应方不具备磋商文件中规定的资格要求的；</w:t>
      </w:r>
    </w:p>
    <w:p w14:paraId="69CDF3F6">
      <w:pPr>
        <w:adjustRightInd w:val="0"/>
        <w:snapToGrid w:val="0"/>
        <w:spacing w:line="288" w:lineRule="auto"/>
        <w:ind w:firstLine="456" w:firstLineChars="200"/>
        <w:rPr>
          <w:rFonts w:hint="default" w:ascii="宋体" w:hAnsi="宋体"/>
          <w:color w:val="auto"/>
          <w:spacing w:val="-6"/>
          <w:sz w:val="24"/>
          <w:szCs w:val="24"/>
          <w:lang w:val="en-US" w:eastAsia="zh-CN"/>
        </w:rPr>
      </w:pPr>
      <w:r>
        <w:rPr>
          <w:rFonts w:hint="eastAsia" w:ascii="宋体" w:hAnsi="宋体"/>
          <w:color w:val="auto"/>
          <w:spacing w:val="-6"/>
          <w:sz w:val="24"/>
          <w:szCs w:val="24"/>
          <w:lang w:val="en-US" w:eastAsia="zh-CN"/>
        </w:rPr>
        <w:t>3）根据电子评标程序规则的需要，资格证明材料必须放在资格文件中，若放在其它地方，采购机构或评审小组有权认定其</w:t>
      </w:r>
      <w:r>
        <w:rPr>
          <w:rFonts w:hint="eastAsia" w:ascii="宋体" w:hAnsi="宋体"/>
          <w:b w:val="0"/>
          <w:bCs/>
          <w:color w:val="auto"/>
          <w:spacing w:val="-6"/>
          <w:sz w:val="24"/>
          <w:szCs w:val="24"/>
        </w:rPr>
        <w:t>资格审查不通过</w:t>
      </w:r>
      <w:r>
        <w:rPr>
          <w:rFonts w:hint="eastAsia" w:ascii="宋体" w:hAnsi="宋体"/>
          <w:color w:val="auto"/>
          <w:spacing w:val="-6"/>
          <w:sz w:val="24"/>
          <w:szCs w:val="24"/>
          <w:lang w:val="en-US" w:eastAsia="zh-CN"/>
        </w:rPr>
        <w:t>。</w:t>
      </w:r>
    </w:p>
    <w:p w14:paraId="0186ACEF">
      <w:pPr>
        <w:adjustRightInd w:val="0"/>
        <w:snapToGrid w:val="0"/>
        <w:spacing w:line="288" w:lineRule="auto"/>
        <w:ind w:firstLine="458" w:firstLineChars="200"/>
        <w:outlineLvl w:val="2"/>
        <w:rPr>
          <w:rFonts w:ascii="宋体" w:hAnsi="宋体"/>
          <w:b/>
          <w:color w:val="auto"/>
          <w:spacing w:val="-6"/>
          <w:sz w:val="24"/>
          <w:szCs w:val="24"/>
        </w:rPr>
      </w:pPr>
      <w:r>
        <w:rPr>
          <w:rFonts w:hint="eastAsia" w:ascii="宋体" w:hAnsi="宋体"/>
          <w:b/>
          <w:color w:val="auto"/>
          <w:spacing w:val="-6"/>
          <w:sz w:val="24"/>
          <w:szCs w:val="24"/>
        </w:rPr>
        <w:t>3</w:t>
      </w:r>
      <w:r>
        <w:rPr>
          <w:rFonts w:ascii="宋体" w:hAnsi="宋体"/>
          <w:b/>
          <w:color w:val="auto"/>
          <w:spacing w:val="-6"/>
          <w:sz w:val="24"/>
          <w:szCs w:val="24"/>
        </w:rPr>
        <w:t>.</w:t>
      </w:r>
      <w:r>
        <w:rPr>
          <w:rFonts w:hint="eastAsia" w:ascii="宋体" w:hAnsi="宋体"/>
          <w:b/>
          <w:color w:val="auto"/>
          <w:spacing w:val="-6"/>
          <w:sz w:val="24"/>
          <w:szCs w:val="24"/>
        </w:rPr>
        <w:t>在符合</w:t>
      </w:r>
      <w:r>
        <w:rPr>
          <w:rFonts w:ascii="宋体" w:hAnsi="宋体"/>
          <w:b/>
          <w:color w:val="auto"/>
          <w:spacing w:val="-6"/>
          <w:sz w:val="24"/>
          <w:szCs w:val="24"/>
        </w:rPr>
        <w:t>性审查、</w:t>
      </w:r>
      <w:r>
        <w:rPr>
          <w:rFonts w:hint="eastAsia" w:ascii="宋体" w:hAnsi="宋体"/>
          <w:b/>
          <w:color w:val="auto"/>
          <w:spacing w:val="-6"/>
          <w:sz w:val="24"/>
          <w:szCs w:val="24"/>
        </w:rPr>
        <w:t>商务</w:t>
      </w:r>
      <w:r>
        <w:rPr>
          <w:rFonts w:ascii="宋体" w:hAnsi="宋体"/>
          <w:b/>
          <w:color w:val="auto"/>
          <w:spacing w:val="-6"/>
          <w:sz w:val="24"/>
          <w:szCs w:val="24"/>
        </w:rPr>
        <w:t>和技术评审</w:t>
      </w:r>
      <w:r>
        <w:rPr>
          <w:rFonts w:hint="eastAsia" w:ascii="宋体" w:hAnsi="宋体"/>
          <w:b/>
          <w:color w:val="auto"/>
          <w:spacing w:val="-6"/>
          <w:sz w:val="24"/>
          <w:szCs w:val="24"/>
        </w:rPr>
        <w:t>时，如发现下列情形之一的，响应文件将被视为无效：</w:t>
      </w:r>
    </w:p>
    <w:p w14:paraId="43B2396D">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1）</w:t>
      </w:r>
      <w:r>
        <w:rPr>
          <w:rFonts w:ascii="宋体" w:hAnsi="宋体"/>
          <w:color w:val="auto"/>
          <w:spacing w:val="-6"/>
          <w:sz w:val="24"/>
          <w:szCs w:val="24"/>
        </w:rPr>
        <w:t>明显不符合</w:t>
      </w:r>
      <w:r>
        <w:rPr>
          <w:rFonts w:hint="eastAsia" w:ascii="宋体" w:hAnsi="宋体"/>
          <w:color w:val="auto"/>
          <w:spacing w:val="-6"/>
          <w:sz w:val="24"/>
          <w:szCs w:val="24"/>
        </w:rPr>
        <w:t>磋商</w:t>
      </w:r>
      <w:r>
        <w:rPr>
          <w:rFonts w:ascii="宋体" w:hAnsi="宋体"/>
          <w:color w:val="auto"/>
          <w:spacing w:val="-6"/>
          <w:sz w:val="24"/>
          <w:szCs w:val="24"/>
        </w:rPr>
        <w:t>文件</w:t>
      </w:r>
      <w:r>
        <w:rPr>
          <w:rFonts w:hint="eastAsia" w:ascii="宋体" w:hAnsi="宋体"/>
          <w:color w:val="auto"/>
          <w:spacing w:val="-6"/>
          <w:sz w:val="24"/>
          <w:szCs w:val="24"/>
        </w:rPr>
        <w:t>要求，</w:t>
      </w:r>
      <w:r>
        <w:rPr>
          <w:rFonts w:ascii="宋体" w:hAnsi="宋体"/>
          <w:color w:val="auto"/>
          <w:spacing w:val="-6"/>
          <w:sz w:val="24"/>
          <w:szCs w:val="24"/>
        </w:rPr>
        <w:t>或者</w:t>
      </w:r>
      <w:r>
        <w:rPr>
          <w:rFonts w:hint="eastAsia" w:ascii="宋体" w:hAnsi="宋体"/>
          <w:color w:val="auto"/>
          <w:spacing w:val="-6"/>
          <w:sz w:val="24"/>
          <w:szCs w:val="24"/>
        </w:rPr>
        <w:t>与磋商</w:t>
      </w:r>
      <w:r>
        <w:rPr>
          <w:rFonts w:ascii="宋体" w:hAnsi="宋体"/>
          <w:color w:val="auto"/>
          <w:spacing w:val="-6"/>
          <w:sz w:val="24"/>
          <w:szCs w:val="24"/>
        </w:rPr>
        <w:t>文件中标“▲”的项目发生实质性偏离的</w:t>
      </w:r>
      <w:r>
        <w:rPr>
          <w:rFonts w:hint="eastAsia" w:ascii="宋体" w:hAnsi="宋体"/>
          <w:color w:val="auto"/>
          <w:spacing w:val="-6"/>
          <w:sz w:val="24"/>
          <w:szCs w:val="24"/>
        </w:rPr>
        <w:t>，或</w:t>
      </w:r>
      <w:r>
        <w:rPr>
          <w:rFonts w:hint="eastAsia" w:ascii="宋体" w:hAnsi="宋体" w:cs="宋体"/>
          <w:color w:val="auto"/>
          <w:sz w:val="24"/>
          <w:szCs w:val="24"/>
        </w:rPr>
        <w:t>负偏离达到规定数目的，或</w:t>
      </w:r>
      <w:r>
        <w:rPr>
          <w:rFonts w:hint="eastAsia" w:ascii="宋体" w:hAnsi="宋体"/>
          <w:color w:val="auto"/>
          <w:spacing w:val="-6"/>
          <w:sz w:val="24"/>
          <w:szCs w:val="24"/>
        </w:rPr>
        <w:t>技术分值低于磋商文件要求的；</w:t>
      </w:r>
    </w:p>
    <w:p w14:paraId="135ABA01">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2）</w:t>
      </w:r>
      <w:r>
        <w:rPr>
          <w:rFonts w:ascii="宋体" w:hAnsi="宋体"/>
          <w:color w:val="auto"/>
          <w:spacing w:val="-6"/>
          <w:sz w:val="24"/>
          <w:szCs w:val="24"/>
        </w:rPr>
        <w:t>未提供或未如实提供</w:t>
      </w:r>
      <w:r>
        <w:rPr>
          <w:rFonts w:hint="eastAsia" w:ascii="宋体" w:hAnsi="宋体"/>
          <w:color w:val="auto"/>
          <w:spacing w:val="-6"/>
          <w:sz w:val="24"/>
          <w:szCs w:val="24"/>
        </w:rPr>
        <w:t>响应</w:t>
      </w:r>
      <w:r>
        <w:rPr>
          <w:rFonts w:ascii="宋体" w:hAnsi="宋体"/>
          <w:color w:val="auto"/>
          <w:spacing w:val="-6"/>
          <w:sz w:val="24"/>
          <w:szCs w:val="24"/>
        </w:rPr>
        <w:t>技术参数，或者</w:t>
      </w:r>
      <w:r>
        <w:rPr>
          <w:rFonts w:hint="eastAsia" w:ascii="宋体" w:hAnsi="宋体"/>
          <w:color w:val="auto"/>
          <w:spacing w:val="-6"/>
          <w:sz w:val="24"/>
          <w:szCs w:val="24"/>
        </w:rPr>
        <w:t>响应</w:t>
      </w:r>
      <w:r>
        <w:rPr>
          <w:rFonts w:ascii="宋体" w:hAnsi="宋体"/>
          <w:color w:val="auto"/>
          <w:spacing w:val="-6"/>
          <w:sz w:val="24"/>
          <w:szCs w:val="24"/>
        </w:rPr>
        <w:t>文件标明的响应或偏离与事实不符或虚假投标的；</w:t>
      </w:r>
    </w:p>
    <w:p w14:paraId="3D950B8A">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3）响应</w:t>
      </w:r>
      <w:r>
        <w:rPr>
          <w:rFonts w:ascii="宋体" w:hAnsi="宋体"/>
          <w:color w:val="auto"/>
          <w:spacing w:val="-6"/>
          <w:sz w:val="24"/>
          <w:szCs w:val="24"/>
        </w:rPr>
        <w:t>技术方案不明确，存在一个或一个以上备选（替代）</w:t>
      </w:r>
      <w:r>
        <w:rPr>
          <w:rFonts w:hint="eastAsia" w:ascii="宋体" w:hAnsi="宋体"/>
          <w:color w:val="auto"/>
          <w:spacing w:val="-6"/>
          <w:sz w:val="24"/>
          <w:szCs w:val="24"/>
        </w:rPr>
        <w:t>响应</w:t>
      </w:r>
      <w:r>
        <w:rPr>
          <w:rFonts w:ascii="宋体" w:hAnsi="宋体"/>
          <w:color w:val="auto"/>
          <w:spacing w:val="-6"/>
          <w:sz w:val="24"/>
          <w:szCs w:val="24"/>
        </w:rPr>
        <w:t>方案的；</w:t>
      </w:r>
    </w:p>
    <w:p w14:paraId="7808159F">
      <w:pPr>
        <w:adjustRightInd w:val="0"/>
        <w:snapToGrid w:val="0"/>
        <w:spacing w:line="288" w:lineRule="auto"/>
        <w:ind w:firstLine="456" w:firstLineChars="200"/>
        <w:rPr>
          <w:rFonts w:ascii="宋体" w:hAnsi="宋体"/>
          <w:color w:val="auto"/>
          <w:spacing w:val="-6"/>
          <w:sz w:val="24"/>
          <w:szCs w:val="24"/>
        </w:rPr>
      </w:pPr>
      <w:r>
        <w:rPr>
          <w:rFonts w:hint="eastAsia" w:ascii="宋体" w:hAnsi="宋体"/>
          <w:color w:val="auto"/>
          <w:spacing w:val="-6"/>
          <w:sz w:val="24"/>
          <w:szCs w:val="24"/>
        </w:rPr>
        <w:t>4）响应文件含有采购人不能接受的附加条件的；</w:t>
      </w:r>
    </w:p>
    <w:p w14:paraId="67899D54">
      <w:pPr>
        <w:widowControl/>
        <w:adjustRightInd w:val="0"/>
        <w:snapToGrid w:val="0"/>
        <w:spacing w:line="288" w:lineRule="auto"/>
        <w:ind w:firstLine="458" w:firstLineChars="200"/>
        <w:jc w:val="left"/>
        <w:outlineLvl w:val="2"/>
        <w:rPr>
          <w:rFonts w:ascii="宋体" w:hAnsi="宋体"/>
          <w:b/>
          <w:color w:val="auto"/>
          <w:spacing w:val="-6"/>
          <w:sz w:val="24"/>
          <w:szCs w:val="24"/>
        </w:rPr>
      </w:pPr>
      <w:r>
        <w:rPr>
          <w:rFonts w:hint="eastAsia" w:ascii="宋体" w:hAnsi="宋体"/>
          <w:b/>
          <w:color w:val="auto"/>
          <w:spacing w:val="-6"/>
          <w:sz w:val="24"/>
          <w:szCs w:val="24"/>
        </w:rPr>
        <w:t>4</w:t>
      </w:r>
      <w:r>
        <w:rPr>
          <w:rFonts w:ascii="宋体" w:hAnsi="宋体"/>
          <w:b/>
          <w:color w:val="auto"/>
          <w:spacing w:val="-6"/>
          <w:sz w:val="24"/>
          <w:szCs w:val="24"/>
        </w:rPr>
        <w:t>.在报价评审时，如发现下列情形之一的，</w:t>
      </w:r>
      <w:r>
        <w:rPr>
          <w:rFonts w:hint="eastAsia" w:ascii="宋体" w:hAnsi="宋体"/>
          <w:b/>
          <w:color w:val="auto"/>
          <w:spacing w:val="-6"/>
          <w:sz w:val="24"/>
          <w:szCs w:val="24"/>
        </w:rPr>
        <w:t>响应</w:t>
      </w:r>
      <w:r>
        <w:rPr>
          <w:rFonts w:ascii="宋体" w:hAnsi="宋体"/>
          <w:b/>
          <w:color w:val="auto"/>
          <w:spacing w:val="-6"/>
          <w:sz w:val="24"/>
          <w:szCs w:val="24"/>
        </w:rPr>
        <w:t>文件将被视为无效：</w:t>
      </w:r>
    </w:p>
    <w:p w14:paraId="2F9FE72D">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1）</w:t>
      </w:r>
      <w:r>
        <w:rPr>
          <w:rFonts w:ascii="宋体" w:hAnsi="宋体"/>
          <w:color w:val="auto"/>
          <w:spacing w:val="-6"/>
          <w:sz w:val="24"/>
          <w:szCs w:val="24"/>
        </w:rPr>
        <w:t>未按照</w:t>
      </w:r>
      <w:r>
        <w:rPr>
          <w:rFonts w:hint="eastAsia" w:ascii="宋体" w:hAnsi="宋体"/>
          <w:color w:val="auto"/>
          <w:spacing w:val="-6"/>
          <w:sz w:val="24"/>
          <w:szCs w:val="24"/>
        </w:rPr>
        <w:t>磋商</w:t>
      </w:r>
      <w:r>
        <w:rPr>
          <w:rFonts w:ascii="宋体" w:hAnsi="宋体"/>
          <w:color w:val="auto"/>
          <w:spacing w:val="-6"/>
          <w:sz w:val="24"/>
          <w:szCs w:val="24"/>
        </w:rPr>
        <w:t>文件标明的币种报价的</w:t>
      </w:r>
      <w:r>
        <w:rPr>
          <w:rFonts w:hint="eastAsia" w:ascii="宋体" w:hAnsi="宋体"/>
          <w:color w:val="auto"/>
          <w:spacing w:val="-6"/>
          <w:sz w:val="24"/>
          <w:szCs w:val="24"/>
        </w:rPr>
        <w:t>；</w:t>
      </w:r>
    </w:p>
    <w:p w14:paraId="734F8E28">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2</w:t>
      </w:r>
      <w:r>
        <w:rPr>
          <w:rFonts w:ascii="宋体" w:hAnsi="宋体"/>
          <w:color w:val="auto"/>
          <w:spacing w:val="-6"/>
          <w:sz w:val="24"/>
          <w:szCs w:val="24"/>
        </w:rPr>
        <w:t>）报价</w:t>
      </w:r>
      <w:r>
        <w:rPr>
          <w:rFonts w:hint="eastAsia" w:ascii="宋体" w:hAnsi="宋体"/>
          <w:color w:val="auto"/>
          <w:spacing w:val="-6"/>
          <w:sz w:val="24"/>
          <w:szCs w:val="24"/>
        </w:rPr>
        <w:t>明细有</w:t>
      </w:r>
      <w:r>
        <w:rPr>
          <w:rFonts w:ascii="宋体" w:hAnsi="宋体"/>
          <w:color w:val="auto"/>
          <w:spacing w:val="-6"/>
          <w:sz w:val="24"/>
          <w:szCs w:val="24"/>
        </w:rPr>
        <w:t>缺漏项</w:t>
      </w:r>
      <w:r>
        <w:rPr>
          <w:rFonts w:hint="eastAsia" w:ascii="宋体" w:hAnsi="宋体"/>
          <w:color w:val="auto"/>
          <w:spacing w:val="-6"/>
          <w:sz w:val="24"/>
          <w:szCs w:val="24"/>
        </w:rPr>
        <w:t>，或者</w:t>
      </w:r>
      <w:r>
        <w:rPr>
          <w:rFonts w:ascii="宋体" w:hAnsi="宋体"/>
          <w:color w:val="auto"/>
          <w:spacing w:val="-6"/>
          <w:sz w:val="24"/>
          <w:szCs w:val="24"/>
        </w:rPr>
        <w:t>与</w:t>
      </w:r>
      <w:r>
        <w:rPr>
          <w:rFonts w:hint="eastAsia" w:ascii="宋体" w:hAnsi="宋体"/>
          <w:color w:val="auto"/>
          <w:spacing w:val="-6"/>
          <w:sz w:val="24"/>
          <w:szCs w:val="24"/>
        </w:rPr>
        <w:t>磋商</w:t>
      </w:r>
      <w:r>
        <w:rPr>
          <w:rFonts w:ascii="宋体" w:hAnsi="宋体"/>
          <w:color w:val="auto"/>
          <w:spacing w:val="-6"/>
          <w:sz w:val="24"/>
          <w:szCs w:val="24"/>
        </w:rPr>
        <w:t>文件要求不一致的</w:t>
      </w:r>
      <w:r>
        <w:rPr>
          <w:rFonts w:hint="eastAsia" w:ascii="宋体" w:hAnsi="宋体"/>
          <w:color w:val="auto"/>
          <w:spacing w:val="-6"/>
          <w:sz w:val="24"/>
          <w:szCs w:val="24"/>
        </w:rPr>
        <w:t>；</w:t>
      </w:r>
    </w:p>
    <w:p w14:paraId="7D7AF3BE">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3）最终报价超过磋商文件中规定的预算金额</w:t>
      </w:r>
      <w:r>
        <w:rPr>
          <w:rFonts w:hint="eastAsia" w:ascii="宋体" w:hAnsi="宋体"/>
          <w:color w:val="auto"/>
          <w:spacing w:val="-6"/>
          <w:sz w:val="24"/>
          <w:szCs w:val="24"/>
          <w:lang w:eastAsia="zh-CN"/>
        </w:rPr>
        <w:t>（</w:t>
      </w:r>
      <w:r>
        <w:rPr>
          <w:rFonts w:hint="eastAsia" w:ascii="宋体" w:hAnsi="宋体"/>
          <w:color w:val="auto"/>
          <w:spacing w:val="-6"/>
          <w:sz w:val="24"/>
          <w:szCs w:val="24"/>
        </w:rPr>
        <w:t>最高限价</w:t>
      </w:r>
      <w:r>
        <w:rPr>
          <w:rFonts w:hint="eastAsia" w:ascii="宋体" w:hAnsi="宋体"/>
          <w:color w:val="auto"/>
          <w:spacing w:val="-6"/>
          <w:sz w:val="24"/>
          <w:szCs w:val="24"/>
          <w:lang w:eastAsia="zh-CN"/>
        </w:rPr>
        <w:t>）</w:t>
      </w:r>
      <w:r>
        <w:rPr>
          <w:rFonts w:hint="eastAsia" w:ascii="宋体" w:hAnsi="宋体"/>
          <w:color w:val="auto"/>
          <w:spacing w:val="-6"/>
          <w:sz w:val="24"/>
          <w:szCs w:val="24"/>
        </w:rPr>
        <w:t>的；</w:t>
      </w:r>
    </w:p>
    <w:p w14:paraId="792167DD">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4）报价具有选择性的；</w:t>
      </w:r>
    </w:p>
    <w:p w14:paraId="08CCF9E2">
      <w:pPr>
        <w:widowControl/>
        <w:adjustRightInd w:val="0"/>
        <w:snapToGrid w:val="0"/>
        <w:spacing w:line="288" w:lineRule="auto"/>
        <w:ind w:firstLine="456" w:firstLineChars="200"/>
        <w:jc w:val="left"/>
        <w:rPr>
          <w:rFonts w:hint="eastAsia" w:ascii="宋体" w:hAnsi="宋体"/>
          <w:color w:val="auto"/>
          <w:spacing w:val="-6"/>
          <w:sz w:val="24"/>
          <w:szCs w:val="24"/>
          <w:lang w:val="en-US" w:eastAsia="zh-CN"/>
        </w:rPr>
      </w:pPr>
      <w:r>
        <w:rPr>
          <w:rFonts w:hint="eastAsia" w:ascii="宋体" w:hAnsi="宋体"/>
          <w:color w:val="auto"/>
          <w:spacing w:val="-6"/>
          <w:sz w:val="24"/>
          <w:szCs w:val="24"/>
          <w:lang w:val="en-US" w:eastAsia="zh-CN"/>
        </w:rPr>
        <w:t>5）最终报价出现以下异常低价情形之一，且未提供项目具体成本测算等与报价合理性相关的书面</w:t>
      </w:r>
      <w:r>
        <w:rPr>
          <w:rFonts w:hint="eastAsia" w:ascii="宋体" w:hAnsi="宋体"/>
          <w:color w:val="auto"/>
          <w:spacing w:val="-6"/>
          <w:sz w:val="24"/>
          <w:szCs w:val="24"/>
          <w:lang w:val="en-US" w:eastAsia="zh-CN"/>
        </w:rPr>
        <w:t>说明及必要的证明材料的，或者其提供的说明和材料不能证明其报价合理性，经评审委员会认定有可能影响产品质量或者不能诚信履约的，响应无效。</w:t>
      </w:r>
    </w:p>
    <w:p w14:paraId="1EC973A3">
      <w:pPr>
        <w:widowControl/>
        <w:adjustRightInd w:val="0"/>
        <w:snapToGrid w:val="0"/>
        <w:spacing w:line="288" w:lineRule="auto"/>
        <w:ind w:firstLine="456" w:firstLineChars="200"/>
        <w:jc w:val="left"/>
        <w:rPr>
          <w:rFonts w:hint="eastAsia" w:ascii="宋体" w:hAnsi="宋体"/>
          <w:color w:val="auto"/>
          <w:spacing w:val="-6"/>
          <w:sz w:val="24"/>
          <w:szCs w:val="24"/>
          <w:lang w:val="en-US" w:eastAsia="zh-CN"/>
        </w:rPr>
      </w:pPr>
      <w:r>
        <w:rPr>
          <w:rFonts w:hint="eastAsia" w:ascii="宋体" w:hAnsi="宋体" w:eastAsia="宋体" w:cs="宋体"/>
          <w:color w:val="auto"/>
          <w:spacing w:val="-6"/>
          <w:sz w:val="24"/>
          <w:szCs w:val="24"/>
          <w:lang w:val="en-US" w:eastAsia="zh-CN"/>
        </w:rPr>
        <w:t>①</w:t>
      </w:r>
      <w:r>
        <w:rPr>
          <w:rFonts w:hint="eastAsia" w:ascii="宋体" w:hAnsi="宋体"/>
          <w:color w:val="auto"/>
          <w:spacing w:val="-6"/>
          <w:sz w:val="24"/>
          <w:szCs w:val="24"/>
          <w:lang w:val="en-US" w:eastAsia="zh-CN"/>
        </w:rPr>
        <w:t>投标（响应）报价低于全部通过符合性审查供应商投标（响应）报价平均值50%的，即投标（响应）报价&lt;全部通过符合性审查供应商投标（响应）报价平均值×50%； </w:t>
      </w:r>
    </w:p>
    <w:p w14:paraId="75C4BA29">
      <w:pPr>
        <w:widowControl/>
        <w:adjustRightInd w:val="0"/>
        <w:snapToGrid w:val="0"/>
        <w:spacing w:line="288" w:lineRule="auto"/>
        <w:ind w:firstLine="456" w:firstLineChars="200"/>
        <w:jc w:val="left"/>
        <w:rPr>
          <w:rFonts w:hint="eastAsia" w:ascii="宋体" w:hAnsi="宋体"/>
          <w:color w:val="auto"/>
          <w:spacing w:val="-6"/>
          <w:sz w:val="24"/>
          <w:szCs w:val="24"/>
          <w:lang w:val="en-US" w:eastAsia="zh-CN"/>
        </w:rPr>
      </w:pPr>
      <w:r>
        <w:rPr>
          <w:rFonts w:hint="eastAsia" w:ascii="宋体" w:hAnsi="宋体" w:eastAsia="宋体" w:cs="宋体"/>
          <w:color w:val="auto"/>
          <w:spacing w:val="-6"/>
          <w:sz w:val="24"/>
          <w:szCs w:val="24"/>
          <w:lang w:val="en-US" w:eastAsia="zh-CN"/>
        </w:rPr>
        <w:t>②</w:t>
      </w:r>
      <w:r>
        <w:rPr>
          <w:rFonts w:hint="eastAsia" w:ascii="宋体" w:hAnsi="宋体"/>
          <w:color w:val="auto"/>
          <w:spacing w:val="-6"/>
          <w:sz w:val="24"/>
          <w:szCs w:val="24"/>
          <w:lang w:val="en-US" w:eastAsia="zh-CN"/>
        </w:rPr>
        <w:t>投标（响应）报价低于通过符合性审查的次低报价供应商投标（响应）报价50%的，即投标（响应）报价&lt;通过符合性审查的次低报价供应商投标（响应）报价×50%； </w:t>
      </w:r>
    </w:p>
    <w:p w14:paraId="79F44454">
      <w:pPr>
        <w:widowControl/>
        <w:adjustRightInd w:val="0"/>
        <w:snapToGrid w:val="0"/>
        <w:spacing w:line="288" w:lineRule="auto"/>
        <w:ind w:firstLine="456" w:firstLineChars="200"/>
        <w:jc w:val="left"/>
        <w:rPr>
          <w:rFonts w:hint="eastAsia" w:ascii="宋体" w:hAnsi="宋体"/>
          <w:color w:val="auto"/>
          <w:spacing w:val="-6"/>
          <w:sz w:val="24"/>
          <w:szCs w:val="24"/>
          <w:lang w:val="en-US" w:eastAsia="zh-CN"/>
        </w:rPr>
      </w:pPr>
      <w:r>
        <w:rPr>
          <w:rFonts w:hint="eastAsia" w:ascii="宋体" w:hAnsi="宋体" w:eastAsia="宋体" w:cs="宋体"/>
          <w:color w:val="auto"/>
          <w:spacing w:val="-6"/>
          <w:sz w:val="24"/>
          <w:szCs w:val="24"/>
          <w:lang w:val="en-US" w:eastAsia="zh-CN"/>
        </w:rPr>
        <w:t>③</w:t>
      </w:r>
      <w:r>
        <w:rPr>
          <w:rFonts w:hint="eastAsia" w:ascii="宋体" w:hAnsi="宋体"/>
          <w:color w:val="auto"/>
          <w:spacing w:val="-6"/>
          <w:sz w:val="24"/>
          <w:szCs w:val="24"/>
          <w:lang w:val="en-US" w:eastAsia="zh-CN"/>
        </w:rPr>
        <w:t>投标（响应）报价低于采购项目最高限价45%的，即投标（响应）报价&lt;采购项目最高限价×45%；</w:t>
      </w:r>
    </w:p>
    <w:p w14:paraId="35204894">
      <w:pPr>
        <w:widowControl/>
        <w:adjustRightInd w:val="0"/>
        <w:snapToGrid w:val="0"/>
        <w:spacing w:line="288" w:lineRule="auto"/>
        <w:ind w:firstLine="456" w:firstLineChars="200"/>
        <w:jc w:val="left"/>
        <w:rPr>
          <w:rFonts w:hint="eastAsia" w:ascii="宋体" w:hAnsi="宋体"/>
          <w:color w:val="auto"/>
          <w:spacing w:val="-6"/>
          <w:sz w:val="24"/>
          <w:szCs w:val="24"/>
          <w:lang w:val="en-US" w:eastAsia="zh-CN"/>
        </w:rPr>
      </w:pPr>
      <w:r>
        <w:rPr>
          <w:rFonts w:hint="eastAsia" w:ascii="宋体" w:hAnsi="宋体" w:eastAsia="宋体" w:cs="宋体"/>
          <w:color w:val="auto"/>
          <w:spacing w:val="-6"/>
          <w:sz w:val="24"/>
          <w:szCs w:val="24"/>
          <w:lang w:val="en-US" w:eastAsia="zh-CN"/>
        </w:rPr>
        <w:t>④</w:t>
      </w:r>
      <w:r>
        <w:rPr>
          <w:rFonts w:hint="eastAsia" w:ascii="宋体" w:hAnsi="宋体"/>
          <w:color w:val="auto"/>
          <w:spacing w:val="-6"/>
          <w:sz w:val="24"/>
          <w:szCs w:val="24"/>
          <w:lang w:val="en-US" w:eastAsia="zh-CN"/>
        </w:rPr>
        <w:t>评审委员会基于专业判断，认为供应商报价过低，有可能影响产品质量或者不能诚信履约的其他情形。</w:t>
      </w:r>
    </w:p>
    <w:p w14:paraId="254155E9">
      <w:pPr>
        <w:widowControl/>
        <w:adjustRightInd w:val="0"/>
        <w:snapToGrid w:val="0"/>
        <w:spacing w:line="288" w:lineRule="auto"/>
        <w:ind w:firstLine="458" w:firstLineChars="200"/>
        <w:jc w:val="left"/>
        <w:rPr>
          <w:rFonts w:ascii="宋体" w:hAnsi="宋体"/>
          <w:b/>
          <w:color w:val="auto"/>
          <w:spacing w:val="-6"/>
          <w:sz w:val="24"/>
          <w:szCs w:val="24"/>
        </w:rPr>
      </w:pPr>
      <w:r>
        <w:rPr>
          <w:rFonts w:hint="eastAsia" w:ascii="宋体" w:hAnsi="宋体"/>
          <w:b/>
          <w:color w:val="auto"/>
          <w:spacing w:val="-6"/>
          <w:sz w:val="24"/>
          <w:szCs w:val="24"/>
        </w:rPr>
        <w:t>4</w:t>
      </w:r>
      <w:r>
        <w:rPr>
          <w:rFonts w:ascii="宋体" w:hAnsi="宋体"/>
          <w:b/>
          <w:color w:val="auto"/>
          <w:spacing w:val="-6"/>
          <w:sz w:val="24"/>
          <w:szCs w:val="24"/>
        </w:rPr>
        <w:t>.</w:t>
      </w:r>
      <w:r>
        <w:rPr>
          <w:rFonts w:hint="eastAsia" w:ascii="宋体" w:hAnsi="宋体"/>
          <w:b/>
          <w:color w:val="auto"/>
          <w:spacing w:val="-6"/>
          <w:sz w:val="24"/>
          <w:szCs w:val="24"/>
        </w:rPr>
        <w:t>有下列情形之一</w:t>
      </w:r>
      <w:r>
        <w:rPr>
          <w:rFonts w:hint="eastAsia" w:ascii="宋体" w:hAnsi="宋体"/>
          <w:b/>
          <w:color w:val="auto"/>
          <w:spacing w:val="-6"/>
          <w:sz w:val="24"/>
          <w:szCs w:val="24"/>
          <w:lang w:val="en-US" w:eastAsia="zh-CN"/>
        </w:rPr>
        <w:t>，无法合理解释的，</w:t>
      </w:r>
      <w:r>
        <w:rPr>
          <w:rFonts w:hint="eastAsia" w:ascii="宋体" w:hAnsi="宋体" w:eastAsia="宋体" w:cs="Times New Roman"/>
          <w:b/>
          <w:color w:val="auto"/>
          <w:spacing w:val="-6"/>
          <w:sz w:val="24"/>
          <w:szCs w:val="24"/>
          <w:highlight w:val="none"/>
        </w:rPr>
        <w:t>视为投标人串通投标，</w:t>
      </w:r>
      <w:r>
        <w:rPr>
          <w:rFonts w:hint="eastAsia" w:ascii="宋体" w:hAnsi="宋体"/>
          <w:b/>
          <w:color w:val="auto"/>
          <w:spacing w:val="-6"/>
          <w:sz w:val="24"/>
          <w:szCs w:val="24"/>
        </w:rPr>
        <w:t>其响应无效</w:t>
      </w:r>
      <w:r>
        <w:rPr>
          <w:rFonts w:hint="eastAsia" w:ascii="宋体" w:hAnsi="宋体"/>
          <w:b/>
          <w:color w:val="auto"/>
          <w:spacing w:val="-6"/>
          <w:sz w:val="24"/>
          <w:szCs w:val="24"/>
          <w:lang w:eastAsia="zh-CN"/>
        </w:rPr>
        <w:t>。</w:t>
      </w:r>
    </w:p>
    <w:p w14:paraId="5AE10D8F">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1）不同响应方的响应文件由同一单位或者个人编制；</w:t>
      </w:r>
    </w:p>
    <w:p w14:paraId="6ABE7663">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2）不同响应方委托同一单位或者个人办理投标事宜；</w:t>
      </w:r>
    </w:p>
    <w:p w14:paraId="1EE321B4">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3）不同响应方的响应文件载明的项目管理成员或者联系人员为同一人；</w:t>
      </w:r>
    </w:p>
    <w:p w14:paraId="6C9B7F5A">
      <w:pPr>
        <w:widowControl/>
        <w:adjustRightInd w:val="0"/>
        <w:snapToGrid w:val="0"/>
        <w:spacing w:line="288" w:lineRule="auto"/>
        <w:ind w:firstLine="456" w:firstLineChars="200"/>
        <w:jc w:val="left"/>
        <w:rPr>
          <w:rFonts w:ascii="宋体" w:hAnsi="宋体"/>
          <w:color w:val="auto"/>
          <w:spacing w:val="-6"/>
          <w:sz w:val="24"/>
          <w:szCs w:val="24"/>
        </w:rPr>
      </w:pPr>
      <w:r>
        <w:rPr>
          <w:rFonts w:hint="eastAsia" w:ascii="宋体" w:hAnsi="宋体"/>
          <w:color w:val="auto"/>
          <w:spacing w:val="-6"/>
          <w:sz w:val="24"/>
          <w:szCs w:val="24"/>
        </w:rPr>
        <w:t>4）不同响应方的响应文件异常一致或者响应报价呈规律性差异；</w:t>
      </w:r>
    </w:p>
    <w:p w14:paraId="7C8630DF">
      <w:pPr>
        <w:widowControl/>
        <w:adjustRightInd w:val="0"/>
        <w:snapToGrid w:val="0"/>
        <w:spacing w:line="288" w:lineRule="auto"/>
        <w:ind w:firstLine="456" w:firstLineChars="200"/>
        <w:jc w:val="left"/>
        <w:rPr>
          <w:rFonts w:hint="eastAsia" w:ascii="宋体" w:hAnsi="宋体" w:eastAsia="宋体"/>
          <w:color w:val="auto"/>
          <w:spacing w:val="-6"/>
          <w:sz w:val="24"/>
          <w:szCs w:val="24"/>
          <w:lang w:val="en-US" w:eastAsia="zh-CN"/>
        </w:rPr>
      </w:pPr>
      <w:r>
        <w:rPr>
          <w:rFonts w:hint="eastAsia" w:ascii="宋体" w:hAnsi="宋体"/>
          <w:color w:val="auto"/>
          <w:spacing w:val="-6"/>
          <w:sz w:val="24"/>
          <w:szCs w:val="24"/>
        </w:rPr>
        <w:t>5）不同响应方的响应文件相互混装</w:t>
      </w:r>
      <w:r>
        <w:rPr>
          <w:rFonts w:hint="eastAsia" w:ascii="宋体" w:hAnsi="宋体"/>
          <w:color w:val="auto"/>
          <w:spacing w:val="-6"/>
          <w:sz w:val="24"/>
          <w:szCs w:val="24"/>
          <w:lang w:val="en-US" w:eastAsia="zh-CN"/>
        </w:rPr>
        <w:t>；</w:t>
      </w:r>
    </w:p>
    <w:p w14:paraId="3EA8C4FA">
      <w:pPr>
        <w:widowControl/>
        <w:adjustRightInd w:val="0"/>
        <w:snapToGrid w:val="0"/>
        <w:spacing w:line="288" w:lineRule="auto"/>
        <w:ind w:firstLine="456" w:firstLineChars="200"/>
        <w:jc w:val="left"/>
        <w:rPr>
          <w:rFonts w:hint="eastAsia" w:ascii="宋体" w:hAnsi="宋体"/>
          <w:color w:val="auto"/>
          <w:spacing w:val="-6"/>
          <w:sz w:val="24"/>
          <w:szCs w:val="24"/>
          <w:lang w:val="en-US" w:eastAsia="zh-CN"/>
        </w:rPr>
      </w:pPr>
      <w:r>
        <w:rPr>
          <w:rFonts w:hint="eastAsia" w:ascii="宋体" w:hAnsi="宋体"/>
          <w:color w:val="auto"/>
          <w:spacing w:val="-6"/>
          <w:sz w:val="24"/>
          <w:szCs w:val="24"/>
          <w:lang w:val="en-US" w:eastAsia="zh-CN"/>
        </w:rPr>
        <w:t>6</w:t>
      </w:r>
      <w:r>
        <w:rPr>
          <w:rFonts w:hint="eastAsia" w:ascii="宋体" w:hAnsi="宋体"/>
          <w:color w:val="auto"/>
          <w:spacing w:val="-6"/>
          <w:sz w:val="24"/>
          <w:szCs w:val="24"/>
        </w:rPr>
        <w:t>）不同供应商的电子投标（响应）文件上传计算机的网卡MAC地址或硬盘序列号等硬件信息相</w:t>
      </w:r>
      <w:r>
        <w:rPr>
          <w:rFonts w:hint="eastAsia" w:ascii="宋体" w:hAnsi="宋体"/>
          <w:color w:val="auto"/>
          <w:spacing w:val="-6"/>
          <w:sz w:val="24"/>
          <w:szCs w:val="24"/>
          <w:lang w:val="en-US" w:eastAsia="zh-CN"/>
        </w:rPr>
        <w:t>同的；</w:t>
      </w:r>
    </w:p>
    <w:p w14:paraId="6ACC2D45">
      <w:pPr>
        <w:widowControl/>
        <w:adjustRightInd w:val="0"/>
        <w:snapToGrid w:val="0"/>
        <w:spacing w:line="288" w:lineRule="auto"/>
        <w:ind w:firstLine="456" w:firstLineChars="200"/>
        <w:jc w:val="left"/>
        <w:rPr>
          <w:rFonts w:hint="eastAsia" w:ascii="宋体" w:hAnsi="宋体"/>
          <w:color w:val="auto"/>
          <w:spacing w:val="-6"/>
          <w:sz w:val="24"/>
          <w:szCs w:val="24"/>
        </w:rPr>
      </w:pPr>
      <w:r>
        <w:rPr>
          <w:rFonts w:hint="eastAsia" w:ascii="宋体" w:hAnsi="宋体"/>
          <w:color w:val="auto"/>
          <w:spacing w:val="-6"/>
          <w:sz w:val="24"/>
          <w:szCs w:val="24"/>
          <w:lang w:val="en-US" w:eastAsia="zh-CN"/>
        </w:rPr>
        <w:t>7）上传的电子投标（响应）文件若出现使用本项目其他投标（响应）供应商的数字证书加密</w:t>
      </w:r>
      <w:r>
        <w:rPr>
          <w:rFonts w:hint="eastAsia" w:ascii="宋体" w:hAnsi="宋体"/>
          <w:color w:val="auto"/>
          <w:spacing w:val="-6"/>
          <w:sz w:val="24"/>
          <w:szCs w:val="24"/>
        </w:rPr>
        <w:t>的，或者加盖本项目其他投标（响应）供应商的电子印章的；</w:t>
      </w:r>
    </w:p>
    <w:p w14:paraId="01DDBF0C">
      <w:pPr>
        <w:widowControl/>
        <w:adjustRightInd w:val="0"/>
        <w:snapToGrid w:val="0"/>
        <w:spacing w:line="288" w:lineRule="auto"/>
        <w:ind w:firstLine="456" w:firstLineChars="200"/>
        <w:jc w:val="left"/>
        <w:rPr>
          <w:rFonts w:hint="eastAsia" w:ascii="宋体" w:hAnsi="宋体"/>
          <w:color w:val="auto"/>
          <w:spacing w:val="-6"/>
          <w:sz w:val="24"/>
          <w:szCs w:val="24"/>
        </w:rPr>
      </w:pPr>
      <w:r>
        <w:rPr>
          <w:rFonts w:hint="eastAsia" w:ascii="宋体" w:hAnsi="宋体"/>
          <w:color w:val="auto"/>
          <w:spacing w:val="-6"/>
          <w:sz w:val="24"/>
          <w:szCs w:val="24"/>
          <w:lang w:val="en-US" w:eastAsia="zh-CN"/>
        </w:rPr>
        <w:t>8）</w:t>
      </w:r>
      <w:r>
        <w:rPr>
          <w:rFonts w:hint="eastAsia" w:ascii="宋体" w:hAnsi="宋体"/>
          <w:color w:val="auto"/>
          <w:spacing w:val="-6"/>
          <w:sz w:val="24"/>
          <w:szCs w:val="24"/>
        </w:rPr>
        <w:t>不同供应商的投标（响应）文件的内容存在3处（含）以上错误一致的；</w:t>
      </w:r>
    </w:p>
    <w:p w14:paraId="2558D399">
      <w:pPr>
        <w:widowControl/>
        <w:adjustRightInd w:val="0"/>
        <w:snapToGrid w:val="0"/>
        <w:spacing w:line="288" w:lineRule="auto"/>
        <w:ind w:firstLine="456" w:firstLineChars="200"/>
        <w:jc w:val="left"/>
        <w:rPr>
          <w:rFonts w:hint="eastAsia" w:ascii="宋体" w:hAnsi="宋体"/>
          <w:color w:val="auto"/>
          <w:spacing w:val="-6"/>
          <w:sz w:val="24"/>
          <w:szCs w:val="24"/>
        </w:rPr>
      </w:pPr>
      <w:r>
        <w:rPr>
          <w:rFonts w:hint="eastAsia" w:ascii="宋体" w:hAnsi="宋体"/>
          <w:color w:val="auto"/>
          <w:spacing w:val="-6"/>
          <w:sz w:val="24"/>
          <w:szCs w:val="24"/>
          <w:lang w:val="en-US" w:eastAsia="zh-CN"/>
        </w:rPr>
        <w:t>9）</w:t>
      </w:r>
      <w:r>
        <w:rPr>
          <w:rFonts w:hint="eastAsia" w:ascii="宋体" w:hAnsi="宋体"/>
          <w:color w:val="auto"/>
          <w:spacing w:val="-6"/>
          <w:sz w:val="24"/>
          <w:szCs w:val="24"/>
        </w:rPr>
        <w:t>不同供应商联系人为同一人或不同联系人的联系电话一致的。</w:t>
      </w:r>
    </w:p>
    <w:bookmarkEnd w:id="49"/>
    <w:bookmarkEnd w:id="50"/>
    <w:p w14:paraId="212FDE37">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236" w:name="_Toc15051"/>
      <w:bookmarkStart w:id="237" w:name="_Toc32590"/>
      <w:bookmarkStart w:id="238" w:name="_Toc23374"/>
      <w:bookmarkStart w:id="239" w:name="_Toc11859"/>
      <w:bookmarkStart w:id="240" w:name="_Toc12201"/>
      <w:bookmarkStart w:id="241" w:name="_Toc13917"/>
      <w:bookmarkStart w:id="242" w:name="_Toc20654"/>
      <w:bookmarkStart w:id="243" w:name="_Toc8571"/>
      <w:bookmarkStart w:id="244" w:name="_Toc9900_WPSOffice_Level2"/>
      <w:bookmarkStart w:id="245" w:name="_Toc28358"/>
      <w:bookmarkStart w:id="246" w:name="_Toc24390"/>
      <w:bookmarkStart w:id="247" w:name="_Toc25705"/>
      <w:bookmarkStart w:id="248" w:name="_Toc6184"/>
      <w:bookmarkStart w:id="249" w:name="_Toc4601"/>
      <w:bookmarkStart w:id="250" w:name="_Toc24793"/>
      <w:bookmarkStart w:id="251" w:name="_Toc22208"/>
      <w:bookmarkStart w:id="252" w:name="_Toc17194"/>
      <w:bookmarkStart w:id="253" w:name="_Toc8057"/>
      <w:bookmarkStart w:id="254" w:name="_Toc433537967"/>
      <w:bookmarkStart w:id="255" w:name="_Toc20980"/>
      <w:bookmarkStart w:id="256" w:name="_Toc467"/>
      <w:bookmarkStart w:id="257" w:name="_Toc27001"/>
      <w:bookmarkStart w:id="258" w:name="_Toc207550884"/>
      <w:bookmarkStart w:id="259" w:name="_Toc14837"/>
      <w:bookmarkStart w:id="260" w:name="_Toc9444"/>
      <w:bookmarkStart w:id="261" w:name="_Toc26820"/>
      <w:bookmarkStart w:id="262" w:name="_Toc6009"/>
      <w:bookmarkStart w:id="263" w:name="_Toc200"/>
      <w:bookmarkStart w:id="264" w:name="_Toc8275"/>
      <w:bookmarkStart w:id="265" w:name="_Toc11365"/>
      <w:bookmarkStart w:id="266" w:name="_Toc6013"/>
      <w:bookmarkStart w:id="267" w:name="_Toc6290"/>
      <w:bookmarkStart w:id="268" w:name="_Toc30706"/>
      <w:bookmarkStart w:id="269" w:name="_Toc11828"/>
      <w:bookmarkStart w:id="270" w:name="_Toc14125"/>
      <w:bookmarkStart w:id="271" w:name="_Toc183786419"/>
      <w:r>
        <w:rPr>
          <w:rFonts w:hint="eastAsia" w:ascii="楷体" w:hAnsi="楷体" w:eastAsia="楷体" w:cs="楷体"/>
          <w:snapToGrid w:val="0"/>
          <w:color w:val="auto"/>
          <w:kern w:val="44"/>
          <w:sz w:val="32"/>
          <w:szCs w:val="32"/>
        </w:rPr>
        <w:t>五、开启响应文件</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1E69668F">
      <w:pPr>
        <w:spacing w:line="288" w:lineRule="auto"/>
        <w:ind w:firstLine="482"/>
        <w:rPr>
          <w:color w:val="auto"/>
          <w:sz w:val="24"/>
        </w:rPr>
      </w:pPr>
      <w:bookmarkStart w:id="272" w:name="_Toc12629"/>
      <w:bookmarkStart w:id="273" w:name="_Toc26833"/>
      <w:bookmarkStart w:id="274" w:name="_Toc841"/>
      <w:bookmarkStart w:id="275" w:name="_Toc902"/>
      <w:bookmarkStart w:id="276" w:name="_Toc28057"/>
      <w:bookmarkStart w:id="277" w:name="_Toc25227"/>
      <w:bookmarkStart w:id="278" w:name="_Toc26778"/>
      <w:bookmarkStart w:id="279" w:name="_Toc29445"/>
      <w:bookmarkStart w:id="280" w:name="_Toc6558"/>
      <w:bookmarkStart w:id="281" w:name="_Toc15608"/>
      <w:bookmarkStart w:id="282" w:name="_Toc20003"/>
      <w:bookmarkStart w:id="283" w:name="_Toc667"/>
      <w:bookmarkStart w:id="284" w:name="_Toc30679"/>
      <w:bookmarkStart w:id="285" w:name="_Toc13314"/>
      <w:bookmarkStart w:id="286" w:name="_Toc10251"/>
      <w:bookmarkStart w:id="287" w:name="_Toc29181"/>
      <w:bookmarkStart w:id="288" w:name="_Toc8181"/>
      <w:bookmarkStart w:id="289" w:name="_Toc18007"/>
      <w:bookmarkStart w:id="290" w:name="_Toc30360"/>
      <w:bookmarkStart w:id="291" w:name="_Toc27046"/>
      <w:bookmarkStart w:id="292" w:name="_Toc11659"/>
      <w:bookmarkStart w:id="293" w:name="_Toc9028"/>
      <w:bookmarkStart w:id="294" w:name="_Toc5075"/>
      <w:bookmarkStart w:id="295" w:name="_Toc8052"/>
      <w:bookmarkStart w:id="296" w:name="_Toc12021"/>
      <w:bookmarkStart w:id="297" w:name="_Toc10811"/>
      <w:bookmarkStart w:id="298" w:name="_Toc18579"/>
      <w:bookmarkStart w:id="299" w:name="_Toc4789"/>
      <w:bookmarkStart w:id="300" w:name="_Toc22017"/>
      <w:bookmarkStart w:id="301" w:name="_Toc32220"/>
      <w:bookmarkStart w:id="302" w:name="_Toc22094"/>
      <w:bookmarkStart w:id="303" w:name="_Toc7609"/>
      <w:bookmarkStart w:id="304" w:name="_Toc10561"/>
      <w:bookmarkStart w:id="305" w:name="_Toc650"/>
      <w:r>
        <w:rPr>
          <w:rFonts w:hint="eastAsia"/>
          <w:color w:val="auto"/>
          <w:sz w:val="24"/>
        </w:rPr>
        <w:t>采购机构按照磋商文件规定的时间通过电子交易平台组织开启，所有供应商均应当准时在线参加。供应商不足3家的，不得开启。</w:t>
      </w:r>
    </w:p>
    <w:p w14:paraId="1D4754FF">
      <w:pPr>
        <w:spacing w:line="288" w:lineRule="auto"/>
        <w:ind w:firstLine="482"/>
        <w:rPr>
          <w:color w:val="auto"/>
          <w:sz w:val="24"/>
        </w:rPr>
      </w:pPr>
      <w:r>
        <w:rPr>
          <w:rFonts w:hint="eastAsia"/>
          <w:color w:val="auto"/>
          <w:sz w:val="24"/>
        </w:rPr>
        <w:t>开启时，电子交易平台按开启时间自动提取所有响应文件。采购机构依托电子交易平台发起开始解密指令，供应商按照平台提示和磋商文件的规定在半小时内完成在线解密。</w:t>
      </w:r>
    </w:p>
    <w:p w14:paraId="25B41BAF">
      <w:pPr>
        <w:spacing w:line="288" w:lineRule="auto"/>
        <w:ind w:firstLine="482"/>
        <w:rPr>
          <w:b/>
          <w:bCs/>
          <w:color w:val="auto"/>
          <w:sz w:val="24"/>
        </w:rPr>
      </w:pPr>
      <w:r>
        <w:rPr>
          <w:rFonts w:hint="eastAsia"/>
          <w:b/>
          <w:bCs/>
          <w:color w:val="auto"/>
          <w:sz w:val="24"/>
        </w:rPr>
        <w:t>响应文件未按时解密，供应商提供了备份响应文件的，以备份响应文件作为依据，否则视为响应文件撤回。响应文件已按时解密的，备份响应文件自动失效。</w:t>
      </w:r>
    </w:p>
    <w:p w14:paraId="42524E8F">
      <w:pPr>
        <w:spacing w:line="288" w:lineRule="auto"/>
        <w:ind w:firstLine="482"/>
        <w:rPr>
          <w:b/>
          <w:bCs/>
          <w:color w:val="auto"/>
          <w:sz w:val="24"/>
        </w:rPr>
      </w:pPr>
      <w:r>
        <w:rPr>
          <w:rFonts w:hint="eastAsia"/>
          <w:b/>
          <w:bCs/>
          <w:color w:val="auto"/>
          <w:sz w:val="24"/>
        </w:rPr>
        <w:t>特别说明：如遇政府采购云平台电子化开启或评审程序调整的，按调整后程序执行。</w:t>
      </w:r>
    </w:p>
    <w:p w14:paraId="3547E1E7">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306" w:name="_Toc21206_WPSOffice_Level2"/>
      <w:bookmarkStart w:id="307" w:name="_Toc10624"/>
      <w:r>
        <w:rPr>
          <w:rFonts w:hint="eastAsia" w:ascii="楷体" w:hAnsi="楷体" w:eastAsia="楷体" w:cs="楷体"/>
          <w:snapToGrid w:val="0"/>
          <w:color w:val="auto"/>
          <w:kern w:val="44"/>
          <w:sz w:val="32"/>
          <w:szCs w:val="32"/>
        </w:rPr>
        <w:t>六、</w:t>
      </w:r>
      <w:bookmarkEnd w:id="272"/>
      <w:bookmarkEnd w:id="273"/>
      <w:bookmarkEnd w:id="274"/>
      <w:r>
        <w:rPr>
          <w:rFonts w:hint="eastAsia" w:ascii="楷体" w:hAnsi="楷体" w:eastAsia="楷体" w:cs="楷体"/>
          <w:snapToGrid w:val="0"/>
          <w:color w:val="auto"/>
          <w:kern w:val="44"/>
          <w:sz w:val="32"/>
          <w:szCs w:val="32"/>
        </w:rPr>
        <w:t>评审和磋商</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CF4DDE1">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（一）磋商小组</w:t>
      </w:r>
    </w:p>
    <w:p w14:paraId="049D23BD">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0"/>
        <w:textAlignment w:val="auto"/>
        <w:rPr>
          <w:color w:val="auto"/>
          <w:sz w:val="24"/>
        </w:rPr>
      </w:pPr>
      <w:r>
        <w:rPr>
          <w:rFonts w:hint="eastAsia"/>
          <w:color w:val="auto"/>
          <w:sz w:val="24"/>
        </w:rPr>
        <w:t>磋商小组成员由技术、经济等方面的专家和采购人用户部门代表组成。磋商小组成员应遵循公平、公正、科学、择优的原则，按照磋商文件的规定对响应文件进行审查、质疑、评估和比较。</w:t>
      </w:r>
    </w:p>
    <w:p w14:paraId="40CC12EC">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（二）响应文件实质性响应的确定</w:t>
      </w:r>
    </w:p>
    <w:p w14:paraId="64E8065B">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color w:val="auto"/>
          <w:sz w:val="24"/>
        </w:rPr>
        <w:t>1</w:t>
      </w:r>
      <w:r>
        <w:rPr>
          <w:rFonts w:hint="eastAsia"/>
          <w:color w:val="auto"/>
          <w:sz w:val="24"/>
        </w:rPr>
        <w:t>、无效的响应文件不再进入下一步磋商程序；</w:t>
      </w:r>
    </w:p>
    <w:p w14:paraId="16E48B97">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color w:val="auto"/>
          <w:sz w:val="24"/>
        </w:rPr>
        <w:t>2</w:t>
      </w:r>
      <w:r>
        <w:rPr>
          <w:rFonts w:hint="eastAsia"/>
          <w:color w:val="auto"/>
          <w:sz w:val="24"/>
        </w:rPr>
        <w:t>、判断响应文件的</w:t>
      </w:r>
      <w:r>
        <w:rPr>
          <w:rFonts w:hint="eastAsia"/>
          <w:color w:val="auto"/>
          <w:sz w:val="24"/>
          <w:lang w:val="en-US" w:eastAsia="zh-CN"/>
        </w:rPr>
        <w:t>有效</w:t>
      </w:r>
      <w:r>
        <w:rPr>
          <w:rFonts w:hint="eastAsia"/>
          <w:color w:val="auto"/>
          <w:sz w:val="24"/>
        </w:rPr>
        <w:t>性仅基于响应文件本身而不靠外部证据；</w:t>
      </w:r>
    </w:p>
    <w:p w14:paraId="430C43C3">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color w:val="auto"/>
          <w:sz w:val="24"/>
        </w:rPr>
        <w:t>3</w:t>
      </w:r>
      <w:r>
        <w:rPr>
          <w:rFonts w:hint="eastAsia"/>
          <w:color w:val="auto"/>
          <w:sz w:val="24"/>
        </w:rPr>
        <w:t>、磋商小组可要求响应方对响应文件进行澄清，并作出书面答复；书面答复须有法定代表人或授权代表人签字，作为响应文件的一部分。</w:t>
      </w:r>
    </w:p>
    <w:p w14:paraId="4A0CE440">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（三）响应文件的详细评审和进一步磋商</w:t>
      </w:r>
    </w:p>
    <w:p w14:paraId="2FC74223">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磋商小组对各响应文件的全部内容进行审阅，并按本部分第四条响应无效的情形确定各响应文件是否有效。</w:t>
      </w:r>
    </w:p>
    <w:p w14:paraId="6531E539">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磋商小组所有成员应当集中与单一供应商分别进行磋商，并给予所有参加磋商的供应商平等的磋商机会。</w:t>
      </w:r>
    </w:p>
    <w:p w14:paraId="69CC97B2">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618FAFF">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对磋商文件作出的实质性变动是磋商文件的有效组成部分，磋商小组通过政府采购云平台以书面形式同时通知所有参加磋商的供应商。</w:t>
      </w:r>
    </w:p>
    <w:p w14:paraId="6795554F">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供应商应当按照磋商文件的变动情况和磋商小组的要求通过政府采购云平台提交磋商记录，并由其法定代表人或授权代表签名或者加盖公章。</w:t>
      </w:r>
    </w:p>
    <w:p w14:paraId="0823CDD5">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rPr>
      </w:pPr>
      <w:r>
        <w:rPr>
          <w:rFonts w:hint="eastAsia"/>
          <w:color w:val="auto"/>
          <w:sz w:val="24"/>
        </w:rPr>
        <w:t>供应商的磋商内容无法通过政府采购云平台上传的，可在规定时间内（半小时内）通过指定的电子邮箱（</w:t>
      </w:r>
      <w:r>
        <w:rPr>
          <w:rFonts w:hint="eastAsia"/>
          <w:color w:val="auto"/>
          <w:sz w:val="24"/>
          <w:u w:val="single"/>
        </w:rPr>
        <w:t>40368@hdu.edu.cn</w:t>
      </w:r>
      <w:r>
        <w:rPr>
          <w:rFonts w:hint="eastAsia"/>
          <w:color w:val="auto"/>
          <w:sz w:val="24"/>
        </w:rPr>
        <w:t>）提交。</w:t>
      </w:r>
    </w:p>
    <w:p w14:paraId="00D1A43C">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（四）最后报价</w:t>
      </w:r>
    </w:p>
    <w:p w14:paraId="56467484">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磋商文件能够详细列明采购标的的技术、服务要求的，磋商结束后，磋商小组应当要求所有实质性响应的供应商在规定时间内提交最后报价，提交最后报价的供应商不得少于3家。</w:t>
      </w:r>
    </w:p>
    <w:p w14:paraId="47840369">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85EDDA">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rFonts w:hint="eastAsia"/>
          <w:color w:val="auto"/>
          <w:sz w:val="24"/>
        </w:rPr>
      </w:pPr>
      <w:r>
        <w:rPr>
          <w:rFonts w:hint="eastAsia"/>
          <w:color w:val="auto"/>
          <w:sz w:val="24"/>
        </w:rPr>
        <w:t>最后报价是供应商响应文件的有效组成部分。符合《政府采购竞争性磋商采购方式管理暂行办法》（财库〔2014〕214号）第三条第一、四项情形的，提交最后报价的供应商可以为2家。</w:t>
      </w:r>
    </w:p>
    <w:p w14:paraId="07F326EE">
      <w:pPr>
        <w:keepNext w:val="0"/>
        <w:keepLines w:val="0"/>
        <w:pageBreakBefore w:val="0"/>
        <w:widowControl w:val="0"/>
        <w:kinsoku/>
        <w:wordWrap/>
        <w:overflowPunct/>
        <w:topLinePunct w:val="0"/>
        <w:autoSpaceDE/>
        <w:autoSpaceDN/>
        <w:bidi w:val="0"/>
        <w:adjustRightInd/>
        <w:snapToGrid/>
        <w:spacing w:line="288" w:lineRule="auto"/>
        <w:ind w:firstLine="360" w:firstLineChars="150"/>
        <w:textAlignment w:val="auto"/>
        <w:rPr>
          <w:rFonts w:hint="eastAsia"/>
          <w:color w:val="auto"/>
          <w:sz w:val="24"/>
        </w:rPr>
      </w:pPr>
      <w:r>
        <w:rPr>
          <w:rFonts w:hint="eastAsia"/>
          <w:color w:val="auto"/>
          <w:sz w:val="24"/>
        </w:rPr>
        <w:t>供应商的最后报价无法通过政府采购云平台上传的，可在规定时间内（半小时内）通过指定的电子邮箱（</w:t>
      </w:r>
      <w:r>
        <w:rPr>
          <w:rFonts w:hint="eastAsia"/>
          <w:color w:val="auto"/>
          <w:sz w:val="24"/>
          <w:u w:val="single"/>
        </w:rPr>
        <w:t>40368@hdu.edu.cn</w:t>
      </w:r>
      <w:r>
        <w:rPr>
          <w:rFonts w:hint="eastAsia"/>
          <w:color w:val="auto"/>
          <w:sz w:val="24"/>
        </w:rPr>
        <w:t>）提交。</w:t>
      </w:r>
    </w:p>
    <w:p w14:paraId="31E1E0BB">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（五）错误修正</w:t>
      </w:r>
    </w:p>
    <w:p w14:paraId="5D3FAAAF">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响应文件报价出现前后不一致的，除磋商文件另有规定外，按照下列规定修正：</w:t>
      </w:r>
    </w:p>
    <w:p w14:paraId="00FC0478">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（一）响应文件中报价表内容与响应文件中相应内容不一致的，以报价表为准；</w:t>
      </w:r>
    </w:p>
    <w:p w14:paraId="1F4AE285">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（二）大写金额和小写金额不一致的，以大写金额为准；</w:t>
      </w:r>
    </w:p>
    <w:p w14:paraId="0CD5D269">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（三）单价金额小数点或者百分比有明显错位的，以报价表的总价为准，并修改单价；</w:t>
      </w:r>
    </w:p>
    <w:p w14:paraId="3F60E8C3">
      <w:pPr>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（四）总价金额与按单价汇总金额不一致的，以单价金额计算结果为准；</w:t>
      </w:r>
    </w:p>
    <w:p w14:paraId="42D9AA18">
      <w:pPr>
        <w:pStyle w:val="8"/>
        <w:keepNext w:val="0"/>
        <w:keepLines w:val="0"/>
        <w:pageBreakBefore w:val="0"/>
        <w:widowControl w:val="0"/>
        <w:kinsoku/>
        <w:wordWrap/>
        <w:overflowPunct/>
        <w:topLinePunct w:val="0"/>
        <w:autoSpaceDE/>
        <w:autoSpaceDN/>
        <w:bidi w:val="0"/>
        <w:adjustRightInd/>
        <w:snapToGrid/>
        <w:spacing w:line="288" w:lineRule="auto"/>
        <w:ind w:left="0" w:leftChars="0" w:firstLine="420" w:firstLineChars="175"/>
        <w:textAlignment w:val="auto"/>
        <w:rPr>
          <w:color w:val="auto"/>
          <w:sz w:val="24"/>
        </w:rPr>
      </w:pPr>
      <w:r>
        <w:rPr>
          <w:rFonts w:hint="eastAsia"/>
          <w:color w:val="auto"/>
          <w:sz w:val="24"/>
        </w:rPr>
        <w:t>同时出现两种以上不一致的，按照前款规定的顺序修正。如果是明显的笔误，经磋商小组认可，并</w:t>
      </w:r>
      <w:r>
        <w:rPr>
          <w:rFonts w:hint="eastAsia"/>
          <w:color w:val="auto"/>
          <w:sz w:val="24"/>
        </w:rPr>
        <w:t>经响应方确认，可以给予纠正。</w:t>
      </w:r>
    </w:p>
    <w:p w14:paraId="3654A2C7">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rFonts w:hint="default"/>
          <w:b/>
          <w:bCs/>
          <w:color w:val="auto"/>
          <w:sz w:val="24"/>
          <w:szCs w:val="22"/>
          <w:lang w:val="en-US" w:eastAsia="zh-CN"/>
        </w:rPr>
      </w:pPr>
      <w:r>
        <w:rPr>
          <w:rFonts w:hint="eastAsia"/>
          <w:b/>
          <w:bCs/>
          <w:color w:val="auto"/>
          <w:sz w:val="24"/>
          <w:szCs w:val="22"/>
          <w:lang w:eastAsia="zh-CN"/>
        </w:rPr>
        <w:t>（</w:t>
      </w:r>
      <w:r>
        <w:rPr>
          <w:rFonts w:hint="eastAsia"/>
          <w:b/>
          <w:bCs/>
          <w:color w:val="auto"/>
          <w:sz w:val="24"/>
          <w:szCs w:val="22"/>
          <w:lang w:val="en-US" w:eastAsia="zh-CN"/>
        </w:rPr>
        <w:t>六</w:t>
      </w:r>
      <w:r>
        <w:rPr>
          <w:rFonts w:hint="eastAsia"/>
          <w:b/>
          <w:bCs/>
          <w:color w:val="auto"/>
          <w:sz w:val="24"/>
          <w:szCs w:val="22"/>
          <w:lang w:eastAsia="zh-CN"/>
        </w:rPr>
        <w:t>）</w:t>
      </w:r>
      <w:r>
        <w:rPr>
          <w:rFonts w:hint="eastAsia"/>
          <w:b/>
          <w:bCs/>
          <w:color w:val="auto"/>
          <w:sz w:val="24"/>
          <w:szCs w:val="22"/>
          <w:lang w:val="en-US" w:eastAsia="zh-CN"/>
        </w:rPr>
        <w:t>异常低价审查</w:t>
      </w:r>
    </w:p>
    <w:p w14:paraId="76258AE3">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评审中出现下列情形之一的，评审委员会应当启动异常低价投标（响应）审查程序： </w:t>
      </w:r>
    </w:p>
    <w:p w14:paraId="6CFDE823">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1.投标（响应）报价低于全部通过符合性审查供应商投标（响应）报价平均值50%的，即投标（响应）报价&lt;全部通过符合性审查供应商投标（响应）报价平均值×50%； </w:t>
      </w:r>
    </w:p>
    <w:p w14:paraId="60185DEE">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2.投标（响应）报价低于通过符合性审查的次低报价供应商投标（响应）报价50%的，即投标（响应）报价&lt;通过符合性审查的次低报价供应商投标（响应）报价×50%； </w:t>
      </w:r>
    </w:p>
    <w:p w14:paraId="4FD4EEC0">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3.投标（响应）报价低于采购项目最高限价45%的，即投标（响应）报价&lt;采购项目最高限价×45%； </w:t>
      </w:r>
    </w:p>
    <w:p w14:paraId="38801195">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4.评审委员会基于专业判断，认为供应商报价过低，有可能影响产品质量或者不能诚信履约的其他情形。 </w:t>
      </w:r>
    </w:p>
    <w:p w14:paraId="1A41DF80">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评审委员会启动异常低价投标（响应）审查后，属于前述第1项至第4项情形的，</w:t>
      </w:r>
      <w:r>
        <w:rPr>
          <w:rFonts w:hint="eastAsia"/>
          <w:b/>
          <w:bCs/>
          <w:color w:val="auto"/>
          <w:sz w:val="24"/>
          <w:szCs w:val="22"/>
        </w:rPr>
        <w:t>应当要求相关供应商在评审现场合理的时间内对投标（响应）价格作出解释，提供项目具体成本测算等与报价合理性相关的书面说明及必要的证明材料，包括但不限于原材料成本、人工成本、制造费用等，</w:t>
      </w:r>
      <w:r>
        <w:rPr>
          <w:rFonts w:hint="eastAsia"/>
          <w:b/>
          <w:bCs/>
          <w:color w:val="auto"/>
          <w:sz w:val="24"/>
          <w:szCs w:val="22"/>
          <w:lang w:val="en-US" w:eastAsia="zh-CN"/>
        </w:rPr>
        <w:t>供应商应当同时提供</w:t>
      </w:r>
      <w:r>
        <w:rPr>
          <w:rFonts w:hint="eastAsia"/>
          <w:b/>
          <w:bCs/>
          <w:color w:val="auto"/>
          <w:sz w:val="24"/>
          <w:szCs w:val="22"/>
        </w:rPr>
        <w:t>同类项目中标（成交）价格、类似产品市场价格水平、行业人工费用标准、国家有关部门指导行业协会发布的行业平均成本</w:t>
      </w:r>
      <w:r>
        <w:rPr>
          <w:rFonts w:hint="eastAsia"/>
          <w:b/>
          <w:bCs/>
          <w:color w:val="auto"/>
          <w:sz w:val="24"/>
          <w:szCs w:val="22"/>
          <w:lang w:val="en-US" w:eastAsia="zh-CN"/>
        </w:rPr>
        <w:t>等相关证明材料</w:t>
      </w:r>
      <w:r>
        <w:rPr>
          <w:rFonts w:hint="eastAsia"/>
          <w:color w:val="auto"/>
          <w:sz w:val="24"/>
          <w:szCs w:val="22"/>
        </w:rPr>
        <w:t>，给予相关供应商的合理时间一般不少于30分钟。其中，属于第3项情形，供应商已随投标（响应）文件一并提交相关书面说明及必要的证明材料的，在评审现场可不再重复提交。 </w:t>
      </w:r>
    </w:p>
    <w:p w14:paraId="314AEDBD">
      <w:pPr>
        <w:pStyle w:val="8"/>
        <w:keepNext w:val="0"/>
        <w:keepLines w:val="0"/>
        <w:pageBreakBefore w:val="0"/>
        <w:widowControl w:val="0"/>
        <w:kinsoku/>
        <w:wordWrap/>
        <w:overflowPunct/>
        <w:topLinePunct w:val="0"/>
        <w:autoSpaceDE/>
        <w:autoSpaceDN/>
        <w:bidi w:val="0"/>
        <w:adjustRightInd/>
        <w:snapToGrid/>
        <w:spacing w:line="288" w:lineRule="auto"/>
        <w:ind w:firstLineChars="175"/>
        <w:textAlignment w:val="auto"/>
        <w:rPr>
          <w:rFonts w:hint="eastAsia"/>
          <w:color w:val="auto"/>
          <w:sz w:val="24"/>
          <w:szCs w:val="22"/>
        </w:rPr>
      </w:pPr>
      <w:r>
        <w:rPr>
          <w:rFonts w:hint="eastAsia"/>
          <w:color w:val="auto"/>
          <w:sz w:val="24"/>
          <w:szCs w:val="2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4621022">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w:t>
      </w:r>
      <w:r>
        <w:rPr>
          <w:rFonts w:hint="eastAsia"/>
          <w:b/>
          <w:bCs/>
          <w:color w:val="auto"/>
          <w:sz w:val="24"/>
          <w:lang w:val="en-US" w:eastAsia="zh-CN"/>
        </w:rPr>
        <w:t>七</w:t>
      </w:r>
      <w:r>
        <w:rPr>
          <w:rFonts w:hint="eastAsia"/>
          <w:b/>
          <w:bCs/>
          <w:color w:val="auto"/>
          <w:sz w:val="24"/>
        </w:rPr>
        <w:t>）综合评分</w:t>
      </w:r>
    </w:p>
    <w:p w14:paraId="31018764">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经磋商确定最终采购需求和提交最后报价的供应商后，由磋商小组采用综合评分法对提交最后报价的供应商的响应文件和最后报价进行综合评分。</w:t>
      </w:r>
    </w:p>
    <w:p w14:paraId="01A7462F">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综合评分法，是指响应文件满足磋商文件全部实质性要求且按评审因素的量化指标评审得分最高的供应商为成交候选供应商的评审方法。</w:t>
      </w:r>
    </w:p>
    <w:p w14:paraId="0587164F">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w:t>
      </w:r>
      <w:r>
        <w:rPr>
          <w:rFonts w:hint="eastAsia"/>
          <w:b/>
          <w:bCs/>
          <w:color w:val="auto"/>
          <w:sz w:val="24"/>
          <w:lang w:val="en-US" w:eastAsia="zh-CN"/>
        </w:rPr>
        <w:t>八</w:t>
      </w:r>
      <w:r>
        <w:rPr>
          <w:rFonts w:hint="eastAsia"/>
          <w:b/>
          <w:bCs/>
          <w:color w:val="auto"/>
          <w:sz w:val="24"/>
        </w:rPr>
        <w:t>）汇总商务技术得分</w:t>
      </w:r>
    </w:p>
    <w:p w14:paraId="323F0941">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磋商小组各成员独立对进入最后报价的供应商的商务和技术文件进行评价，并汇总商务技术得分情况。</w:t>
      </w:r>
    </w:p>
    <w:p w14:paraId="41C80BAC">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现场监督员如发现分值汇总计算错误、分项评分超出评分标准范围、客观评分不一致以及存在评分畸高、畸低情形的，应由相关人员当场改正或作出说明；拒不改正又不作说明的，由现场监督员如实记载后存入项目档案资料。</w:t>
      </w:r>
    </w:p>
    <w:p w14:paraId="3854A6EC">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w:t>
      </w:r>
      <w:r>
        <w:rPr>
          <w:rFonts w:hint="eastAsia"/>
          <w:b/>
          <w:bCs/>
          <w:color w:val="auto"/>
          <w:sz w:val="24"/>
          <w:lang w:val="en-US" w:eastAsia="zh-CN"/>
        </w:rPr>
        <w:t>九</w:t>
      </w:r>
      <w:r>
        <w:rPr>
          <w:rFonts w:hint="eastAsia"/>
          <w:b/>
          <w:bCs/>
          <w:color w:val="auto"/>
          <w:sz w:val="24"/>
        </w:rPr>
        <w:t>）排序与推荐</w:t>
      </w:r>
    </w:p>
    <w:p w14:paraId="71DFCAEC">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磋商小组应当根据综合</w:t>
      </w:r>
      <w:r>
        <w:rPr>
          <w:rFonts w:hint="eastAsia"/>
          <w:color w:val="auto"/>
          <w:sz w:val="24"/>
        </w:rPr>
        <w:t>评分情况，按照评审得分由高到低顺序推荐3名以上成交候选供应商，并编写评审报告。符合《政府采购竞争性磋商采购方式管理暂行办法》（财库〔2014〕214号）</w:t>
      </w:r>
      <w:bookmarkStart w:id="308" w:name="OLE_LINK6"/>
      <w:r>
        <w:rPr>
          <w:rFonts w:hint="eastAsia"/>
          <w:color w:val="auto"/>
          <w:sz w:val="24"/>
        </w:rPr>
        <w:t>第二十一条第三款</w:t>
      </w:r>
      <w:bookmarkEnd w:id="308"/>
      <w:r>
        <w:rPr>
          <w:rFonts w:hint="eastAsia"/>
          <w:color w:val="auto"/>
          <w:sz w:val="24"/>
        </w:rPr>
        <w:t>情形的，可以推荐2家成交候选供应商。评审得分相同的，按照最后报价由低到高的顺序推荐。评审得分且最后报价相同的，按照技术指标优劣顺序推荐。出现并列第一名时由采购人确认成交供应商或采购人授权磋商小组按抽签方式确认成交供应商。</w:t>
      </w:r>
    </w:p>
    <w:p w14:paraId="75E93F4D">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w:t>
      </w:r>
      <w:r>
        <w:rPr>
          <w:rFonts w:hint="eastAsia"/>
          <w:b/>
          <w:bCs/>
          <w:color w:val="auto"/>
          <w:sz w:val="24"/>
          <w:lang w:val="en-US" w:eastAsia="zh-CN"/>
        </w:rPr>
        <w:t>十</w:t>
      </w:r>
      <w:r>
        <w:rPr>
          <w:rFonts w:hint="eastAsia"/>
          <w:b/>
          <w:bCs/>
          <w:color w:val="auto"/>
          <w:sz w:val="24"/>
        </w:rPr>
        <w:t>）编写评审报告</w:t>
      </w:r>
    </w:p>
    <w:p w14:paraId="7CACC75A">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color w:val="auto"/>
          <w:sz w:val="24"/>
        </w:rPr>
      </w:pPr>
      <w:r>
        <w:rPr>
          <w:rFonts w:hint="eastAsia"/>
          <w:color w:val="auto"/>
          <w:sz w:val="24"/>
        </w:rPr>
        <w:t>评审报告应当由磋商小组全体人员签名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名又不书面说明其不同意见和理由的，视为同意评审报告。</w:t>
      </w:r>
    </w:p>
    <w:p w14:paraId="2312AF61">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（十</w:t>
      </w:r>
      <w:r>
        <w:rPr>
          <w:rFonts w:hint="eastAsia"/>
          <w:b/>
          <w:bCs/>
          <w:color w:val="auto"/>
          <w:sz w:val="24"/>
          <w:lang w:val="en-US" w:eastAsia="zh-CN"/>
        </w:rPr>
        <w:t>一</w:t>
      </w:r>
      <w:r>
        <w:rPr>
          <w:rFonts w:hint="eastAsia"/>
          <w:b/>
          <w:bCs/>
          <w:color w:val="auto"/>
          <w:sz w:val="24"/>
        </w:rPr>
        <w:t>）磋商评审过程的保密性</w:t>
      </w:r>
    </w:p>
    <w:p w14:paraId="50308044">
      <w:pPr>
        <w:keepNext w:val="0"/>
        <w:keepLines w:val="0"/>
        <w:pageBreakBefore w:val="0"/>
        <w:widowControl w:val="0"/>
        <w:kinsoku/>
        <w:wordWrap/>
        <w:overflowPunct/>
        <w:topLinePunct w:val="0"/>
        <w:autoSpaceDE/>
        <w:autoSpaceDN/>
        <w:bidi w:val="0"/>
        <w:adjustRightInd/>
        <w:snapToGrid/>
        <w:spacing w:line="288" w:lineRule="auto"/>
        <w:ind w:firstLine="360" w:firstLineChars="150"/>
        <w:textAlignment w:val="auto"/>
        <w:rPr>
          <w:color w:val="auto"/>
          <w:sz w:val="24"/>
        </w:rPr>
      </w:pPr>
      <w:r>
        <w:rPr>
          <w:color w:val="auto"/>
          <w:sz w:val="24"/>
        </w:rPr>
        <w:t>1</w:t>
      </w:r>
      <w:r>
        <w:rPr>
          <w:rFonts w:hint="eastAsia"/>
          <w:color w:val="auto"/>
          <w:sz w:val="24"/>
        </w:rPr>
        <w:t>、开启响应文件之后，直到授予成交方合同止，凡是属于审查、澄清、评审和比较磋商响应的有关资料等，均不得向响应方或其他无关的人员透露。</w:t>
      </w:r>
    </w:p>
    <w:p w14:paraId="6036FBF1">
      <w:pPr>
        <w:keepNext w:val="0"/>
        <w:keepLines w:val="0"/>
        <w:pageBreakBefore w:val="0"/>
        <w:widowControl w:val="0"/>
        <w:kinsoku/>
        <w:wordWrap/>
        <w:overflowPunct/>
        <w:topLinePunct w:val="0"/>
        <w:autoSpaceDE/>
        <w:autoSpaceDN/>
        <w:bidi w:val="0"/>
        <w:adjustRightInd/>
        <w:snapToGrid/>
        <w:spacing w:line="288" w:lineRule="auto"/>
        <w:ind w:firstLine="360" w:firstLineChars="150"/>
        <w:textAlignment w:val="auto"/>
        <w:rPr>
          <w:color w:val="auto"/>
          <w:sz w:val="24"/>
        </w:rPr>
      </w:pPr>
      <w:r>
        <w:rPr>
          <w:color w:val="auto"/>
          <w:sz w:val="24"/>
        </w:rPr>
        <w:t>2</w:t>
      </w:r>
      <w:r>
        <w:rPr>
          <w:rFonts w:hint="eastAsia"/>
          <w:color w:val="auto"/>
          <w:sz w:val="24"/>
        </w:rPr>
        <w:t>、在磋商评审期间，响应方企图影响采购人的任何活动，将导致磋商响应被拒绝，并承担相应的法律责任。</w:t>
      </w:r>
    </w:p>
    <w:p w14:paraId="657BDD63">
      <w:pPr>
        <w:pStyle w:val="6"/>
        <w:spacing w:before="120" w:beforeLines="50" w:after="120" w:afterLines="50" w:line="240" w:lineRule="auto"/>
        <w:ind w:left="0" w:firstLine="0"/>
        <w:jc w:val="center"/>
        <w:outlineLvl w:val="1"/>
        <w:rPr>
          <w:rFonts w:ascii="楷体" w:hAnsi="楷体" w:eastAsia="楷体" w:cs="楷体"/>
          <w:snapToGrid w:val="0"/>
          <w:color w:val="auto"/>
          <w:kern w:val="44"/>
          <w:sz w:val="32"/>
          <w:szCs w:val="32"/>
        </w:rPr>
      </w:pPr>
      <w:bookmarkStart w:id="309" w:name="_Toc29029"/>
      <w:bookmarkStart w:id="310" w:name="_Toc29830"/>
      <w:bookmarkStart w:id="311" w:name="_Toc7256"/>
      <w:bookmarkStart w:id="312" w:name="_Toc29322"/>
      <w:bookmarkStart w:id="313" w:name="_Toc28002"/>
      <w:bookmarkStart w:id="314" w:name="_Toc30131"/>
      <w:bookmarkStart w:id="315" w:name="_Toc8603"/>
      <w:bookmarkStart w:id="316" w:name="_Toc17917"/>
      <w:bookmarkStart w:id="317" w:name="_Toc2251"/>
      <w:bookmarkStart w:id="318" w:name="_Toc12279"/>
      <w:bookmarkStart w:id="319" w:name="_Toc4483"/>
      <w:bookmarkStart w:id="320" w:name="_Toc22665"/>
      <w:bookmarkStart w:id="321" w:name="_Toc16451"/>
      <w:bookmarkStart w:id="322" w:name="_Toc17524"/>
      <w:bookmarkStart w:id="323" w:name="_Toc5529"/>
      <w:bookmarkStart w:id="324" w:name="_Toc6273"/>
      <w:bookmarkStart w:id="325" w:name="_Toc30041"/>
      <w:bookmarkStart w:id="326" w:name="_Toc28764_WPSOffice_Level2"/>
      <w:bookmarkStart w:id="327" w:name="_Toc32587"/>
      <w:bookmarkStart w:id="328" w:name="_Toc21433"/>
      <w:bookmarkStart w:id="329" w:name="_Toc26044"/>
      <w:bookmarkStart w:id="330" w:name="_Toc21515"/>
      <w:bookmarkStart w:id="331" w:name="_Toc13854"/>
      <w:bookmarkStart w:id="332" w:name="_Toc326"/>
      <w:bookmarkStart w:id="333" w:name="_Toc5340"/>
      <w:bookmarkStart w:id="334" w:name="_Toc22706"/>
      <w:bookmarkStart w:id="335" w:name="_Toc15767"/>
      <w:bookmarkStart w:id="336" w:name="_Toc26757"/>
      <w:bookmarkStart w:id="337" w:name="_Toc10879"/>
      <w:bookmarkStart w:id="338" w:name="_Toc27426"/>
      <w:bookmarkStart w:id="339" w:name="_Toc14468"/>
      <w:bookmarkStart w:id="340" w:name="_Toc9496"/>
      <w:bookmarkStart w:id="341" w:name="_Toc26288"/>
      <w:bookmarkStart w:id="342" w:name="_Toc18073"/>
      <w:bookmarkStart w:id="343" w:name="_Toc3813"/>
      <w:bookmarkStart w:id="344" w:name="_Toc20162"/>
      <w:r>
        <w:rPr>
          <w:rFonts w:hint="eastAsia" w:ascii="楷体" w:hAnsi="楷体" w:eastAsia="楷体" w:cs="楷体"/>
          <w:snapToGrid w:val="0"/>
          <w:color w:val="auto"/>
          <w:kern w:val="44"/>
          <w:sz w:val="32"/>
          <w:szCs w:val="32"/>
        </w:rPr>
        <w:t>七、合同授予</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5B635D16">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（一）资格最终审查</w:t>
      </w:r>
    </w:p>
    <w:p w14:paraId="465970CF">
      <w:pPr>
        <w:keepNext w:val="0"/>
        <w:keepLines w:val="0"/>
        <w:pageBreakBefore w:val="0"/>
        <w:widowControl w:val="0"/>
        <w:kinsoku/>
        <w:wordWrap/>
        <w:overflowPunct/>
        <w:topLinePunct w:val="0"/>
        <w:autoSpaceDE/>
        <w:autoSpaceDN/>
        <w:bidi w:val="0"/>
        <w:adjustRightInd/>
        <w:snapToGrid/>
        <w:spacing w:line="288" w:lineRule="auto"/>
        <w:ind w:firstLine="360" w:firstLineChars="150"/>
        <w:textAlignment w:val="auto"/>
        <w:rPr>
          <w:color w:val="auto"/>
          <w:sz w:val="24"/>
        </w:rPr>
      </w:pPr>
      <w:r>
        <w:rPr>
          <w:rFonts w:hint="eastAsia"/>
          <w:color w:val="auto"/>
          <w:sz w:val="24"/>
          <w:lang w:val="en-US" w:eastAsia="zh-CN"/>
        </w:rPr>
        <w:t>采购人</w:t>
      </w:r>
      <w:r>
        <w:rPr>
          <w:rFonts w:hint="eastAsia"/>
          <w:color w:val="auto"/>
          <w:sz w:val="24"/>
        </w:rPr>
        <w:t>在评</w:t>
      </w:r>
      <w:r>
        <w:rPr>
          <w:rFonts w:hint="eastAsia"/>
          <w:color w:val="auto"/>
          <w:sz w:val="24"/>
          <w:lang w:val="en-US" w:eastAsia="zh-CN"/>
        </w:rPr>
        <w:t>审</w:t>
      </w:r>
      <w:r>
        <w:rPr>
          <w:rFonts w:hint="eastAsia"/>
          <w:color w:val="auto"/>
          <w:sz w:val="24"/>
        </w:rPr>
        <w:t>报告推荐的</w:t>
      </w:r>
      <w:r>
        <w:rPr>
          <w:rFonts w:hint="eastAsia"/>
          <w:color w:val="auto"/>
          <w:sz w:val="24"/>
          <w:lang w:val="en-US" w:eastAsia="zh-CN"/>
        </w:rPr>
        <w:t>成交</w:t>
      </w:r>
      <w:r>
        <w:rPr>
          <w:rFonts w:hint="eastAsia"/>
          <w:color w:val="auto"/>
          <w:sz w:val="24"/>
        </w:rPr>
        <w:t>候选</w:t>
      </w:r>
      <w:r>
        <w:rPr>
          <w:rFonts w:hint="eastAsia"/>
          <w:color w:val="auto"/>
          <w:sz w:val="24"/>
          <w:lang w:val="en-US" w:eastAsia="zh-CN"/>
        </w:rPr>
        <w:t>供应商</w:t>
      </w:r>
      <w:r>
        <w:rPr>
          <w:rFonts w:hint="eastAsia"/>
          <w:color w:val="auto"/>
          <w:sz w:val="24"/>
        </w:rPr>
        <w:t>中按顺序确定</w:t>
      </w:r>
      <w:r>
        <w:rPr>
          <w:rFonts w:hint="eastAsia"/>
          <w:color w:val="auto"/>
          <w:sz w:val="24"/>
          <w:lang w:val="en-US" w:eastAsia="zh-CN"/>
        </w:rPr>
        <w:t>成交供应商</w:t>
      </w:r>
      <w:r>
        <w:rPr>
          <w:rFonts w:hint="eastAsia"/>
          <w:color w:val="auto"/>
          <w:sz w:val="24"/>
          <w:lang w:eastAsia="zh-CN"/>
        </w:rPr>
        <w:t>。</w:t>
      </w:r>
      <w:r>
        <w:rPr>
          <w:rFonts w:hint="eastAsia"/>
          <w:color w:val="auto"/>
          <w:sz w:val="24"/>
        </w:rPr>
        <w:t>采购</w:t>
      </w:r>
      <w:r>
        <w:rPr>
          <w:rFonts w:hint="eastAsia"/>
          <w:color w:val="auto"/>
          <w:sz w:val="24"/>
          <w:lang w:val="en-US" w:eastAsia="zh-CN"/>
        </w:rPr>
        <w:t>人有权</w:t>
      </w:r>
      <w:r>
        <w:rPr>
          <w:rFonts w:hint="eastAsia"/>
          <w:color w:val="auto"/>
          <w:sz w:val="24"/>
        </w:rPr>
        <w:t>审查成交候选人的财务、技术、生产及供货能力、信誉，确定其是否能圆满地履行合同。</w:t>
      </w:r>
    </w:p>
    <w:p w14:paraId="0BB93087">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（二）接受和拒绝部分或所有磋商内容的权力</w:t>
      </w:r>
    </w:p>
    <w:p w14:paraId="475B64F4">
      <w:pPr>
        <w:keepNext w:val="0"/>
        <w:keepLines w:val="0"/>
        <w:pageBreakBefore w:val="0"/>
        <w:widowControl w:val="0"/>
        <w:kinsoku/>
        <w:wordWrap/>
        <w:overflowPunct/>
        <w:topLinePunct w:val="0"/>
        <w:autoSpaceDE/>
        <w:autoSpaceDN/>
        <w:bidi w:val="0"/>
        <w:adjustRightInd/>
        <w:snapToGrid/>
        <w:spacing w:line="288" w:lineRule="auto"/>
        <w:ind w:firstLine="360" w:firstLineChars="150"/>
        <w:textAlignment w:val="auto"/>
        <w:rPr>
          <w:color w:val="auto"/>
          <w:sz w:val="24"/>
        </w:rPr>
      </w:pPr>
      <w:r>
        <w:rPr>
          <w:rFonts w:hint="eastAsia"/>
          <w:color w:val="auto"/>
          <w:sz w:val="24"/>
        </w:rPr>
        <w:t>为维护国家利益，采购人在授予合同之前仍有选择或拒绝部分或全部磋商内容的权力，并对所采取的行为不作任何解释。</w:t>
      </w:r>
    </w:p>
    <w:p w14:paraId="742E260B">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（三）成交通知书</w:t>
      </w:r>
    </w:p>
    <w:p w14:paraId="0DE015DC">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360" w:firstLineChars="150"/>
        <w:textAlignment w:val="auto"/>
        <w:rPr>
          <w:color w:val="auto"/>
          <w:sz w:val="24"/>
        </w:rPr>
      </w:pPr>
      <w:r>
        <w:rPr>
          <w:rFonts w:hint="eastAsia"/>
          <w:color w:val="auto"/>
          <w:sz w:val="24"/>
        </w:rPr>
        <w:t>成交公告将在</w:t>
      </w:r>
      <w:r>
        <w:rPr>
          <w:rFonts w:hint="eastAsia"/>
          <w:color w:val="auto"/>
          <w:sz w:val="24"/>
          <w:lang w:val="en-US" w:eastAsia="zh-CN"/>
        </w:rPr>
        <w:t>杭州电子科技大学采购中心网站</w:t>
      </w:r>
      <w:r>
        <w:rPr>
          <w:rFonts w:hint="eastAsia"/>
          <w:color w:val="auto"/>
          <w:sz w:val="24"/>
        </w:rPr>
        <w:t>公示，各响应方对成交公告如有异议，可在规定时间内以书面形式向采购机构提出质疑，但需对质疑内容的真实性承担法律责任。因恶意质疑、投诉导致授予合同的期限延期的，应按延期天数每天赔偿磋商成交金额的</w:t>
      </w:r>
      <w:r>
        <w:rPr>
          <w:color w:val="auto"/>
          <w:sz w:val="24"/>
        </w:rPr>
        <w:t>0.1</w:t>
      </w:r>
      <w:r>
        <w:rPr>
          <w:rFonts w:hint="eastAsia"/>
          <w:color w:val="auto"/>
          <w:sz w:val="24"/>
        </w:rPr>
        <w:t>％。</w:t>
      </w:r>
    </w:p>
    <w:p w14:paraId="79079BFC">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360" w:firstLineChars="150"/>
        <w:textAlignment w:val="auto"/>
        <w:rPr>
          <w:color w:val="auto"/>
          <w:sz w:val="24"/>
        </w:rPr>
      </w:pPr>
      <w:r>
        <w:rPr>
          <w:rFonts w:hint="eastAsia"/>
          <w:color w:val="auto"/>
          <w:sz w:val="24"/>
        </w:rPr>
        <w:t>公示期内如无异议，采购机构向成交供应商签发成交通知书。在采购机构发出成交通知书前，成交方有违反有关法律法规和本项目要求行为的，则取消该响应方的成交资格，并根据磋商小组推荐的成交候选人先后顺序，将下一顺序单位作为预成交公示单位，或由磋商小组提出重新组织采购等建议。</w:t>
      </w:r>
    </w:p>
    <w:p w14:paraId="76493720">
      <w:pPr>
        <w:keepNext w:val="0"/>
        <w:keepLines w:val="0"/>
        <w:pageBreakBefore w:val="0"/>
        <w:widowControl w:val="0"/>
        <w:numPr>
          <w:ilvl w:val="0"/>
          <w:numId w:val="3"/>
        </w:numPr>
        <w:kinsoku/>
        <w:wordWrap/>
        <w:overflowPunct/>
        <w:topLinePunct w:val="0"/>
        <w:autoSpaceDE/>
        <w:autoSpaceDN/>
        <w:bidi w:val="0"/>
        <w:adjustRightInd/>
        <w:snapToGrid/>
        <w:spacing w:line="288" w:lineRule="auto"/>
        <w:ind w:firstLine="360" w:firstLineChars="150"/>
        <w:textAlignment w:val="auto"/>
        <w:rPr>
          <w:color w:val="auto"/>
          <w:sz w:val="24"/>
        </w:rPr>
      </w:pPr>
      <w:r>
        <w:rPr>
          <w:rFonts w:hint="eastAsia"/>
          <w:color w:val="auto"/>
          <w:sz w:val="24"/>
        </w:rPr>
        <w:t>采购机构对成交结果不作任何说明和解释，也不回答任何提问。</w:t>
      </w:r>
    </w:p>
    <w:p w14:paraId="1B7090A0">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（四）授予合同时变更数量的权力</w:t>
      </w:r>
    </w:p>
    <w:p w14:paraId="35281435">
      <w:pPr>
        <w:pStyle w:val="27"/>
        <w:keepNext w:val="0"/>
        <w:keepLines w:val="0"/>
        <w:pageBreakBefore w:val="0"/>
        <w:widowControl w:val="0"/>
        <w:kinsoku/>
        <w:wordWrap/>
        <w:overflowPunct/>
        <w:topLinePunct w:val="0"/>
        <w:autoSpaceDE/>
        <w:autoSpaceDN/>
        <w:bidi w:val="0"/>
        <w:adjustRightInd/>
        <w:snapToGrid/>
        <w:spacing w:line="288" w:lineRule="auto"/>
        <w:ind w:left="-27" w:firstLine="360" w:firstLineChars="150"/>
        <w:textAlignment w:val="auto"/>
        <w:rPr>
          <w:rFonts w:ascii="Times New Roman" w:hAnsi="Times New Roman"/>
          <w:color w:val="auto"/>
          <w:sz w:val="24"/>
          <w:szCs w:val="24"/>
        </w:rPr>
      </w:pPr>
      <w:r>
        <w:rPr>
          <w:rFonts w:hint="eastAsia" w:ascii="Times New Roman" w:hAnsi="Times New Roman"/>
          <w:color w:val="auto"/>
          <w:sz w:val="24"/>
          <w:szCs w:val="24"/>
        </w:rPr>
        <w:t>采购人在授予合同时有权对磋商文件中货物数量和对应的服务内容予以增加或减少。</w:t>
      </w:r>
    </w:p>
    <w:p w14:paraId="187F0879">
      <w:pPr>
        <w:keepNext w:val="0"/>
        <w:keepLines w:val="0"/>
        <w:pageBreakBefore w:val="0"/>
        <w:widowControl w:val="0"/>
        <w:kinsoku/>
        <w:wordWrap/>
        <w:overflowPunct/>
        <w:topLinePunct w:val="0"/>
        <w:autoSpaceDE/>
        <w:autoSpaceDN/>
        <w:bidi w:val="0"/>
        <w:adjustRightInd/>
        <w:snapToGrid/>
        <w:spacing w:line="288" w:lineRule="auto"/>
        <w:textAlignment w:val="auto"/>
        <w:outlineLvl w:val="2"/>
        <w:rPr>
          <w:b/>
          <w:bCs/>
          <w:color w:val="auto"/>
          <w:sz w:val="24"/>
        </w:rPr>
      </w:pPr>
      <w:r>
        <w:rPr>
          <w:rFonts w:hint="eastAsia"/>
          <w:b/>
          <w:bCs/>
          <w:color w:val="auto"/>
          <w:sz w:val="24"/>
        </w:rPr>
        <w:t>（五）签订合同</w:t>
      </w:r>
    </w:p>
    <w:p w14:paraId="0FF868C1">
      <w:pPr>
        <w:pStyle w:val="27"/>
        <w:keepNext w:val="0"/>
        <w:keepLines w:val="0"/>
        <w:pageBreakBefore w:val="0"/>
        <w:widowControl w:val="0"/>
        <w:numPr>
          <w:ilvl w:val="0"/>
          <w:numId w:val="4"/>
        </w:numPr>
        <w:kinsoku/>
        <w:wordWrap/>
        <w:overflowPunct/>
        <w:topLinePunct w:val="0"/>
        <w:autoSpaceDE/>
        <w:autoSpaceDN/>
        <w:bidi w:val="0"/>
        <w:adjustRightInd/>
        <w:snapToGrid/>
        <w:spacing w:line="288" w:lineRule="auto"/>
        <w:ind w:left="-27" w:firstLine="360" w:firstLineChars="150"/>
        <w:textAlignment w:val="auto"/>
        <w:rPr>
          <w:rFonts w:ascii="Times New Roman" w:hAnsi="Times New Roman"/>
          <w:color w:val="auto"/>
          <w:sz w:val="24"/>
          <w:szCs w:val="24"/>
        </w:rPr>
      </w:pPr>
      <w:r>
        <w:rPr>
          <w:rFonts w:hint="eastAsia" w:ascii="Times New Roman" w:hAnsi="Times New Roman"/>
          <w:color w:val="auto"/>
          <w:sz w:val="24"/>
          <w:szCs w:val="24"/>
        </w:rPr>
        <w:t>成交方应当在《成交通知书》</w:t>
      </w:r>
      <w:r>
        <w:rPr>
          <w:rFonts w:hint="eastAsia"/>
          <w:color w:val="auto"/>
          <w:sz w:val="24"/>
        </w:rPr>
        <w:t>规定的时间和地点</w:t>
      </w:r>
      <w:r>
        <w:rPr>
          <w:rFonts w:hint="eastAsia" w:ascii="Times New Roman" w:hAnsi="Times New Roman"/>
          <w:color w:val="auto"/>
          <w:sz w:val="24"/>
          <w:szCs w:val="24"/>
        </w:rPr>
        <w:t>与采购人签订采购合同（发布成交公告后30天内）。</w:t>
      </w:r>
      <w:r>
        <w:rPr>
          <w:rFonts w:hint="eastAsia" w:ascii="Times New Roman" w:hAnsi="Times New Roman"/>
          <w:b/>
          <w:bCs/>
          <w:color w:val="auto"/>
          <w:sz w:val="24"/>
          <w:szCs w:val="24"/>
        </w:rPr>
        <w:t>合同以采购方法务审核后的版本为准。</w:t>
      </w:r>
    </w:p>
    <w:p w14:paraId="1E7E5AEA">
      <w:pPr>
        <w:pStyle w:val="27"/>
        <w:keepNext w:val="0"/>
        <w:keepLines w:val="0"/>
        <w:pageBreakBefore w:val="0"/>
        <w:widowControl w:val="0"/>
        <w:numPr>
          <w:ilvl w:val="0"/>
          <w:numId w:val="4"/>
        </w:numPr>
        <w:kinsoku/>
        <w:wordWrap/>
        <w:overflowPunct/>
        <w:topLinePunct w:val="0"/>
        <w:autoSpaceDE/>
        <w:autoSpaceDN/>
        <w:bidi w:val="0"/>
        <w:adjustRightInd/>
        <w:snapToGrid/>
        <w:spacing w:line="288" w:lineRule="auto"/>
        <w:ind w:left="-27" w:firstLine="360" w:firstLineChars="150"/>
        <w:textAlignment w:val="auto"/>
        <w:rPr>
          <w:rFonts w:ascii="Times New Roman" w:hAnsi="Times New Roman"/>
          <w:color w:val="auto"/>
          <w:sz w:val="24"/>
          <w:szCs w:val="24"/>
        </w:rPr>
      </w:pPr>
      <w:r>
        <w:rPr>
          <w:rFonts w:hint="eastAsia" w:ascii="Times New Roman" w:hAnsi="Times New Roman"/>
          <w:color w:val="auto"/>
          <w:sz w:val="24"/>
          <w:szCs w:val="24"/>
        </w:rPr>
        <w:t>磋商文件、成交方的响应文件及响应修改文件、磋商过程中澄清文件和成交通知书均</w:t>
      </w:r>
      <w:r>
        <w:rPr>
          <w:rFonts w:hint="eastAsia" w:ascii="Times New Roman" w:hAnsi="Times New Roman"/>
          <w:color w:val="auto"/>
          <w:sz w:val="24"/>
          <w:szCs w:val="24"/>
          <w:lang w:val="en-US" w:eastAsia="zh-CN"/>
        </w:rPr>
        <w:t>为合同有效组成部分</w:t>
      </w:r>
      <w:r>
        <w:rPr>
          <w:rFonts w:hint="eastAsia" w:ascii="Times New Roman" w:hAnsi="Times New Roman"/>
          <w:color w:val="auto"/>
          <w:sz w:val="24"/>
          <w:szCs w:val="24"/>
        </w:rPr>
        <w:t>。</w:t>
      </w:r>
    </w:p>
    <w:p w14:paraId="6595FA06">
      <w:pPr>
        <w:pStyle w:val="27"/>
        <w:keepNext w:val="0"/>
        <w:keepLines w:val="0"/>
        <w:pageBreakBefore w:val="0"/>
        <w:widowControl w:val="0"/>
        <w:numPr>
          <w:ilvl w:val="0"/>
          <w:numId w:val="4"/>
        </w:numPr>
        <w:kinsoku/>
        <w:wordWrap/>
        <w:overflowPunct/>
        <w:topLinePunct w:val="0"/>
        <w:autoSpaceDE/>
        <w:autoSpaceDN/>
        <w:bidi w:val="0"/>
        <w:adjustRightInd/>
        <w:snapToGrid/>
        <w:spacing w:line="288" w:lineRule="auto"/>
        <w:ind w:left="-27" w:firstLine="360" w:firstLineChars="150"/>
        <w:textAlignment w:val="auto"/>
        <w:rPr>
          <w:rFonts w:ascii="Times New Roman" w:hAnsi="Times New Roman"/>
          <w:color w:val="auto"/>
          <w:sz w:val="24"/>
          <w:szCs w:val="24"/>
        </w:rPr>
      </w:pPr>
      <w:r>
        <w:rPr>
          <w:rFonts w:hint="eastAsia" w:ascii="Times New Roman" w:hAnsi="Times New Roman"/>
          <w:color w:val="auto"/>
          <w:sz w:val="24"/>
          <w:szCs w:val="24"/>
        </w:rPr>
        <w:t>如成交方拒绝承担成交的项目，或提出采购方不能接受的条件，致使合同无法签订，采购机构将取消其成交资格，并根据磋商小组推荐的成交候选人先后顺序，将下一顺序单位作为成交公示单位，或由磋商小组提出重新组织采购等建议。</w:t>
      </w:r>
    </w:p>
    <w:p w14:paraId="6434075F">
      <w:pPr>
        <w:pStyle w:val="27"/>
        <w:keepNext w:val="0"/>
        <w:keepLines w:val="0"/>
        <w:pageBreakBefore w:val="0"/>
        <w:widowControl w:val="0"/>
        <w:numPr>
          <w:ilvl w:val="0"/>
          <w:numId w:val="4"/>
        </w:numPr>
        <w:kinsoku/>
        <w:wordWrap/>
        <w:overflowPunct/>
        <w:topLinePunct w:val="0"/>
        <w:autoSpaceDE/>
        <w:autoSpaceDN/>
        <w:bidi w:val="0"/>
        <w:adjustRightInd/>
        <w:snapToGrid/>
        <w:spacing w:line="288" w:lineRule="auto"/>
        <w:ind w:left="-27" w:firstLine="360" w:firstLineChars="150"/>
        <w:textAlignment w:val="auto"/>
        <w:rPr>
          <w:rFonts w:ascii="Times New Roman" w:hAnsi="Times New Roman"/>
          <w:color w:val="auto"/>
          <w:sz w:val="24"/>
          <w:szCs w:val="24"/>
        </w:rPr>
      </w:pPr>
      <w:r>
        <w:rPr>
          <w:rFonts w:hint="eastAsia" w:ascii="Times New Roman" w:hAnsi="Times New Roman"/>
          <w:color w:val="auto"/>
          <w:sz w:val="24"/>
          <w:szCs w:val="24"/>
        </w:rPr>
        <w:t>签订合同并生效后，成交方无故拒绝或延期服务，除按照合同条款处罚外，列入不良行为记录一次，并给予通报。</w:t>
      </w:r>
    </w:p>
    <w:p w14:paraId="43505905">
      <w:pPr>
        <w:pStyle w:val="6"/>
        <w:spacing w:before="120" w:beforeLines="50" w:after="120" w:afterLines="50" w:line="240" w:lineRule="auto"/>
        <w:ind w:left="0" w:firstLine="0"/>
        <w:jc w:val="center"/>
        <w:outlineLvl w:val="1"/>
        <w:rPr>
          <w:rFonts w:hint="eastAsia" w:ascii="楷体" w:hAnsi="楷体" w:eastAsia="楷体" w:cs="楷体"/>
          <w:snapToGrid w:val="0"/>
          <w:color w:val="auto"/>
          <w:kern w:val="44"/>
          <w:sz w:val="32"/>
          <w:szCs w:val="32"/>
        </w:rPr>
      </w:pPr>
      <w:bookmarkStart w:id="345" w:name="_Toc19360"/>
      <w:bookmarkStart w:id="346" w:name="_Toc8812_WPSOffice_Level2"/>
      <w:r>
        <w:rPr>
          <w:rFonts w:hint="eastAsia" w:ascii="楷体" w:hAnsi="楷体" w:eastAsia="楷体" w:cs="楷体"/>
          <w:snapToGrid w:val="0"/>
          <w:color w:val="auto"/>
          <w:kern w:val="44"/>
          <w:sz w:val="32"/>
          <w:szCs w:val="32"/>
          <w:lang w:val="en-US" w:eastAsia="zh-CN"/>
        </w:rPr>
        <w:t>八</w:t>
      </w:r>
      <w:r>
        <w:rPr>
          <w:rFonts w:hint="eastAsia" w:ascii="楷体" w:hAnsi="楷体" w:eastAsia="楷体" w:cs="楷体"/>
          <w:snapToGrid w:val="0"/>
          <w:color w:val="auto"/>
          <w:kern w:val="44"/>
          <w:sz w:val="32"/>
          <w:szCs w:val="32"/>
        </w:rPr>
        <w:t>、可中止电子交易活动的情形</w:t>
      </w:r>
      <w:bookmarkEnd w:id="345"/>
      <w:bookmarkEnd w:id="346"/>
    </w:p>
    <w:p w14:paraId="2A9BB28C">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rFonts w:hint="eastAsia"/>
          <w:color w:val="auto"/>
          <w:sz w:val="24"/>
          <w:szCs w:val="22"/>
        </w:rPr>
      </w:pPr>
      <w:r>
        <w:rPr>
          <w:rFonts w:hint="eastAsia"/>
          <w:color w:val="auto"/>
          <w:sz w:val="24"/>
          <w:szCs w:val="22"/>
        </w:rPr>
        <w:t>采购过程中出现以下情形，导致电子交易平台无法正常运行，或者无法保证电子交易的公平、公正和安全时，采购机构可中止电子交易活动：</w:t>
      </w:r>
    </w:p>
    <w:p w14:paraId="61CE0945">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outlineLvl w:val="2"/>
        <w:rPr>
          <w:rFonts w:hint="eastAsia"/>
          <w:color w:val="auto"/>
          <w:sz w:val="24"/>
          <w:szCs w:val="22"/>
        </w:rPr>
      </w:pPr>
      <w:r>
        <w:rPr>
          <w:rFonts w:hint="eastAsia"/>
          <w:color w:val="auto"/>
          <w:sz w:val="24"/>
          <w:szCs w:val="22"/>
        </w:rPr>
        <w:t>1</w:t>
      </w:r>
      <w:r>
        <w:rPr>
          <w:rFonts w:hint="eastAsia"/>
          <w:color w:val="auto"/>
          <w:sz w:val="24"/>
          <w:szCs w:val="22"/>
          <w:lang w:eastAsia="zh-CN"/>
        </w:rPr>
        <w:t>、</w:t>
      </w:r>
      <w:r>
        <w:rPr>
          <w:rFonts w:hint="eastAsia"/>
          <w:color w:val="auto"/>
          <w:sz w:val="24"/>
          <w:szCs w:val="22"/>
        </w:rPr>
        <w:t>电子交易平台发生故障而无法登录访问的；</w:t>
      </w:r>
    </w:p>
    <w:p w14:paraId="40351C20">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outlineLvl w:val="2"/>
        <w:rPr>
          <w:rFonts w:hint="eastAsia"/>
          <w:color w:val="auto"/>
          <w:sz w:val="24"/>
          <w:szCs w:val="22"/>
        </w:rPr>
      </w:pPr>
      <w:r>
        <w:rPr>
          <w:rFonts w:hint="eastAsia"/>
          <w:color w:val="auto"/>
          <w:sz w:val="24"/>
          <w:szCs w:val="22"/>
        </w:rPr>
        <w:t>2</w:t>
      </w:r>
      <w:r>
        <w:rPr>
          <w:rFonts w:hint="eastAsia"/>
          <w:color w:val="auto"/>
          <w:sz w:val="24"/>
          <w:szCs w:val="22"/>
          <w:lang w:eastAsia="zh-CN"/>
        </w:rPr>
        <w:t>、</w:t>
      </w:r>
      <w:r>
        <w:rPr>
          <w:rFonts w:hint="eastAsia"/>
          <w:color w:val="auto"/>
          <w:sz w:val="24"/>
          <w:szCs w:val="22"/>
        </w:rPr>
        <w:t>电子交易平台应用或数据库出现错误，不能进行正常操作的；</w:t>
      </w:r>
    </w:p>
    <w:p w14:paraId="3951C2B9">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outlineLvl w:val="2"/>
        <w:rPr>
          <w:rFonts w:hint="eastAsia"/>
          <w:color w:val="auto"/>
          <w:sz w:val="24"/>
          <w:szCs w:val="22"/>
        </w:rPr>
      </w:pPr>
      <w:r>
        <w:rPr>
          <w:rFonts w:hint="eastAsia"/>
          <w:color w:val="auto"/>
          <w:sz w:val="24"/>
          <w:szCs w:val="22"/>
        </w:rPr>
        <w:t>3</w:t>
      </w:r>
      <w:r>
        <w:rPr>
          <w:rFonts w:hint="eastAsia"/>
          <w:color w:val="auto"/>
          <w:sz w:val="24"/>
          <w:szCs w:val="22"/>
          <w:lang w:eastAsia="zh-CN"/>
        </w:rPr>
        <w:t>、</w:t>
      </w:r>
      <w:r>
        <w:rPr>
          <w:rFonts w:hint="eastAsia"/>
          <w:color w:val="auto"/>
          <w:sz w:val="24"/>
          <w:szCs w:val="22"/>
        </w:rPr>
        <w:t>电子交易平台发现严重安全漏洞，有潜在泄密危险的；</w:t>
      </w:r>
    </w:p>
    <w:p w14:paraId="47C3E7B0">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outlineLvl w:val="2"/>
        <w:rPr>
          <w:rFonts w:hint="eastAsia"/>
          <w:color w:val="auto"/>
          <w:sz w:val="24"/>
          <w:szCs w:val="22"/>
        </w:rPr>
      </w:pPr>
      <w:r>
        <w:rPr>
          <w:rFonts w:hint="eastAsia"/>
          <w:color w:val="auto"/>
          <w:sz w:val="24"/>
          <w:szCs w:val="22"/>
        </w:rPr>
        <w:t>4</w:t>
      </w:r>
      <w:r>
        <w:rPr>
          <w:rFonts w:hint="eastAsia"/>
          <w:color w:val="auto"/>
          <w:sz w:val="24"/>
          <w:szCs w:val="22"/>
          <w:lang w:eastAsia="zh-CN"/>
        </w:rPr>
        <w:t>、</w:t>
      </w:r>
      <w:r>
        <w:rPr>
          <w:rFonts w:hint="eastAsia"/>
          <w:color w:val="auto"/>
          <w:sz w:val="24"/>
          <w:szCs w:val="22"/>
        </w:rPr>
        <w:t>病毒发作导致不能进行正常操作的；</w:t>
      </w:r>
    </w:p>
    <w:p w14:paraId="3590B84C">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outlineLvl w:val="2"/>
        <w:rPr>
          <w:rFonts w:hint="eastAsia"/>
          <w:color w:val="auto"/>
          <w:sz w:val="24"/>
          <w:szCs w:val="22"/>
        </w:rPr>
      </w:pPr>
      <w:r>
        <w:rPr>
          <w:rFonts w:hint="eastAsia"/>
          <w:color w:val="auto"/>
          <w:sz w:val="24"/>
          <w:szCs w:val="22"/>
        </w:rPr>
        <w:t>5</w:t>
      </w:r>
      <w:r>
        <w:rPr>
          <w:rFonts w:hint="eastAsia"/>
          <w:color w:val="auto"/>
          <w:sz w:val="24"/>
          <w:szCs w:val="22"/>
          <w:lang w:eastAsia="zh-CN"/>
        </w:rPr>
        <w:t>、</w:t>
      </w:r>
      <w:r>
        <w:rPr>
          <w:rFonts w:hint="eastAsia"/>
          <w:color w:val="auto"/>
          <w:sz w:val="24"/>
          <w:szCs w:val="22"/>
        </w:rPr>
        <w:t>其他无法保证电子交易的公平、公正和安全的情况。</w:t>
      </w:r>
    </w:p>
    <w:p w14:paraId="033C7388">
      <w:pPr>
        <w:keepNext w:val="0"/>
        <w:keepLines w:val="0"/>
        <w:pageBreakBefore w:val="0"/>
        <w:widowControl w:val="0"/>
        <w:kinsoku/>
        <w:wordWrap/>
        <w:overflowPunct/>
        <w:topLinePunct w:val="0"/>
        <w:autoSpaceDE/>
        <w:autoSpaceDN/>
        <w:bidi w:val="0"/>
        <w:adjustRightInd/>
        <w:snapToGrid/>
        <w:spacing w:line="288" w:lineRule="auto"/>
        <w:ind w:firstLine="420" w:firstLineChars="175"/>
        <w:textAlignment w:val="auto"/>
        <w:rPr>
          <w:rFonts w:ascii="Times New Roman" w:hAnsi="Times New Roman"/>
          <w:color w:val="auto"/>
          <w:sz w:val="24"/>
          <w:szCs w:val="24"/>
        </w:rPr>
      </w:pPr>
      <w:r>
        <w:rPr>
          <w:rFonts w:hint="eastAsia"/>
          <w:color w:val="auto"/>
          <w:sz w:val="24"/>
          <w:szCs w:val="22"/>
        </w:rPr>
        <w:t>出现前款规定情形，不影响采购公平、公正性的，采购机构可以待上述情形消除后继续组织电子交易活动；影响或可能影响采购公平、公正性的，应当重新采购。</w:t>
      </w:r>
    </w:p>
    <w:p w14:paraId="20A5654E">
      <w:pPr>
        <w:pStyle w:val="4"/>
        <w:bidi w:val="0"/>
        <w:outlineLvl w:val="0"/>
        <w:rPr>
          <w:rFonts w:hint="eastAsia" w:ascii="Times New Roman" w:hAnsi="Times New Roman" w:eastAsia="黑体" w:cs="Times New Roman"/>
          <w:b/>
          <w:color w:val="auto"/>
          <w:kern w:val="44"/>
          <w:sz w:val="36"/>
          <w:szCs w:val="22"/>
          <w:lang w:val="en-US" w:eastAsia="zh-CN" w:bidi="ar-SA"/>
        </w:rPr>
      </w:pPr>
      <w:bookmarkStart w:id="347" w:name="_Toc27094"/>
      <w:bookmarkStart w:id="348" w:name="_Toc11599"/>
      <w:bookmarkStart w:id="349" w:name="_Toc31754"/>
      <w:bookmarkStart w:id="350" w:name="_Toc24700"/>
      <w:bookmarkStart w:id="351" w:name="_Toc18478"/>
      <w:bookmarkStart w:id="352" w:name="_Toc10023"/>
      <w:bookmarkStart w:id="353" w:name="_Toc30987"/>
      <w:r>
        <w:rPr>
          <w:rStyle w:val="55"/>
          <w:rFonts w:ascii="Times New Roman" w:hAnsi="Times New Roman"/>
          <w:b/>
          <w:snapToGrid w:val="0"/>
          <w:color w:val="auto"/>
        </w:rPr>
        <w:br w:type="page"/>
      </w:r>
      <w:bookmarkStart w:id="354" w:name="_Toc2224"/>
      <w:bookmarkStart w:id="355" w:name="_Toc3488_WPSOffice_Level1"/>
      <w:bookmarkStart w:id="356" w:name="_Toc21250_WPSOffice_Level1"/>
      <w:bookmarkStart w:id="357" w:name="_Toc8630"/>
      <w:bookmarkStart w:id="358" w:name="_Toc22180"/>
      <w:bookmarkStart w:id="359" w:name="_Toc26100"/>
      <w:bookmarkStart w:id="360" w:name="_Toc3282"/>
      <w:bookmarkStart w:id="361" w:name="_Toc24396"/>
      <w:bookmarkStart w:id="362" w:name="_Toc7338"/>
      <w:bookmarkStart w:id="363" w:name="_Toc12347"/>
      <w:bookmarkStart w:id="364" w:name="_Toc23225"/>
      <w:bookmarkStart w:id="365" w:name="_Toc14406"/>
      <w:bookmarkStart w:id="366" w:name="_Toc20593"/>
      <w:bookmarkStart w:id="367" w:name="_Toc15832"/>
      <w:bookmarkStart w:id="368" w:name="_Toc23632"/>
      <w:bookmarkStart w:id="369" w:name="_Toc27781"/>
      <w:bookmarkStart w:id="370" w:name="_Toc12012"/>
      <w:bookmarkStart w:id="371" w:name="_Toc26169"/>
      <w:bookmarkStart w:id="372" w:name="_Toc9109"/>
      <w:bookmarkStart w:id="373" w:name="_Toc646"/>
      <w:bookmarkStart w:id="374" w:name="_Toc365"/>
      <w:bookmarkStart w:id="375" w:name="_Toc17708"/>
      <w:bookmarkStart w:id="376" w:name="_Toc6438"/>
      <w:bookmarkStart w:id="377" w:name="_Toc30301"/>
      <w:bookmarkStart w:id="378" w:name="_Toc15038"/>
      <w:bookmarkStart w:id="379" w:name="_Toc10406"/>
      <w:bookmarkStart w:id="380" w:name="_Toc27525"/>
      <w:bookmarkStart w:id="381" w:name="_Toc5470"/>
      <w:bookmarkStart w:id="382" w:name="_Toc16902"/>
      <w:bookmarkStart w:id="383" w:name="_Toc7293"/>
      <w:bookmarkStart w:id="384" w:name="_Toc14142"/>
      <w:bookmarkStart w:id="385" w:name="_Toc32035"/>
      <w:bookmarkStart w:id="386" w:name="_Toc30158"/>
      <w:bookmarkStart w:id="387" w:name="_Toc17768"/>
      <w:r>
        <w:rPr>
          <w:rFonts w:hint="eastAsia"/>
          <w:color w:val="auto"/>
          <w:szCs w:val="22"/>
          <w:lang w:val="en-US" w:eastAsia="zh-CN"/>
        </w:rPr>
        <w:t>第三</w:t>
      </w:r>
      <w:r>
        <w:rPr>
          <w:rFonts w:hint="eastAsia" w:ascii="Times New Roman" w:hAnsi="Times New Roman" w:eastAsia="黑体" w:cs="Times New Roman"/>
          <w:b/>
          <w:color w:val="auto"/>
          <w:kern w:val="44"/>
          <w:sz w:val="36"/>
          <w:szCs w:val="22"/>
          <w:lang w:val="en-US" w:eastAsia="zh-CN" w:bidi="ar-SA"/>
        </w:rPr>
        <w:t>部分 采购需求</w:t>
      </w:r>
      <w:bookmarkEnd w:id="354"/>
      <w:bookmarkEnd w:id="355"/>
      <w:bookmarkEnd w:id="356"/>
    </w:p>
    <w:bookmarkEnd w:id="347"/>
    <w:bookmarkEnd w:id="348"/>
    <w:bookmarkEnd w:id="349"/>
    <w:bookmarkEnd w:id="350"/>
    <w:bookmarkEnd w:id="351"/>
    <w:bookmarkEnd w:id="352"/>
    <w:bookmarkEnd w:id="353"/>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14:paraId="48ABB171">
      <w:pPr>
        <w:pStyle w:val="6"/>
        <w:tabs>
          <w:tab w:val="clear" w:pos="1275"/>
        </w:tabs>
        <w:ind w:left="15" w:leftChars="0" w:hanging="15" w:firstLineChars="0"/>
        <w:outlineLvl w:val="2"/>
        <w:rPr>
          <w:color w:val="auto"/>
        </w:rPr>
      </w:pPr>
      <w:bookmarkStart w:id="388" w:name="_Toc2487"/>
      <w:bookmarkStart w:id="389" w:name="_Toc23109_WPSOffice_Level2"/>
      <w:bookmarkStart w:id="390" w:name="_Toc1660"/>
      <w:bookmarkStart w:id="391" w:name="_Toc29510"/>
      <w:bookmarkStart w:id="392" w:name="_Toc31434"/>
      <w:bookmarkStart w:id="393" w:name="_Toc3691"/>
      <w:bookmarkStart w:id="394" w:name="_Toc20153"/>
      <w:bookmarkStart w:id="395" w:name="_Toc14512"/>
      <w:bookmarkStart w:id="396" w:name="_Toc3711"/>
      <w:bookmarkStart w:id="397" w:name="_Toc21296"/>
      <w:bookmarkStart w:id="398" w:name="_Toc27955"/>
      <w:r>
        <w:rPr>
          <w:rFonts w:hint="eastAsia"/>
          <w:color w:val="auto"/>
        </w:rPr>
        <w:t>一、服务内容和详细要求</w:t>
      </w:r>
      <w:bookmarkEnd w:id="388"/>
      <w:bookmarkEnd w:id="389"/>
    </w:p>
    <w:p w14:paraId="3C5F619B">
      <w:pPr>
        <w:rPr>
          <w:color w:val="auto"/>
        </w:rPr>
      </w:pPr>
    </w:p>
    <w:p w14:paraId="4F10ED7E">
      <w:pPr>
        <w:pStyle w:val="53"/>
        <w:keepNext w:val="0"/>
        <w:keepLines w:val="0"/>
        <w:pageBreakBefore w:val="0"/>
        <w:widowControl w:val="0"/>
        <w:kinsoku/>
        <w:wordWrap/>
        <w:overflowPunct/>
        <w:topLinePunct w:val="0"/>
        <w:bidi w:val="0"/>
        <w:snapToGrid/>
        <w:spacing w:line="288" w:lineRule="auto"/>
        <w:ind w:firstLine="422" w:firstLineChars="175"/>
        <w:textAlignment w:val="auto"/>
        <w:rPr>
          <w:rFonts w:hint="default" w:eastAsia="宋体"/>
          <w:color w:val="auto"/>
          <w:lang w:val="en-US" w:eastAsia="zh-CN"/>
        </w:rPr>
      </w:pPr>
      <w:r>
        <w:rPr>
          <w:rFonts w:hint="eastAsia"/>
          <w:b/>
          <w:color w:val="auto"/>
          <w:shd w:val="clear" w:color="auto" w:fill="FFFFFF"/>
        </w:rPr>
        <w:t>服务作业要求</w:t>
      </w:r>
    </w:p>
    <w:p w14:paraId="4F4DF572">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1．上岗服务人员须经过岗前培训并严格遵守灭鼠杀虫技术操作规程，文明作业。并填写灭鼠杀虫服务记录单为当次服务的凭据。着统一工作服和佩戴相关证件。</w:t>
      </w:r>
    </w:p>
    <w:p w14:paraId="1C178E34">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2．在服务期内所服务的项目属下列情况未能达标的，应负责采取有效措施，直至达标。</w:t>
      </w:r>
    </w:p>
    <w:p w14:paraId="6BA37CB9">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A 粉迹法测定活鼠超标。</w:t>
      </w:r>
    </w:p>
    <w:p w14:paraId="226337D0">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B 成蝇、成蚊、蟑螂成若虫密度超标的。</w:t>
      </w:r>
    </w:p>
    <w:p w14:paraId="67C41CF7">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3．供方应保证对需方的灭蟑、灭鼠等消杀服务工作通过省、市各级卫生部门的考核、检查。若未通过，供方须进行补正，并承担相应的罚款费用（罚款费用是服务总额的20%）。</w:t>
      </w:r>
    </w:p>
    <w:p w14:paraId="1A295F46">
      <w:pPr>
        <w:keepNext w:val="0"/>
        <w:keepLines w:val="0"/>
        <w:pageBreakBefore w:val="0"/>
        <w:widowControl w:val="0"/>
        <w:kinsoku/>
        <w:wordWrap/>
        <w:overflowPunct/>
        <w:topLinePunct w:val="0"/>
        <w:bidi w:val="0"/>
        <w:snapToGrid/>
        <w:spacing w:line="288" w:lineRule="auto"/>
        <w:ind w:firstLine="420" w:firstLineChars="175"/>
        <w:textAlignment w:val="auto"/>
        <w:rPr>
          <w:color w:val="auto"/>
          <w:shd w:val="clear" w:color="auto" w:fill="FFFFFF"/>
          <w:lang w:bidi="ar"/>
        </w:rPr>
      </w:pPr>
      <w:r>
        <w:rPr>
          <w:rFonts w:hint="eastAsia" w:ascii="宋体" w:hAnsi="宋体" w:cs="宋体"/>
          <w:color w:val="auto"/>
          <w:sz w:val="24"/>
          <w:shd w:val="clear" w:color="auto" w:fill="FFFFFF"/>
          <w:lang w:bidi="ar"/>
        </w:rPr>
        <w:t>4．</w:t>
      </w:r>
      <w:r>
        <w:rPr>
          <w:rFonts w:hint="eastAsia" w:ascii="宋体" w:hAnsi="宋体" w:cs="宋体"/>
          <w:color w:val="auto"/>
          <w:sz w:val="24"/>
          <w:shd w:val="clear" w:color="auto" w:fill="FFFFFF"/>
        </w:rPr>
        <w:t>供方服务人员每次作业时，须及时巡查并清理掉投放点位周边已死去的老鼠及蟑螂等。在投放灭鼠药或其他药品时应提前一周在校园人流量较高等位置张贴告知书。同时，在施（投）药位置张贴已投药警示标志，并确保在作业完成前警示标志一直在。</w:t>
      </w:r>
    </w:p>
    <w:p w14:paraId="45DC38DB">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5．按照要求，确保在服务期内服务的项目控制在国家规定的标准范围内;如未达到，供方须承担由此引起的一切责任。</w:t>
      </w:r>
    </w:p>
    <w:p w14:paraId="4247C349">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6．供方有责任建议和指导需方防鼠、防虫设施的安装和做好日常鼠虫害防治的巩固工作。</w:t>
      </w:r>
    </w:p>
    <w:p w14:paraId="380D19B5">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7．供方须注意药物的使用安全，投（施）药时需要防护的部分，应向需方提出，并采取有效的防护措施。</w:t>
      </w:r>
    </w:p>
    <w:p w14:paraId="61386EE8">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b/>
          <w:bCs/>
          <w:color w:val="auto"/>
          <w:sz w:val="24"/>
          <w:shd w:val="clear" w:color="auto" w:fill="FFFFFF"/>
          <w:lang w:bidi="ar"/>
        </w:rPr>
      </w:pPr>
      <w:r>
        <w:rPr>
          <w:rFonts w:hint="eastAsia" w:ascii="宋体" w:hAnsi="宋体" w:cs="宋体"/>
          <w:color w:val="auto"/>
          <w:sz w:val="24"/>
          <w:shd w:val="clear" w:color="auto" w:fill="FFFFFF"/>
          <w:lang w:bidi="ar"/>
        </w:rPr>
        <w:t>8．供方所使用的灭鼠杀虫药物按国家规定要有“三证”或使用全国或市爱卫会专家委员会推荐和认定的药物，严禁使用急性灭鼠药或其他明文禁用药物。如药物使用不当等由于供方原因引起人中毒或其他责任事故的，供方应承担全部责任。</w:t>
      </w:r>
      <w:r>
        <w:rPr>
          <w:rFonts w:hint="eastAsia"/>
          <w:b/>
          <w:bCs/>
          <w:color w:val="auto"/>
          <w:sz w:val="24"/>
        </w:rPr>
        <w:t>▲</w:t>
      </w:r>
      <w:r>
        <w:rPr>
          <w:rFonts w:hint="eastAsia" w:ascii="宋体" w:hAnsi="宋体" w:cs="宋体"/>
          <w:color w:val="auto"/>
          <w:sz w:val="24"/>
          <w:shd w:val="clear" w:color="auto" w:fill="FFFFFF"/>
          <w:lang w:bidi="ar"/>
        </w:rPr>
        <w:t>本项目确定使用</w:t>
      </w:r>
      <w:r>
        <w:rPr>
          <w:rFonts w:hint="eastAsia" w:ascii="宋体" w:hAnsi="宋体" w:cs="宋体"/>
          <w:b/>
          <w:bCs/>
          <w:color w:val="auto"/>
          <w:sz w:val="24"/>
          <w:shd w:val="clear" w:color="auto" w:fill="FFFFFF"/>
          <w:lang w:bidi="ar"/>
        </w:rPr>
        <w:t>药品在杭州市卫生局规定的药品目录里。</w:t>
      </w:r>
    </w:p>
    <w:p w14:paraId="6B1D2682">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9．服务区域用药标准</w:t>
      </w:r>
    </w:p>
    <w:tbl>
      <w:tblPr>
        <w:tblStyle w:val="45"/>
        <w:tblW w:w="8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2295"/>
        <w:gridCol w:w="2865"/>
        <w:gridCol w:w="2226"/>
      </w:tblGrid>
      <w:tr w14:paraId="75E1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noWrap w:val="0"/>
            <w:vAlign w:val="center"/>
          </w:tcPr>
          <w:p w14:paraId="1A2BF141">
            <w:pPr>
              <w:keepNext w:val="0"/>
              <w:keepLines w:val="0"/>
              <w:pageBreakBefore w:val="0"/>
              <w:widowControl w:val="0"/>
              <w:kinsoku/>
              <w:wordWrap/>
              <w:overflowPunct/>
              <w:topLinePunct w:val="0"/>
              <w:bidi w:val="0"/>
              <w:snapToGrid/>
              <w:spacing w:line="288" w:lineRule="auto"/>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四害项目</w:t>
            </w:r>
          </w:p>
        </w:tc>
        <w:tc>
          <w:tcPr>
            <w:tcW w:w="2295" w:type="dxa"/>
            <w:noWrap w:val="0"/>
            <w:vAlign w:val="center"/>
          </w:tcPr>
          <w:p w14:paraId="11D0BE56">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服务区域</w:t>
            </w:r>
          </w:p>
        </w:tc>
        <w:tc>
          <w:tcPr>
            <w:tcW w:w="2865" w:type="dxa"/>
            <w:noWrap w:val="0"/>
            <w:vAlign w:val="center"/>
          </w:tcPr>
          <w:p w14:paraId="2C43FC1D">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药物品种</w:t>
            </w:r>
          </w:p>
        </w:tc>
        <w:tc>
          <w:tcPr>
            <w:tcW w:w="2226" w:type="dxa"/>
            <w:noWrap w:val="0"/>
            <w:vAlign w:val="center"/>
          </w:tcPr>
          <w:p w14:paraId="7ACDE4BC">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用药频率</w:t>
            </w:r>
          </w:p>
        </w:tc>
      </w:tr>
      <w:tr w14:paraId="114E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noWrap w:val="0"/>
            <w:vAlign w:val="center"/>
          </w:tcPr>
          <w:p w14:paraId="09044B6C">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灭鼠</w:t>
            </w:r>
          </w:p>
        </w:tc>
        <w:tc>
          <w:tcPr>
            <w:tcW w:w="2295" w:type="dxa"/>
            <w:noWrap w:val="0"/>
            <w:vAlign w:val="center"/>
          </w:tcPr>
          <w:p w14:paraId="051C97E5">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毒饵屋</w:t>
            </w:r>
          </w:p>
        </w:tc>
        <w:tc>
          <w:tcPr>
            <w:tcW w:w="2865" w:type="dxa"/>
            <w:noWrap w:val="0"/>
            <w:vAlign w:val="center"/>
          </w:tcPr>
          <w:p w14:paraId="0F9615DC">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溴敌隆、溴鼠灵</w:t>
            </w:r>
          </w:p>
        </w:tc>
        <w:tc>
          <w:tcPr>
            <w:tcW w:w="2226" w:type="dxa"/>
            <w:noWrap w:val="0"/>
            <w:vAlign w:val="center"/>
          </w:tcPr>
          <w:p w14:paraId="3D9D2CA1">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春秋季灭鼠期间每周巡查</w:t>
            </w:r>
          </w:p>
        </w:tc>
      </w:tr>
      <w:tr w14:paraId="5B7A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281" w:type="dxa"/>
            <w:noWrap w:val="0"/>
            <w:vAlign w:val="center"/>
          </w:tcPr>
          <w:p w14:paraId="70F668BE">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灭鼠</w:t>
            </w:r>
          </w:p>
        </w:tc>
        <w:tc>
          <w:tcPr>
            <w:tcW w:w="2295" w:type="dxa"/>
            <w:noWrap w:val="0"/>
            <w:vAlign w:val="center"/>
          </w:tcPr>
          <w:p w14:paraId="51CB8A33">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室外窨井、宿舍楼内</w:t>
            </w:r>
          </w:p>
        </w:tc>
        <w:tc>
          <w:tcPr>
            <w:tcW w:w="2865" w:type="dxa"/>
            <w:noWrap w:val="0"/>
            <w:vAlign w:val="center"/>
          </w:tcPr>
          <w:p w14:paraId="4DAD5C34">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大隆蜡块</w:t>
            </w:r>
          </w:p>
        </w:tc>
        <w:tc>
          <w:tcPr>
            <w:tcW w:w="2226" w:type="dxa"/>
            <w:noWrap w:val="0"/>
            <w:vAlign w:val="center"/>
          </w:tcPr>
          <w:p w14:paraId="3B947C4D">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春秋季灭鼠期间长期悬挂</w:t>
            </w:r>
          </w:p>
          <w:p w14:paraId="115B04C5">
            <w:pPr>
              <w:pStyle w:val="53"/>
              <w:keepNext w:val="0"/>
              <w:keepLines w:val="0"/>
              <w:pageBreakBefore w:val="0"/>
              <w:widowControl w:val="0"/>
              <w:kinsoku/>
              <w:wordWrap/>
              <w:overflowPunct/>
              <w:topLinePunct w:val="0"/>
              <w:bidi w:val="0"/>
              <w:snapToGrid/>
              <w:spacing w:line="288" w:lineRule="auto"/>
              <w:ind w:firstLine="420" w:firstLineChars="175"/>
              <w:jc w:val="center"/>
              <w:textAlignment w:val="auto"/>
              <w:rPr>
                <w:color w:val="auto"/>
                <w:szCs w:val="24"/>
                <w:shd w:val="clear" w:color="auto" w:fill="FFFFFF"/>
                <w:lang w:bidi="ar"/>
              </w:rPr>
            </w:pPr>
            <w:r>
              <w:rPr>
                <w:rFonts w:hint="eastAsia"/>
                <w:color w:val="auto"/>
                <w:szCs w:val="24"/>
                <w:shd w:val="clear" w:color="auto" w:fill="FFFFFF"/>
                <w:lang w:bidi="ar"/>
              </w:rPr>
              <w:t>（宿舍楼内半年不得低于4次）</w:t>
            </w:r>
          </w:p>
        </w:tc>
      </w:tr>
      <w:tr w14:paraId="63FB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noWrap w:val="0"/>
            <w:vAlign w:val="center"/>
          </w:tcPr>
          <w:p w14:paraId="7EF97FB3">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灭蚊</w:t>
            </w:r>
          </w:p>
        </w:tc>
        <w:tc>
          <w:tcPr>
            <w:tcW w:w="2295" w:type="dxa"/>
            <w:noWrap w:val="0"/>
            <w:vAlign w:val="center"/>
          </w:tcPr>
          <w:p w14:paraId="0ED14259">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外环境</w:t>
            </w:r>
          </w:p>
        </w:tc>
        <w:tc>
          <w:tcPr>
            <w:tcW w:w="2865" w:type="dxa"/>
            <w:noWrap w:val="0"/>
            <w:vAlign w:val="center"/>
          </w:tcPr>
          <w:p w14:paraId="7087132D">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高效氯氰菊酯、氯菊烯丙菊</w:t>
            </w:r>
          </w:p>
        </w:tc>
        <w:tc>
          <w:tcPr>
            <w:tcW w:w="2226" w:type="dxa"/>
            <w:noWrap w:val="0"/>
            <w:vAlign w:val="center"/>
          </w:tcPr>
          <w:p w14:paraId="6F8790D2">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低峰期每月2次，高峰期每周1次</w:t>
            </w:r>
          </w:p>
        </w:tc>
      </w:tr>
      <w:tr w14:paraId="44B2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noWrap w:val="0"/>
            <w:vAlign w:val="center"/>
          </w:tcPr>
          <w:p w14:paraId="393E3C45">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灭蚊</w:t>
            </w:r>
          </w:p>
        </w:tc>
        <w:tc>
          <w:tcPr>
            <w:tcW w:w="2295" w:type="dxa"/>
            <w:noWrap w:val="0"/>
            <w:vAlign w:val="center"/>
          </w:tcPr>
          <w:p w14:paraId="0CE12632">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窨井、水沟、孳生地</w:t>
            </w:r>
          </w:p>
        </w:tc>
        <w:tc>
          <w:tcPr>
            <w:tcW w:w="2865" w:type="dxa"/>
            <w:noWrap w:val="0"/>
            <w:vAlign w:val="center"/>
          </w:tcPr>
          <w:p w14:paraId="1F7C1F81">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倍硫磷缓释剂</w:t>
            </w:r>
          </w:p>
        </w:tc>
        <w:tc>
          <w:tcPr>
            <w:tcW w:w="2226" w:type="dxa"/>
            <w:noWrap w:val="0"/>
            <w:vAlign w:val="center"/>
          </w:tcPr>
          <w:p w14:paraId="23C5B21F">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每月2次</w:t>
            </w:r>
          </w:p>
        </w:tc>
      </w:tr>
      <w:tr w14:paraId="13A0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noWrap w:val="0"/>
            <w:vAlign w:val="center"/>
          </w:tcPr>
          <w:p w14:paraId="3B3A9632">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灭蝇</w:t>
            </w:r>
          </w:p>
        </w:tc>
        <w:tc>
          <w:tcPr>
            <w:tcW w:w="2295" w:type="dxa"/>
            <w:noWrap w:val="0"/>
            <w:vAlign w:val="center"/>
          </w:tcPr>
          <w:p w14:paraId="27586ADD">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室外环境</w:t>
            </w:r>
          </w:p>
        </w:tc>
        <w:tc>
          <w:tcPr>
            <w:tcW w:w="2865" w:type="dxa"/>
            <w:noWrap w:val="0"/>
            <w:vAlign w:val="center"/>
          </w:tcPr>
          <w:p w14:paraId="6C68DBA9">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高效氯氰菊酯、氯菊烯丙菊</w:t>
            </w:r>
          </w:p>
        </w:tc>
        <w:tc>
          <w:tcPr>
            <w:tcW w:w="2226" w:type="dxa"/>
            <w:noWrap w:val="0"/>
            <w:vAlign w:val="center"/>
          </w:tcPr>
          <w:p w14:paraId="385FE008">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低峰期每月2次，高峰期每周1次</w:t>
            </w:r>
          </w:p>
        </w:tc>
      </w:tr>
      <w:tr w14:paraId="34A4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281" w:type="dxa"/>
            <w:noWrap w:val="0"/>
            <w:vAlign w:val="center"/>
          </w:tcPr>
          <w:p w14:paraId="432F34AF">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灭蟑</w:t>
            </w:r>
          </w:p>
        </w:tc>
        <w:tc>
          <w:tcPr>
            <w:tcW w:w="2295" w:type="dxa"/>
            <w:noWrap w:val="0"/>
            <w:vAlign w:val="center"/>
          </w:tcPr>
          <w:p w14:paraId="5C946BAC">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室内环境（架空层、宿舍楼）</w:t>
            </w:r>
          </w:p>
        </w:tc>
        <w:tc>
          <w:tcPr>
            <w:tcW w:w="2865" w:type="dxa"/>
            <w:noWrap w:val="0"/>
            <w:vAlign w:val="center"/>
          </w:tcPr>
          <w:p w14:paraId="1BBB1EB9">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氟虫腈、呋虫胺、吡虫啉</w:t>
            </w:r>
          </w:p>
        </w:tc>
        <w:tc>
          <w:tcPr>
            <w:tcW w:w="2226" w:type="dxa"/>
            <w:noWrap w:val="0"/>
            <w:vAlign w:val="center"/>
          </w:tcPr>
          <w:p w14:paraId="4A5EDBB4">
            <w:pPr>
              <w:keepNext w:val="0"/>
              <w:keepLines w:val="0"/>
              <w:pageBreakBefore w:val="0"/>
              <w:widowControl w:val="0"/>
              <w:kinsoku/>
              <w:wordWrap/>
              <w:overflowPunct/>
              <w:topLinePunct w:val="0"/>
              <w:bidi w:val="0"/>
              <w:snapToGrid/>
              <w:spacing w:line="288" w:lineRule="auto"/>
              <w:ind w:firstLine="420" w:firstLineChars="175"/>
              <w:jc w:val="center"/>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lang w:bidi="ar"/>
              </w:rPr>
              <w:t>低峰期每月2次，高峰期每周1次</w:t>
            </w:r>
            <w:r>
              <w:rPr>
                <w:rFonts w:hint="eastAsia"/>
                <w:color w:val="auto"/>
                <w:sz w:val="24"/>
                <w:shd w:val="clear" w:color="auto" w:fill="FFFFFF"/>
                <w:lang w:bidi="ar"/>
              </w:rPr>
              <w:t>（宿舍楼内半年不得低于4次）</w:t>
            </w:r>
          </w:p>
        </w:tc>
      </w:tr>
    </w:tbl>
    <w:p w14:paraId="6300C1A5">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lang w:bidi="ar"/>
        </w:rPr>
      </w:pPr>
      <w:r>
        <w:rPr>
          <w:rFonts w:hint="eastAsia" w:ascii="宋体" w:hAnsi="宋体" w:cs="宋体"/>
          <w:color w:val="auto"/>
          <w:sz w:val="24"/>
          <w:shd w:val="clear" w:color="auto" w:fill="FFFFFF"/>
        </w:rPr>
        <w:t>10．</w:t>
      </w:r>
      <w:r>
        <w:rPr>
          <w:rFonts w:hint="eastAsia" w:ascii="宋体" w:hAnsi="宋体" w:cs="宋体"/>
          <w:color w:val="auto"/>
          <w:sz w:val="24"/>
          <w:shd w:val="clear" w:color="auto" w:fill="FFFFFF"/>
          <w:lang w:bidi="ar"/>
        </w:rPr>
        <w:t>供方服务应及时到位，保证服务质量。突发情况24小时内到位解决，突发情况产生的正常消杀费用，由供方自行承担。</w:t>
      </w:r>
    </w:p>
    <w:p w14:paraId="78E18733">
      <w:pPr>
        <w:keepNext w:val="0"/>
        <w:keepLines w:val="0"/>
        <w:pageBreakBefore w:val="0"/>
        <w:widowControl w:val="0"/>
        <w:kinsoku/>
        <w:wordWrap/>
        <w:overflowPunct/>
        <w:topLinePunct w:val="0"/>
        <w:bidi w:val="0"/>
        <w:snapToGrid/>
        <w:spacing w:line="288" w:lineRule="auto"/>
        <w:ind w:firstLine="420" w:firstLineChars="175"/>
        <w:jc w:val="left"/>
        <w:textAlignment w:val="auto"/>
        <w:rPr>
          <w:rFonts w:ascii="宋体" w:hAnsi="宋体" w:cs="宋体"/>
          <w:color w:val="auto"/>
          <w:sz w:val="24"/>
          <w:shd w:val="clear" w:color="auto" w:fill="FFFFFF"/>
        </w:rPr>
      </w:pPr>
      <w:r>
        <w:rPr>
          <w:rFonts w:hint="eastAsia" w:ascii="宋体" w:hAnsi="宋体" w:cs="宋体"/>
          <w:color w:val="auto"/>
          <w:sz w:val="24"/>
          <w:shd w:val="clear" w:color="auto" w:fill="FFFFFF"/>
        </w:rPr>
        <w:t>11．供方须在进场作业前提供服务承诺书、各校区详细作业表、负责人的姓名及联系方式。</w:t>
      </w:r>
    </w:p>
    <w:p w14:paraId="6BD5FBD0">
      <w:pPr>
        <w:keepNext w:val="0"/>
        <w:keepLines w:val="0"/>
        <w:pageBreakBefore w:val="0"/>
        <w:widowControl w:val="0"/>
        <w:kinsoku/>
        <w:wordWrap/>
        <w:overflowPunct/>
        <w:topLinePunct w:val="0"/>
        <w:bidi w:val="0"/>
        <w:snapToGrid/>
        <w:spacing w:line="288" w:lineRule="auto"/>
        <w:ind w:firstLine="420" w:firstLineChars="175"/>
        <w:textAlignment w:val="auto"/>
        <w:rPr>
          <w:rFonts w:ascii="宋体" w:hAnsi="宋体" w:cs="宋体"/>
          <w:color w:val="auto"/>
          <w:sz w:val="24"/>
          <w:shd w:val="clear" w:color="auto" w:fill="FFFFFF"/>
        </w:rPr>
      </w:pPr>
      <w:r>
        <w:rPr>
          <w:rFonts w:hint="eastAsia" w:ascii="宋体" w:hAnsi="宋体" w:cs="宋体"/>
          <w:color w:val="auto"/>
          <w:sz w:val="24"/>
          <w:shd w:val="clear" w:color="auto" w:fill="FFFFFF"/>
        </w:rPr>
        <w:t xml:space="preserve">12. </w:t>
      </w:r>
      <w:r>
        <w:rPr>
          <w:rFonts w:hint="eastAsia" w:ascii="宋体" w:hAnsi="宋体" w:cs="宋体"/>
          <w:color w:val="auto"/>
          <w:sz w:val="24"/>
          <w:shd w:val="clear" w:color="auto" w:fill="FFFFFF"/>
          <w:lang w:bidi="ar"/>
        </w:rPr>
        <w:t>服务期内，按需方要求对项目实施情况由供方进行监测。室外环境</w:t>
      </w:r>
      <w:r>
        <w:rPr>
          <w:rFonts w:hint="eastAsia" w:ascii="宋体" w:hAnsi="宋体" w:cs="宋体"/>
          <w:color w:val="auto"/>
          <w:sz w:val="24"/>
          <w:shd w:val="clear" w:color="auto" w:fill="FFFFFF"/>
        </w:rPr>
        <w:t>高峰期每月消杀4次，低峰期每月消杀2次。（4-11月为高峰期，1月、2月、3月、12月为低峰期）各校区全年各校区正常消杀服务不得低于45次。室内环境（宿舍楼）</w:t>
      </w:r>
      <w:r>
        <w:rPr>
          <w:rFonts w:hint="eastAsia" w:ascii="宋体" w:hAnsi="宋体" w:cs="宋体"/>
          <w:color w:val="auto"/>
          <w:sz w:val="24"/>
          <w:shd w:val="clear" w:color="auto" w:fill="FFFFFF"/>
          <w:lang w:bidi="ar"/>
        </w:rPr>
        <w:t>每月消杀1次；各校区宿舍楼半年正常消杀服务不得低于4次。</w:t>
      </w:r>
      <w:r>
        <w:rPr>
          <w:rFonts w:hint="eastAsia" w:ascii="宋体" w:hAnsi="宋体" w:cs="宋体"/>
          <w:color w:val="auto"/>
          <w:sz w:val="24"/>
          <w:shd w:val="clear" w:color="auto" w:fill="FFFFFF"/>
        </w:rPr>
        <w:t>如遇需方有检查、重大活动及宿舍楼内零星出现情况等须无偿提供消杀服务。</w:t>
      </w:r>
    </w:p>
    <w:p w14:paraId="6F2B6FCF">
      <w:pPr>
        <w:keepNext w:val="0"/>
        <w:keepLines w:val="0"/>
        <w:pageBreakBefore w:val="0"/>
        <w:widowControl w:val="0"/>
        <w:kinsoku/>
        <w:wordWrap/>
        <w:overflowPunct/>
        <w:topLinePunct w:val="0"/>
        <w:bidi w:val="0"/>
        <w:snapToGrid/>
        <w:spacing w:line="288" w:lineRule="auto"/>
        <w:ind w:firstLine="420" w:firstLineChars="175"/>
        <w:textAlignment w:val="auto"/>
        <w:rPr>
          <w:rFonts w:ascii="宋体" w:hAnsi="宋体" w:cs="宋体"/>
          <w:color w:val="auto"/>
          <w:sz w:val="24"/>
          <w:shd w:val="clear" w:color="auto" w:fill="FFFFFF"/>
        </w:rPr>
      </w:pPr>
      <w:r>
        <w:rPr>
          <w:rFonts w:hint="eastAsia" w:ascii="宋体" w:hAnsi="宋体" w:cs="宋体"/>
          <w:color w:val="auto"/>
          <w:sz w:val="24"/>
          <w:shd w:val="clear" w:color="auto" w:fill="FFFFFF"/>
        </w:rPr>
        <w:t>13. 在施（投）药期间如出现人员误服现象，具体抢救流程及措施供方应书面告知需方。</w:t>
      </w:r>
    </w:p>
    <w:p w14:paraId="71BACF19">
      <w:pPr>
        <w:keepNext w:val="0"/>
        <w:keepLines w:val="0"/>
        <w:pageBreakBefore w:val="0"/>
        <w:widowControl w:val="0"/>
        <w:kinsoku/>
        <w:wordWrap/>
        <w:overflowPunct/>
        <w:topLinePunct w:val="0"/>
        <w:bidi w:val="0"/>
        <w:snapToGrid/>
        <w:spacing w:line="288" w:lineRule="auto"/>
        <w:ind w:firstLine="420" w:firstLineChars="175"/>
        <w:textAlignment w:val="auto"/>
        <w:rPr>
          <w:rFonts w:hint="eastAsia" w:ascii="宋体" w:hAnsi="宋体" w:cs="宋体"/>
          <w:color w:val="auto"/>
          <w:sz w:val="24"/>
          <w:szCs w:val="22"/>
          <w:shd w:val="clear" w:color="auto" w:fill="FFFFFF"/>
        </w:rPr>
      </w:pPr>
      <w:r>
        <w:rPr>
          <w:rFonts w:hint="eastAsia" w:ascii="宋体" w:hAnsi="宋体" w:cs="宋体"/>
          <w:color w:val="auto"/>
          <w:sz w:val="24"/>
          <w:szCs w:val="22"/>
          <w:shd w:val="clear" w:color="auto" w:fill="FFFFFF"/>
        </w:rPr>
        <w:t>14. 合同期内如需方提出整改而供方拒不履行或供方服务不到位的或有重大活动没来现场（或未及时到现场的），需方有权根据事件的轻重缓急，作出相应处罚；处罚金额500—1000元直接在服务费中扣除。</w:t>
      </w:r>
    </w:p>
    <w:p w14:paraId="402DF179">
      <w:pPr>
        <w:pStyle w:val="6"/>
        <w:ind w:left="0" w:firstLine="0"/>
        <w:outlineLvl w:val="1"/>
        <w:rPr>
          <w:color w:val="auto"/>
        </w:rPr>
      </w:pPr>
      <w:bookmarkStart w:id="399" w:name="_Toc16081_WPSOffice_Level2"/>
      <w:bookmarkStart w:id="400" w:name="_Toc27242"/>
      <w:r>
        <w:rPr>
          <w:rFonts w:hint="eastAsia"/>
          <w:color w:val="auto"/>
        </w:rPr>
        <w:t>二、商务要求</w:t>
      </w:r>
      <w:bookmarkEnd w:id="399"/>
      <w:bookmarkEnd w:id="400"/>
    </w:p>
    <w:p w14:paraId="2A2F507D">
      <w:pPr>
        <w:keepNext w:val="0"/>
        <w:keepLines w:val="0"/>
        <w:pageBreakBefore w:val="0"/>
        <w:widowControl w:val="0"/>
        <w:kinsoku/>
        <w:wordWrap/>
        <w:overflowPunct/>
        <w:topLinePunct w:val="0"/>
        <w:bidi w:val="0"/>
        <w:snapToGrid/>
        <w:spacing w:line="288" w:lineRule="auto"/>
        <w:ind w:firstLine="420" w:firstLineChars="175"/>
        <w:textAlignment w:val="auto"/>
        <w:rPr>
          <w:rFonts w:hint="eastAsia"/>
          <w:color w:val="auto"/>
          <w:sz w:val="24"/>
        </w:rPr>
      </w:pPr>
      <w:r>
        <w:rPr>
          <w:rFonts w:hint="eastAsia"/>
          <w:color w:val="auto"/>
          <w:sz w:val="24"/>
        </w:rPr>
        <w:t>甲方：采购人，乙方：成交供应商</w:t>
      </w:r>
    </w:p>
    <w:p w14:paraId="30C2D664">
      <w:pPr>
        <w:keepNext w:val="0"/>
        <w:keepLines w:val="0"/>
        <w:pageBreakBefore w:val="0"/>
        <w:widowControl w:val="0"/>
        <w:kinsoku/>
        <w:wordWrap/>
        <w:overflowPunct/>
        <w:topLinePunct w:val="0"/>
        <w:bidi w:val="0"/>
        <w:snapToGrid/>
        <w:spacing w:line="288" w:lineRule="auto"/>
        <w:ind w:firstLine="422" w:firstLineChars="175"/>
        <w:textAlignment w:val="auto"/>
        <w:rPr>
          <w:rFonts w:hint="eastAsia"/>
          <w:color w:val="auto"/>
          <w:sz w:val="24"/>
        </w:rPr>
      </w:pPr>
      <w:r>
        <w:rPr>
          <w:rFonts w:hint="eastAsia"/>
          <w:b/>
          <w:bCs/>
          <w:color w:val="auto"/>
          <w:sz w:val="24"/>
        </w:rPr>
        <w:t>1、</w:t>
      </w:r>
      <w:r>
        <w:rPr>
          <w:rFonts w:hint="eastAsia" w:ascii="宋体" w:hAnsi="宋体" w:eastAsia="宋体" w:cs="宋体"/>
          <w:b/>
          <w:bCs/>
          <w:color w:val="auto"/>
          <w:sz w:val="24"/>
        </w:rPr>
        <w:t>▲</w:t>
      </w:r>
      <w:r>
        <w:rPr>
          <w:rFonts w:hint="eastAsia" w:hAnsi="宋体" w:cs="宋体"/>
          <w:b/>
          <w:bCs/>
          <w:color w:val="auto"/>
          <w:sz w:val="24"/>
        </w:rPr>
        <w:t>服务期限</w:t>
      </w:r>
      <w:r>
        <w:rPr>
          <w:rFonts w:hint="eastAsia" w:hAnsi="宋体" w:cs="宋体"/>
          <w:color w:val="auto"/>
          <w:sz w:val="24"/>
        </w:rPr>
        <w:t>：</w:t>
      </w:r>
      <w:r>
        <w:rPr>
          <w:rFonts w:hint="eastAsia" w:hAnsi="宋体" w:cs="宋体"/>
          <w:color w:val="auto"/>
          <w:sz w:val="24"/>
          <w:u w:val="single"/>
        </w:rPr>
        <w:t xml:space="preserve"> </w:t>
      </w:r>
      <w:r>
        <w:rPr>
          <w:rFonts w:hint="eastAsia" w:hAnsi="宋体" w:cs="宋体"/>
          <w:color w:val="auto"/>
          <w:sz w:val="24"/>
          <w:u w:val="single"/>
          <w:lang w:val="en-US" w:eastAsia="zh-CN"/>
        </w:rPr>
        <w:t>叁</w:t>
      </w:r>
      <w:r>
        <w:rPr>
          <w:rFonts w:hint="eastAsia" w:hAnsi="宋体" w:cs="宋体"/>
          <w:color w:val="auto"/>
          <w:sz w:val="24"/>
          <w:u w:val="single"/>
        </w:rPr>
        <w:t xml:space="preserve"> </w:t>
      </w:r>
      <w:r>
        <w:rPr>
          <w:rFonts w:hint="eastAsia" w:hAnsi="宋体" w:cs="宋体"/>
          <w:color w:val="auto"/>
          <w:sz w:val="24"/>
        </w:rPr>
        <w:t>年，从</w:t>
      </w:r>
      <w:r>
        <w:rPr>
          <w:rFonts w:hint="eastAsia" w:hAnsi="宋体" w:cs="宋体"/>
          <w:color w:val="auto"/>
          <w:sz w:val="24"/>
          <w:u w:val="single"/>
        </w:rPr>
        <w:t xml:space="preserve">  </w:t>
      </w:r>
      <w:r>
        <w:rPr>
          <w:rFonts w:hint="eastAsia" w:hAnsi="宋体" w:cs="宋体"/>
          <w:color w:val="auto"/>
          <w:sz w:val="24"/>
          <w:u w:val="single"/>
          <w:lang w:val="en-US" w:eastAsia="zh-CN"/>
        </w:rPr>
        <w:t>2026</w:t>
      </w:r>
      <w:r>
        <w:rPr>
          <w:rFonts w:hint="eastAsia" w:hAnsi="宋体" w:cs="宋体"/>
          <w:color w:val="auto"/>
          <w:sz w:val="24"/>
          <w:u w:val="single"/>
        </w:rPr>
        <w:t xml:space="preserve">  </w:t>
      </w:r>
      <w:r>
        <w:rPr>
          <w:rFonts w:hint="eastAsia" w:hAnsi="宋体" w:cs="宋体"/>
          <w:color w:val="auto"/>
          <w:sz w:val="24"/>
        </w:rPr>
        <w:t>年</w:t>
      </w:r>
      <w:r>
        <w:rPr>
          <w:rFonts w:hint="eastAsia" w:hAnsi="宋体" w:cs="宋体"/>
          <w:color w:val="auto"/>
          <w:sz w:val="24"/>
          <w:u w:val="single"/>
        </w:rPr>
        <w:t xml:space="preserve"> </w:t>
      </w:r>
      <w:r>
        <w:rPr>
          <w:rFonts w:hint="eastAsia" w:hAnsi="宋体" w:cs="宋体"/>
          <w:color w:val="auto"/>
          <w:sz w:val="24"/>
          <w:u w:val="single"/>
          <w:lang w:val="en-US" w:eastAsia="zh-CN"/>
        </w:rPr>
        <w:t>11</w:t>
      </w:r>
      <w:r>
        <w:rPr>
          <w:rFonts w:hint="eastAsia" w:hAnsi="宋体" w:cs="宋体"/>
          <w:color w:val="auto"/>
          <w:sz w:val="24"/>
          <w:u w:val="single"/>
        </w:rPr>
        <w:t xml:space="preserve"> </w:t>
      </w:r>
      <w:r>
        <w:rPr>
          <w:rFonts w:hint="eastAsia" w:hAnsi="宋体" w:cs="宋体"/>
          <w:color w:val="auto"/>
          <w:sz w:val="24"/>
        </w:rPr>
        <w:t>月</w:t>
      </w:r>
      <w:r>
        <w:rPr>
          <w:rFonts w:hint="eastAsia" w:hAnsi="宋体" w:cs="宋体"/>
          <w:color w:val="auto"/>
          <w:sz w:val="24"/>
          <w:u w:val="single"/>
        </w:rPr>
        <w:t xml:space="preserve"> </w:t>
      </w:r>
      <w:r>
        <w:rPr>
          <w:rFonts w:hint="eastAsia" w:hAnsi="宋体" w:cs="宋体"/>
          <w:color w:val="auto"/>
          <w:sz w:val="24"/>
          <w:u w:val="single"/>
          <w:lang w:val="en-US" w:eastAsia="zh-CN"/>
        </w:rPr>
        <w:t>25</w:t>
      </w:r>
      <w:r>
        <w:rPr>
          <w:rFonts w:hint="eastAsia" w:hAnsi="宋体" w:cs="宋体"/>
          <w:color w:val="auto"/>
          <w:sz w:val="24"/>
          <w:u w:val="single"/>
        </w:rPr>
        <w:t xml:space="preserve"> </w:t>
      </w:r>
      <w:r>
        <w:rPr>
          <w:rFonts w:hint="eastAsia" w:hAnsi="宋体" w:cs="宋体"/>
          <w:color w:val="auto"/>
          <w:sz w:val="24"/>
        </w:rPr>
        <w:t>日至</w:t>
      </w:r>
      <w:r>
        <w:rPr>
          <w:rFonts w:hint="eastAsia" w:hAnsi="宋体" w:cs="宋体"/>
          <w:color w:val="auto"/>
          <w:sz w:val="24"/>
          <w:u w:val="single"/>
        </w:rPr>
        <w:t xml:space="preserve"> </w:t>
      </w:r>
      <w:r>
        <w:rPr>
          <w:rFonts w:hint="eastAsia" w:hAnsi="宋体" w:cs="宋体"/>
          <w:color w:val="auto"/>
          <w:sz w:val="24"/>
          <w:u w:val="single"/>
          <w:lang w:val="en-US" w:eastAsia="zh-CN"/>
        </w:rPr>
        <w:t>2029</w:t>
      </w:r>
      <w:r>
        <w:rPr>
          <w:rFonts w:hint="eastAsia" w:hAnsi="宋体" w:cs="宋体"/>
          <w:color w:val="auto"/>
          <w:sz w:val="24"/>
          <w:u w:val="single"/>
        </w:rPr>
        <w:t xml:space="preserve">  </w:t>
      </w:r>
      <w:r>
        <w:rPr>
          <w:rFonts w:hint="eastAsia" w:hAnsi="宋体" w:cs="宋体"/>
          <w:color w:val="auto"/>
          <w:sz w:val="24"/>
        </w:rPr>
        <w:t>年</w:t>
      </w:r>
      <w:r>
        <w:rPr>
          <w:rFonts w:hint="eastAsia" w:hAnsi="宋体" w:cs="宋体"/>
          <w:color w:val="auto"/>
          <w:sz w:val="24"/>
          <w:u w:val="single"/>
        </w:rPr>
        <w:t xml:space="preserve"> </w:t>
      </w:r>
      <w:r>
        <w:rPr>
          <w:rFonts w:hint="eastAsia" w:hAnsi="宋体" w:cs="宋体"/>
          <w:color w:val="auto"/>
          <w:sz w:val="24"/>
          <w:u w:val="single"/>
          <w:lang w:val="en-US" w:eastAsia="zh-CN"/>
        </w:rPr>
        <w:t>11</w:t>
      </w:r>
      <w:r>
        <w:rPr>
          <w:rFonts w:hint="eastAsia" w:hAnsi="宋体" w:cs="宋体"/>
          <w:color w:val="auto"/>
          <w:sz w:val="24"/>
        </w:rPr>
        <w:t>月</w:t>
      </w:r>
      <w:r>
        <w:rPr>
          <w:rFonts w:hint="eastAsia" w:hAnsi="宋体" w:cs="宋体"/>
          <w:color w:val="auto"/>
          <w:sz w:val="24"/>
          <w:u w:val="single"/>
        </w:rPr>
        <w:t xml:space="preserve"> </w:t>
      </w:r>
      <w:r>
        <w:rPr>
          <w:rFonts w:hint="eastAsia" w:hAnsi="宋体" w:cs="宋体"/>
          <w:color w:val="auto"/>
          <w:sz w:val="24"/>
          <w:u w:val="single"/>
          <w:lang w:val="en-US" w:eastAsia="zh-CN"/>
        </w:rPr>
        <w:t>24</w:t>
      </w:r>
      <w:r>
        <w:rPr>
          <w:rFonts w:hint="eastAsia" w:hAnsi="宋体" w:cs="宋体"/>
          <w:color w:val="auto"/>
          <w:sz w:val="24"/>
          <w:u w:val="single"/>
        </w:rPr>
        <w:t xml:space="preserve"> </w:t>
      </w:r>
      <w:r>
        <w:rPr>
          <w:rFonts w:hint="eastAsia" w:hAnsi="宋体" w:cs="宋体"/>
          <w:color w:val="auto"/>
          <w:sz w:val="24"/>
        </w:rPr>
        <w:t>日。</w:t>
      </w:r>
    </w:p>
    <w:p w14:paraId="207AE8C0">
      <w:pPr>
        <w:keepNext w:val="0"/>
        <w:keepLines w:val="0"/>
        <w:pageBreakBefore w:val="0"/>
        <w:widowControl w:val="0"/>
        <w:kinsoku/>
        <w:wordWrap/>
        <w:overflowPunct/>
        <w:topLinePunct w:val="0"/>
        <w:bidi w:val="0"/>
        <w:snapToGrid/>
        <w:spacing w:line="288" w:lineRule="auto"/>
        <w:ind w:firstLine="422" w:firstLineChars="175"/>
        <w:textAlignment w:val="auto"/>
        <w:rPr>
          <w:rFonts w:hint="eastAsia" w:eastAsia="宋体"/>
          <w:color w:val="auto"/>
          <w:sz w:val="24"/>
          <w:u w:val="single"/>
          <w:lang w:eastAsia="zh-CN"/>
        </w:rPr>
      </w:pPr>
      <w:r>
        <w:rPr>
          <w:rFonts w:hint="eastAsia"/>
          <w:b/>
          <w:bCs/>
          <w:color w:val="auto"/>
          <w:sz w:val="24"/>
        </w:rPr>
        <w:t>2、</w:t>
      </w:r>
      <w:r>
        <w:rPr>
          <w:rFonts w:hint="eastAsia" w:ascii="宋体" w:hAnsi="宋体" w:eastAsia="宋体" w:cs="宋体"/>
          <w:b/>
          <w:bCs/>
          <w:color w:val="auto"/>
          <w:sz w:val="24"/>
        </w:rPr>
        <w:t>▲</w:t>
      </w:r>
      <w:r>
        <w:rPr>
          <w:rFonts w:hint="eastAsia"/>
          <w:b/>
          <w:bCs/>
          <w:color w:val="auto"/>
          <w:sz w:val="24"/>
        </w:rPr>
        <w:t>服务地点</w:t>
      </w:r>
      <w:r>
        <w:rPr>
          <w:rFonts w:hint="eastAsia"/>
          <w:color w:val="auto"/>
          <w:sz w:val="24"/>
        </w:rPr>
        <w:t>：</w:t>
      </w:r>
      <w:bookmarkStart w:id="401" w:name="_Hlk169254344"/>
      <w:r>
        <w:rPr>
          <w:rFonts w:hint="eastAsia"/>
          <w:color w:val="auto"/>
          <w:sz w:val="24"/>
          <w:u w:val="none"/>
        </w:rPr>
        <w:t>杭州电子科技大学</w:t>
      </w:r>
      <w:r>
        <w:rPr>
          <w:rFonts w:hint="eastAsia"/>
          <w:color w:val="auto"/>
          <w:sz w:val="24"/>
          <w:u w:val="single"/>
        </w:rPr>
        <w:t xml:space="preserve">  </w:t>
      </w:r>
      <w:r>
        <w:rPr>
          <w:rFonts w:hint="eastAsia"/>
          <w:bCs/>
          <w:color w:val="auto"/>
          <w:sz w:val="24"/>
          <w:u w:val="single"/>
          <w:shd w:val="clear" w:color="auto" w:fill="FFFFFF"/>
        </w:rPr>
        <w:t>下沙校区（含生活区）、文一校区、东岳校区、东校区及G区（研究生公寓）的室外环境，下沙校区（含生活区）、东校区及G区的室内环境（宿舍楼</w:t>
      </w:r>
      <w:r>
        <w:rPr>
          <w:rFonts w:hint="eastAsia"/>
          <w:bCs/>
          <w:color w:val="auto"/>
          <w:sz w:val="24"/>
          <w:u w:val="single"/>
          <w:shd w:val="clear" w:color="auto" w:fill="FFFFFF"/>
          <w:lang w:eastAsia="zh-CN"/>
        </w:rPr>
        <w:t>）的</w:t>
      </w:r>
      <w:r>
        <w:rPr>
          <w:rFonts w:hint="eastAsia"/>
          <w:bCs/>
          <w:color w:val="auto"/>
          <w:sz w:val="24"/>
          <w:u w:val="single"/>
          <w:shd w:val="clear" w:color="auto" w:fill="FFFFFF"/>
          <w:lang w:val="en-US" w:eastAsia="zh-CN"/>
        </w:rPr>
        <w:t>四害消杀服务。</w:t>
      </w:r>
      <w:r>
        <w:rPr>
          <w:rFonts w:hint="eastAsia"/>
          <w:color w:val="auto"/>
          <w:sz w:val="24"/>
          <w:u w:val="none"/>
        </w:rPr>
        <w:t>校区甲方指定地点</w:t>
      </w:r>
      <w:bookmarkEnd w:id="401"/>
      <w:r>
        <w:rPr>
          <w:rFonts w:hint="eastAsia"/>
          <w:color w:val="auto"/>
          <w:sz w:val="24"/>
          <w:u w:val="none"/>
          <w:lang w:eastAsia="zh-CN"/>
        </w:rPr>
        <w:t>。</w:t>
      </w:r>
    </w:p>
    <w:p w14:paraId="2DAFD313">
      <w:pPr>
        <w:keepNext w:val="0"/>
        <w:keepLines w:val="0"/>
        <w:pageBreakBefore w:val="0"/>
        <w:widowControl w:val="0"/>
        <w:kinsoku/>
        <w:wordWrap/>
        <w:overflowPunct/>
        <w:topLinePunct w:val="0"/>
        <w:autoSpaceDE/>
        <w:autoSpaceDN/>
        <w:bidi w:val="0"/>
        <w:adjustRightInd/>
        <w:snapToGrid/>
        <w:spacing w:line="288" w:lineRule="auto"/>
        <w:ind w:left="0" w:leftChars="0" w:firstLine="422" w:firstLineChars="175"/>
        <w:textAlignment w:val="auto"/>
        <w:rPr>
          <w:rFonts w:hint="eastAsia"/>
          <w:color w:val="auto"/>
          <w:sz w:val="24"/>
          <w:szCs w:val="24"/>
        </w:rPr>
      </w:pPr>
      <w:r>
        <w:rPr>
          <w:rFonts w:hint="eastAsia"/>
          <w:b/>
          <w:bCs/>
          <w:color w:val="auto"/>
          <w:sz w:val="24"/>
        </w:rPr>
        <w:t>3、</w:t>
      </w:r>
      <w:r>
        <w:rPr>
          <w:rFonts w:hint="eastAsia" w:ascii="宋体" w:hAnsi="宋体" w:eastAsia="宋体" w:cs="宋体"/>
          <w:b/>
          <w:bCs/>
          <w:color w:val="auto"/>
          <w:sz w:val="24"/>
        </w:rPr>
        <w:t>▲</w:t>
      </w:r>
      <w:r>
        <w:rPr>
          <w:rFonts w:hint="eastAsia"/>
          <w:b/>
          <w:bCs/>
          <w:color w:val="auto"/>
          <w:sz w:val="24"/>
        </w:rPr>
        <w:t>付款方式</w:t>
      </w:r>
      <w:r>
        <w:rPr>
          <w:rFonts w:hint="eastAsia"/>
          <w:color w:val="auto"/>
          <w:sz w:val="24"/>
        </w:rPr>
        <w:t>：</w:t>
      </w:r>
      <w:r>
        <w:rPr>
          <w:rFonts w:hint="eastAsia"/>
          <w:color w:val="auto"/>
          <w:sz w:val="24"/>
          <w:szCs w:val="24"/>
        </w:rPr>
        <w:t>按以下</w:t>
      </w:r>
      <w:r>
        <w:rPr>
          <w:rFonts w:hint="eastAsia"/>
          <w:color w:val="auto"/>
          <w:sz w:val="24"/>
          <w:szCs w:val="24"/>
          <w:u w:val="single"/>
        </w:rPr>
        <w:t xml:space="preserve"> </w:t>
      </w:r>
      <w:r>
        <w:rPr>
          <w:rFonts w:hint="eastAsia"/>
          <w:color w:val="auto"/>
          <w:sz w:val="24"/>
          <w:szCs w:val="24"/>
          <w:u w:val="single"/>
          <w:lang w:val="en-US" w:eastAsia="zh-CN"/>
        </w:rPr>
        <w:t>分期支付</w:t>
      </w:r>
      <w:r>
        <w:rPr>
          <w:rFonts w:hint="eastAsia"/>
          <w:color w:val="auto"/>
          <w:sz w:val="24"/>
          <w:szCs w:val="24"/>
          <w:u w:val="single"/>
        </w:rPr>
        <w:t xml:space="preserve">   </w:t>
      </w:r>
      <w:r>
        <w:rPr>
          <w:rFonts w:hint="eastAsia"/>
          <w:color w:val="auto"/>
          <w:sz w:val="24"/>
          <w:szCs w:val="24"/>
        </w:rPr>
        <w:t>方式支付乙方合同价款。</w:t>
      </w:r>
    </w:p>
    <w:p w14:paraId="35143AE3">
      <w:pPr>
        <w:keepNext w:val="0"/>
        <w:keepLines w:val="0"/>
        <w:pageBreakBefore w:val="0"/>
        <w:widowControl w:val="0"/>
        <w:kinsoku/>
        <w:wordWrap/>
        <w:overflowPunct/>
        <w:topLinePunct w:val="0"/>
        <w:bidi w:val="0"/>
        <w:snapToGrid/>
        <w:spacing w:line="288" w:lineRule="auto"/>
        <w:ind w:left="420" w:leftChars="200" w:firstLine="420" w:firstLineChars="175"/>
        <w:textAlignment w:val="auto"/>
        <w:rPr>
          <w:color w:val="auto"/>
          <w:sz w:val="24"/>
          <w:shd w:val="clear" w:color="auto" w:fill="FFFFFF"/>
        </w:rPr>
      </w:pPr>
      <w:r>
        <w:rPr>
          <w:rFonts w:hint="eastAsia"/>
          <w:color w:val="auto"/>
          <w:sz w:val="24"/>
          <w:shd w:val="clear" w:color="auto" w:fill="FFFFFF"/>
        </w:rPr>
        <w:t>①甲方应于本合同生效</w:t>
      </w:r>
      <w:r>
        <w:rPr>
          <w:rFonts w:hint="eastAsia"/>
          <w:color w:val="auto"/>
          <w:sz w:val="24"/>
          <w:shd w:val="clear" w:color="auto" w:fill="FFFFFF"/>
          <w:lang w:val="en-US" w:eastAsia="zh-CN"/>
        </w:rPr>
        <w:t>半年验收后</w:t>
      </w:r>
      <w:r>
        <w:rPr>
          <w:rFonts w:hint="eastAsia"/>
          <w:color w:val="auto"/>
          <w:sz w:val="24"/>
          <w:shd w:val="clear" w:color="auto" w:fill="FFFFFF"/>
        </w:rPr>
        <w:t>并收到发票后</w:t>
      </w:r>
      <w:r>
        <w:rPr>
          <w:rFonts w:hint="eastAsia"/>
          <w:color w:val="auto"/>
          <w:sz w:val="24"/>
          <w:u w:val="single"/>
          <w:shd w:val="clear" w:color="auto" w:fill="FFFFFF"/>
        </w:rPr>
        <w:t xml:space="preserve"> 15 </w:t>
      </w:r>
      <w:r>
        <w:rPr>
          <w:rFonts w:hint="eastAsia"/>
          <w:color w:val="auto"/>
          <w:sz w:val="24"/>
          <w:shd w:val="clear" w:color="auto" w:fill="FFFFFF"/>
        </w:rPr>
        <w:t>个工作日内第一年向乙方支付合同总价的</w:t>
      </w:r>
      <w:r>
        <w:rPr>
          <w:rFonts w:hint="eastAsia"/>
          <w:color w:val="auto"/>
          <w:sz w:val="24"/>
          <w:u w:val="single"/>
          <w:shd w:val="clear" w:color="auto" w:fill="FFFFFF"/>
        </w:rPr>
        <w:t xml:space="preserve">  六分之一  </w:t>
      </w:r>
      <w:r>
        <w:rPr>
          <w:rFonts w:hint="eastAsia"/>
          <w:color w:val="auto"/>
          <w:sz w:val="24"/>
          <w:u w:val="single"/>
          <w:shd w:val="clear" w:color="auto" w:fill="FFFFFF"/>
          <w:lang w:val="en-US" w:eastAsia="zh-CN"/>
        </w:rPr>
        <w:t>合同</w:t>
      </w:r>
      <w:r>
        <w:rPr>
          <w:rFonts w:hint="eastAsia"/>
          <w:color w:val="auto"/>
          <w:sz w:val="24"/>
          <w:shd w:val="clear" w:color="auto" w:fill="FFFFFF"/>
        </w:rPr>
        <w:t>款；</w:t>
      </w:r>
    </w:p>
    <w:p w14:paraId="292FBC63">
      <w:pPr>
        <w:keepNext w:val="0"/>
        <w:keepLines w:val="0"/>
        <w:pageBreakBefore w:val="0"/>
        <w:widowControl w:val="0"/>
        <w:kinsoku/>
        <w:wordWrap/>
        <w:overflowPunct/>
        <w:topLinePunct w:val="0"/>
        <w:bidi w:val="0"/>
        <w:snapToGrid/>
        <w:spacing w:line="288" w:lineRule="auto"/>
        <w:ind w:left="420" w:leftChars="200" w:firstLine="420" w:firstLineChars="175"/>
        <w:textAlignment w:val="auto"/>
        <w:rPr>
          <w:color w:val="auto"/>
          <w:sz w:val="24"/>
          <w:shd w:val="clear" w:color="auto" w:fill="FFFFFF"/>
        </w:rPr>
      </w:pPr>
      <w:r>
        <w:rPr>
          <w:rFonts w:hint="eastAsia"/>
          <w:color w:val="auto"/>
          <w:sz w:val="24"/>
          <w:shd w:val="clear" w:color="auto" w:fill="FFFFFF"/>
        </w:rPr>
        <w:t>②第一年服务完成验收合格后</w:t>
      </w:r>
      <w:r>
        <w:rPr>
          <w:rFonts w:hint="eastAsia"/>
          <w:color w:val="auto"/>
          <w:sz w:val="24"/>
          <w:shd w:val="clear" w:color="auto" w:fill="FFFFFF"/>
          <w:lang w:val="en-US" w:eastAsia="zh-CN"/>
        </w:rPr>
        <w:t>并</w:t>
      </w:r>
      <w:r>
        <w:rPr>
          <w:rFonts w:hint="eastAsia"/>
          <w:color w:val="auto"/>
          <w:sz w:val="24"/>
          <w:shd w:val="clear" w:color="auto" w:fill="FFFFFF"/>
        </w:rPr>
        <w:t>收到发票后</w:t>
      </w:r>
      <w:r>
        <w:rPr>
          <w:rFonts w:hint="eastAsia"/>
          <w:color w:val="auto"/>
          <w:sz w:val="24"/>
          <w:u w:val="single"/>
          <w:shd w:val="clear" w:color="auto" w:fill="FFFFFF"/>
        </w:rPr>
        <w:t xml:space="preserve"> 15 </w:t>
      </w:r>
      <w:r>
        <w:rPr>
          <w:rFonts w:hint="eastAsia"/>
          <w:color w:val="auto"/>
          <w:sz w:val="24"/>
          <w:shd w:val="clear" w:color="auto" w:fill="FFFFFF"/>
        </w:rPr>
        <w:t>个工作日内，甲方向乙方支付合同总价的</w:t>
      </w:r>
      <w:r>
        <w:rPr>
          <w:rFonts w:hint="eastAsia"/>
          <w:color w:val="auto"/>
          <w:sz w:val="24"/>
          <w:u w:val="single"/>
          <w:shd w:val="clear" w:color="auto" w:fill="FFFFFF"/>
        </w:rPr>
        <w:t xml:space="preserve">  六分之一   </w:t>
      </w:r>
      <w:r>
        <w:rPr>
          <w:rFonts w:hint="eastAsia"/>
          <w:color w:val="auto"/>
          <w:sz w:val="24"/>
          <w:u w:val="single"/>
          <w:shd w:val="clear" w:color="auto" w:fill="FFFFFF"/>
          <w:lang w:val="en-US" w:eastAsia="zh-CN"/>
        </w:rPr>
        <w:t>合同款</w:t>
      </w:r>
      <w:r>
        <w:rPr>
          <w:rFonts w:hint="eastAsia"/>
          <w:color w:val="auto"/>
          <w:sz w:val="24"/>
          <w:shd w:val="clear" w:color="auto" w:fill="FFFFFF"/>
        </w:rPr>
        <w:t>。</w:t>
      </w:r>
    </w:p>
    <w:p w14:paraId="51CCCD38">
      <w:pPr>
        <w:keepNext w:val="0"/>
        <w:keepLines w:val="0"/>
        <w:pageBreakBefore w:val="0"/>
        <w:widowControl w:val="0"/>
        <w:kinsoku/>
        <w:wordWrap/>
        <w:overflowPunct/>
        <w:topLinePunct w:val="0"/>
        <w:bidi w:val="0"/>
        <w:snapToGrid/>
        <w:spacing w:line="288" w:lineRule="auto"/>
        <w:ind w:left="420" w:leftChars="200" w:firstLine="420" w:firstLineChars="175"/>
        <w:textAlignment w:val="auto"/>
        <w:rPr>
          <w:rFonts w:hint="eastAsia"/>
          <w:color w:val="auto"/>
          <w:sz w:val="24"/>
          <w:szCs w:val="22"/>
          <w:shd w:val="clear" w:color="auto" w:fill="FFFFFF"/>
        </w:rPr>
      </w:pPr>
      <w:r>
        <w:rPr>
          <w:rFonts w:hint="eastAsia"/>
          <w:color w:val="auto"/>
          <w:sz w:val="24"/>
          <w:szCs w:val="22"/>
          <w:shd w:val="clear" w:color="auto" w:fill="FFFFFF"/>
        </w:rPr>
        <w:t>③第二年、第三年付款方式同上。</w:t>
      </w:r>
    </w:p>
    <w:p w14:paraId="1DDDFA65">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175"/>
        <w:textAlignment w:val="auto"/>
        <w:rPr>
          <w:rFonts w:hint="eastAsia" w:eastAsia="宋体"/>
          <w:b/>
          <w:bCs/>
          <w:color w:val="auto"/>
          <w:sz w:val="24"/>
          <w:szCs w:val="22"/>
          <w:lang w:eastAsia="zh-CN"/>
        </w:rPr>
      </w:pPr>
      <w:r>
        <w:rPr>
          <w:rFonts w:hint="eastAsia"/>
          <w:b/>
          <w:bCs/>
          <w:color w:val="auto"/>
          <w:sz w:val="24"/>
          <w:szCs w:val="22"/>
          <w:lang w:val="en-US" w:eastAsia="zh-CN"/>
        </w:rPr>
        <w:t>4、</w:t>
      </w:r>
      <w:r>
        <w:rPr>
          <w:rFonts w:hint="eastAsia"/>
          <w:b/>
          <w:bCs/>
          <w:color w:val="auto"/>
          <w:sz w:val="24"/>
          <w:szCs w:val="22"/>
        </w:rPr>
        <w:t>评分标准及</w:t>
      </w:r>
      <w:r>
        <w:rPr>
          <w:rFonts w:hint="eastAsia"/>
          <w:b/>
          <w:bCs/>
          <w:color w:val="auto"/>
          <w:sz w:val="24"/>
          <w:szCs w:val="22"/>
          <w:lang w:val="en-US" w:eastAsia="zh-CN"/>
        </w:rPr>
        <w:t>合同基本条款</w:t>
      </w:r>
      <w:r>
        <w:rPr>
          <w:rFonts w:hint="eastAsia"/>
          <w:b/>
          <w:bCs/>
          <w:color w:val="auto"/>
          <w:sz w:val="24"/>
          <w:szCs w:val="22"/>
        </w:rPr>
        <w:t>中明确的其它相关要求</w:t>
      </w:r>
      <w:r>
        <w:rPr>
          <w:rFonts w:hint="eastAsia"/>
          <w:b/>
          <w:bCs/>
          <w:color w:val="auto"/>
          <w:sz w:val="24"/>
          <w:szCs w:val="22"/>
          <w:lang w:eastAsia="zh-CN"/>
        </w:rPr>
        <w:t>。</w:t>
      </w:r>
    </w:p>
    <w:p w14:paraId="32DE75D5">
      <w:pPr>
        <w:spacing w:line="288" w:lineRule="auto"/>
        <w:jc w:val="left"/>
        <w:rPr>
          <w:rStyle w:val="55"/>
          <w:color w:val="auto"/>
        </w:rPr>
      </w:pPr>
      <w:r>
        <w:rPr>
          <w:rFonts w:hint="eastAsia" w:ascii="宋体" w:hAnsi="宋体" w:cs="宋体"/>
          <w:color w:val="auto"/>
          <w:sz w:val="24"/>
          <w:szCs w:val="24"/>
        </w:rPr>
        <w:br w:type="page"/>
      </w:r>
    </w:p>
    <w:bookmarkEnd w:id="390"/>
    <w:bookmarkEnd w:id="391"/>
    <w:bookmarkEnd w:id="392"/>
    <w:bookmarkEnd w:id="393"/>
    <w:bookmarkEnd w:id="394"/>
    <w:bookmarkEnd w:id="395"/>
    <w:bookmarkEnd w:id="396"/>
    <w:bookmarkEnd w:id="397"/>
    <w:bookmarkEnd w:id="398"/>
    <w:p w14:paraId="5DF332C2">
      <w:pPr>
        <w:pStyle w:val="4"/>
        <w:bidi w:val="0"/>
        <w:outlineLvl w:val="0"/>
        <w:rPr>
          <w:rFonts w:hint="eastAsia"/>
          <w:color w:val="auto"/>
          <w:szCs w:val="22"/>
        </w:rPr>
      </w:pPr>
      <w:bookmarkStart w:id="402" w:name="_Toc28261_WPSOffice_Level1"/>
      <w:bookmarkStart w:id="403" w:name="_Toc14252"/>
      <w:bookmarkStart w:id="404" w:name="_Toc22109_WPSOffice_Level1"/>
      <w:bookmarkStart w:id="405" w:name="_Toc1851"/>
      <w:bookmarkStart w:id="406" w:name="_Toc11774"/>
      <w:bookmarkStart w:id="407" w:name="_Toc3709"/>
      <w:bookmarkStart w:id="408" w:name="_Toc16392"/>
      <w:bookmarkStart w:id="409" w:name="_Toc17732"/>
      <w:bookmarkStart w:id="410" w:name="_Toc26662"/>
      <w:bookmarkStart w:id="411" w:name="_Toc98"/>
      <w:bookmarkStart w:id="412" w:name="_Toc28691"/>
      <w:bookmarkStart w:id="413" w:name="_Toc9292"/>
      <w:bookmarkStart w:id="414" w:name="_Toc18980"/>
      <w:bookmarkStart w:id="415" w:name="_Toc11902"/>
      <w:bookmarkStart w:id="416" w:name="_Toc3339"/>
      <w:bookmarkStart w:id="417" w:name="_Toc8403"/>
      <w:bookmarkStart w:id="418" w:name="_Toc19657"/>
      <w:bookmarkStart w:id="419" w:name="_Toc19846"/>
      <w:bookmarkStart w:id="420" w:name="_Toc18295"/>
      <w:bookmarkStart w:id="421" w:name="_Toc13623"/>
      <w:bookmarkStart w:id="422" w:name="_Toc25130"/>
      <w:bookmarkStart w:id="423" w:name="_Toc12327"/>
      <w:r>
        <w:rPr>
          <w:rFonts w:hint="eastAsia"/>
          <w:color w:val="auto"/>
          <w:szCs w:val="22"/>
        </w:rPr>
        <w:t>第四部分 评审办法与评分标准</w:t>
      </w:r>
      <w:bookmarkEnd w:id="402"/>
      <w:bookmarkEnd w:id="403"/>
      <w:bookmarkEnd w:id="404"/>
    </w:p>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14:paraId="072476B3">
      <w:pPr>
        <w:pStyle w:val="6"/>
        <w:ind w:left="0" w:firstLine="0"/>
        <w:outlineLvl w:val="1"/>
        <w:rPr>
          <w:color w:val="auto"/>
        </w:rPr>
      </w:pPr>
      <w:bookmarkStart w:id="424" w:name="_Toc19028_WPSOffice_Level2"/>
      <w:bookmarkStart w:id="425" w:name="_Toc29126"/>
      <w:r>
        <w:rPr>
          <w:rFonts w:hint="eastAsia"/>
          <w:color w:val="auto"/>
        </w:rPr>
        <w:t>一、评审方法</w:t>
      </w:r>
      <w:bookmarkEnd w:id="424"/>
      <w:bookmarkEnd w:id="425"/>
    </w:p>
    <w:p w14:paraId="069D7D17">
      <w:pPr>
        <w:adjustRightInd w:val="0"/>
        <w:snapToGrid w:val="0"/>
        <w:spacing w:line="288" w:lineRule="auto"/>
        <w:ind w:firstLine="480" w:firstLineChars="200"/>
        <w:rPr>
          <w:color w:val="auto"/>
          <w:sz w:val="24"/>
          <w:szCs w:val="24"/>
        </w:rPr>
      </w:pPr>
      <w:r>
        <w:rPr>
          <w:rFonts w:hint="eastAsia"/>
          <w:color w:val="auto"/>
          <w:sz w:val="24"/>
          <w:szCs w:val="24"/>
        </w:rPr>
        <w:t>本次评审采用综合评分法，总分为100分。评分过程中采用四舍五入法，并保留小数2位。</w:t>
      </w:r>
    </w:p>
    <w:p w14:paraId="7C525F97">
      <w:pPr>
        <w:adjustRightInd w:val="0"/>
        <w:snapToGrid w:val="0"/>
        <w:spacing w:line="288" w:lineRule="auto"/>
        <w:ind w:firstLine="480" w:firstLineChars="200"/>
        <w:rPr>
          <w:color w:val="auto"/>
          <w:sz w:val="24"/>
          <w:szCs w:val="24"/>
        </w:rPr>
      </w:pPr>
      <w:r>
        <w:rPr>
          <w:rFonts w:hint="eastAsia"/>
          <w:color w:val="auto"/>
          <w:sz w:val="24"/>
          <w:szCs w:val="24"/>
        </w:rPr>
        <w:t>供应商评审综合得分=商务分+技术分+价格分</w:t>
      </w:r>
    </w:p>
    <w:p w14:paraId="1EE2F55F">
      <w:pPr>
        <w:adjustRightInd w:val="0"/>
        <w:snapToGrid w:val="0"/>
        <w:spacing w:line="288" w:lineRule="auto"/>
        <w:ind w:firstLine="480" w:firstLineChars="200"/>
        <w:rPr>
          <w:color w:val="auto"/>
          <w:sz w:val="24"/>
          <w:szCs w:val="24"/>
        </w:rPr>
      </w:pPr>
      <w:r>
        <w:rPr>
          <w:rFonts w:hint="eastAsia"/>
          <w:color w:val="auto"/>
          <w:sz w:val="24"/>
          <w:szCs w:val="24"/>
        </w:rPr>
        <w:t>商务分、技术分按照磋商小组成员的独立评分结果的算术平均分计算，计算公式为：商务分、技术分=（磋商小组所有成员评分合计数）/（磋商小组组成人员数）。项目评审过程中，不得去掉最后报价中的最高报价和最低报价。</w:t>
      </w:r>
    </w:p>
    <w:p w14:paraId="1BAA6731">
      <w:pPr>
        <w:pStyle w:val="6"/>
        <w:ind w:left="0" w:firstLine="0"/>
        <w:outlineLvl w:val="1"/>
        <w:rPr>
          <w:bCs/>
          <w:color w:val="auto"/>
          <w:sz w:val="24"/>
          <w:szCs w:val="24"/>
        </w:rPr>
      </w:pPr>
      <w:bookmarkStart w:id="426" w:name="_Toc19981"/>
      <w:bookmarkStart w:id="427" w:name="_Toc9225_WPSOffice_Level2"/>
      <w:r>
        <w:rPr>
          <w:rFonts w:hint="eastAsia"/>
          <w:bCs/>
          <w:color w:val="auto"/>
          <w:sz w:val="24"/>
          <w:szCs w:val="24"/>
        </w:rPr>
        <w:t>二、评审标准</w:t>
      </w:r>
      <w:bookmarkEnd w:id="426"/>
      <w:bookmarkEnd w:id="427"/>
    </w:p>
    <w:tbl>
      <w:tblPr>
        <w:tblStyle w:val="46"/>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1"/>
        <w:gridCol w:w="810"/>
        <w:gridCol w:w="6905"/>
      </w:tblGrid>
      <w:tr w14:paraId="5407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noWrap w:val="0"/>
            <w:vAlign w:val="center"/>
          </w:tcPr>
          <w:p w14:paraId="3DA5A40B">
            <w:pPr>
              <w:adjustRightInd w:val="0"/>
              <w:snapToGrid w:val="0"/>
              <w:spacing w:line="288" w:lineRule="auto"/>
              <w:jc w:val="center"/>
              <w:rPr>
                <w:b/>
                <w:bCs/>
                <w:color w:val="auto"/>
                <w:sz w:val="24"/>
                <w:szCs w:val="24"/>
              </w:rPr>
            </w:pPr>
            <w:r>
              <w:rPr>
                <w:rFonts w:hint="eastAsia"/>
                <w:b/>
                <w:bCs/>
                <w:color w:val="auto"/>
                <w:sz w:val="24"/>
                <w:szCs w:val="24"/>
              </w:rPr>
              <w:t>评审因素</w:t>
            </w:r>
          </w:p>
        </w:tc>
        <w:tc>
          <w:tcPr>
            <w:tcW w:w="810" w:type="dxa"/>
            <w:noWrap w:val="0"/>
            <w:vAlign w:val="center"/>
          </w:tcPr>
          <w:p w14:paraId="65449187">
            <w:pPr>
              <w:adjustRightInd w:val="0"/>
              <w:snapToGrid w:val="0"/>
              <w:spacing w:line="288" w:lineRule="auto"/>
              <w:jc w:val="center"/>
              <w:rPr>
                <w:b/>
                <w:bCs/>
                <w:color w:val="auto"/>
                <w:sz w:val="24"/>
                <w:szCs w:val="24"/>
              </w:rPr>
            </w:pPr>
            <w:r>
              <w:rPr>
                <w:rFonts w:hint="eastAsia"/>
                <w:b/>
                <w:bCs/>
                <w:color w:val="auto"/>
                <w:sz w:val="24"/>
                <w:szCs w:val="24"/>
              </w:rPr>
              <w:t>分值</w:t>
            </w:r>
          </w:p>
        </w:tc>
        <w:tc>
          <w:tcPr>
            <w:tcW w:w="6905" w:type="dxa"/>
            <w:noWrap w:val="0"/>
            <w:vAlign w:val="center"/>
          </w:tcPr>
          <w:p w14:paraId="773E5545">
            <w:pPr>
              <w:adjustRightInd w:val="0"/>
              <w:snapToGrid w:val="0"/>
              <w:spacing w:line="288" w:lineRule="auto"/>
              <w:jc w:val="center"/>
              <w:rPr>
                <w:b/>
                <w:bCs/>
                <w:color w:val="auto"/>
                <w:sz w:val="24"/>
                <w:szCs w:val="24"/>
              </w:rPr>
            </w:pPr>
            <w:r>
              <w:rPr>
                <w:rFonts w:hint="eastAsia"/>
                <w:b/>
                <w:bCs/>
                <w:color w:val="auto"/>
                <w:sz w:val="24"/>
                <w:szCs w:val="24"/>
              </w:rPr>
              <w:t>评分细则</w:t>
            </w:r>
          </w:p>
        </w:tc>
      </w:tr>
      <w:tr w14:paraId="1906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356" w:type="dxa"/>
            <w:gridSpan w:val="3"/>
            <w:noWrap w:val="0"/>
            <w:vAlign w:val="center"/>
          </w:tcPr>
          <w:p w14:paraId="401564B0">
            <w:pPr>
              <w:adjustRightInd w:val="0"/>
              <w:snapToGrid w:val="0"/>
              <w:spacing w:line="288" w:lineRule="auto"/>
              <w:rPr>
                <w:color w:val="auto"/>
                <w:sz w:val="24"/>
                <w:szCs w:val="24"/>
              </w:rPr>
            </w:pPr>
            <w:r>
              <w:rPr>
                <w:rFonts w:hint="eastAsia"/>
                <w:b/>
                <w:bCs/>
                <w:color w:val="auto"/>
                <w:sz w:val="24"/>
                <w:szCs w:val="24"/>
              </w:rPr>
              <w:t>价格分（</w:t>
            </w:r>
            <w:r>
              <w:rPr>
                <w:rFonts w:hint="eastAsia"/>
                <w:b/>
                <w:bCs/>
                <w:color w:val="auto"/>
                <w:sz w:val="24"/>
                <w:szCs w:val="24"/>
                <w:lang w:val="en-US" w:eastAsia="zh-CN"/>
              </w:rPr>
              <w:t>30分</w:t>
            </w:r>
            <w:r>
              <w:rPr>
                <w:rFonts w:hint="eastAsia"/>
                <w:b/>
                <w:bCs/>
                <w:color w:val="auto"/>
                <w:sz w:val="24"/>
                <w:szCs w:val="24"/>
              </w:rPr>
              <w:t>）</w:t>
            </w:r>
          </w:p>
        </w:tc>
      </w:tr>
      <w:tr w14:paraId="47F6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noWrap w:val="0"/>
            <w:vAlign w:val="center"/>
          </w:tcPr>
          <w:p w14:paraId="3232A31C">
            <w:pPr>
              <w:adjustRightInd w:val="0"/>
              <w:snapToGrid w:val="0"/>
              <w:spacing w:line="288" w:lineRule="auto"/>
              <w:jc w:val="center"/>
              <w:rPr>
                <w:b/>
                <w:bCs/>
                <w:color w:val="auto"/>
                <w:sz w:val="24"/>
                <w:szCs w:val="24"/>
              </w:rPr>
            </w:pPr>
            <w:r>
              <w:rPr>
                <w:rFonts w:hint="eastAsia"/>
                <w:b/>
                <w:bCs/>
                <w:color w:val="auto"/>
                <w:sz w:val="24"/>
                <w:szCs w:val="24"/>
              </w:rPr>
              <w:t>最后磋商报价</w:t>
            </w:r>
          </w:p>
        </w:tc>
        <w:tc>
          <w:tcPr>
            <w:tcW w:w="810" w:type="dxa"/>
            <w:noWrap w:val="0"/>
            <w:vAlign w:val="center"/>
          </w:tcPr>
          <w:p w14:paraId="4DAF1EB9">
            <w:pPr>
              <w:adjustRightInd w:val="0"/>
              <w:snapToGrid w:val="0"/>
              <w:spacing w:line="288" w:lineRule="auto"/>
              <w:jc w:val="center"/>
              <w:rPr>
                <w:rFonts w:hint="default" w:eastAsia="宋体"/>
                <w:b/>
                <w:bCs/>
                <w:color w:val="auto"/>
                <w:sz w:val="24"/>
                <w:szCs w:val="24"/>
                <w:lang w:val="en-US" w:eastAsia="zh-CN"/>
              </w:rPr>
            </w:pPr>
            <w:r>
              <w:rPr>
                <w:rFonts w:hint="eastAsia"/>
                <w:b/>
                <w:bCs/>
                <w:color w:val="auto"/>
                <w:sz w:val="24"/>
                <w:szCs w:val="24"/>
                <w:lang w:val="en-US" w:eastAsia="zh-CN"/>
              </w:rPr>
              <w:t>30</w:t>
            </w:r>
          </w:p>
        </w:tc>
        <w:tc>
          <w:tcPr>
            <w:tcW w:w="6905" w:type="dxa"/>
            <w:noWrap w:val="0"/>
            <w:vAlign w:val="center"/>
          </w:tcPr>
          <w:p w14:paraId="166E2A0B">
            <w:pPr>
              <w:adjustRightInd w:val="0"/>
              <w:snapToGrid w:val="0"/>
              <w:spacing w:line="288" w:lineRule="auto"/>
              <w:ind w:firstLine="480" w:firstLineChars="200"/>
              <w:rPr>
                <w:color w:val="auto"/>
                <w:sz w:val="24"/>
                <w:szCs w:val="24"/>
              </w:rPr>
            </w:pPr>
            <w:r>
              <w:rPr>
                <w:rFonts w:hint="eastAsia"/>
                <w:color w:val="auto"/>
                <w:sz w:val="24"/>
                <w:szCs w:val="24"/>
              </w:rPr>
              <w:t>价格分统一采用低价优先法计算，即满足磋商文件要求且最后报价最低的供应商的价格为磋商基准价，其价格分为满分。其他供应商的价格分统一按照下列公式计算：</w:t>
            </w:r>
          </w:p>
          <w:p w14:paraId="7395C854">
            <w:pPr>
              <w:adjustRightInd w:val="0"/>
              <w:snapToGrid w:val="0"/>
              <w:spacing w:line="288" w:lineRule="auto"/>
              <w:rPr>
                <w:color w:val="auto"/>
              </w:rPr>
            </w:pPr>
            <w:r>
              <w:rPr>
                <w:rFonts w:hint="eastAsia"/>
                <w:color w:val="auto"/>
                <w:sz w:val="24"/>
                <w:szCs w:val="24"/>
              </w:rPr>
              <w:t>磋商报价得分</w:t>
            </w:r>
            <w:r>
              <w:rPr>
                <w:color w:val="auto"/>
                <w:sz w:val="24"/>
                <w:szCs w:val="24"/>
              </w:rPr>
              <w:t>=（磋商基准价/最后磋商报价）×</w:t>
            </w:r>
            <w:r>
              <w:rPr>
                <w:rFonts w:hint="eastAsia"/>
                <w:color w:val="auto"/>
                <w:sz w:val="24"/>
                <w:u w:val="single"/>
              </w:rPr>
              <w:t xml:space="preserve"> </w:t>
            </w:r>
            <w:r>
              <w:rPr>
                <w:rFonts w:hint="eastAsia"/>
                <w:color w:val="auto"/>
                <w:sz w:val="24"/>
                <w:u w:val="single"/>
                <w:lang w:val="en-US" w:eastAsia="zh-CN"/>
              </w:rPr>
              <w:t>30</w:t>
            </w:r>
            <w:r>
              <w:rPr>
                <w:rFonts w:hint="eastAsia"/>
                <w:color w:val="auto"/>
                <w:sz w:val="24"/>
                <w:u w:val="single"/>
              </w:rPr>
              <w:t xml:space="preserve"> </w:t>
            </w:r>
            <w:r>
              <w:rPr>
                <w:rFonts w:hint="eastAsia"/>
                <w:color w:val="auto"/>
                <w:sz w:val="24"/>
              </w:rPr>
              <w:t>%</w:t>
            </w:r>
            <w:r>
              <w:rPr>
                <w:color w:val="auto"/>
                <w:sz w:val="24"/>
                <w:szCs w:val="24"/>
              </w:rPr>
              <w:t>×100</w:t>
            </w:r>
            <w:r>
              <w:rPr>
                <w:rFonts w:hint="eastAsia"/>
                <w:color w:val="auto"/>
                <w:sz w:val="24"/>
                <w:szCs w:val="24"/>
              </w:rPr>
              <w:t>。</w:t>
            </w:r>
          </w:p>
        </w:tc>
      </w:tr>
      <w:tr w14:paraId="51D0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356" w:type="dxa"/>
            <w:gridSpan w:val="3"/>
            <w:noWrap w:val="0"/>
            <w:vAlign w:val="center"/>
          </w:tcPr>
          <w:p w14:paraId="7EDDFBF9">
            <w:pPr>
              <w:adjustRightInd w:val="0"/>
              <w:snapToGrid w:val="0"/>
              <w:spacing w:line="288" w:lineRule="auto"/>
              <w:rPr>
                <w:color w:val="auto"/>
                <w:sz w:val="24"/>
                <w:szCs w:val="24"/>
              </w:rPr>
            </w:pPr>
            <w:r>
              <w:rPr>
                <w:rFonts w:hint="eastAsia"/>
                <w:b/>
                <w:bCs/>
                <w:color w:val="auto"/>
                <w:sz w:val="24"/>
                <w:szCs w:val="24"/>
              </w:rPr>
              <w:t>商务分（</w:t>
            </w:r>
            <w:r>
              <w:rPr>
                <w:rFonts w:hint="eastAsia"/>
                <w:b/>
                <w:bCs/>
                <w:color w:val="auto"/>
                <w:sz w:val="24"/>
                <w:szCs w:val="24"/>
                <w:lang w:val="en-US" w:eastAsia="zh-CN"/>
              </w:rPr>
              <w:t>9分</w:t>
            </w:r>
            <w:r>
              <w:rPr>
                <w:rFonts w:hint="eastAsia"/>
                <w:b/>
                <w:bCs/>
                <w:color w:val="auto"/>
                <w:sz w:val="24"/>
                <w:szCs w:val="24"/>
              </w:rPr>
              <w:t>）</w:t>
            </w:r>
          </w:p>
        </w:tc>
      </w:tr>
      <w:tr w14:paraId="7157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noWrap w:val="0"/>
            <w:vAlign w:val="center"/>
          </w:tcPr>
          <w:p w14:paraId="32490BBF">
            <w:pPr>
              <w:adjustRightInd w:val="0"/>
              <w:snapToGrid w:val="0"/>
              <w:spacing w:line="288" w:lineRule="auto"/>
              <w:jc w:val="center"/>
              <w:rPr>
                <w:b/>
                <w:bCs/>
                <w:color w:val="auto"/>
                <w:sz w:val="24"/>
                <w:szCs w:val="24"/>
              </w:rPr>
            </w:pPr>
            <w:r>
              <w:rPr>
                <w:rFonts w:hint="eastAsia"/>
                <w:b/>
                <w:bCs/>
                <w:color w:val="auto"/>
                <w:sz w:val="24"/>
                <w:szCs w:val="24"/>
              </w:rPr>
              <w:t>业绩</w:t>
            </w:r>
          </w:p>
        </w:tc>
        <w:tc>
          <w:tcPr>
            <w:tcW w:w="810" w:type="dxa"/>
            <w:noWrap w:val="0"/>
            <w:vAlign w:val="center"/>
          </w:tcPr>
          <w:p w14:paraId="255A7CB5">
            <w:pPr>
              <w:adjustRightInd w:val="0"/>
              <w:snapToGrid w:val="0"/>
              <w:spacing w:line="288" w:lineRule="auto"/>
              <w:jc w:val="center"/>
              <w:rPr>
                <w:b/>
                <w:bCs/>
                <w:color w:val="auto"/>
                <w:sz w:val="24"/>
                <w:szCs w:val="24"/>
              </w:rPr>
            </w:pPr>
            <w:r>
              <w:rPr>
                <w:rFonts w:hint="eastAsia"/>
                <w:b/>
                <w:bCs/>
                <w:color w:val="auto"/>
                <w:sz w:val="24"/>
                <w:szCs w:val="24"/>
                <w:lang w:val="en-US" w:eastAsia="zh-CN"/>
              </w:rPr>
              <w:t>3</w:t>
            </w:r>
          </w:p>
        </w:tc>
        <w:tc>
          <w:tcPr>
            <w:tcW w:w="6905" w:type="dxa"/>
            <w:noWrap w:val="0"/>
            <w:vAlign w:val="center"/>
          </w:tcPr>
          <w:p w14:paraId="38B3A3D3">
            <w:pPr>
              <w:adjustRightInd w:val="0"/>
              <w:snapToGrid w:val="0"/>
              <w:spacing w:line="288" w:lineRule="auto"/>
              <w:ind w:left="0" w:leftChars="0" w:firstLine="420" w:firstLineChars="175"/>
              <w:rPr>
                <w:rFonts w:hint="eastAsia" w:eastAsia="宋体"/>
                <w:color w:val="auto"/>
                <w:sz w:val="24"/>
                <w:szCs w:val="24"/>
                <w:lang w:eastAsia="zh-CN"/>
              </w:rPr>
            </w:pPr>
            <w:r>
              <w:rPr>
                <w:rFonts w:hint="eastAsia"/>
                <w:color w:val="auto"/>
                <w:sz w:val="24"/>
                <w:szCs w:val="24"/>
              </w:rPr>
              <w:t>供应商自</w:t>
            </w:r>
            <w:r>
              <w:rPr>
                <w:rFonts w:hint="eastAsia"/>
                <w:color w:val="auto"/>
                <w:sz w:val="24"/>
                <w:szCs w:val="24"/>
                <w:lang w:val="en-US" w:eastAsia="zh-CN"/>
              </w:rPr>
              <w:t>2022</w:t>
            </w:r>
            <w:r>
              <w:rPr>
                <w:rFonts w:hint="eastAsia"/>
                <w:color w:val="auto"/>
                <w:sz w:val="24"/>
                <w:szCs w:val="24"/>
              </w:rPr>
              <w:t>年1月1日以来（以合同签订时间为准）同类合同业绩（以提供的合同扫描件为准</w:t>
            </w:r>
            <w:r>
              <w:rPr>
                <w:rFonts w:hint="eastAsia"/>
                <w:color w:val="auto"/>
                <w:sz w:val="24"/>
                <w:szCs w:val="24"/>
                <w:lang w:eastAsia="zh-CN"/>
              </w:rPr>
              <w:t>，须加盖供应商公章</w:t>
            </w:r>
            <w:r>
              <w:rPr>
                <w:rFonts w:hint="eastAsia"/>
                <w:color w:val="auto"/>
                <w:sz w:val="24"/>
                <w:szCs w:val="24"/>
              </w:rPr>
              <w:t>）：每提供1份合同业绩得</w:t>
            </w:r>
            <w:r>
              <w:rPr>
                <w:color w:val="auto"/>
                <w:sz w:val="24"/>
                <w:szCs w:val="24"/>
              </w:rPr>
              <w:t>1</w:t>
            </w:r>
            <w:r>
              <w:rPr>
                <w:rFonts w:hint="eastAsia"/>
                <w:color w:val="auto"/>
                <w:sz w:val="24"/>
                <w:szCs w:val="24"/>
              </w:rPr>
              <w:t>分，最高得</w:t>
            </w:r>
            <w:r>
              <w:rPr>
                <w:rFonts w:hint="eastAsia"/>
                <w:color w:val="auto"/>
                <w:sz w:val="24"/>
                <w:szCs w:val="24"/>
                <w:lang w:val="en-US" w:eastAsia="zh-CN"/>
              </w:rPr>
              <w:t>3</w:t>
            </w:r>
            <w:r>
              <w:rPr>
                <w:rFonts w:hint="eastAsia"/>
                <w:color w:val="auto"/>
                <w:sz w:val="24"/>
                <w:szCs w:val="24"/>
              </w:rPr>
              <w:t>分。</w:t>
            </w:r>
            <w:r>
              <w:rPr>
                <w:rFonts w:hint="eastAsia"/>
                <w:color w:val="auto"/>
                <w:sz w:val="24"/>
                <w:szCs w:val="24"/>
                <w:lang w:eastAsia="zh-CN"/>
              </w:rPr>
              <w:t>【</w:t>
            </w:r>
            <w:r>
              <w:rPr>
                <w:rFonts w:hint="eastAsia"/>
                <w:b/>
                <w:bCs/>
                <w:color w:val="auto"/>
                <w:sz w:val="24"/>
                <w:szCs w:val="24"/>
                <w:lang w:val="en-US" w:eastAsia="zh-CN"/>
              </w:rPr>
              <w:t>客观分</w:t>
            </w:r>
            <w:r>
              <w:rPr>
                <w:rFonts w:hint="eastAsia"/>
                <w:color w:val="auto"/>
                <w:sz w:val="24"/>
                <w:szCs w:val="24"/>
                <w:lang w:eastAsia="zh-CN"/>
              </w:rPr>
              <w:t>】</w:t>
            </w:r>
          </w:p>
        </w:tc>
      </w:tr>
      <w:tr w14:paraId="311F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noWrap w:val="0"/>
            <w:vAlign w:val="center"/>
          </w:tcPr>
          <w:p w14:paraId="7A65A078">
            <w:pPr>
              <w:adjustRightInd w:val="0"/>
              <w:snapToGrid w:val="0"/>
              <w:spacing w:line="288" w:lineRule="auto"/>
              <w:jc w:val="center"/>
              <w:rPr>
                <w:b/>
                <w:bCs/>
                <w:color w:val="auto"/>
                <w:sz w:val="24"/>
                <w:szCs w:val="24"/>
              </w:rPr>
            </w:pPr>
            <w:r>
              <w:rPr>
                <w:rFonts w:hint="eastAsia"/>
                <w:b/>
                <w:bCs/>
                <w:color w:val="auto"/>
                <w:sz w:val="24"/>
                <w:szCs w:val="24"/>
              </w:rPr>
              <w:t>业绩</w:t>
            </w:r>
          </w:p>
        </w:tc>
        <w:tc>
          <w:tcPr>
            <w:tcW w:w="810" w:type="dxa"/>
            <w:noWrap w:val="0"/>
            <w:vAlign w:val="center"/>
          </w:tcPr>
          <w:p w14:paraId="783964E6">
            <w:pPr>
              <w:adjustRightInd w:val="0"/>
              <w:snapToGrid w:val="0"/>
              <w:spacing w:line="288" w:lineRule="auto"/>
              <w:jc w:val="center"/>
              <w:rPr>
                <w:rFonts w:hint="eastAsia" w:eastAsia="宋体"/>
                <w:b/>
                <w:bCs/>
                <w:color w:val="auto"/>
                <w:sz w:val="24"/>
                <w:szCs w:val="24"/>
                <w:lang w:eastAsia="zh-CN"/>
              </w:rPr>
            </w:pPr>
            <w:r>
              <w:rPr>
                <w:rFonts w:hint="eastAsia"/>
                <w:b/>
                <w:bCs/>
                <w:color w:val="auto"/>
                <w:sz w:val="24"/>
                <w:szCs w:val="24"/>
                <w:lang w:val="en-US" w:eastAsia="zh-CN"/>
              </w:rPr>
              <w:t>6</w:t>
            </w:r>
          </w:p>
        </w:tc>
        <w:tc>
          <w:tcPr>
            <w:tcW w:w="6905" w:type="dxa"/>
            <w:noWrap w:val="0"/>
            <w:vAlign w:val="center"/>
          </w:tcPr>
          <w:p w14:paraId="32EB5D2F">
            <w:pPr>
              <w:adjustRightInd w:val="0"/>
              <w:snapToGrid w:val="0"/>
              <w:spacing w:line="288" w:lineRule="auto"/>
              <w:ind w:left="0" w:leftChars="0" w:firstLine="420" w:firstLineChars="175"/>
              <w:rPr>
                <w:rFonts w:hint="eastAsia" w:eastAsia="宋体"/>
                <w:color w:val="auto"/>
                <w:sz w:val="24"/>
                <w:szCs w:val="24"/>
                <w:lang w:eastAsia="zh-CN"/>
              </w:rPr>
            </w:pPr>
            <w:r>
              <w:rPr>
                <w:rFonts w:hint="eastAsia"/>
                <w:color w:val="auto"/>
                <w:sz w:val="24"/>
                <w:szCs w:val="24"/>
              </w:rPr>
              <w:t>供应商</w:t>
            </w:r>
            <w:r>
              <w:rPr>
                <w:rFonts w:hint="eastAsia"/>
                <w:color w:val="auto"/>
                <w:sz w:val="24"/>
                <w:szCs w:val="24"/>
                <w:lang w:val="en-US" w:eastAsia="zh-CN"/>
              </w:rPr>
              <w:t>提供</w:t>
            </w:r>
            <w:r>
              <w:rPr>
                <w:rFonts w:hint="eastAsia"/>
                <w:color w:val="auto"/>
                <w:sz w:val="24"/>
                <w:szCs w:val="24"/>
              </w:rPr>
              <w:t>“质量管理体系认证证书”、“环境管理体系认证证书”、“职业健康安全管理体系认证证书”，每个认证证书得2分，最高得6分</w:t>
            </w:r>
            <w:r>
              <w:rPr>
                <w:rFonts w:hint="eastAsia"/>
                <w:color w:val="auto"/>
                <w:sz w:val="24"/>
                <w:szCs w:val="24"/>
                <w:lang w:eastAsia="zh-CN"/>
              </w:rPr>
              <w:t>。</w:t>
            </w:r>
            <w:r>
              <w:rPr>
                <w:rFonts w:hint="eastAsia"/>
                <w:color w:val="auto"/>
                <w:sz w:val="24"/>
                <w:szCs w:val="24"/>
              </w:rPr>
              <w:t>注：须提供加盖供应商公章且清晰的认证证书复印件（或原件扫描件），认证覆盖范围须涉及有害生物防治类相关内容且证书在有效期内，否则不得分</w:t>
            </w:r>
            <w:r>
              <w:rPr>
                <w:rFonts w:hint="eastAsia"/>
                <w:color w:val="auto"/>
                <w:sz w:val="24"/>
                <w:szCs w:val="24"/>
                <w:lang w:eastAsia="zh-CN"/>
              </w:rPr>
              <w:t>。【</w:t>
            </w:r>
            <w:r>
              <w:rPr>
                <w:rFonts w:hint="eastAsia"/>
                <w:b/>
                <w:bCs/>
                <w:color w:val="auto"/>
                <w:sz w:val="24"/>
                <w:szCs w:val="24"/>
                <w:lang w:val="en-US" w:eastAsia="zh-CN"/>
              </w:rPr>
              <w:t>客观分</w:t>
            </w:r>
            <w:r>
              <w:rPr>
                <w:rFonts w:hint="eastAsia"/>
                <w:color w:val="auto"/>
                <w:sz w:val="24"/>
                <w:szCs w:val="24"/>
                <w:lang w:eastAsia="zh-CN"/>
              </w:rPr>
              <w:t>】</w:t>
            </w:r>
          </w:p>
        </w:tc>
      </w:tr>
      <w:tr w14:paraId="6A62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356" w:type="dxa"/>
            <w:gridSpan w:val="3"/>
            <w:noWrap w:val="0"/>
            <w:vAlign w:val="center"/>
          </w:tcPr>
          <w:p w14:paraId="46737F5F">
            <w:pPr>
              <w:adjustRightInd w:val="0"/>
              <w:snapToGrid w:val="0"/>
              <w:spacing w:line="288" w:lineRule="auto"/>
              <w:rPr>
                <w:color w:val="auto"/>
                <w:sz w:val="24"/>
                <w:szCs w:val="24"/>
              </w:rPr>
            </w:pPr>
            <w:r>
              <w:rPr>
                <w:rFonts w:hint="eastAsia"/>
                <w:b/>
                <w:bCs/>
                <w:color w:val="auto"/>
                <w:sz w:val="24"/>
                <w:szCs w:val="24"/>
              </w:rPr>
              <w:t>技术分（</w:t>
            </w:r>
            <w:r>
              <w:rPr>
                <w:rFonts w:hint="eastAsia"/>
                <w:b/>
                <w:bCs/>
                <w:color w:val="auto"/>
                <w:sz w:val="24"/>
                <w:szCs w:val="24"/>
                <w:lang w:val="en-US" w:eastAsia="zh-CN"/>
              </w:rPr>
              <w:t>61分</w:t>
            </w:r>
            <w:r>
              <w:rPr>
                <w:rFonts w:hint="eastAsia"/>
                <w:b/>
                <w:bCs/>
                <w:color w:val="auto"/>
                <w:sz w:val="24"/>
                <w:szCs w:val="24"/>
              </w:rPr>
              <w:t>）</w:t>
            </w:r>
          </w:p>
        </w:tc>
      </w:tr>
      <w:tr w14:paraId="01B4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641" w:type="dxa"/>
            <w:noWrap w:val="0"/>
            <w:vAlign w:val="center"/>
          </w:tcPr>
          <w:p w14:paraId="20602414">
            <w:pPr>
              <w:adjustRightInd w:val="0"/>
              <w:snapToGrid w:val="0"/>
              <w:spacing w:line="288" w:lineRule="auto"/>
              <w:jc w:val="center"/>
              <w:rPr>
                <w:rFonts w:hint="default"/>
                <w:b/>
                <w:bCs/>
                <w:color w:val="auto"/>
                <w:sz w:val="24"/>
                <w:szCs w:val="24"/>
                <w:lang w:val="en-US"/>
              </w:rPr>
            </w:pPr>
            <w:r>
              <w:rPr>
                <w:rFonts w:hint="eastAsia"/>
                <w:b/>
                <w:bCs/>
                <w:color w:val="auto"/>
                <w:sz w:val="24"/>
                <w:szCs w:val="24"/>
                <w:lang w:val="en-US" w:eastAsia="zh-CN"/>
              </w:rPr>
              <w:t>项目成员技术水平</w:t>
            </w:r>
          </w:p>
        </w:tc>
        <w:tc>
          <w:tcPr>
            <w:tcW w:w="810" w:type="dxa"/>
            <w:noWrap w:val="0"/>
            <w:vAlign w:val="center"/>
          </w:tcPr>
          <w:p w14:paraId="41B9BE8B">
            <w:pPr>
              <w:adjustRightInd w:val="0"/>
              <w:snapToGrid w:val="0"/>
              <w:spacing w:line="288" w:lineRule="auto"/>
              <w:jc w:val="center"/>
              <w:rPr>
                <w:rFonts w:hint="eastAsia"/>
                <w:b/>
                <w:bCs/>
                <w:color w:val="auto"/>
                <w:sz w:val="24"/>
                <w:szCs w:val="24"/>
                <w:lang w:val="en-US" w:eastAsia="zh-CN"/>
              </w:rPr>
            </w:pPr>
            <w:r>
              <w:rPr>
                <w:rFonts w:hint="eastAsia"/>
                <w:b/>
                <w:bCs/>
                <w:color w:val="auto"/>
                <w:sz w:val="24"/>
                <w:szCs w:val="24"/>
                <w:lang w:val="en-US" w:eastAsia="zh-CN"/>
              </w:rPr>
              <w:t>6</w:t>
            </w:r>
          </w:p>
        </w:tc>
        <w:tc>
          <w:tcPr>
            <w:tcW w:w="6905" w:type="dxa"/>
            <w:noWrap w:val="0"/>
            <w:vAlign w:val="center"/>
          </w:tcPr>
          <w:p w14:paraId="4EF60ADA">
            <w:pPr>
              <w:adjustRightInd w:val="0"/>
              <w:snapToGrid w:val="0"/>
              <w:spacing w:line="288" w:lineRule="auto"/>
              <w:ind w:left="0" w:leftChars="0" w:firstLine="420" w:firstLineChars="175"/>
              <w:rPr>
                <w:rFonts w:hint="eastAsia"/>
                <w:color w:val="auto"/>
                <w:sz w:val="24"/>
                <w:szCs w:val="24"/>
                <w:u w:val="none"/>
                <w:lang w:val="en-US" w:eastAsia="zh-CN"/>
              </w:rPr>
            </w:pPr>
            <w:r>
              <w:rPr>
                <w:rFonts w:hint="eastAsia"/>
                <w:color w:val="auto"/>
                <w:sz w:val="24"/>
                <w:szCs w:val="24"/>
                <w:u w:val="none"/>
                <w:lang w:val="en-US" w:eastAsia="zh-CN"/>
              </w:rPr>
              <w:t>根据响应方拟投入本项目的人员配备情况进行评审。</w:t>
            </w:r>
          </w:p>
          <w:p w14:paraId="3C9AF170">
            <w:pPr>
              <w:adjustRightInd w:val="0"/>
              <w:snapToGrid w:val="0"/>
              <w:spacing w:line="288" w:lineRule="auto"/>
              <w:ind w:left="0" w:leftChars="0" w:firstLine="420" w:firstLineChars="175"/>
              <w:rPr>
                <w:rFonts w:hint="eastAsia"/>
                <w:color w:val="auto"/>
                <w:sz w:val="24"/>
                <w:szCs w:val="24"/>
                <w:u w:val="none"/>
                <w:lang w:val="en-US" w:eastAsia="zh-CN"/>
              </w:rPr>
            </w:pPr>
            <w:r>
              <w:rPr>
                <w:rFonts w:hint="eastAsia"/>
                <w:color w:val="auto"/>
                <w:sz w:val="24"/>
                <w:szCs w:val="24"/>
                <w:u w:val="none"/>
                <w:lang w:val="en-US" w:eastAsia="zh-CN"/>
              </w:rPr>
              <w:t>1.项目负责人具有有害生物防制员相关专业高级证书得2分。</w:t>
            </w:r>
          </w:p>
          <w:p w14:paraId="6215A009">
            <w:pPr>
              <w:adjustRightInd w:val="0"/>
              <w:snapToGrid w:val="0"/>
              <w:spacing w:line="288" w:lineRule="auto"/>
              <w:ind w:left="0" w:leftChars="0" w:firstLine="420" w:firstLineChars="175"/>
              <w:rPr>
                <w:rFonts w:hint="eastAsia"/>
                <w:color w:val="auto"/>
                <w:sz w:val="24"/>
                <w:szCs w:val="24"/>
                <w:u w:val="none"/>
                <w:lang w:val="en-US" w:eastAsia="zh-CN"/>
              </w:rPr>
            </w:pPr>
            <w:r>
              <w:rPr>
                <w:rFonts w:hint="eastAsia"/>
                <w:color w:val="auto"/>
                <w:sz w:val="24"/>
                <w:szCs w:val="24"/>
                <w:u w:val="none"/>
                <w:lang w:val="en-US" w:eastAsia="zh-CN"/>
              </w:rPr>
              <w:t>2.项目组其他人员中具有有害生物防制员相关专业中级及以上证书，每人得1分（最高2分）。</w:t>
            </w:r>
          </w:p>
          <w:p w14:paraId="16C603C7">
            <w:pPr>
              <w:adjustRightInd w:val="0"/>
              <w:snapToGrid w:val="0"/>
              <w:spacing w:line="288" w:lineRule="auto"/>
              <w:ind w:left="0" w:leftChars="0" w:firstLine="420" w:firstLineChars="175"/>
              <w:rPr>
                <w:rFonts w:hint="eastAsia"/>
                <w:color w:val="auto"/>
                <w:sz w:val="24"/>
                <w:szCs w:val="24"/>
                <w:u w:val="none"/>
                <w:lang w:val="en-US" w:eastAsia="zh-CN"/>
              </w:rPr>
            </w:pPr>
            <w:r>
              <w:rPr>
                <w:rFonts w:hint="eastAsia"/>
                <w:color w:val="auto"/>
                <w:sz w:val="24"/>
                <w:szCs w:val="24"/>
                <w:u w:val="none"/>
                <w:lang w:val="en-US" w:eastAsia="zh-CN"/>
              </w:rPr>
              <w:t>3.持有省级及以上爱卫办或劳动保障部门颁发的培训合格证（有害生物防制员证书、消毒技术相关合格证明）每证得1分（最高2分）。</w:t>
            </w:r>
          </w:p>
          <w:p w14:paraId="710FEA88">
            <w:pPr>
              <w:adjustRightInd w:val="0"/>
              <w:snapToGrid w:val="0"/>
              <w:spacing w:line="288" w:lineRule="auto"/>
              <w:ind w:left="0" w:leftChars="0" w:firstLine="420" w:firstLineChars="175"/>
              <w:rPr>
                <w:rFonts w:hint="eastAsia"/>
                <w:color w:val="auto"/>
                <w:sz w:val="24"/>
                <w:szCs w:val="24"/>
                <w:lang w:eastAsia="zh-CN"/>
              </w:rPr>
            </w:pPr>
            <w:r>
              <w:rPr>
                <w:rFonts w:hint="eastAsia"/>
                <w:color w:val="auto"/>
                <w:sz w:val="24"/>
                <w:szCs w:val="24"/>
                <w:u w:val="none"/>
                <w:lang w:val="en-US" w:eastAsia="zh-CN"/>
              </w:rPr>
              <w:t>注：以上均须在响应文件中同时提供证书人员在供应商单位的参保状态证明材料</w:t>
            </w:r>
            <w:r>
              <w:rPr>
                <w:rFonts w:hint="eastAsia"/>
                <w:b/>
                <w:bCs/>
                <w:color w:val="auto"/>
                <w:sz w:val="24"/>
                <w:szCs w:val="24"/>
                <w:u w:val="none"/>
                <w:lang w:val="en-US" w:eastAsia="zh-CN"/>
              </w:rPr>
              <w:t>（近半年）</w:t>
            </w:r>
            <w:r>
              <w:rPr>
                <w:rFonts w:hint="eastAsia"/>
                <w:color w:val="auto"/>
                <w:sz w:val="24"/>
                <w:szCs w:val="24"/>
                <w:u w:val="none"/>
                <w:lang w:val="en-US" w:eastAsia="zh-CN"/>
              </w:rPr>
              <w:t>及加盖供应商公章的证书复印件（或原件扫描件），否则不得分。</w:t>
            </w:r>
            <w:r>
              <w:rPr>
                <w:rFonts w:hint="eastAsia"/>
                <w:color w:val="auto"/>
                <w:sz w:val="24"/>
                <w:szCs w:val="24"/>
                <w:lang w:eastAsia="zh-CN"/>
              </w:rPr>
              <w:t>【</w:t>
            </w:r>
            <w:r>
              <w:rPr>
                <w:rFonts w:hint="eastAsia"/>
                <w:b/>
                <w:bCs/>
                <w:color w:val="auto"/>
                <w:sz w:val="24"/>
                <w:szCs w:val="24"/>
                <w:lang w:val="en-US" w:eastAsia="zh-CN"/>
              </w:rPr>
              <w:t>客观分</w:t>
            </w:r>
            <w:r>
              <w:rPr>
                <w:rFonts w:hint="eastAsia"/>
                <w:color w:val="auto"/>
                <w:sz w:val="24"/>
                <w:szCs w:val="24"/>
                <w:lang w:eastAsia="zh-CN"/>
              </w:rPr>
              <w:t>】</w:t>
            </w:r>
          </w:p>
        </w:tc>
      </w:tr>
      <w:tr w14:paraId="7EA5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1641" w:type="dxa"/>
            <w:noWrap w:val="0"/>
            <w:vAlign w:val="center"/>
          </w:tcPr>
          <w:p w14:paraId="6797E359">
            <w:pPr>
              <w:adjustRightInd w:val="0"/>
              <w:snapToGrid w:val="0"/>
              <w:spacing w:line="288" w:lineRule="auto"/>
              <w:jc w:val="center"/>
              <w:rPr>
                <w:rFonts w:hint="default" w:eastAsia="宋体"/>
                <w:b/>
                <w:bCs/>
                <w:color w:val="auto"/>
                <w:sz w:val="24"/>
                <w:szCs w:val="24"/>
                <w:lang w:val="en-US" w:eastAsia="zh-CN"/>
              </w:rPr>
            </w:pPr>
            <w:r>
              <w:rPr>
                <w:rFonts w:hint="eastAsia" w:eastAsia="宋体"/>
                <w:b/>
                <w:bCs/>
                <w:color w:val="auto"/>
                <w:sz w:val="24"/>
                <w:szCs w:val="24"/>
                <w:lang w:val="en-US" w:eastAsia="zh-CN"/>
              </w:rPr>
              <w:t>作业设备配备情况</w:t>
            </w:r>
          </w:p>
        </w:tc>
        <w:tc>
          <w:tcPr>
            <w:tcW w:w="810" w:type="dxa"/>
            <w:noWrap w:val="0"/>
            <w:vAlign w:val="center"/>
          </w:tcPr>
          <w:p w14:paraId="257FBB5B">
            <w:pPr>
              <w:adjustRightInd w:val="0"/>
              <w:snapToGrid w:val="0"/>
              <w:spacing w:line="288" w:lineRule="auto"/>
              <w:jc w:val="center"/>
              <w:rPr>
                <w:rFonts w:hint="eastAsia" w:eastAsia="宋体"/>
                <w:b/>
                <w:bCs/>
                <w:color w:val="auto"/>
                <w:sz w:val="24"/>
                <w:szCs w:val="24"/>
                <w:lang w:val="en-US" w:eastAsia="zh-CN"/>
              </w:rPr>
            </w:pPr>
            <w:r>
              <w:rPr>
                <w:rFonts w:hint="eastAsia"/>
                <w:b/>
                <w:bCs/>
                <w:color w:val="auto"/>
                <w:sz w:val="24"/>
                <w:szCs w:val="24"/>
                <w:lang w:val="en-US" w:eastAsia="zh-CN"/>
              </w:rPr>
              <w:t>5</w:t>
            </w:r>
          </w:p>
        </w:tc>
        <w:tc>
          <w:tcPr>
            <w:tcW w:w="6905" w:type="dxa"/>
            <w:noWrap w:val="0"/>
            <w:vAlign w:val="center"/>
          </w:tcPr>
          <w:p w14:paraId="4C75811A">
            <w:pPr>
              <w:adjustRightInd w:val="0"/>
              <w:snapToGrid w:val="0"/>
              <w:spacing w:line="288" w:lineRule="auto"/>
              <w:ind w:left="0" w:leftChars="0" w:firstLine="420" w:firstLineChars="175"/>
              <w:rPr>
                <w:rFonts w:hint="default" w:eastAsia="宋体"/>
                <w:color w:val="auto"/>
                <w:lang w:val="en-US" w:eastAsia="zh-CN"/>
              </w:rPr>
            </w:pPr>
            <w:r>
              <w:rPr>
                <w:rFonts w:hint="eastAsia"/>
                <w:color w:val="auto"/>
                <w:sz w:val="24"/>
                <w:szCs w:val="24"/>
                <w:u w:val="none"/>
                <w:lang w:val="en-US" w:eastAsia="zh-CN"/>
              </w:rPr>
              <w:t>响应方</w:t>
            </w:r>
            <w:r>
              <w:rPr>
                <w:rFonts w:hint="default"/>
                <w:color w:val="auto"/>
                <w:sz w:val="24"/>
                <w:szCs w:val="24"/>
                <w:u w:val="none"/>
                <w:lang w:val="en-US" w:eastAsia="zh-CN"/>
              </w:rPr>
              <w:t>配备5台（含5台）以上超低容量喷雾器或背负式机动喷雾器得2分；</w:t>
            </w:r>
            <w:r>
              <w:rPr>
                <w:rFonts w:hint="eastAsia"/>
                <w:color w:val="auto"/>
                <w:sz w:val="24"/>
                <w:szCs w:val="24"/>
                <w:u w:val="none"/>
                <w:lang w:val="en-US" w:eastAsia="zh-CN"/>
              </w:rPr>
              <w:t>有</w:t>
            </w:r>
            <w:r>
              <w:rPr>
                <w:rFonts w:hint="default"/>
                <w:color w:val="auto"/>
                <w:sz w:val="24"/>
                <w:szCs w:val="24"/>
                <w:u w:val="none"/>
                <w:lang w:val="en-US" w:eastAsia="zh-CN"/>
              </w:rPr>
              <w:t>车载式机动超低容量喷雾机的得2分；</w:t>
            </w:r>
            <w:r>
              <w:rPr>
                <w:rFonts w:hint="eastAsia"/>
                <w:color w:val="auto"/>
                <w:sz w:val="24"/>
                <w:szCs w:val="24"/>
                <w:u w:val="none"/>
                <w:lang w:val="en-US" w:eastAsia="zh-CN"/>
              </w:rPr>
              <w:t>有</w:t>
            </w:r>
            <w:r>
              <w:rPr>
                <w:rFonts w:hint="default"/>
                <w:color w:val="auto"/>
                <w:sz w:val="24"/>
                <w:szCs w:val="24"/>
                <w:u w:val="none"/>
                <w:lang w:val="en-US" w:eastAsia="zh-CN"/>
              </w:rPr>
              <w:t>工程作业机动车辆，1辆加0.5分，2辆加1分。</w:t>
            </w:r>
            <w:r>
              <w:rPr>
                <w:rFonts w:hint="eastAsia"/>
                <w:color w:val="auto"/>
                <w:sz w:val="24"/>
                <w:szCs w:val="24"/>
                <w:u w:val="none"/>
                <w:lang w:val="en-US" w:eastAsia="zh-CN"/>
              </w:rPr>
              <w:t>本项最高5分。注：</w:t>
            </w:r>
            <w:r>
              <w:rPr>
                <w:rFonts w:hint="default"/>
                <w:color w:val="auto"/>
                <w:sz w:val="24"/>
                <w:szCs w:val="24"/>
                <w:u w:val="none"/>
                <w:lang w:val="en-US" w:eastAsia="zh-CN"/>
              </w:rPr>
              <w:t>响应文件提供设备发票复印件加盖公章或设备购买（或租赁）合同复印件，提供机动车发票复件并盖章和车辆所有人为该投标单位的行驶证复印件或车辆租赁合同，否则不计分</w:t>
            </w:r>
            <w:r>
              <w:rPr>
                <w:rFonts w:hint="eastAsia"/>
                <w:color w:val="auto"/>
                <w:sz w:val="24"/>
                <w:szCs w:val="24"/>
                <w:u w:val="none"/>
                <w:lang w:val="en-US" w:eastAsia="zh-CN"/>
              </w:rPr>
              <w:t>。</w:t>
            </w:r>
            <w:r>
              <w:rPr>
                <w:rFonts w:hint="eastAsia"/>
                <w:color w:val="auto"/>
                <w:sz w:val="24"/>
                <w:szCs w:val="24"/>
                <w:lang w:eastAsia="zh-CN"/>
              </w:rPr>
              <w:t>【</w:t>
            </w:r>
            <w:r>
              <w:rPr>
                <w:rFonts w:hint="eastAsia"/>
                <w:b/>
                <w:bCs/>
                <w:color w:val="auto"/>
                <w:sz w:val="24"/>
                <w:szCs w:val="24"/>
                <w:lang w:val="en-US" w:eastAsia="zh-CN"/>
              </w:rPr>
              <w:t>客观分</w:t>
            </w:r>
            <w:r>
              <w:rPr>
                <w:rFonts w:hint="eastAsia"/>
                <w:color w:val="auto"/>
                <w:sz w:val="24"/>
                <w:szCs w:val="24"/>
                <w:lang w:eastAsia="zh-CN"/>
              </w:rPr>
              <w:t>】</w:t>
            </w:r>
          </w:p>
        </w:tc>
      </w:tr>
      <w:tr w14:paraId="5A67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641" w:type="dxa"/>
            <w:noWrap w:val="0"/>
            <w:vAlign w:val="center"/>
          </w:tcPr>
          <w:p w14:paraId="28DBBD40">
            <w:pPr>
              <w:adjustRightInd w:val="0"/>
              <w:snapToGrid w:val="0"/>
              <w:spacing w:line="288" w:lineRule="auto"/>
              <w:jc w:val="center"/>
              <w:rPr>
                <w:rFonts w:hint="default" w:eastAsia="宋体"/>
                <w:b/>
                <w:bCs/>
                <w:color w:val="auto"/>
                <w:sz w:val="24"/>
                <w:szCs w:val="24"/>
                <w:lang w:val="en-US" w:eastAsia="zh-CN"/>
              </w:rPr>
            </w:pPr>
            <w:r>
              <w:rPr>
                <w:rFonts w:hint="eastAsia" w:eastAsia="宋体"/>
                <w:b/>
                <w:bCs/>
                <w:color w:val="auto"/>
                <w:sz w:val="24"/>
                <w:szCs w:val="24"/>
                <w:lang w:val="en-US" w:eastAsia="zh-CN"/>
              </w:rPr>
              <w:t>项目需求认识程度</w:t>
            </w:r>
          </w:p>
        </w:tc>
        <w:tc>
          <w:tcPr>
            <w:tcW w:w="810" w:type="dxa"/>
            <w:noWrap w:val="0"/>
            <w:vAlign w:val="center"/>
          </w:tcPr>
          <w:p w14:paraId="44383AC5">
            <w:pPr>
              <w:adjustRightInd w:val="0"/>
              <w:snapToGrid w:val="0"/>
              <w:spacing w:line="288" w:lineRule="auto"/>
              <w:jc w:val="center"/>
              <w:rPr>
                <w:rFonts w:hint="default"/>
                <w:b/>
                <w:bCs/>
                <w:color w:val="auto"/>
                <w:sz w:val="24"/>
                <w:szCs w:val="24"/>
                <w:lang w:val="en-US" w:eastAsia="zh-CN"/>
              </w:rPr>
            </w:pPr>
            <w:r>
              <w:rPr>
                <w:rFonts w:hint="eastAsia"/>
                <w:b/>
                <w:bCs/>
                <w:color w:val="auto"/>
                <w:sz w:val="24"/>
                <w:szCs w:val="24"/>
                <w:lang w:val="en-US" w:eastAsia="zh-CN"/>
              </w:rPr>
              <w:t>6</w:t>
            </w:r>
          </w:p>
        </w:tc>
        <w:tc>
          <w:tcPr>
            <w:tcW w:w="6905" w:type="dxa"/>
            <w:noWrap w:val="0"/>
            <w:vAlign w:val="center"/>
          </w:tcPr>
          <w:p w14:paraId="6B264778">
            <w:pPr>
              <w:adjustRightInd w:val="0"/>
              <w:snapToGrid w:val="0"/>
              <w:spacing w:line="288" w:lineRule="auto"/>
              <w:rPr>
                <w:rFonts w:hint="eastAsia"/>
                <w:color w:val="auto"/>
                <w:sz w:val="24"/>
                <w:szCs w:val="24"/>
                <w:u w:val="none"/>
                <w:lang w:val="en-US" w:eastAsia="zh-CN"/>
              </w:rPr>
            </w:pPr>
            <w:r>
              <w:rPr>
                <w:rFonts w:hint="eastAsia"/>
                <w:color w:val="auto"/>
                <w:sz w:val="24"/>
                <w:szCs w:val="24"/>
                <w:u w:val="none"/>
                <w:lang w:val="en-US" w:eastAsia="zh-CN"/>
              </w:rPr>
              <w:t>针对本项目资料收集情况，建筑、外环境的特点认识情况</w:t>
            </w:r>
            <w:r>
              <w:rPr>
                <w:rFonts w:hint="eastAsia" w:ascii="宋体" w:hAnsi="宋体" w:cs="宋体"/>
                <w:color w:val="auto"/>
                <w:spacing w:val="-6"/>
                <w:kern w:val="2"/>
                <w:sz w:val="24"/>
                <w:szCs w:val="24"/>
                <w:lang w:bidi="ar"/>
              </w:rPr>
              <w:t>。有欠缺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w:t>
            </w:r>
            <w:r>
              <w:rPr>
                <w:rFonts w:hint="eastAsia" w:cs="宋体"/>
                <w:color w:val="auto"/>
                <w:spacing w:val="-6"/>
                <w:kern w:val="2"/>
                <w:sz w:val="24"/>
                <w:szCs w:val="24"/>
                <w:lang w:bidi="ar"/>
              </w:rPr>
              <w:t>本项最高得</w:t>
            </w:r>
            <w:r>
              <w:rPr>
                <w:rFonts w:hint="eastAsia" w:cs="宋体"/>
                <w:color w:val="auto"/>
                <w:spacing w:val="-6"/>
                <w:kern w:val="2"/>
                <w:sz w:val="24"/>
                <w:szCs w:val="24"/>
                <w:lang w:val="en-US" w:eastAsia="zh-CN" w:bidi="ar"/>
              </w:rPr>
              <w:t>6</w:t>
            </w:r>
            <w:r>
              <w:rPr>
                <w:rFonts w:hint="eastAsia" w:cs="宋体"/>
                <w:color w:val="auto"/>
                <w:spacing w:val="-6"/>
                <w:kern w:val="2"/>
                <w:sz w:val="24"/>
                <w:szCs w:val="24"/>
                <w:lang w:bidi="ar"/>
              </w:rPr>
              <w:t>分。</w:t>
            </w:r>
          </w:p>
        </w:tc>
      </w:tr>
      <w:tr w14:paraId="53B2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restart"/>
            <w:noWrap w:val="0"/>
            <w:vAlign w:val="center"/>
          </w:tcPr>
          <w:p w14:paraId="65C2E175">
            <w:pPr>
              <w:spacing w:line="288" w:lineRule="auto"/>
              <w:jc w:val="center"/>
              <w:rPr>
                <w:b/>
                <w:bCs/>
                <w:color w:val="auto"/>
                <w:sz w:val="24"/>
                <w:szCs w:val="24"/>
              </w:rPr>
            </w:pPr>
            <w:r>
              <w:rPr>
                <w:rFonts w:hint="eastAsia" w:ascii="宋体" w:hAnsi="宋体" w:cs="宋体"/>
                <w:b/>
                <w:bCs/>
                <w:color w:val="auto"/>
                <w:spacing w:val="-6"/>
                <w:kern w:val="2"/>
                <w:sz w:val="24"/>
                <w:szCs w:val="24"/>
                <w:lang w:val="en-US" w:eastAsia="zh-CN" w:bidi="ar"/>
              </w:rPr>
              <w:t>服务实施</w:t>
            </w:r>
            <w:r>
              <w:rPr>
                <w:rFonts w:hint="eastAsia" w:ascii="宋体" w:hAnsi="宋体" w:cs="宋体"/>
                <w:b/>
                <w:bCs/>
                <w:color w:val="auto"/>
                <w:spacing w:val="-6"/>
                <w:kern w:val="2"/>
                <w:sz w:val="24"/>
                <w:szCs w:val="24"/>
                <w:lang w:bidi="ar"/>
              </w:rPr>
              <w:t>方案</w:t>
            </w:r>
          </w:p>
        </w:tc>
        <w:tc>
          <w:tcPr>
            <w:tcW w:w="810" w:type="dxa"/>
            <w:noWrap w:val="0"/>
            <w:vAlign w:val="center"/>
          </w:tcPr>
          <w:p w14:paraId="42587282">
            <w:pPr>
              <w:spacing w:line="288" w:lineRule="auto"/>
              <w:jc w:val="center"/>
              <w:rPr>
                <w:rFonts w:hint="eastAsia" w:eastAsia="宋体"/>
                <w:b/>
                <w:bCs/>
                <w:color w:val="auto"/>
                <w:sz w:val="24"/>
                <w:szCs w:val="24"/>
                <w:lang w:val="en-US" w:eastAsia="zh-CN"/>
              </w:rPr>
            </w:pPr>
            <w:r>
              <w:rPr>
                <w:rFonts w:hint="eastAsia"/>
                <w:b/>
                <w:bCs/>
                <w:color w:val="auto"/>
                <w:sz w:val="24"/>
                <w:szCs w:val="24"/>
                <w:lang w:val="en-US" w:eastAsia="zh-CN"/>
              </w:rPr>
              <w:t>4</w:t>
            </w:r>
          </w:p>
        </w:tc>
        <w:tc>
          <w:tcPr>
            <w:tcW w:w="6905" w:type="dxa"/>
            <w:noWrap w:val="0"/>
            <w:vAlign w:val="center"/>
          </w:tcPr>
          <w:p w14:paraId="46E3A308">
            <w:pPr>
              <w:spacing w:line="288" w:lineRule="auto"/>
              <w:jc w:val="left"/>
              <w:rPr>
                <w:color w:val="auto"/>
                <w:sz w:val="24"/>
                <w:szCs w:val="24"/>
              </w:rPr>
            </w:pPr>
            <w:r>
              <w:rPr>
                <w:rFonts w:hint="eastAsia" w:ascii="宋体" w:hAnsi="宋体" w:cs="宋体"/>
                <w:color w:val="auto"/>
                <w:spacing w:val="-6"/>
                <w:kern w:val="2"/>
                <w:sz w:val="24"/>
                <w:szCs w:val="24"/>
                <w:lang w:bidi="ar"/>
              </w:rPr>
              <w:t>针对本项目的防疫消毒方案科学性、合理性、可行性、专业性</w:t>
            </w:r>
            <w:r>
              <w:rPr>
                <w:rFonts w:hint="eastAsia" w:ascii="宋体" w:hAnsi="宋体" w:cs="宋体"/>
                <w:color w:val="auto"/>
                <w:spacing w:val="-6"/>
                <w:kern w:val="2"/>
                <w:sz w:val="24"/>
                <w:szCs w:val="24"/>
                <w:lang w:val="en-US" w:eastAsia="zh-CN" w:bidi="ar"/>
              </w:rPr>
              <w:t>评分</w:t>
            </w:r>
            <w:r>
              <w:rPr>
                <w:rFonts w:hint="eastAsia" w:ascii="宋体" w:hAnsi="宋体" w:cs="宋体"/>
                <w:color w:val="auto"/>
                <w:spacing w:val="-6"/>
                <w:kern w:val="2"/>
                <w:sz w:val="24"/>
                <w:szCs w:val="24"/>
                <w:lang w:bidi="ar"/>
              </w:rPr>
              <w:t>。有欠缺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w:t>
            </w:r>
            <w:r>
              <w:rPr>
                <w:rFonts w:hint="eastAsia" w:cs="宋体"/>
                <w:color w:val="auto"/>
                <w:spacing w:val="-6"/>
                <w:kern w:val="2"/>
                <w:sz w:val="24"/>
                <w:szCs w:val="24"/>
                <w:lang w:bidi="ar"/>
              </w:rPr>
              <w:t>本项最高得</w:t>
            </w:r>
            <w:r>
              <w:rPr>
                <w:rFonts w:hint="eastAsia" w:cs="宋体"/>
                <w:color w:val="auto"/>
                <w:spacing w:val="-6"/>
                <w:kern w:val="2"/>
                <w:sz w:val="24"/>
                <w:szCs w:val="24"/>
                <w:lang w:val="en-US" w:eastAsia="zh-CN" w:bidi="ar"/>
              </w:rPr>
              <w:t>4</w:t>
            </w:r>
            <w:r>
              <w:rPr>
                <w:rFonts w:hint="eastAsia" w:cs="宋体"/>
                <w:color w:val="auto"/>
                <w:spacing w:val="-6"/>
                <w:kern w:val="2"/>
                <w:sz w:val="24"/>
                <w:szCs w:val="24"/>
                <w:lang w:bidi="ar"/>
              </w:rPr>
              <w:t>分。</w:t>
            </w:r>
          </w:p>
        </w:tc>
      </w:tr>
      <w:tr w14:paraId="14F6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continue"/>
            <w:noWrap w:val="0"/>
            <w:vAlign w:val="center"/>
          </w:tcPr>
          <w:p w14:paraId="7B7C2F6B">
            <w:pPr>
              <w:spacing w:line="288" w:lineRule="auto"/>
              <w:jc w:val="center"/>
              <w:rPr>
                <w:rFonts w:hint="eastAsia" w:ascii="宋体" w:hAnsi="宋体" w:cs="宋体"/>
                <w:b/>
                <w:bCs/>
                <w:color w:val="auto"/>
                <w:spacing w:val="-6"/>
                <w:kern w:val="2"/>
                <w:sz w:val="24"/>
                <w:szCs w:val="24"/>
                <w:lang w:val="en-US" w:eastAsia="zh-CN" w:bidi="ar"/>
              </w:rPr>
            </w:pPr>
          </w:p>
        </w:tc>
        <w:tc>
          <w:tcPr>
            <w:tcW w:w="810" w:type="dxa"/>
            <w:noWrap w:val="0"/>
            <w:vAlign w:val="center"/>
          </w:tcPr>
          <w:p w14:paraId="1581B669">
            <w:pPr>
              <w:spacing w:line="288" w:lineRule="auto"/>
              <w:jc w:val="center"/>
              <w:rPr>
                <w:rFonts w:hint="eastAsia" w:eastAsia="宋体"/>
                <w:b/>
                <w:bCs/>
                <w:color w:val="auto"/>
                <w:sz w:val="24"/>
                <w:szCs w:val="24"/>
                <w:lang w:val="en-US" w:eastAsia="zh-CN"/>
              </w:rPr>
            </w:pPr>
            <w:r>
              <w:rPr>
                <w:rFonts w:hint="eastAsia"/>
                <w:b/>
                <w:bCs/>
                <w:color w:val="auto"/>
                <w:sz w:val="24"/>
                <w:szCs w:val="24"/>
                <w:lang w:val="en-US" w:eastAsia="zh-CN"/>
              </w:rPr>
              <w:t>4</w:t>
            </w:r>
          </w:p>
        </w:tc>
        <w:tc>
          <w:tcPr>
            <w:tcW w:w="6905" w:type="dxa"/>
            <w:noWrap w:val="0"/>
            <w:vAlign w:val="center"/>
          </w:tcPr>
          <w:p w14:paraId="2E7479F5">
            <w:pPr>
              <w:spacing w:line="288" w:lineRule="auto"/>
              <w:jc w:val="left"/>
              <w:rPr>
                <w:rFonts w:hint="eastAsia" w:ascii="宋体" w:hAnsi="宋体" w:cs="宋体"/>
                <w:color w:val="auto"/>
                <w:spacing w:val="-6"/>
                <w:kern w:val="2"/>
                <w:sz w:val="24"/>
                <w:szCs w:val="24"/>
                <w:lang w:bidi="ar"/>
              </w:rPr>
            </w:pPr>
            <w:r>
              <w:rPr>
                <w:rFonts w:hint="eastAsia" w:ascii="宋体" w:hAnsi="宋体" w:cs="宋体"/>
                <w:color w:val="auto"/>
                <w:spacing w:val="-6"/>
                <w:kern w:val="2"/>
                <w:sz w:val="24"/>
                <w:szCs w:val="24"/>
                <w:lang w:bidi="ar"/>
              </w:rPr>
              <w:t>针对本项目的病虫媒防治方案科学性、合理性、可行性、专业性</w:t>
            </w:r>
            <w:r>
              <w:rPr>
                <w:rFonts w:hint="eastAsia" w:ascii="宋体" w:hAnsi="宋体" w:cs="宋体"/>
                <w:color w:val="auto"/>
                <w:spacing w:val="-6"/>
                <w:kern w:val="2"/>
                <w:sz w:val="24"/>
                <w:szCs w:val="24"/>
                <w:lang w:val="en-US" w:eastAsia="zh-CN" w:bidi="ar"/>
              </w:rPr>
              <w:t>评分</w:t>
            </w:r>
            <w:r>
              <w:rPr>
                <w:rFonts w:hint="eastAsia" w:ascii="宋体" w:hAnsi="宋体" w:cs="宋体"/>
                <w:color w:val="auto"/>
                <w:spacing w:val="-6"/>
                <w:kern w:val="2"/>
                <w:sz w:val="24"/>
                <w:szCs w:val="24"/>
                <w:lang w:bidi="ar"/>
              </w:rPr>
              <w:t>。有欠缺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w:t>
            </w:r>
            <w:r>
              <w:rPr>
                <w:rFonts w:hint="eastAsia" w:cs="宋体"/>
                <w:color w:val="auto"/>
                <w:spacing w:val="-6"/>
                <w:kern w:val="2"/>
                <w:sz w:val="24"/>
                <w:szCs w:val="24"/>
                <w:lang w:bidi="ar"/>
              </w:rPr>
              <w:t>本项最高得</w:t>
            </w:r>
            <w:r>
              <w:rPr>
                <w:rFonts w:hint="eastAsia" w:cs="宋体"/>
                <w:color w:val="auto"/>
                <w:spacing w:val="-6"/>
                <w:kern w:val="2"/>
                <w:sz w:val="24"/>
                <w:szCs w:val="24"/>
                <w:lang w:val="en-US" w:eastAsia="zh-CN" w:bidi="ar"/>
              </w:rPr>
              <w:t>4</w:t>
            </w:r>
            <w:r>
              <w:rPr>
                <w:rFonts w:hint="eastAsia" w:cs="宋体"/>
                <w:color w:val="auto"/>
                <w:spacing w:val="-6"/>
                <w:kern w:val="2"/>
                <w:sz w:val="24"/>
                <w:szCs w:val="24"/>
                <w:lang w:bidi="ar"/>
              </w:rPr>
              <w:t>分。</w:t>
            </w:r>
          </w:p>
        </w:tc>
      </w:tr>
      <w:tr w14:paraId="101A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continue"/>
            <w:noWrap w:val="0"/>
            <w:vAlign w:val="center"/>
          </w:tcPr>
          <w:p w14:paraId="71DFE4C5">
            <w:pPr>
              <w:spacing w:line="288" w:lineRule="auto"/>
              <w:jc w:val="center"/>
              <w:rPr>
                <w:rFonts w:ascii="宋体" w:hAnsi="宋体" w:cs="宋体"/>
                <w:b/>
                <w:bCs/>
                <w:color w:val="auto"/>
                <w:spacing w:val="-6"/>
                <w:kern w:val="2"/>
                <w:sz w:val="24"/>
                <w:szCs w:val="24"/>
                <w:lang w:bidi="ar"/>
              </w:rPr>
            </w:pPr>
          </w:p>
        </w:tc>
        <w:tc>
          <w:tcPr>
            <w:tcW w:w="810" w:type="dxa"/>
            <w:noWrap w:val="0"/>
            <w:vAlign w:val="center"/>
          </w:tcPr>
          <w:p w14:paraId="29DD3169">
            <w:pPr>
              <w:spacing w:line="288" w:lineRule="auto"/>
              <w:jc w:val="center"/>
              <w:rPr>
                <w:rFonts w:hint="eastAsia" w:ascii="宋体" w:hAnsi="宋体" w:eastAsia="宋体" w:cs="宋体"/>
                <w:b/>
                <w:bCs/>
                <w:color w:val="auto"/>
                <w:spacing w:val="-6"/>
                <w:kern w:val="2"/>
                <w:sz w:val="24"/>
                <w:szCs w:val="24"/>
                <w:lang w:val="en-US" w:eastAsia="zh-CN" w:bidi="ar"/>
              </w:rPr>
            </w:pPr>
            <w:r>
              <w:rPr>
                <w:rFonts w:hint="eastAsia" w:ascii="宋体" w:hAnsi="宋体" w:cs="宋体"/>
                <w:b/>
                <w:bCs/>
                <w:color w:val="auto"/>
                <w:spacing w:val="-6"/>
                <w:kern w:val="2"/>
                <w:sz w:val="24"/>
                <w:szCs w:val="24"/>
                <w:lang w:val="en-US" w:eastAsia="zh-CN" w:bidi="ar"/>
              </w:rPr>
              <w:t>6</w:t>
            </w:r>
          </w:p>
        </w:tc>
        <w:tc>
          <w:tcPr>
            <w:tcW w:w="6905" w:type="dxa"/>
            <w:noWrap w:val="0"/>
            <w:vAlign w:val="center"/>
          </w:tcPr>
          <w:p w14:paraId="7CED0E1F">
            <w:pPr>
              <w:spacing w:line="288" w:lineRule="auto"/>
              <w:jc w:val="left"/>
              <w:rPr>
                <w:rFonts w:ascii="宋体" w:hAnsi="宋体" w:cs="宋体"/>
                <w:color w:val="auto"/>
                <w:spacing w:val="-6"/>
                <w:kern w:val="2"/>
                <w:sz w:val="24"/>
                <w:szCs w:val="24"/>
                <w:lang w:bidi="ar"/>
              </w:rPr>
            </w:pPr>
            <w:r>
              <w:rPr>
                <w:color w:val="auto"/>
                <w:sz w:val="24"/>
                <w:shd w:val="clear" w:color="auto" w:fill="FFFFFF"/>
              </w:rPr>
              <w:t>对完成除四害工作有完整的总体思路是否正确，实施细则是否完善，特别是春秋两季灭鼠、夏秋季灭蚊灭蝇灭蟑和杀灭越冬蚊工作</w:t>
            </w:r>
            <w:r>
              <w:rPr>
                <w:rFonts w:hint="eastAsia" w:ascii="宋体" w:hAnsi="宋体" w:cs="宋体"/>
                <w:color w:val="auto"/>
                <w:spacing w:val="-6"/>
                <w:kern w:val="2"/>
                <w:sz w:val="24"/>
                <w:szCs w:val="24"/>
                <w:lang w:bidi="ar"/>
              </w:rPr>
              <w:t>。有欠缺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不合理的，每处扣1分。本项最高得</w:t>
            </w:r>
            <w:r>
              <w:rPr>
                <w:rFonts w:hint="eastAsia" w:ascii="宋体" w:hAnsi="宋体" w:cs="宋体"/>
                <w:color w:val="auto"/>
                <w:spacing w:val="-6"/>
                <w:kern w:val="2"/>
                <w:sz w:val="24"/>
                <w:szCs w:val="24"/>
                <w:lang w:val="en-US" w:eastAsia="zh-CN" w:bidi="ar"/>
              </w:rPr>
              <w:t>6</w:t>
            </w:r>
            <w:r>
              <w:rPr>
                <w:rFonts w:hint="eastAsia" w:ascii="宋体" w:hAnsi="宋体" w:cs="宋体"/>
                <w:color w:val="auto"/>
                <w:spacing w:val="-6"/>
                <w:kern w:val="2"/>
                <w:sz w:val="24"/>
                <w:szCs w:val="24"/>
                <w:lang w:bidi="ar"/>
              </w:rPr>
              <w:t>分。</w:t>
            </w:r>
          </w:p>
        </w:tc>
      </w:tr>
      <w:tr w14:paraId="308B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continue"/>
            <w:noWrap w:val="0"/>
            <w:vAlign w:val="center"/>
          </w:tcPr>
          <w:p w14:paraId="31CD2067">
            <w:pPr>
              <w:spacing w:line="288" w:lineRule="auto"/>
              <w:jc w:val="center"/>
              <w:rPr>
                <w:rFonts w:ascii="宋体" w:hAnsi="宋体" w:cs="宋体"/>
                <w:b/>
                <w:bCs/>
                <w:color w:val="auto"/>
                <w:spacing w:val="-6"/>
                <w:kern w:val="2"/>
                <w:sz w:val="24"/>
                <w:szCs w:val="24"/>
                <w:lang w:bidi="ar"/>
              </w:rPr>
            </w:pPr>
          </w:p>
        </w:tc>
        <w:tc>
          <w:tcPr>
            <w:tcW w:w="810" w:type="dxa"/>
            <w:noWrap w:val="0"/>
            <w:vAlign w:val="center"/>
          </w:tcPr>
          <w:p w14:paraId="517A1631">
            <w:pPr>
              <w:spacing w:line="288" w:lineRule="auto"/>
              <w:jc w:val="center"/>
              <w:rPr>
                <w:rFonts w:hint="eastAsia" w:eastAsia="宋体" w:cs="宋体"/>
                <w:b/>
                <w:bCs/>
                <w:color w:val="auto"/>
                <w:spacing w:val="-6"/>
                <w:kern w:val="2"/>
                <w:sz w:val="24"/>
                <w:szCs w:val="24"/>
                <w:lang w:val="en-US" w:eastAsia="zh-CN" w:bidi="ar"/>
              </w:rPr>
            </w:pPr>
            <w:r>
              <w:rPr>
                <w:rFonts w:hint="eastAsia" w:cs="宋体"/>
                <w:b/>
                <w:bCs/>
                <w:color w:val="auto"/>
                <w:spacing w:val="-6"/>
                <w:kern w:val="2"/>
                <w:sz w:val="24"/>
                <w:szCs w:val="24"/>
                <w:lang w:val="en-US" w:eastAsia="zh-CN" w:bidi="ar"/>
              </w:rPr>
              <w:t>6</w:t>
            </w:r>
          </w:p>
        </w:tc>
        <w:tc>
          <w:tcPr>
            <w:tcW w:w="6905" w:type="dxa"/>
            <w:noWrap w:val="0"/>
            <w:vAlign w:val="center"/>
          </w:tcPr>
          <w:p w14:paraId="7D778A84">
            <w:pPr>
              <w:spacing w:line="288" w:lineRule="auto"/>
              <w:jc w:val="left"/>
              <w:rPr>
                <w:rFonts w:ascii="宋体" w:hAnsi="宋体" w:cs="宋体"/>
                <w:color w:val="auto"/>
                <w:spacing w:val="-6"/>
                <w:kern w:val="2"/>
                <w:sz w:val="24"/>
                <w:szCs w:val="24"/>
                <w:lang w:bidi="ar"/>
              </w:rPr>
            </w:pPr>
            <w:r>
              <w:rPr>
                <w:color w:val="auto"/>
                <w:sz w:val="24"/>
                <w:shd w:val="clear" w:color="auto" w:fill="FFFFFF"/>
              </w:rPr>
              <w:t>针对本项目防制对象、种类、孳生地调查、消杀前本底密度监测控制方法，符合实际情况</w:t>
            </w:r>
            <w:r>
              <w:rPr>
                <w:rFonts w:hint="eastAsia" w:ascii="宋体" w:hAnsi="宋体" w:cs="宋体"/>
                <w:color w:val="auto"/>
                <w:spacing w:val="-6"/>
                <w:kern w:val="2"/>
                <w:sz w:val="24"/>
                <w:szCs w:val="24"/>
                <w:lang w:bidi="ar"/>
              </w:rPr>
              <w:t>。有欠缺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w:t>
            </w:r>
            <w:r>
              <w:rPr>
                <w:rFonts w:hint="eastAsia" w:cs="宋体"/>
                <w:color w:val="auto"/>
                <w:spacing w:val="-6"/>
                <w:kern w:val="2"/>
                <w:sz w:val="24"/>
                <w:szCs w:val="24"/>
                <w:lang w:bidi="ar"/>
              </w:rPr>
              <w:t>本项最高得</w:t>
            </w:r>
            <w:r>
              <w:rPr>
                <w:rFonts w:hint="eastAsia" w:cs="宋体"/>
                <w:color w:val="auto"/>
                <w:spacing w:val="-6"/>
                <w:kern w:val="2"/>
                <w:sz w:val="24"/>
                <w:szCs w:val="24"/>
                <w:lang w:val="en-US" w:eastAsia="zh-CN" w:bidi="ar"/>
              </w:rPr>
              <w:t>6</w:t>
            </w:r>
            <w:r>
              <w:rPr>
                <w:rFonts w:hint="eastAsia" w:cs="宋体"/>
                <w:color w:val="auto"/>
                <w:spacing w:val="-6"/>
                <w:kern w:val="2"/>
                <w:sz w:val="24"/>
                <w:szCs w:val="24"/>
                <w:lang w:bidi="ar"/>
              </w:rPr>
              <w:t>分。</w:t>
            </w:r>
          </w:p>
        </w:tc>
      </w:tr>
      <w:tr w14:paraId="3B3F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continue"/>
            <w:noWrap w:val="0"/>
            <w:vAlign w:val="center"/>
          </w:tcPr>
          <w:p w14:paraId="2E7B49C2">
            <w:pPr>
              <w:spacing w:line="288" w:lineRule="auto"/>
              <w:jc w:val="center"/>
              <w:rPr>
                <w:rFonts w:ascii="宋体" w:hAnsi="宋体" w:cs="宋体"/>
                <w:b/>
                <w:bCs/>
                <w:color w:val="auto"/>
                <w:spacing w:val="-6"/>
                <w:kern w:val="2"/>
                <w:sz w:val="24"/>
                <w:szCs w:val="24"/>
                <w:lang w:bidi="ar"/>
              </w:rPr>
            </w:pPr>
          </w:p>
        </w:tc>
        <w:tc>
          <w:tcPr>
            <w:tcW w:w="810" w:type="dxa"/>
            <w:noWrap w:val="0"/>
            <w:vAlign w:val="center"/>
          </w:tcPr>
          <w:p w14:paraId="7A3AEFD4">
            <w:pPr>
              <w:spacing w:line="288" w:lineRule="auto"/>
              <w:jc w:val="center"/>
              <w:rPr>
                <w:rFonts w:hint="eastAsia" w:ascii="宋体" w:hAnsi="宋体" w:eastAsia="宋体" w:cs="宋体"/>
                <w:b/>
                <w:bCs/>
                <w:color w:val="auto"/>
                <w:spacing w:val="-6"/>
                <w:kern w:val="2"/>
                <w:sz w:val="24"/>
                <w:szCs w:val="24"/>
                <w:lang w:val="en-US" w:eastAsia="zh-CN" w:bidi="ar"/>
              </w:rPr>
            </w:pPr>
            <w:r>
              <w:rPr>
                <w:rFonts w:hint="eastAsia" w:ascii="宋体" w:hAnsi="宋体" w:cs="宋体"/>
                <w:b/>
                <w:bCs/>
                <w:color w:val="auto"/>
                <w:spacing w:val="-6"/>
                <w:kern w:val="2"/>
                <w:sz w:val="24"/>
                <w:szCs w:val="24"/>
                <w:lang w:val="en-US" w:eastAsia="zh-CN" w:bidi="ar"/>
              </w:rPr>
              <w:t>5</w:t>
            </w:r>
          </w:p>
        </w:tc>
        <w:tc>
          <w:tcPr>
            <w:tcW w:w="6905" w:type="dxa"/>
            <w:noWrap w:val="0"/>
            <w:vAlign w:val="center"/>
          </w:tcPr>
          <w:p w14:paraId="242488AA">
            <w:pPr>
              <w:spacing w:line="288" w:lineRule="auto"/>
              <w:jc w:val="left"/>
              <w:rPr>
                <w:rFonts w:ascii="宋体" w:hAnsi="宋体" w:cs="宋体"/>
                <w:color w:val="auto"/>
                <w:spacing w:val="-6"/>
                <w:kern w:val="2"/>
                <w:sz w:val="24"/>
                <w:szCs w:val="24"/>
                <w:lang w:bidi="ar"/>
              </w:rPr>
            </w:pPr>
            <w:r>
              <w:rPr>
                <w:rFonts w:hint="eastAsia" w:ascii="宋体" w:hAnsi="宋体" w:cs="宋体"/>
                <w:color w:val="auto"/>
                <w:spacing w:val="-6"/>
                <w:kern w:val="2"/>
                <w:sz w:val="24"/>
                <w:szCs w:val="24"/>
                <w:lang w:bidi="ar"/>
              </w:rPr>
              <w:t>针对本项目选择药剂、药械的合理性、符合国家相关规定，依据不同环境的用药措施及方法，附全年使用药物一览表。有欠缺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不合理的，每处扣1分。本项最高得</w:t>
            </w:r>
            <w:r>
              <w:rPr>
                <w:rFonts w:hint="eastAsia" w:ascii="宋体" w:hAnsi="宋体" w:cs="宋体"/>
                <w:color w:val="auto"/>
                <w:spacing w:val="-6"/>
                <w:kern w:val="2"/>
                <w:sz w:val="24"/>
                <w:szCs w:val="24"/>
                <w:lang w:val="en-US" w:eastAsia="zh-CN" w:bidi="ar"/>
              </w:rPr>
              <w:t>5</w:t>
            </w:r>
            <w:r>
              <w:rPr>
                <w:rFonts w:hint="eastAsia" w:ascii="宋体" w:hAnsi="宋体" w:cs="宋体"/>
                <w:color w:val="auto"/>
                <w:spacing w:val="-6"/>
                <w:kern w:val="2"/>
                <w:sz w:val="24"/>
                <w:szCs w:val="24"/>
                <w:lang w:bidi="ar"/>
              </w:rPr>
              <w:t>分。</w:t>
            </w:r>
          </w:p>
        </w:tc>
      </w:tr>
      <w:tr w14:paraId="4A2F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continue"/>
            <w:noWrap w:val="0"/>
            <w:vAlign w:val="center"/>
          </w:tcPr>
          <w:p w14:paraId="7285B690">
            <w:pPr>
              <w:spacing w:line="288" w:lineRule="auto"/>
              <w:jc w:val="center"/>
              <w:rPr>
                <w:b/>
                <w:bCs/>
                <w:color w:val="auto"/>
                <w:sz w:val="24"/>
                <w:szCs w:val="24"/>
              </w:rPr>
            </w:pPr>
          </w:p>
        </w:tc>
        <w:tc>
          <w:tcPr>
            <w:tcW w:w="810" w:type="dxa"/>
            <w:noWrap w:val="0"/>
            <w:vAlign w:val="center"/>
          </w:tcPr>
          <w:p w14:paraId="1229B53F">
            <w:pPr>
              <w:spacing w:line="288" w:lineRule="auto"/>
              <w:jc w:val="center"/>
              <w:rPr>
                <w:rFonts w:hint="eastAsia" w:eastAsia="宋体"/>
                <w:b/>
                <w:bCs/>
                <w:color w:val="auto"/>
                <w:sz w:val="24"/>
                <w:szCs w:val="24"/>
                <w:lang w:val="en-US" w:eastAsia="zh-CN"/>
              </w:rPr>
            </w:pPr>
            <w:r>
              <w:rPr>
                <w:rFonts w:hint="eastAsia"/>
                <w:b/>
                <w:bCs/>
                <w:color w:val="auto"/>
                <w:sz w:val="24"/>
                <w:szCs w:val="24"/>
                <w:lang w:val="en-US" w:eastAsia="zh-CN"/>
              </w:rPr>
              <w:t>6</w:t>
            </w:r>
          </w:p>
        </w:tc>
        <w:tc>
          <w:tcPr>
            <w:tcW w:w="6905" w:type="dxa"/>
            <w:noWrap w:val="0"/>
            <w:vAlign w:val="center"/>
          </w:tcPr>
          <w:p w14:paraId="18AD2293">
            <w:pPr>
              <w:spacing w:line="288" w:lineRule="auto"/>
              <w:rPr>
                <w:color w:val="auto"/>
                <w:sz w:val="24"/>
                <w:szCs w:val="24"/>
              </w:rPr>
            </w:pPr>
            <w:r>
              <w:rPr>
                <w:rFonts w:hint="eastAsia" w:ascii="宋体" w:hAnsi="宋体" w:cs="宋体"/>
                <w:color w:val="auto"/>
                <w:kern w:val="2"/>
                <w:sz w:val="24"/>
                <w:szCs w:val="24"/>
                <w:lang w:val="en-US" w:eastAsia="zh-CN" w:bidi="ar"/>
              </w:rPr>
              <w:t>针对本项目个人职业防护、药物中毒处置和迎检工作预案完整性、合理性进行评审</w:t>
            </w:r>
            <w:r>
              <w:rPr>
                <w:rFonts w:hint="eastAsia" w:ascii="宋体" w:hAnsi="宋体" w:cs="宋体"/>
                <w:color w:val="auto"/>
                <w:spacing w:val="-6"/>
                <w:kern w:val="2"/>
                <w:sz w:val="24"/>
                <w:szCs w:val="24"/>
                <w:lang w:bidi="ar"/>
              </w:rPr>
              <w:t>。有欠缺</w:t>
            </w:r>
            <w:r>
              <w:rPr>
                <w:rFonts w:hint="eastAsia" w:ascii="宋体" w:hAnsi="宋体" w:cs="宋体"/>
                <w:color w:val="auto"/>
                <w:spacing w:val="-6"/>
                <w:kern w:val="2"/>
                <w:sz w:val="24"/>
                <w:szCs w:val="24"/>
                <w:lang w:val="en-US" w:eastAsia="zh-CN" w:bidi="ar"/>
              </w:rPr>
              <w:t>或</w:t>
            </w:r>
            <w:r>
              <w:rPr>
                <w:rFonts w:hint="eastAsia" w:ascii="宋体" w:hAnsi="宋体" w:cs="宋体"/>
                <w:color w:val="auto"/>
                <w:spacing w:val="-6"/>
                <w:kern w:val="2"/>
                <w:sz w:val="24"/>
                <w:szCs w:val="24"/>
                <w:lang w:bidi="ar"/>
              </w:rPr>
              <w:t>不合理的，每处扣1分。</w:t>
            </w:r>
            <w:r>
              <w:rPr>
                <w:rFonts w:hint="eastAsia" w:cs="宋体"/>
                <w:color w:val="auto"/>
                <w:kern w:val="2"/>
                <w:sz w:val="24"/>
                <w:szCs w:val="24"/>
                <w:lang w:bidi="ar"/>
              </w:rPr>
              <w:t>本项</w:t>
            </w:r>
            <w:r>
              <w:rPr>
                <w:rFonts w:hint="eastAsia" w:ascii="宋体" w:hAnsi="宋体" w:cs="宋体"/>
                <w:color w:val="auto"/>
                <w:kern w:val="2"/>
                <w:sz w:val="24"/>
                <w:szCs w:val="24"/>
                <w:lang w:bidi="ar"/>
              </w:rPr>
              <w:t>最高得</w:t>
            </w:r>
            <w:r>
              <w:rPr>
                <w:rFonts w:hint="eastAsia" w:ascii="宋体" w:hAnsi="宋体" w:cs="宋体"/>
                <w:color w:val="auto"/>
                <w:kern w:val="2"/>
                <w:sz w:val="24"/>
                <w:szCs w:val="24"/>
                <w:lang w:val="en-US" w:eastAsia="zh-CN" w:bidi="ar"/>
              </w:rPr>
              <w:t>6</w:t>
            </w:r>
            <w:r>
              <w:rPr>
                <w:rFonts w:hint="eastAsia" w:ascii="宋体" w:hAnsi="宋体" w:cs="宋体"/>
                <w:color w:val="auto"/>
                <w:kern w:val="2"/>
                <w:sz w:val="24"/>
                <w:szCs w:val="24"/>
                <w:lang w:bidi="ar"/>
              </w:rPr>
              <w:t>分。</w:t>
            </w:r>
          </w:p>
        </w:tc>
      </w:tr>
      <w:tr w14:paraId="25F3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vMerge w:val="continue"/>
            <w:noWrap w:val="0"/>
            <w:vAlign w:val="center"/>
          </w:tcPr>
          <w:p w14:paraId="5C3EE347">
            <w:pPr>
              <w:spacing w:line="288" w:lineRule="auto"/>
              <w:jc w:val="center"/>
              <w:rPr>
                <w:b/>
                <w:bCs/>
                <w:color w:val="auto"/>
                <w:sz w:val="24"/>
                <w:szCs w:val="24"/>
              </w:rPr>
            </w:pPr>
          </w:p>
        </w:tc>
        <w:tc>
          <w:tcPr>
            <w:tcW w:w="810" w:type="dxa"/>
            <w:noWrap w:val="0"/>
            <w:vAlign w:val="center"/>
          </w:tcPr>
          <w:p w14:paraId="49BDBD89">
            <w:pPr>
              <w:spacing w:line="288" w:lineRule="auto"/>
              <w:jc w:val="center"/>
              <w:rPr>
                <w:rFonts w:hint="eastAsia" w:eastAsia="宋体"/>
                <w:b/>
                <w:bCs/>
                <w:color w:val="auto"/>
                <w:sz w:val="24"/>
                <w:szCs w:val="24"/>
                <w:lang w:val="en-US" w:eastAsia="zh-CN"/>
              </w:rPr>
            </w:pPr>
            <w:r>
              <w:rPr>
                <w:rFonts w:hint="eastAsia"/>
                <w:b/>
                <w:bCs/>
                <w:color w:val="auto"/>
                <w:sz w:val="24"/>
                <w:szCs w:val="24"/>
                <w:lang w:val="en-US" w:eastAsia="zh-CN"/>
              </w:rPr>
              <w:t>6</w:t>
            </w:r>
          </w:p>
        </w:tc>
        <w:tc>
          <w:tcPr>
            <w:tcW w:w="6905" w:type="dxa"/>
            <w:noWrap w:val="0"/>
            <w:vAlign w:val="center"/>
          </w:tcPr>
          <w:p w14:paraId="04713537">
            <w:pPr>
              <w:spacing w:line="288" w:lineRule="auto"/>
              <w:rPr>
                <w:color w:val="auto"/>
                <w:sz w:val="24"/>
                <w:szCs w:val="24"/>
              </w:rPr>
            </w:pPr>
            <w:r>
              <w:rPr>
                <w:rFonts w:hint="eastAsia" w:ascii="宋体" w:hAnsi="宋体" w:cs="宋体"/>
                <w:color w:val="auto"/>
                <w:kern w:val="2"/>
                <w:sz w:val="24"/>
                <w:szCs w:val="24"/>
                <w:lang w:val="en-US" w:eastAsia="zh-CN" w:bidi="ar"/>
              </w:rPr>
              <w:t>针对本项目的内部组织管理制度（包含工作考勤、监督管理机制、员工奖罚管理）的完整性、合理性进行评审。有欠缺或不合理的，每处扣1分。本项最高得6分。</w:t>
            </w:r>
          </w:p>
        </w:tc>
      </w:tr>
      <w:tr w14:paraId="4D68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41" w:type="dxa"/>
            <w:noWrap w:val="0"/>
            <w:vAlign w:val="center"/>
          </w:tcPr>
          <w:p w14:paraId="330F677C">
            <w:pPr>
              <w:adjustRightInd w:val="0"/>
              <w:snapToGrid w:val="0"/>
              <w:spacing w:line="288" w:lineRule="auto"/>
              <w:jc w:val="center"/>
              <w:rPr>
                <w:rFonts w:hint="eastAsia"/>
                <w:b/>
                <w:bCs/>
                <w:color w:val="auto"/>
                <w:sz w:val="24"/>
                <w:szCs w:val="24"/>
                <w:lang w:val="en-US" w:eastAsia="zh-CN"/>
              </w:rPr>
            </w:pPr>
            <w:r>
              <w:rPr>
                <w:rFonts w:hint="eastAsia"/>
                <w:b/>
                <w:bCs/>
                <w:color w:val="auto"/>
                <w:sz w:val="24"/>
                <w:szCs w:val="24"/>
              </w:rPr>
              <w:t>培训计划</w:t>
            </w:r>
          </w:p>
        </w:tc>
        <w:tc>
          <w:tcPr>
            <w:tcW w:w="810" w:type="dxa"/>
            <w:noWrap w:val="0"/>
            <w:vAlign w:val="center"/>
          </w:tcPr>
          <w:p w14:paraId="01EA0816">
            <w:pPr>
              <w:spacing w:line="288" w:lineRule="auto"/>
              <w:jc w:val="center"/>
              <w:rPr>
                <w:rFonts w:hint="eastAsia" w:ascii="宋体" w:hAnsi="宋体" w:cs="宋体"/>
                <w:b/>
                <w:bCs/>
                <w:color w:val="auto"/>
                <w:spacing w:val="-6"/>
                <w:kern w:val="2"/>
                <w:sz w:val="24"/>
                <w:szCs w:val="24"/>
                <w:lang w:val="en-US" w:eastAsia="zh-CN" w:bidi="ar"/>
              </w:rPr>
            </w:pPr>
            <w:r>
              <w:rPr>
                <w:rFonts w:hint="eastAsia" w:cs="宋体"/>
                <w:b/>
                <w:bCs/>
                <w:color w:val="auto"/>
                <w:spacing w:val="-6"/>
                <w:kern w:val="2"/>
                <w:sz w:val="24"/>
                <w:szCs w:val="24"/>
                <w:lang w:val="en-US" w:eastAsia="zh-CN" w:bidi="ar"/>
              </w:rPr>
              <w:t>3</w:t>
            </w:r>
          </w:p>
        </w:tc>
        <w:tc>
          <w:tcPr>
            <w:tcW w:w="6905" w:type="dxa"/>
            <w:noWrap w:val="0"/>
            <w:vAlign w:val="center"/>
          </w:tcPr>
          <w:p w14:paraId="61917720">
            <w:pPr>
              <w:spacing w:line="288" w:lineRule="auto"/>
              <w:rPr>
                <w:color w:val="auto"/>
                <w:sz w:val="24"/>
                <w:shd w:val="clear" w:color="auto" w:fill="FFFFFF"/>
              </w:rPr>
            </w:pPr>
            <w:r>
              <w:rPr>
                <w:rFonts w:hint="eastAsia" w:ascii="宋体" w:hAnsi="宋体" w:cs="宋体"/>
                <w:color w:val="auto"/>
                <w:kern w:val="2"/>
                <w:sz w:val="24"/>
                <w:szCs w:val="24"/>
                <w:lang w:val="en-US" w:eastAsia="zh-CN" w:bidi="ar"/>
              </w:rPr>
              <w:t>针</w:t>
            </w:r>
            <w:r>
              <w:rPr>
                <w:rFonts w:hint="eastAsia" w:ascii="宋体" w:hAnsi="宋体" w:cs="宋体"/>
                <w:color w:val="auto"/>
                <w:kern w:val="2"/>
                <w:sz w:val="24"/>
                <w:szCs w:val="24"/>
                <w:lang w:bidi="ar"/>
              </w:rPr>
              <w:t>对本项目人员的业务培训的内容和措施</w:t>
            </w:r>
            <w:r>
              <w:rPr>
                <w:rFonts w:hint="eastAsia" w:ascii="宋体" w:hAnsi="宋体" w:cs="宋体"/>
                <w:color w:val="auto"/>
                <w:kern w:val="2"/>
                <w:sz w:val="24"/>
                <w:szCs w:val="24"/>
                <w:lang w:val="en-US" w:eastAsia="zh-CN" w:bidi="ar"/>
              </w:rPr>
              <w:t>的完整性、合理性进行评审</w:t>
            </w:r>
            <w:r>
              <w:rPr>
                <w:rFonts w:hint="eastAsia" w:ascii="宋体" w:hAnsi="宋体" w:cs="宋体"/>
                <w:color w:val="auto"/>
                <w:kern w:val="2"/>
                <w:sz w:val="24"/>
                <w:szCs w:val="24"/>
                <w:lang w:bidi="ar"/>
              </w:rPr>
              <w:t>。有欠缺</w:t>
            </w:r>
            <w:r>
              <w:rPr>
                <w:rFonts w:hint="eastAsia" w:ascii="宋体" w:hAnsi="宋体" w:cs="宋体"/>
                <w:color w:val="auto"/>
                <w:kern w:val="2"/>
                <w:sz w:val="24"/>
                <w:szCs w:val="24"/>
                <w:lang w:val="en-US" w:eastAsia="zh-CN" w:bidi="ar"/>
              </w:rPr>
              <w:t>或</w:t>
            </w:r>
            <w:r>
              <w:rPr>
                <w:rFonts w:hint="eastAsia" w:ascii="宋体" w:hAnsi="宋体" w:cs="宋体"/>
                <w:color w:val="auto"/>
                <w:kern w:val="2"/>
                <w:sz w:val="24"/>
                <w:szCs w:val="24"/>
                <w:lang w:bidi="ar"/>
              </w:rPr>
              <w:t>不合理的，每处扣1分。本项最高得</w:t>
            </w:r>
            <w:r>
              <w:rPr>
                <w:rFonts w:hint="eastAsia" w:ascii="宋体" w:hAnsi="宋体" w:cs="宋体"/>
                <w:color w:val="auto"/>
                <w:kern w:val="2"/>
                <w:sz w:val="24"/>
                <w:szCs w:val="24"/>
                <w:lang w:val="en-US" w:eastAsia="zh-CN" w:bidi="ar"/>
              </w:rPr>
              <w:t>3</w:t>
            </w:r>
            <w:r>
              <w:rPr>
                <w:rFonts w:hint="eastAsia" w:ascii="宋体" w:hAnsi="宋体" w:cs="宋体"/>
                <w:color w:val="auto"/>
                <w:kern w:val="2"/>
                <w:sz w:val="24"/>
                <w:szCs w:val="24"/>
                <w:lang w:bidi="ar"/>
              </w:rPr>
              <w:t>分。</w:t>
            </w:r>
          </w:p>
        </w:tc>
      </w:tr>
      <w:tr w14:paraId="5421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1641" w:type="dxa"/>
            <w:noWrap w:val="0"/>
            <w:vAlign w:val="center"/>
          </w:tcPr>
          <w:p w14:paraId="7A6F2DB4">
            <w:pPr>
              <w:spacing w:line="288" w:lineRule="auto"/>
              <w:jc w:val="center"/>
              <w:rPr>
                <w:rFonts w:hint="default" w:eastAsia="宋体"/>
                <w:b/>
                <w:bCs/>
                <w:color w:val="auto"/>
                <w:sz w:val="24"/>
                <w:szCs w:val="24"/>
                <w:lang w:val="en-US" w:eastAsia="zh-CN"/>
              </w:rPr>
            </w:pPr>
            <w:r>
              <w:rPr>
                <w:rFonts w:hint="eastAsia"/>
                <w:b/>
                <w:bCs/>
                <w:color w:val="auto"/>
                <w:sz w:val="24"/>
                <w:szCs w:val="24"/>
                <w:lang w:val="en-US" w:eastAsia="zh-CN"/>
              </w:rPr>
              <w:t>应急预案</w:t>
            </w:r>
          </w:p>
        </w:tc>
        <w:tc>
          <w:tcPr>
            <w:tcW w:w="810" w:type="dxa"/>
            <w:noWrap w:val="0"/>
            <w:vAlign w:val="center"/>
          </w:tcPr>
          <w:p w14:paraId="41693356">
            <w:pPr>
              <w:spacing w:line="288" w:lineRule="auto"/>
              <w:jc w:val="center"/>
              <w:rPr>
                <w:b/>
                <w:bCs/>
                <w:color w:val="auto"/>
                <w:sz w:val="24"/>
                <w:szCs w:val="24"/>
              </w:rPr>
            </w:pPr>
            <w:r>
              <w:rPr>
                <w:rFonts w:hint="eastAsia" w:ascii="宋体" w:hAnsi="宋体" w:cs="宋体"/>
                <w:b/>
                <w:bCs/>
                <w:color w:val="auto"/>
                <w:spacing w:val="-6"/>
                <w:kern w:val="2"/>
                <w:sz w:val="24"/>
                <w:szCs w:val="24"/>
                <w:lang w:val="en-US" w:eastAsia="zh-CN" w:bidi="ar"/>
              </w:rPr>
              <w:t>4</w:t>
            </w:r>
          </w:p>
        </w:tc>
        <w:tc>
          <w:tcPr>
            <w:tcW w:w="6905" w:type="dxa"/>
            <w:noWrap w:val="0"/>
            <w:vAlign w:val="center"/>
          </w:tcPr>
          <w:p w14:paraId="17B233D9">
            <w:pPr>
              <w:spacing w:line="288" w:lineRule="auto"/>
              <w:rPr>
                <w:color w:val="auto"/>
                <w:sz w:val="24"/>
                <w:szCs w:val="24"/>
              </w:rPr>
            </w:pPr>
            <w:r>
              <w:rPr>
                <w:color w:val="auto"/>
                <w:sz w:val="24"/>
                <w:shd w:val="clear" w:color="auto" w:fill="FFFFFF"/>
              </w:rPr>
              <w:t>应对蚊媒等病媒生物为媒介的传染病流行处置应急预案合理性。鼠疫、登革热、疟疾、寨卡病毒病等疫情应急处置技术方案，能在接到通知后，根据疫情严重程度，至少组织6人以上应急处置队伍，并携带必要的消杀器械，能在2小时内到达应急现场</w:t>
            </w:r>
            <w:r>
              <w:rPr>
                <w:rFonts w:hint="eastAsia"/>
                <w:color w:val="auto"/>
                <w:sz w:val="24"/>
                <w:shd w:val="clear" w:color="auto" w:fill="FFFFFF"/>
                <w:lang w:eastAsia="zh-CN"/>
              </w:rPr>
              <w:t>。</w:t>
            </w:r>
            <w:r>
              <w:rPr>
                <w:rFonts w:hint="eastAsia"/>
                <w:color w:val="auto"/>
                <w:sz w:val="24"/>
                <w:shd w:val="clear" w:color="auto" w:fill="FFFFFF"/>
                <w:lang w:val="en-US" w:eastAsia="zh-CN"/>
              </w:rPr>
              <w:t>根据方案的完整性、合理性进行评审，</w:t>
            </w:r>
            <w:r>
              <w:rPr>
                <w:rFonts w:hint="eastAsia" w:ascii="宋体" w:hAnsi="宋体" w:cs="宋体"/>
                <w:color w:val="auto"/>
                <w:kern w:val="2"/>
                <w:sz w:val="24"/>
                <w:szCs w:val="24"/>
                <w:lang w:val="en-US" w:eastAsia="zh-CN" w:bidi="ar"/>
              </w:rPr>
              <w:t>有欠缺或不合理的，每处扣1分。及时性不满足本项得0分。本项最高得4分</w:t>
            </w:r>
            <w:r>
              <w:rPr>
                <w:rFonts w:hint="eastAsia"/>
                <w:color w:val="auto"/>
                <w:sz w:val="24"/>
                <w:shd w:val="clear" w:color="auto" w:fill="FFFFFF"/>
              </w:rPr>
              <w:t>。</w:t>
            </w:r>
          </w:p>
        </w:tc>
      </w:tr>
    </w:tbl>
    <w:p w14:paraId="58F0DEB6">
      <w:pPr>
        <w:pStyle w:val="3"/>
        <w:spacing w:before="120" w:beforeLines="50" w:line="288" w:lineRule="auto"/>
        <w:ind w:firstLine="422" w:firstLineChars="175"/>
        <w:rPr>
          <w:rFonts w:ascii="宋体" w:hAnsi="宋体"/>
          <w:b/>
          <w:color w:val="auto"/>
          <w:sz w:val="24"/>
          <w:szCs w:val="24"/>
        </w:rPr>
      </w:pPr>
      <w:r>
        <w:rPr>
          <w:rFonts w:hint="eastAsia"/>
          <w:b/>
          <w:color w:val="auto"/>
          <w:szCs w:val="24"/>
        </w:rPr>
        <w:t>注：中标（成交）供应商需在评审结束后3个工作日内提交涉及客观分评审内容的检测报告、认证证书等资料的原件或认证网站网址，若无法提供或提供虚假材料则采购方有权认定中标（成交）无效，且将中标（成交）供应商列入黑名单。</w:t>
      </w:r>
      <w:bookmarkStart w:id="428" w:name="_Toc22598"/>
      <w:bookmarkStart w:id="429" w:name="_Toc1372"/>
      <w:bookmarkStart w:id="430" w:name="_Toc6434"/>
      <w:bookmarkStart w:id="431" w:name="_Toc25244"/>
      <w:bookmarkStart w:id="432" w:name="_Toc10701"/>
      <w:bookmarkStart w:id="433" w:name="_Toc24145"/>
      <w:bookmarkStart w:id="434" w:name="_Toc20757"/>
      <w:r>
        <w:rPr>
          <w:rFonts w:hint="eastAsia" w:ascii="宋体" w:hAnsi="宋体"/>
          <w:b/>
          <w:color w:val="auto"/>
          <w:sz w:val="24"/>
          <w:szCs w:val="24"/>
        </w:rPr>
        <w:br w:type="page"/>
      </w:r>
    </w:p>
    <w:bookmarkEnd w:id="428"/>
    <w:bookmarkEnd w:id="429"/>
    <w:bookmarkEnd w:id="430"/>
    <w:bookmarkEnd w:id="431"/>
    <w:bookmarkEnd w:id="432"/>
    <w:bookmarkEnd w:id="433"/>
    <w:bookmarkEnd w:id="434"/>
    <w:p w14:paraId="262EAE73">
      <w:pPr>
        <w:pStyle w:val="4"/>
        <w:keepNext/>
        <w:keepLines/>
        <w:pageBreakBefore w:val="0"/>
        <w:widowControl w:val="0"/>
        <w:kinsoku/>
        <w:wordWrap/>
        <w:overflowPunct/>
        <w:topLinePunct w:val="0"/>
        <w:autoSpaceDE/>
        <w:autoSpaceDN/>
        <w:bidi w:val="0"/>
        <w:adjustRightInd w:val="0"/>
        <w:snapToGrid/>
        <w:spacing w:before="0" w:after="0"/>
        <w:textAlignment w:val="auto"/>
        <w:outlineLvl w:val="0"/>
        <w:rPr>
          <w:color w:val="auto"/>
        </w:rPr>
      </w:pPr>
      <w:bookmarkStart w:id="435" w:name="_Toc6266_WPSOffice_Level1"/>
      <w:bookmarkStart w:id="436" w:name="_Toc2280"/>
      <w:bookmarkStart w:id="437" w:name="_Toc31736_WPSOffice_Level1"/>
      <w:bookmarkStart w:id="438" w:name="_Toc30517"/>
      <w:bookmarkStart w:id="439" w:name="_Toc886"/>
      <w:bookmarkStart w:id="440" w:name="_Toc10667"/>
      <w:bookmarkStart w:id="441" w:name="_Toc6559"/>
      <w:bookmarkStart w:id="442" w:name="_Toc12834"/>
      <w:bookmarkStart w:id="443" w:name="_Toc3727"/>
      <w:bookmarkStart w:id="444" w:name="_Toc18610"/>
      <w:bookmarkStart w:id="445" w:name="_Toc16795"/>
      <w:bookmarkStart w:id="446" w:name="_Toc8356"/>
      <w:bookmarkStart w:id="447" w:name="_Toc2560"/>
      <w:bookmarkStart w:id="448" w:name="_Toc16244"/>
      <w:bookmarkStart w:id="449" w:name="_Toc10262"/>
      <w:bookmarkStart w:id="450" w:name="_Toc13533"/>
      <w:bookmarkStart w:id="451" w:name="_Toc3807"/>
      <w:bookmarkStart w:id="452" w:name="_Toc1047"/>
      <w:bookmarkStart w:id="453" w:name="_Toc22400"/>
      <w:bookmarkStart w:id="454" w:name="_Toc26629"/>
      <w:bookmarkStart w:id="455" w:name="_Toc11103"/>
      <w:bookmarkStart w:id="456" w:name="_Toc8338"/>
      <w:bookmarkStart w:id="457" w:name="_Toc18687"/>
      <w:bookmarkStart w:id="458" w:name="_Toc22722"/>
      <w:bookmarkStart w:id="459" w:name="_Toc32613"/>
      <w:bookmarkStart w:id="460" w:name="_Toc24190"/>
      <w:bookmarkStart w:id="461" w:name="_Toc11486"/>
      <w:bookmarkStart w:id="462" w:name="_Toc1600"/>
      <w:bookmarkStart w:id="463" w:name="_Toc8120"/>
      <w:r>
        <w:rPr>
          <w:rFonts w:hint="eastAsia"/>
          <w:color w:val="auto"/>
        </w:rPr>
        <w:t>第五部分 合同基本条款</w:t>
      </w:r>
      <w:bookmarkEnd w:id="435"/>
      <w:bookmarkEnd w:id="436"/>
      <w:bookmarkEnd w:id="437"/>
    </w:p>
    <w:bookmarkEnd w:id="438"/>
    <w:bookmarkEnd w:id="439"/>
    <w:p w14:paraId="1068C880">
      <w:pPr>
        <w:snapToGrid w:val="0"/>
        <w:spacing w:line="360" w:lineRule="auto"/>
        <w:rPr>
          <w:rFonts w:hAnsi="宋体"/>
          <w:b/>
          <w:bCs/>
          <w:color w:val="auto"/>
          <w:spacing w:val="-6"/>
          <w:szCs w:val="21"/>
        </w:rPr>
      </w:pPr>
      <w:bookmarkStart w:id="464" w:name="_Toc762"/>
      <w:bookmarkStart w:id="465" w:name="_Toc641"/>
      <w:bookmarkStart w:id="466" w:name="_Toc22294"/>
      <w:bookmarkStart w:id="467" w:name="_Toc23835"/>
      <w:bookmarkStart w:id="468" w:name="_Toc32309"/>
      <w:bookmarkStart w:id="469" w:name="_Toc2191"/>
      <w:bookmarkStart w:id="470" w:name="_Toc721"/>
      <w:bookmarkStart w:id="471" w:name="_Toc5553"/>
      <w:bookmarkStart w:id="472" w:name="_Toc27502"/>
      <w:bookmarkStart w:id="473" w:name="_Toc32708"/>
      <w:bookmarkStart w:id="474" w:name="_Toc8672"/>
      <w:bookmarkStart w:id="475" w:name="_Toc11617"/>
      <w:bookmarkStart w:id="476" w:name="_Toc816"/>
      <w:bookmarkStart w:id="477" w:name="_Toc7308"/>
      <w:r>
        <w:rPr>
          <w:rFonts w:hint="eastAsia" w:hAnsi="宋体"/>
          <w:b/>
          <w:bCs/>
          <w:color w:val="auto"/>
          <w:spacing w:val="-6"/>
          <w:szCs w:val="21"/>
        </w:rPr>
        <w:t>注：响应方不响应本合同中的条款，必须在响应文件偏离表中注明，否则视同完全响应。本合同</w:t>
      </w:r>
      <w:r>
        <w:rPr>
          <w:rFonts w:hint="eastAsia" w:hAnsi="宋体"/>
          <w:b/>
          <w:bCs/>
          <w:color w:val="auto"/>
          <w:spacing w:val="-6"/>
          <w:szCs w:val="21"/>
          <w:lang w:val="en-US" w:eastAsia="zh-CN"/>
        </w:rPr>
        <w:t>样稿</w:t>
      </w:r>
      <w:r>
        <w:rPr>
          <w:rFonts w:hint="eastAsia" w:hAnsi="宋体"/>
          <w:b/>
          <w:bCs/>
          <w:color w:val="auto"/>
          <w:spacing w:val="-6"/>
          <w:szCs w:val="21"/>
        </w:rPr>
        <w:t>为</w:t>
      </w:r>
      <w:r>
        <w:rPr>
          <w:rFonts w:hint="eastAsia" w:hAnsi="宋体"/>
          <w:b/>
          <w:bCs/>
          <w:color w:val="auto"/>
          <w:spacing w:val="-6"/>
          <w:szCs w:val="21"/>
          <w:lang w:val="en-US" w:eastAsia="zh-CN"/>
        </w:rPr>
        <w:t>采购统一</w:t>
      </w:r>
      <w:r>
        <w:rPr>
          <w:rFonts w:hint="eastAsia" w:hAnsi="宋体"/>
          <w:b/>
          <w:bCs/>
          <w:color w:val="auto"/>
          <w:spacing w:val="-6"/>
          <w:szCs w:val="21"/>
        </w:rPr>
        <w:t>合同</w:t>
      </w:r>
      <w:r>
        <w:rPr>
          <w:rFonts w:hint="eastAsia" w:hAnsi="宋体"/>
          <w:b/>
          <w:bCs/>
          <w:color w:val="auto"/>
          <w:spacing w:val="-6"/>
          <w:szCs w:val="21"/>
          <w:lang w:val="en-US" w:eastAsia="zh-CN"/>
        </w:rPr>
        <w:t>模板</w:t>
      </w:r>
      <w:r>
        <w:rPr>
          <w:rFonts w:hint="eastAsia" w:hAnsi="宋体"/>
          <w:b/>
          <w:bCs/>
          <w:color w:val="auto"/>
          <w:spacing w:val="-6"/>
          <w:szCs w:val="21"/>
        </w:rPr>
        <w:t>，</w:t>
      </w:r>
      <w:r>
        <w:rPr>
          <w:rFonts w:hint="eastAsia" w:hAnsi="宋体"/>
          <w:b/>
          <w:bCs/>
          <w:color w:val="auto"/>
          <w:spacing w:val="-6"/>
          <w:szCs w:val="21"/>
          <w:lang w:val="en-US" w:eastAsia="zh-CN"/>
        </w:rPr>
        <w:t>实际签订时以采购文件和采购结果为准，如有争议</w:t>
      </w:r>
      <w:r>
        <w:rPr>
          <w:rFonts w:hint="eastAsia" w:hAnsi="宋体"/>
          <w:b/>
          <w:bCs/>
          <w:color w:val="auto"/>
          <w:spacing w:val="-6"/>
          <w:szCs w:val="21"/>
        </w:rPr>
        <w:t>以甲方法务审核后的版本为准。</w:t>
      </w:r>
    </w:p>
    <w:p w14:paraId="493BDDB6">
      <w:pPr>
        <w:ind w:firstLine="562"/>
        <w:jc w:val="center"/>
        <w:outlineLvl w:val="0"/>
        <w:rPr>
          <w:color w:val="auto"/>
        </w:rPr>
      </w:pPr>
      <w:bookmarkStart w:id="478" w:name="_Toc27424_WPSOffice_Level2"/>
      <w:r>
        <w:rPr>
          <w:rFonts w:hint="eastAsia"/>
          <w:b/>
          <w:bCs/>
          <w:color w:val="auto"/>
          <w:sz w:val="28"/>
          <w:szCs w:val="28"/>
        </w:rPr>
        <w:t>杭州电子科技大学采购合同（服务类）</w:t>
      </w:r>
      <w:bookmarkEnd w:id="478"/>
    </w:p>
    <w:p w14:paraId="7726831B">
      <w:pPr>
        <w:jc w:val="right"/>
        <w:outlineLvl w:val="0"/>
        <w:rPr>
          <w:b/>
          <w:bCs/>
          <w:color w:val="auto"/>
        </w:rPr>
      </w:pPr>
      <w:r>
        <w:rPr>
          <w:rFonts w:hint="eastAsia"/>
          <w:color w:val="auto"/>
        </w:rPr>
        <w:t>合同编号_</w:t>
      </w:r>
      <w:r>
        <w:rPr>
          <w:color w:val="auto"/>
        </w:rPr>
        <w:t>________________</w:t>
      </w:r>
    </w:p>
    <w:p w14:paraId="4E324B6B">
      <w:pPr>
        <w:keepNext w:val="0"/>
        <w:keepLines w:val="0"/>
        <w:pageBreakBefore w:val="0"/>
        <w:widowControl w:val="0"/>
        <w:kinsoku/>
        <w:wordWrap/>
        <w:overflowPunct/>
        <w:topLinePunct w:val="0"/>
        <w:bidi w:val="0"/>
        <w:snapToGrid/>
        <w:spacing w:line="288" w:lineRule="auto"/>
        <w:ind w:left="0" w:leftChars="0" w:firstLine="413" w:firstLineChars="209"/>
        <w:textAlignment w:val="auto"/>
        <w:outlineLvl w:val="0"/>
        <w:rPr>
          <w:rFonts w:ascii="宋体" w:hAnsi="宋体" w:cs="宋体"/>
          <w:color w:val="auto"/>
          <w:spacing w:val="-6"/>
          <w:sz w:val="21"/>
          <w:szCs w:val="21"/>
        </w:rPr>
      </w:pPr>
      <w:r>
        <w:rPr>
          <w:rFonts w:hint="eastAsia" w:ascii="宋体" w:hAnsi="宋体" w:cs="宋体"/>
          <w:color w:val="auto"/>
          <w:spacing w:val="-6"/>
          <w:sz w:val="21"/>
          <w:szCs w:val="21"/>
        </w:rPr>
        <w:t>确认书号：</w:t>
      </w:r>
    </w:p>
    <w:p w14:paraId="1D3E3EA8">
      <w:pPr>
        <w:keepNext w:val="0"/>
        <w:keepLines w:val="0"/>
        <w:pageBreakBefore w:val="0"/>
        <w:widowControl w:val="0"/>
        <w:kinsoku/>
        <w:wordWrap/>
        <w:overflowPunct/>
        <w:topLinePunct w:val="0"/>
        <w:bidi w:val="0"/>
        <w:snapToGrid/>
        <w:spacing w:line="288" w:lineRule="auto"/>
        <w:ind w:left="0" w:leftChars="0" w:firstLine="413" w:firstLineChars="209"/>
        <w:textAlignment w:val="auto"/>
        <w:outlineLvl w:val="0"/>
        <w:rPr>
          <w:rFonts w:ascii="宋体" w:hAnsi="宋体" w:cs="宋体"/>
          <w:color w:val="auto"/>
          <w:spacing w:val="-6"/>
          <w:sz w:val="21"/>
          <w:szCs w:val="21"/>
        </w:rPr>
      </w:pPr>
      <w:r>
        <w:rPr>
          <w:rFonts w:hint="eastAsia" w:ascii="宋体" w:hAnsi="宋体" w:cs="宋体"/>
          <w:color w:val="auto"/>
          <w:spacing w:val="-6"/>
          <w:sz w:val="21"/>
          <w:szCs w:val="21"/>
        </w:rPr>
        <w:t>项目编号：</w:t>
      </w:r>
    </w:p>
    <w:p w14:paraId="12E3495E">
      <w:pPr>
        <w:keepNext w:val="0"/>
        <w:keepLines w:val="0"/>
        <w:pageBreakBefore w:val="0"/>
        <w:widowControl w:val="0"/>
        <w:kinsoku/>
        <w:wordWrap/>
        <w:overflowPunct/>
        <w:topLinePunct w:val="0"/>
        <w:bidi w:val="0"/>
        <w:snapToGrid/>
        <w:spacing w:line="288" w:lineRule="auto"/>
        <w:ind w:left="0" w:leftChars="0" w:firstLine="438" w:firstLineChars="209"/>
        <w:textAlignment w:val="auto"/>
        <w:outlineLvl w:val="0"/>
        <w:rPr>
          <w:color w:val="auto"/>
          <w:sz w:val="21"/>
          <w:szCs w:val="21"/>
        </w:rPr>
      </w:pPr>
      <w:r>
        <w:rPr>
          <w:rFonts w:hint="eastAsia"/>
          <w:color w:val="auto"/>
          <w:sz w:val="21"/>
          <w:szCs w:val="21"/>
        </w:rPr>
        <w:t xml:space="preserve">甲方（采购人）：杭州电子科技大学 </w:t>
      </w:r>
      <w:r>
        <w:rPr>
          <w:color w:val="auto"/>
          <w:sz w:val="21"/>
          <w:szCs w:val="21"/>
        </w:rPr>
        <w:t xml:space="preserve"> </w:t>
      </w:r>
    </w:p>
    <w:p w14:paraId="3DF76A27">
      <w:pPr>
        <w:keepNext w:val="0"/>
        <w:keepLines w:val="0"/>
        <w:pageBreakBefore w:val="0"/>
        <w:widowControl w:val="0"/>
        <w:kinsoku/>
        <w:wordWrap/>
        <w:overflowPunct/>
        <w:topLinePunct w:val="0"/>
        <w:bidi w:val="0"/>
        <w:snapToGrid/>
        <w:spacing w:line="288" w:lineRule="auto"/>
        <w:ind w:left="0" w:leftChars="0" w:firstLine="438" w:firstLineChars="209"/>
        <w:textAlignment w:val="auto"/>
        <w:outlineLvl w:val="0"/>
        <w:rPr>
          <w:color w:val="auto"/>
          <w:sz w:val="21"/>
          <w:szCs w:val="21"/>
        </w:rPr>
      </w:pPr>
      <w:r>
        <w:rPr>
          <w:rFonts w:hint="eastAsia"/>
          <w:color w:val="auto"/>
          <w:sz w:val="21"/>
          <w:szCs w:val="21"/>
        </w:rPr>
        <w:t>乙方（供应商）：</w:t>
      </w:r>
      <w:r>
        <w:rPr>
          <w:color w:val="auto"/>
          <w:sz w:val="21"/>
          <w:szCs w:val="21"/>
        </w:rPr>
        <w:t xml:space="preserve"> </w:t>
      </w:r>
    </w:p>
    <w:p w14:paraId="691AB28E">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为了保护甲乙双方合法权益，根据项目</w:t>
      </w:r>
      <w:r>
        <w:rPr>
          <w:color w:val="auto"/>
          <w:sz w:val="21"/>
          <w:szCs w:val="21"/>
          <w:u w:val="single"/>
        </w:rPr>
        <w:t xml:space="preserve">   (</w:t>
      </w:r>
      <w:r>
        <w:rPr>
          <w:rFonts w:hint="eastAsia"/>
          <w:color w:val="auto"/>
          <w:sz w:val="21"/>
          <w:szCs w:val="21"/>
          <w:u w:val="single"/>
        </w:rPr>
        <w:t>填项目名称</w:t>
      </w:r>
      <w:r>
        <w:rPr>
          <w:color w:val="auto"/>
          <w:sz w:val="21"/>
          <w:szCs w:val="21"/>
          <w:u w:val="single"/>
        </w:rPr>
        <w:t xml:space="preserve">)      </w:t>
      </w:r>
      <w:r>
        <w:rPr>
          <w:rFonts w:hint="eastAsia"/>
          <w:color w:val="auto"/>
          <w:sz w:val="21"/>
          <w:szCs w:val="21"/>
          <w:lang w:eastAsia="zh-CN"/>
        </w:rPr>
        <w:t>、</w:t>
      </w:r>
      <w:r>
        <w:rPr>
          <w:color w:val="auto"/>
          <w:sz w:val="21"/>
          <w:szCs w:val="21"/>
          <w:u w:val="single"/>
        </w:rPr>
        <w:t xml:space="preserve"> </w:t>
      </w:r>
      <w:r>
        <w:rPr>
          <w:rFonts w:hint="eastAsia"/>
          <w:color w:val="auto"/>
          <w:sz w:val="21"/>
          <w:szCs w:val="21"/>
          <w:u w:val="single"/>
        </w:rPr>
        <w:t>（填采购方式）</w:t>
      </w:r>
      <w:r>
        <w:rPr>
          <w:color w:val="auto"/>
          <w:sz w:val="21"/>
          <w:szCs w:val="21"/>
          <w:u w:val="single"/>
        </w:rPr>
        <w:t xml:space="preserve">   </w:t>
      </w:r>
      <w:r>
        <w:rPr>
          <w:rFonts w:hint="eastAsia"/>
          <w:color w:val="auto"/>
          <w:sz w:val="21"/>
          <w:szCs w:val="21"/>
        </w:rPr>
        <w:t>的中标（成交）结果，签署本合同，以资共同遵守。</w:t>
      </w:r>
      <w:r>
        <w:rPr>
          <w:color w:val="auto"/>
          <w:sz w:val="21"/>
          <w:szCs w:val="21"/>
        </w:rPr>
        <w:t xml:space="preserve">  </w:t>
      </w:r>
    </w:p>
    <w:p w14:paraId="6895644A">
      <w:pPr>
        <w:pStyle w:val="168"/>
        <w:keepNext w:val="0"/>
        <w:keepLines w:val="0"/>
        <w:pageBreakBefore w:val="0"/>
        <w:widowControl w:val="0"/>
        <w:kinsoku/>
        <w:wordWrap/>
        <w:overflowPunct/>
        <w:topLinePunct w:val="0"/>
        <w:bidi w:val="0"/>
        <w:snapToGrid/>
        <w:spacing w:line="288" w:lineRule="auto"/>
        <w:textAlignment w:val="auto"/>
        <w:outlineLvl w:val="0"/>
        <w:rPr>
          <w:b/>
          <w:bCs/>
          <w:color w:val="auto"/>
          <w:sz w:val="21"/>
          <w:szCs w:val="21"/>
        </w:rPr>
      </w:pPr>
      <w:bookmarkStart w:id="479" w:name="_Toc32358_WPSOffice_Level2"/>
      <w:r>
        <w:rPr>
          <w:rFonts w:hint="eastAsia"/>
          <w:b/>
          <w:bCs/>
          <w:color w:val="auto"/>
          <w:sz w:val="21"/>
          <w:szCs w:val="21"/>
          <w:lang w:val="en-US" w:eastAsia="zh-CN"/>
        </w:rPr>
        <w:t>一、</w:t>
      </w:r>
      <w:r>
        <w:rPr>
          <w:rFonts w:hint="eastAsia"/>
          <w:b/>
          <w:bCs/>
          <w:color w:val="auto"/>
          <w:sz w:val="21"/>
          <w:szCs w:val="21"/>
        </w:rPr>
        <w:t>采购服务内容及合同价格</w:t>
      </w:r>
      <w:bookmarkEnd w:id="479"/>
    </w:p>
    <w:tbl>
      <w:tblPr>
        <w:tblStyle w:val="45"/>
        <w:tblW w:w="9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1179"/>
        <w:gridCol w:w="3289"/>
        <w:gridCol w:w="3736"/>
      </w:tblGrid>
      <w:tr w14:paraId="2E5D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vAlign w:val="center"/>
          </w:tcPr>
          <w:p w14:paraId="59D3BE58">
            <w:pPr>
              <w:keepNext w:val="0"/>
              <w:keepLines w:val="0"/>
              <w:pageBreakBefore w:val="0"/>
              <w:widowControl w:val="0"/>
              <w:kinsoku/>
              <w:wordWrap/>
              <w:overflowPunct/>
              <w:topLinePunct w:val="0"/>
              <w:bidi w:val="0"/>
              <w:snapToGrid/>
              <w:spacing w:line="288" w:lineRule="auto"/>
              <w:ind w:left="0" w:leftChars="0" w:firstLine="0" w:firstLineChars="0"/>
              <w:jc w:val="center"/>
              <w:textAlignment w:val="auto"/>
              <w:outlineLvl w:val="0"/>
              <w:rPr>
                <w:color w:val="auto"/>
                <w:sz w:val="21"/>
                <w:szCs w:val="21"/>
              </w:rPr>
            </w:pPr>
            <w:r>
              <w:rPr>
                <w:rFonts w:hint="eastAsia"/>
                <w:color w:val="auto"/>
                <w:sz w:val="21"/>
                <w:szCs w:val="21"/>
              </w:rPr>
              <w:t>序号</w:t>
            </w:r>
          </w:p>
        </w:tc>
        <w:tc>
          <w:tcPr>
            <w:tcW w:w="1179" w:type="dxa"/>
            <w:vAlign w:val="center"/>
          </w:tcPr>
          <w:p w14:paraId="26B50C9E">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r>
              <w:rPr>
                <w:rFonts w:hint="eastAsia"/>
                <w:color w:val="auto"/>
                <w:sz w:val="21"/>
                <w:szCs w:val="21"/>
              </w:rPr>
              <w:t>名称</w:t>
            </w:r>
          </w:p>
        </w:tc>
        <w:tc>
          <w:tcPr>
            <w:tcW w:w="3289" w:type="dxa"/>
            <w:vAlign w:val="center"/>
          </w:tcPr>
          <w:p w14:paraId="206D7CCC">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r>
              <w:rPr>
                <w:rFonts w:hint="eastAsia"/>
                <w:color w:val="auto"/>
                <w:sz w:val="21"/>
                <w:szCs w:val="21"/>
              </w:rPr>
              <w:t>主要内容</w:t>
            </w:r>
          </w:p>
        </w:tc>
        <w:tc>
          <w:tcPr>
            <w:tcW w:w="3736" w:type="dxa"/>
            <w:vAlign w:val="center"/>
          </w:tcPr>
          <w:p w14:paraId="085C2EC6">
            <w:pPr>
              <w:keepNext w:val="0"/>
              <w:keepLines w:val="0"/>
              <w:pageBreakBefore w:val="0"/>
              <w:widowControl w:val="0"/>
              <w:kinsoku/>
              <w:wordWrap/>
              <w:overflowPunct/>
              <w:topLinePunct w:val="0"/>
              <w:bidi w:val="0"/>
              <w:snapToGrid/>
              <w:spacing w:line="288" w:lineRule="auto"/>
              <w:jc w:val="center"/>
              <w:textAlignment w:val="auto"/>
              <w:outlineLvl w:val="0"/>
              <w:rPr>
                <w:color w:val="auto"/>
                <w:sz w:val="21"/>
                <w:szCs w:val="21"/>
              </w:rPr>
            </w:pPr>
            <w:r>
              <w:rPr>
                <w:rFonts w:hint="eastAsia"/>
                <w:color w:val="auto"/>
                <w:sz w:val="21"/>
                <w:szCs w:val="21"/>
              </w:rPr>
              <w:t>服务费用</w:t>
            </w:r>
          </w:p>
        </w:tc>
      </w:tr>
      <w:tr w14:paraId="53E1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41" w:type="dxa"/>
            <w:vAlign w:val="center"/>
          </w:tcPr>
          <w:p w14:paraId="0CDB7CDC">
            <w:pPr>
              <w:keepNext w:val="0"/>
              <w:keepLines w:val="0"/>
              <w:pageBreakBefore w:val="0"/>
              <w:widowControl w:val="0"/>
              <w:kinsoku/>
              <w:wordWrap/>
              <w:overflowPunct/>
              <w:topLinePunct w:val="0"/>
              <w:bidi w:val="0"/>
              <w:snapToGrid/>
              <w:spacing w:line="288" w:lineRule="auto"/>
              <w:jc w:val="center"/>
              <w:textAlignment w:val="auto"/>
              <w:outlineLvl w:val="0"/>
              <w:rPr>
                <w:color w:val="auto"/>
                <w:sz w:val="21"/>
                <w:szCs w:val="21"/>
              </w:rPr>
            </w:pPr>
            <w:r>
              <w:rPr>
                <w:color w:val="auto"/>
                <w:sz w:val="21"/>
                <w:szCs w:val="21"/>
              </w:rPr>
              <w:t>1</w:t>
            </w:r>
          </w:p>
        </w:tc>
        <w:tc>
          <w:tcPr>
            <w:tcW w:w="1179" w:type="dxa"/>
            <w:vAlign w:val="center"/>
          </w:tcPr>
          <w:p w14:paraId="4596B2A7">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c>
          <w:tcPr>
            <w:tcW w:w="3289" w:type="dxa"/>
            <w:vAlign w:val="center"/>
          </w:tcPr>
          <w:p w14:paraId="1A8639F7">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c>
          <w:tcPr>
            <w:tcW w:w="3736" w:type="dxa"/>
            <w:vAlign w:val="center"/>
          </w:tcPr>
          <w:p w14:paraId="6917480A">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r>
      <w:tr w14:paraId="49C0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41" w:type="dxa"/>
            <w:vAlign w:val="center"/>
          </w:tcPr>
          <w:p w14:paraId="456A8F4C">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c>
          <w:tcPr>
            <w:tcW w:w="1179" w:type="dxa"/>
            <w:vAlign w:val="center"/>
          </w:tcPr>
          <w:p w14:paraId="3ED8C81B">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c>
          <w:tcPr>
            <w:tcW w:w="3289" w:type="dxa"/>
            <w:vAlign w:val="center"/>
          </w:tcPr>
          <w:p w14:paraId="40A9A906">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c>
          <w:tcPr>
            <w:tcW w:w="3736" w:type="dxa"/>
            <w:vAlign w:val="center"/>
          </w:tcPr>
          <w:p w14:paraId="47B9DC0C">
            <w:pPr>
              <w:keepNext w:val="0"/>
              <w:keepLines w:val="0"/>
              <w:pageBreakBefore w:val="0"/>
              <w:widowControl w:val="0"/>
              <w:kinsoku/>
              <w:wordWrap/>
              <w:overflowPunct/>
              <w:topLinePunct w:val="0"/>
              <w:bidi w:val="0"/>
              <w:snapToGrid/>
              <w:spacing w:line="288" w:lineRule="auto"/>
              <w:textAlignment w:val="auto"/>
              <w:outlineLvl w:val="0"/>
              <w:rPr>
                <w:color w:val="auto"/>
                <w:sz w:val="21"/>
                <w:szCs w:val="21"/>
              </w:rPr>
            </w:pPr>
          </w:p>
        </w:tc>
      </w:tr>
      <w:tr w14:paraId="54A7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245" w:type="dxa"/>
            <w:gridSpan w:val="4"/>
            <w:vAlign w:val="center"/>
          </w:tcPr>
          <w:p w14:paraId="26D2E1CD">
            <w:pPr>
              <w:keepNext w:val="0"/>
              <w:keepLines w:val="0"/>
              <w:pageBreakBefore w:val="0"/>
              <w:widowControl w:val="0"/>
              <w:kinsoku/>
              <w:wordWrap/>
              <w:overflowPunct/>
              <w:topLinePunct w:val="0"/>
              <w:bidi w:val="0"/>
              <w:snapToGrid/>
              <w:spacing w:line="288" w:lineRule="auto"/>
              <w:textAlignment w:val="auto"/>
              <w:outlineLvl w:val="0"/>
              <w:rPr>
                <w:rFonts w:cs="宋体"/>
                <w:color w:val="auto"/>
                <w:sz w:val="21"/>
                <w:szCs w:val="21"/>
              </w:rPr>
            </w:pPr>
            <w:r>
              <w:rPr>
                <w:rFonts w:hint="eastAsia"/>
                <w:color w:val="auto"/>
                <w:sz w:val="21"/>
                <w:szCs w:val="21"/>
              </w:rPr>
              <w:t>合同总价（元，人民币）：小写</w:t>
            </w:r>
            <w:r>
              <w:rPr>
                <w:rFonts w:hint="eastAsia" w:cs="宋体"/>
                <w:color w:val="auto"/>
                <w:sz w:val="21"/>
                <w:szCs w:val="21"/>
              </w:rPr>
              <w:t>￥</w:t>
            </w:r>
            <w:r>
              <w:rPr>
                <w:color w:val="auto"/>
                <w:sz w:val="21"/>
                <w:szCs w:val="21"/>
              </w:rPr>
              <w:t xml:space="preserve">              </w:t>
            </w:r>
            <w:r>
              <w:rPr>
                <w:rFonts w:hint="eastAsia"/>
                <w:color w:val="auto"/>
                <w:sz w:val="21"/>
                <w:szCs w:val="21"/>
              </w:rPr>
              <w:t>，大写：</w:t>
            </w:r>
          </w:p>
        </w:tc>
      </w:tr>
    </w:tbl>
    <w:p w14:paraId="3169956E">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b/>
          <w:bCs/>
          <w:color w:val="auto"/>
          <w:sz w:val="21"/>
          <w:szCs w:val="21"/>
        </w:rPr>
      </w:pPr>
      <w:r>
        <w:rPr>
          <w:rFonts w:hint="eastAsia"/>
          <w:color w:val="auto"/>
          <w:sz w:val="21"/>
          <w:szCs w:val="21"/>
        </w:rPr>
        <w:t>注：以上合同总价包含乙方完成本项目所必需的人员、设备、材料等一切费用，包括但不限于劳务费、差旅费、设备使用费、材料费、折旧费、运输费、其他技术服务费、培训费、保修保换费、保险费、税费等。对于据实结算的服务采购，须列明服务单项报价，最终实际结算金额不得超过本合同约定的服务费用总额。</w:t>
      </w:r>
    </w:p>
    <w:p w14:paraId="25F8DB2E">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0" w:name="_Toc7016_WPSOffice_Level2"/>
      <w:r>
        <w:rPr>
          <w:rFonts w:hint="eastAsia"/>
          <w:b/>
          <w:bCs/>
          <w:color w:val="auto"/>
          <w:sz w:val="21"/>
          <w:szCs w:val="21"/>
        </w:rPr>
        <w:t>二、服务内容与要求</w:t>
      </w:r>
      <w:bookmarkEnd w:id="480"/>
    </w:p>
    <w:p w14:paraId="602B5BAF">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（按采购文件及采购结果填写</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rPr>
        <w:t>）</w:t>
      </w:r>
    </w:p>
    <w:p w14:paraId="485EBE71">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1" w:name="_Toc20118_WPSOffice_Level2"/>
      <w:r>
        <w:rPr>
          <w:rFonts w:hint="eastAsia"/>
          <w:b/>
          <w:bCs/>
          <w:color w:val="auto"/>
          <w:sz w:val="21"/>
          <w:szCs w:val="21"/>
        </w:rPr>
        <w:t>三、服务时间与地点</w:t>
      </w:r>
      <w:bookmarkEnd w:id="481"/>
    </w:p>
    <w:p w14:paraId="312B658C">
      <w:pPr>
        <w:pStyle w:val="8"/>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color w:val="auto"/>
          <w:sz w:val="21"/>
          <w:szCs w:val="21"/>
          <w:u w:val="single"/>
        </w:rPr>
      </w:pPr>
      <w:r>
        <w:rPr>
          <w:rFonts w:asciiTheme="minorEastAsia" w:hAnsiTheme="minorEastAsia" w:eastAsiaTheme="minorEastAsia"/>
          <w:b/>
          <w:bCs/>
          <w:color w:val="auto"/>
          <w:sz w:val="21"/>
          <w:szCs w:val="21"/>
        </w:rPr>
        <w:t>1</w:t>
      </w:r>
      <w:r>
        <w:rPr>
          <w:rFonts w:asciiTheme="minorEastAsia" w:hAnsiTheme="minorEastAsia" w:eastAsiaTheme="minorEastAsia"/>
          <w:b/>
          <w:bCs/>
          <w:color w:val="auto"/>
          <w:spacing w:val="-6"/>
          <w:sz w:val="21"/>
          <w:szCs w:val="21"/>
        </w:rPr>
        <w:t>.</w:t>
      </w:r>
      <w:r>
        <w:rPr>
          <w:rFonts w:hint="eastAsia"/>
          <w:b/>
          <w:bCs/>
          <w:color w:val="auto"/>
          <w:sz w:val="21"/>
          <w:szCs w:val="21"/>
        </w:rPr>
        <w:t>服务时间</w:t>
      </w:r>
      <w:r>
        <w:rPr>
          <w:color w:val="auto"/>
          <w:sz w:val="21"/>
          <w:szCs w:val="21"/>
        </w:rPr>
        <w:t xml:space="preserve"> </w:t>
      </w:r>
    </w:p>
    <w:p w14:paraId="43A52171">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hint="default" w:eastAsia="宋体"/>
          <w:color w:val="auto"/>
          <w:sz w:val="21"/>
          <w:szCs w:val="21"/>
          <w:u w:val="single"/>
          <w:lang w:val="en-US" w:eastAsia="zh-CN"/>
        </w:rPr>
      </w:pPr>
      <w:r>
        <w:rPr>
          <w:rFonts w:hint="eastAsia"/>
          <w:color w:val="auto"/>
          <w:sz w:val="21"/>
          <w:szCs w:val="21"/>
        </w:rPr>
        <w:t>服务期限：</w:t>
      </w:r>
      <w:r>
        <w:rPr>
          <w:color w:val="auto"/>
          <w:sz w:val="21"/>
          <w:szCs w:val="21"/>
          <w:u w:val="single"/>
        </w:rPr>
        <w:t xml:space="preserve">    </w:t>
      </w:r>
      <w:r>
        <w:rPr>
          <w:rFonts w:hint="eastAsia"/>
          <w:color w:val="auto"/>
          <w:sz w:val="21"/>
          <w:szCs w:val="21"/>
          <w:lang w:val="en-US" w:eastAsia="zh-CN"/>
        </w:rPr>
        <w:t>月</w:t>
      </w:r>
      <w:r>
        <w:rPr>
          <w:rFonts w:hint="eastAsia"/>
          <w:color w:val="auto"/>
          <w:sz w:val="21"/>
          <w:szCs w:val="21"/>
        </w:rPr>
        <w:t>，从</w:t>
      </w:r>
      <w:r>
        <w:rPr>
          <w:color w:val="auto"/>
          <w:sz w:val="21"/>
          <w:szCs w:val="21"/>
          <w:u w:val="single"/>
        </w:rPr>
        <w:t xml:space="preserve">      </w:t>
      </w:r>
      <w:r>
        <w:rPr>
          <w:rFonts w:hint="eastAsia"/>
          <w:color w:val="auto"/>
          <w:sz w:val="21"/>
          <w:szCs w:val="21"/>
        </w:rPr>
        <w:t>年</w:t>
      </w:r>
      <w:r>
        <w:rPr>
          <w:color w:val="auto"/>
          <w:sz w:val="21"/>
          <w:szCs w:val="21"/>
          <w:u w:val="single"/>
        </w:rPr>
        <w:t xml:space="preserve">    </w:t>
      </w:r>
      <w:r>
        <w:rPr>
          <w:rFonts w:hint="eastAsia"/>
          <w:color w:val="auto"/>
          <w:sz w:val="21"/>
          <w:szCs w:val="21"/>
        </w:rPr>
        <w:t>月</w:t>
      </w:r>
      <w:r>
        <w:rPr>
          <w:color w:val="auto"/>
          <w:sz w:val="21"/>
          <w:szCs w:val="21"/>
          <w:u w:val="single"/>
        </w:rPr>
        <w:t xml:space="preserve">   </w:t>
      </w:r>
      <w:r>
        <w:rPr>
          <w:rFonts w:hint="eastAsia"/>
          <w:color w:val="auto"/>
          <w:sz w:val="21"/>
          <w:szCs w:val="21"/>
        </w:rPr>
        <w:t>日至</w:t>
      </w:r>
      <w:r>
        <w:rPr>
          <w:color w:val="auto"/>
          <w:sz w:val="21"/>
          <w:szCs w:val="21"/>
          <w:u w:val="single"/>
        </w:rPr>
        <w:t xml:space="preserve">      </w:t>
      </w:r>
      <w:r>
        <w:rPr>
          <w:rFonts w:hint="eastAsia"/>
          <w:color w:val="auto"/>
          <w:sz w:val="21"/>
          <w:szCs w:val="21"/>
        </w:rPr>
        <w:t>年</w:t>
      </w:r>
      <w:r>
        <w:rPr>
          <w:color w:val="auto"/>
          <w:sz w:val="21"/>
          <w:szCs w:val="21"/>
          <w:u w:val="single"/>
        </w:rPr>
        <w:t xml:space="preserve">    </w:t>
      </w:r>
      <w:r>
        <w:rPr>
          <w:rFonts w:hint="eastAsia"/>
          <w:color w:val="auto"/>
          <w:sz w:val="21"/>
          <w:szCs w:val="21"/>
        </w:rPr>
        <w:t>月</w:t>
      </w:r>
      <w:r>
        <w:rPr>
          <w:color w:val="auto"/>
          <w:sz w:val="21"/>
          <w:szCs w:val="21"/>
          <w:u w:val="single"/>
        </w:rPr>
        <w:t xml:space="preserve">   </w:t>
      </w:r>
      <w:r>
        <w:rPr>
          <w:rFonts w:hint="eastAsia"/>
          <w:color w:val="auto"/>
          <w:sz w:val="21"/>
          <w:szCs w:val="21"/>
        </w:rPr>
        <w:t>日。</w:t>
      </w:r>
      <w:r>
        <w:rPr>
          <w:rFonts w:hint="eastAsia"/>
          <w:color w:val="auto"/>
          <w:sz w:val="21"/>
          <w:szCs w:val="21"/>
          <w:lang w:val="en-US" w:eastAsia="zh-CN"/>
        </w:rPr>
        <w:t>乙方须在</w:t>
      </w:r>
      <w:r>
        <w:rPr>
          <w:color w:val="auto"/>
          <w:sz w:val="21"/>
          <w:szCs w:val="21"/>
          <w:u w:val="single"/>
        </w:rPr>
        <w:t xml:space="preserve">      </w:t>
      </w:r>
      <w:r>
        <w:rPr>
          <w:rFonts w:hint="eastAsia"/>
          <w:color w:val="auto"/>
          <w:sz w:val="21"/>
          <w:szCs w:val="21"/>
        </w:rPr>
        <w:t>年</w:t>
      </w:r>
      <w:r>
        <w:rPr>
          <w:color w:val="auto"/>
          <w:sz w:val="21"/>
          <w:szCs w:val="21"/>
          <w:u w:val="single"/>
        </w:rPr>
        <w:t xml:space="preserve">    </w:t>
      </w:r>
      <w:r>
        <w:rPr>
          <w:rFonts w:hint="eastAsia"/>
          <w:color w:val="auto"/>
          <w:sz w:val="21"/>
          <w:szCs w:val="21"/>
        </w:rPr>
        <w:t>月</w:t>
      </w:r>
      <w:r>
        <w:rPr>
          <w:color w:val="auto"/>
          <w:sz w:val="21"/>
          <w:szCs w:val="21"/>
          <w:u w:val="single"/>
        </w:rPr>
        <w:t xml:space="preserve">   </w:t>
      </w:r>
      <w:r>
        <w:rPr>
          <w:rFonts w:hint="eastAsia"/>
          <w:color w:val="auto"/>
          <w:sz w:val="21"/>
          <w:szCs w:val="21"/>
        </w:rPr>
        <w:t>日</w:t>
      </w:r>
      <w:r>
        <w:rPr>
          <w:rFonts w:hint="eastAsia"/>
          <w:color w:val="auto"/>
          <w:sz w:val="21"/>
          <w:szCs w:val="21"/>
          <w:lang w:val="en-US" w:eastAsia="zh-CN"/>
        </w:rPr>
        <w:t>前完成本项目并经甲方验收合格；其他质保及服务时间说明（如有）：</w:t>
      </w:r>
      <w:r>
        <w:rPr>
          <w:rFonts w:hint="eastAsia"/>
          <w:color w:val="auto"/>
          <w:sz w:val="21"/>
          <w:szCs w:val="21"/>
          <w:u w:val="single"/>
          <w:lang w:val="en-US" w:eastAsia="zh-CN"/>
        </w:rPr>
        <w:t xml:space="preserve">               </w:t>
      </w:r>
      <w:r>
        <w:rPr>
          <w:rFonts w:hint="eastAsia"/>
          <w:color w:val="auto"/>
          <w:sz w:val="21"/>
          <w:szCs w:val="21"/>
          <w:u w:val="none"/>
          <w:lang w:val="en-US" w:eastAsia="zh-CN"/>
        </w:rPr>
        <w:t xml:space="preserve"> 。</w:t>
      </w:r>
    </w:p>
    <w:p w14:paraId="03A63B4F">
      <w:pPr>
        <w:pStyle w:val="53"/>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color w:val="auto"/>
          <w:sz w:val="21"/>
          <w:szCs w:val="21"/>
        </w:rPr>
      </w:pPr>
      <w:r>
        <w:rPr>
          <w:rFonts w:hint="eastAsia"/>
          <w:b/>
          <w:bCs/>
          <w:color w:val="auto"/>
          <w:sz w:val="21"/>
          <w:szCs w:val="21"/>
        </w:rPr>
        <w:t>2</w:t>
      </w:r>
      <w:r>
        <w:rPr>
          <w:b/>
          <w:bCs/>
          <w:color w:val="auto"/>
          <w:sz w:val="21"/>
          <w:szCs w:val="21"/>
        </w:rPr>
        <w:t>.</w:t>
      </w:r>
      <w:r>
        <w:rPr>
          <w:rFonts w:hint="eastAsia"/>
          <w:b/>
          <w:bCs/>
          <w:color w:val="auto"/>
          <w:sz w:val="21"/>
          <w:szCs w:val="21"/>
        </w:rPr>
        <w:t>服务地点：</w:t>
      </w:r>
      <w:r>
        <w:rPr>
          <w:rFonts w:hint="eastAsia"/>
          <w:color w:val="auto"/>
          <w:sz w:val="21"/>
          <w:szCs w:val="21"/>
          <w:u w:val="single"/>
        </w:rPr>
        <w:t xml:space="preserve">  </w:t>
      </w:r>
      <w:r>
        <w:rPr>
          <w:rFonts w:hint="eastAsia"/>
          <w:color w:val="auto"/>
          <w:sz w:val="21"/>
          <w:szCs w:val="21"/>
          <w:u w:val="single"/>
          <w:lang w:val="en-US" w:eastAsia="zh-CN"/>
        </w:rPr>
        <w:t xml:space="preserve">甲方指定地点 </w:t>
      </w:r>
      <w:r>
        <w:rPr>
          <w:rFonts w:hint="eastAsia"/>
          <w:color w:val="auto"/>
          <w:sz w:val="21"/>
          <w:szCs w:val="21"/>
          <w:lang w:val="en-US" w:eastAsia="zh-CN"/>
        </w:rPr>
        <w:t>。</w:t>
      </w:r>
    </w:p>
    <w:p w14:paraId="61378377">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color w:val="auto"/>
          <w:sz w:val="21"/>
          <w:szCs w:val="21"/>
        </w:rPr>
      </w:pPr>
      <w:r>
        <w:rPr>
          <w:rFonts w:hint="eastAsia" w:ascii="宋体" w:hAnsi="Times New Roman" w:eastAsia="宋体" w:cs="Times New Roman"/>
          <w:b/>
          <w:bCs/>
          <w:color w:val="auto"/>
          <w:sz w:val="21"/>
          <w:szCs w:val="21"/>
          <w:lang w:val="en-US" w:eastAsia="zh-CN" w:bidi="ar-SA"/>
        </w:rPr>
        <w:t>3.联系人及电话：</w:t>
      </w:r>
      <w:r>
        <w:rPr>
          <w:rFonts w:hint="eastAsia"/>
          <w:color w:val="auto"/>
          <w:sz w:val="21"/>
          <w:szCs w:val="21"/>
        </w:rPr>
        <w:t>甲方</w:t>
      </w:r>
      <w:r>
        <w:rPr>
          <w:color w:val="auto"/>
          <w:sz w:val="21"/>
          <w:szCs w:val="21"/>
        </w:rPr>
        <w:t xml:space="preserve"> </w:t>
      </w:r>
      <w:r>
        <w:rPr>
          <w:rFonts w:hint="eastAsia"/>
          <w:color w:val="auto"/>
          <w:sz w:val="21"/>
          <w:szCs w:val="21"/>
        </w:rPr>
        <w:t>姓名</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联系</w:t>
      </w:r>
      <w:r>
        <w:rPr>
          <w:rFonts w:hint="eastAsia"/>
          <w:color w:val="auto"/>
          <w:sz w:val="21"/>
          <w:szCs w:val="21"/>
          <w:lang w:val="en-US" w:eastAsia="zh-CN"/>
        </w:rPr>
        <w:t>电话</w:t>
      </w:r>
      <w:r>
        <w:rPr>
          <w:rFonts w:hint="eastAsia"/>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；乙方</w:t>
      </w:r>
      <w:r>
        <w:rPr>
          <w:color w:val="auto"/>
          <w:sz w:val="21"/>
          <w:szCs w:val="21"/>
        </w:rPr>
        <w:t xml:space="preserve"> </w:t>
      </w:r>
      <w:r>
        <w:rPr>
          <w:rFonts w:hint="eastAsia"/>
          <w:color w:val="auto"/>
          <w:sz w:val="21"/>
          <w:szCs w:val="21"/>
        </w:rPr>
        <w:t>姓名</w:t>
      </w:r>
      <w:r>
        <w:rPr>
          <w:rFonts w:hint="eastAsia"/>
          <w:color w:val="auto"/>
          <w:sz w:val="21"/>
          <w:szCs w:val="21"/>
          <w:u w:val="single"/>
          <w:lang w:val="en-US" w:eastAsia="zh-CN"/>
        </w:rPr>
        <w:t xml:space="preserve">            </w:t>
      </w:r>
      <w:r>
        <w:rPr>
          <w:rFonts w:hint="eastAsia"/>
          <w:color w:val="auto"/>
          <w:sz w:val="21"/>
          <w:szCs w:val="21"/>
          <w:lang w:eastAsia="zh-CN"/>
        </w:rPr>
        <w:t>，</w:t>
      </w:r>
      <w:r>
        <w:rPr>
          <w:rFonts w:hint="eastAsia"/>
          <w:color w:val="auto"/>
          <w:sz w:val="21"/>
          <w:szCs w:val="21"/>
        </w:rPr>
        <w:t>联系</w:t>
      </w:r>
      <w:r>
        <w:rPr>
          <w:rFonts w:hint="eastAsia"/>
          <w:color w:val="auto"/>
          <w:sz w:val="21"/>
          <w:szCs w:val="21"/>
          <w:lang w:val="en-US" w:eastAsia="zh-CN"/>
        </w:rPr>
        <w:t>电话</w:t>
      </w:r>
      <w:r>
        <w:rPr>
          <w:rFonts w:hint="eastAsia"/>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w:t>
      </w:r>
    </w:p>
    <w:p w14:paraId="4C41D4F6">
      <w:pPr>
        <w:pStyle w:val="53"/>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2" w:name="_Toc10848_WPSOffice_Level2"/>
      <w:r>
        <w:rPr>
          <w:rFonts w:hint="eastAsia"/>
          <w:b/>
          <w:bCs/>
          <w:color w:val="auto"/>
          <w:sz w:val="21"/>
          <w:szCs w:val="21"/>
        </w:rPr>
        <w:t>四、履约保证金与付款方式</w:t>
      </w:r>
      <w:bookmarkEnd w:id="482"/>
    </w:p>
    <w:p w14:paraId="3D3EAB24">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color w:val="auto"/>
          <w:sz w:val="21"/>
          <w:szCs w:val="21"/>
        </w:rPr>
      </w:pPr>
      <w:r>
        <w:rPr>
          <w:rFonts w:asciiTheme="minorEastAsia" w:hAnsiTheme="minorEastAsia" w:eastAsiaTheme="minorEastAsia"/>
          <w:b/>
          <w:bCs/>
          <w:color w:val="auto"/>
          <w:sz w:val="21"/>
          <w:szCs w:val="21"/>
        </w:rPr>
        <w:t>1</w:t>
      </w:r>
      <w:r>
        <w:rPr>
          <w:rFonts w:asciiTheme="minorEastAsia" w:hAnsiTheme="minorEastAsia" w:eastAsiaTheme="minorEastAsia"/>
          <w:b/>
          <w:bCs/>
          <w:color w:val="auto"/>
          <w:spacing w:val="-6"/>
          <w:sz w:val="21"/>
          <w:szCs w:val="21"/>
        </w:rPr>
        <w:t>.</w:t>
      </w:r>
      <w:r>
        <w:rPr>
          <w:b/>
          <w:bCs/>
          <w:color w:val="auto"/>
          <w:sz w:val="21"/>
          <w:szCs w:val="21"/>
        </w:rPr>
        <w:t xml:space="preserve"> </w:t>
      </w:r>
      <w:r>
        <w:rPr>
          <w:rFonts w:hint="eastAsia"/>
          <w:b/>
          <w:bCs/>
          <w:color w:val="auto"/>
          <w:sz w:val="21"/>
          <w:szCs w:val="21"/>
        </w:rPr>
        <w:t>履约保证金（如</w:t>
      </w:r>
      <w:r>
        <w:rPr>
          <w:rFonts w:hint="eastAsia"/>
          <w:b/>
          <w:bCs/>
          <w:color w:val="auto"/>
          <w:sz w:val="21"/>
          <w:szCs w:val="21"/>
          <w:lang w:val="en-US" w:eastAsia="zh-CN"/>
        </w:rPr>
        <w:t>有</w:t>
      </w:r>
      <w:r>
        <w:rPr>
          <w:rFonts w:hint="eastAsia"/>
          <w:b/>
          <w:bCs/>
          <w:color w:val="auto"/>
          <w:sz w:val="21"/>
          <w:szCs w:val="21"/>
        </w:rPr>
        <w:t>）：</w:t>
      </w:r>
      <w:r>
        <w:rPr>
          <w:rFonts w:hint="eastAsia"/>
          <w:color w:val="auto"/>
          <w:sz w:val="21"/>
          <w:szCs w:val="21"/>
        </w:rPr>
        <w:t>合同总金额的</w:t>
      </w:r>
      <w:r>
        <w:rPr>
          <w:color w:val="auto"/>
          <w:sz w:val="21"/>
          <w:szCs w:val="21"/>
          <w:u w:val="single"/>
        </w:rPr>
        <w:t xml:space="preserve">     </w:t>
      </w:r>
      <w:r>
        <w:rPr>
          <w:color w:val="auto"/>
          <w:sz w:val="21"/>
          <w:szCs w:val="21"/>
        </w:rPr>
        <w:t>%</w:t>
      </w:r>
      <w:r>
        <w:rPr>
          <w:rFonts w:hint="eastAsia"/>
          <w:color w:val="auto"/>
          <w:sz w:val="21"/>
          <w:szCs w:val="21"/>
        </w:rPr>
        <w:t>，合同签订后</w:t>
      </w:r>
      <w:r>
        <w:rPr>
          <w:color w:val="auto"/>
          <w:sz w:val="21"/>
          <w:szCs w:val="21"/>
        </w:rPr>
        <w:t>5</w:t>
      </w:r>
      <w:r>
        <w:rPr>
          <w:rFonts w:hint="eastAsia"/>
          <w:color w:val="auto"/>
          <w:sz w:val="21"/>
          <w:szCs w:val="21"/>
        </w:rPr>
        <w:t>个工作日内交纳。交付方式</w:t>
      </w:r>
      <w:r>
        <w:rPr>
          <w:color w:val="auto"/>
          <w:sz w:val="21"/>
          <w:szCs w:val="21"/>
        </w:rPr>
        <w:t>:</w:t>
      </w:r>
      <w:r>
        <w:rPr>
          <w:rFonts w:hint="eastAsia"/>
          <w:color w:val="auto"/>
          <w:sz w:val="21"/>
          <w:szCs w:val="21"/>
        </w:rPr>
        <w:t>保函</w:t>
      </w:r>
      <w:r>
        <w:rPr>
          <w:color w:val="auto"/>
          <w:sz w:val="21"/>
          <w:szCs w:val="21"/>
        </w:rPr>
        <w:t>/</w:t>
      </w:r>
      <w:r>
        <w:rPr>
          <w:rFonts w:hint="eastAsia"/>
          <w:color w:val="auto"/>
          <w:sz w:val="21"/>
          <w:szCs w:val="21"/>
        </w:rPr>
        <w:t>汇票</w:t>
      </w:r>
      <w:r>
        <w:rPr>
          <w:color w:val="auto"/>
          <w:sz w:val="21"/>
          <w:szCs w:val="21"/>
        </w:rPr>
        <w:t>/</w:t>
      </w:r>
      <w:r>
        <w:rPr>
          <w:rFonts w:hint="eastAsia"/>
          <w:color w:val="auto"/>
          <w:sz w:val="21"/>
          <w:szCs w:val="21"/>
        </w:rPr>
        <w:t>支票</w:t>
      </w:r>
      <w:r>
        <w:rPr>
          <w:color w:val="auto"/>
          <w:sz w:val="21"/>
          <w:szCs w:val="21"/>
        </w:rPr>
        <w:t>/</w:t>
      </w:r>
      <w:r>
        <w:rPr>
          <w:rFonts w:hint="eastAsia"/>
          <w:color w:val="auto"/>
          <w:sz w:val="21"/>
          <w:szCs w:val="21"/>
        </w:rPr>
        <w:t>电汇</w:t>
      </w:r>
      <w:r>
        <w:rPr>
          <w:color w:val="auto"/>
          <w:sz w:val="21"/>
          <w:szCs w:val="21"/>
        </w:rPr>
        <w:t>/</w:t>
      </w:r>
      <w:r>
        <w:rPr>
          <w:rFonts w:hint="eastAsia"/>
          <w:color w:val="auto"/>
          <w:sz w:val="21"/>
          <w:szCs w:val="21"/>
        </w:rPr>
        <w:t>转账等。交付完毕后提供保函或联系杭州电子科技大学计划财务处大厅开收据，服务完成验收合格后</w:t>
      </w:r>
      <w:r>
        <w:rPr>
          <w:color w:val="auto"/>
          <w:sz w:val="21"/>
          <w:szCs w:val="21"/>
        </w:rPr>
        <w:t>7</w:t>
      </w:r>
      <w:r>
        <w:rPr>
          <w:rFonts w:hint="eastAsia"/>
          <w:color w:val="auto"/>
          <w:sz w:val="21"/>
          <w:szCs w:val="21"/>
        </w:rPr>
        <w:t>个工作日内凭原始收据不计息退还，以保函形式提交的履约保证金无需办理退还手续。收款单位（户名）</w:t>
      </w:r>
      <w:r>
        <w:rPr>
          <w:color w:val="auto"/>
          <w:sz w:val="21"/>
          <w:szCs w:val="21"/>
        </w:rPr>
        <w:t>:</w:t>
      </w:r>
      <w:r>
        <w:rPr>
          <w:rFonts w:hint="eastAsia"/>
          <w:color w:val="auto"/>
          <w:sz w:val="21"/>
          <w:szCs w:val="21"/>
        </w:rPr>
        <w:t>杭州电子科技大学。开户银行：工行高新支行。银行账号：</w:t>
      </w:r>
      <w:r>
        <w:rPr>
          <w:color w:val="auto"/>
          <w:sz w:val="21"/>
          <w:szCs w:val="21"/>
        </w:rPr>
        <w:t>1202026209008806216</w:t>
      </w:r>
      <w:r>
        <w:rPr>
          <w:rFonts w:hint="eastAsia"/>
          <w:color w:val="auto"/>
          <w:sz w:val="21"/>
          <w:szCs w:val="21"/>
        </w:rPr>
        <w:t>。</w:t>
      </w:r>
    </w:p>
    <w:p w14:paraId="5EDB3BA8">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rFonts w:hint="eastAsia"/>
          <w:color w:val="auto"/>
          <w:sz w:val="21"/>
          <w:szCs w:val="21"/>
        </w:rPr>
      </w:pPr>
      <w:r>
        <w:rPr>
          <w:rFonts w:asciiTheme="minorEastAsia" w:hAnsiTheme="minorEastAsia" w:eastAsiaTheme="minorEastAsia"/>
          <w:b/>
          <w:bCs/>
          <w:color w:val="auto"/>
          <w:sz w:val="21"/>
          <w:szCs w:val="21"/>
        </w:rPr>
        <w:t>2</w:t>
      </w:r>
      <w:r>
        <w:rPr>
          <w:rFonts w:asciiTheme="minorEastAsia" w:hAnsiTheme="minorEastAsia" w:eastAsiaTheme="minorEastAsia"/>
          <w:b/>
          <w:bCs/>
          <w:color w:val="auto"/>
          <w:spacing w:val="-6"/>
          <w:sz w:val="21"/>
          <w:szCs w:val="21"/>
        </w:rPr>
        <w:t>.</w:t>
      </w:r>
      <w:r>
        <w:rPr>
          <w:b/>
          <w:bCs/>
          <w:color w:val="auto"/>
          <w:sz w:val="21"/>
          <w:szCs w:val="21"/>
        </w:rPr>
        <w:t xml:space="preserve"> </w:t>
      </w:r>
      <w:r>
        <w:rPr>
          <w:rFonts w:hint="eastAsia" w:ascii="宋体" w:hAnsi="宋体" w:cs="宋体"/>
          <w:b/>
          <w:bCs/>
          <w:color w:val="auto"/>
          <w:sz w:val="21"/>
          <w:szCs w:val="21"/>
        </w:rPr>
        <w:t>付款方式</w:t>
      </w:r>
      <w:r>
        <w:rPr>
          <w:rFonts w:hint="eastAsia"/>
          <w:b/>
          <w:bCs/>
          <w:color w:val="auto"/>
          <w:sz w:val="21"/>
          <w:szCs w:val="21"/>
        </w:rPr>
        <w:t>：</w:t>
      </w:r>
      <w:r>
        <w:rPr>
          <w:rFonts w:hint="eastAsia"/>
          <w:color w:val="auto"/>
          <w:sz w:val="21"/>
          <w:szCs w:val="21"/>
        </w:rPr>
        <w:t>按以下第</w:t>
      </w:r>
      <w:r>
        <w:rPr>
          <w:rFonts w:hint="eastAsia"/>
          <w:color w:val="auto"/>
          <w:sz w:val="21"/>
          <w:szCs w:val="21"/>
          <w:u w:val="single"/>
        </w:rPr>
        <w:t xml:space="preserve">        </w:t>
      </w:r>
      <w:r>
        <w:rPr>
          <w:rFonts w:hint="eastAsia"/>
          <w:color w:val="auto"/>
          <w:sz w:val="21"/>
          <w:szCs w:val="21"/>
        </w:rPr>
        <w:t>种方式支付乙方合同价款。</w:t>
      </w:r>
    </w:p>
    <w:p w14:paraId="1D8917E3">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hint="eastAsia"/>
          <w:color w:val="auto"/>
          <w:sz w:val="21"/>
          <w:szCs w:val="21"/>
        </w:rPr>
      </w:pPr>
      <w:r>
        <w:rPr>
          <w:rFonts w:hint="eastAsia"/>
          <w:color w:val="auto"/>
          <w:sz w:val="21"/>
          <w:szCs w:val="21"/>
        </w:rPr>
        <w:t>（</w:t>
      </w:r>
      <w:r>
        <w:rPr>
          <w:rFonts w:asciiTheme="minorEastAsia" w:hAnsiTheme="minorEastAsia" w:eastAsiaTheme="minorEastAsia"/>
          <w:color w:val="auto"/>
          <w:spacing w:val="-6"/>
          <w:sz w:val="21"/>
          <w:szCs w:val="21"/>
        </w:rPr>
        <w:t>1</w:t>
      </w:r>
      <w:r>
        <w:rPr>
          <w:rFonts w:hint="eastAsia"/>
          <w:color w:val="auto"/>
          <w:sz w:val="21"/>
          <w:szCs w:val="21"/>
        </w:rPr>
        <w:t>）预付款方式：合同生效以及具备实施条件且乙方已向甲方提交银行、保险公司等金融机构出具的预付款保函</w:t>
      </w:r>
      <w:r>
        <w:rPr>
          <w:rFonts w:hint="eastAsia"/>
          <w:color w:val="auto"/>
          <w:sz w:val="21"/>
          <w:szCs w:val="21"/>
          <w:lang w:val="en-US" w:eastAsia="zh-CN"/>
        </w:rPr>
        <w:t>后</w:t>
      </w:r>
      <w:r>
        <w:rPr>
          <w:rFonts w:hint="eastAsia"/>
          <w:color w:val="auto"/>
          <w:sz w:val="21"/>
          <w:szCs w:val="21"/>
        </w:rPr>
        <w:t>，</w:t>
      </w:r>
      <w:r>
        <w:rPr>
          <w:color w:val="auto"/>
          <w:sz w:val="21"/>
          <w:szCs w:val="21"/>
        </w:rPr>
        <w:t>7</w:t>
      </w:r>
      <w:r>
        <w:rPr>
          <w:rFonts w:hint="eastAsia"/>
          <w:color w:val="auto"/>
          <w:sz w:val="21"/>
          <w:szCs w:val="21"/>
        </w:rPr>
        <w:t>个工作日内，甲方向乙方支付合同总价的</w:t>
      </w:r>
      <w:r>
        <w:rPr>
          <w:color w:val="auto"/>
          <w:sz w:val="21"/>
          <w:szCs w:val="21"/>
          <w:u w:val="single"/>
        </w:rPr>
        <w:t xml:space="preserve">      </w:t>
      </w:r>
      <w:r>
        <w:rPr>
          <w:color w:val="auto"/>
          <w:sz w:val="21"/>
          <w:szCs w:val="21"/>
        </w:rPr>
        <w:t>%（</w:t>
      </w:r>
      <w:r>
        <w:rPr>
          <w:rFonts w:hint="eastAsia"/>
          <w:color w:val="auto"/>
          <w:sz w:val="21"/>
          <w:szCs w:val="21"/>
          <w:lang w:val="en-US" w:eastAsia="zh-CN"/>
        </w:rPr>
        <w:t>中小微企业限</w:t>
      </w:r>
      <w:r>
        <w:rPr>
          <w:rFonts w:hint="eastAsia" w:ascii="仿宋_GB2312" w:hAnsi="仿宋" w:eastAsia="仿宋_GB2312" w:cs="仿宋_GB2312"/>
          <w:color w:val="auto"/>
          <w:kern w:val="2"/>
          <w:sz w:val="21"/>
          <w:szCs w:val="21"/>
          <w:lang w:val="en-US" w:eastAsia="zh-CN"/>
        </w:rPr>
        <w:t>3</w:t>
      </w:r>
      <w:r>
        <w:rPr>
          <w:rFonts w:hint="eastAsia" w:ascii="仿宋_GB2312" w:hAnsi="仿宋" w:eastAsia="仿宋_GB2312" w:cs="仿宋_GB2312"/>
          <w:color w:val="auto"/>
          <w:kern w:val="2"/>
          <w:sz w:val="21"/>
          <w:szCs w:val="21"/>
        </w:rPr>
        <w:t>0％</w:t>
      </w:r>
      <w:r>
        <w:rPr>
          <w:rFonts w:hint="eastAsia" w:ascii="仿宋_GB2312" w:hAnsi="仿宋" w:eastAsia="仿宋_GB2312" w:cs="仿宋_GB2312"/>
          <w:color w:val="auto"/>
          <w:kern w:val="2"/>
          <w:sz w:val="21"/>
          <w:szCs w:val="21"/>
          <w:lang w:val="en-US" w:eastAsia="zh-CN"/>
        </w:rPr>
        <w:t>-7</w:t>
      </w:r>
      <w:r>
        <w:rPr>
          <w:rFonts w:hint="eastAsia" w:ascii="仿宋_GB2312" w:hAnsi="仿宋" w:eastAsia="仿宋_GB2312" w:cs="仿宋_GB2312"/>
          <w:color w:val="auto"/>
          <w:kern w:val="2"/>
          <w:sz w:val="21"/>
          <w:szCs w:val="21"/>
        </w:rPr>
        <w:t>0%</w:t>
      </w:r>
      <w:r>
        <w:rPr>
          <w:rFonts w:hint="eastAsia" w:ascii="仿宋_GB2312" w:hAnsi="仿宋" w:eastAsia="仿宋_GB2312" w:cs="仿宋_GB2312"/>
          <w:color w:val="auto"/>
          <w:kern w:val="2"/>
          <w:sz w:val="21"/>
          <w:szCs w:val="21"/>
          <w:lang w:eastAsia="zh-CN"/>
        </w:rPr>
        <w:t>，</w:t>
      </w:r>
      <w:r>
        <w:rPr>
          <w:rFonts w:hint="eastAsia"/>
          <w:color w:val="auto"/>
          <w:sz w:val="21"/>
          <w:szCs w:val="21"/>
          <w:lang w:val="en-US" w:eastAsia="zh-CN"/>
        </w:rPr>
        <w:t>项目实施以人工投入为主的，中小微企业限20%-70%</w:t>
      </w:r>
      <w:r>
        <w:rPr>
          <w:color w:val="auto"/>
          <w:sz w:val="21"/>
          <w:szCs w:val="21"/>
        </w:rPr>
        <w:t>）</w:t>
      </w:r>
      <w:r>
        <w:rPr>
          <w:rFonts w:hint="eastAsia"/>
          <w:color w:val="auto"/>
          <w:sz w:val="21"/>
          <w:szCs w:val="21"/>
        </w:rPr>
        <w:t>；</w:t>
      </w:r>
      <w:r>
        <w:rPr>
          <w:rFonts w:hint="eastAsia"/>
          <w:color w:val="auto"/>
          <w:sz w:val="21"/>
          <w:szCs w:val="21"/>
          <w:lang w:val="en-US" w:eastAsia="zh-CN"/>
        </w:rPr>
        <w:t>服务完成，</w:t>
      </w:r>
      <w:r>
        <w:rPr>
          <w:rFonts w:hint="eastAsia"/>
          <w:color w:val="auto"/>
          <w:sz w:val="21"/>
          <w:szCs w:val="21"/>
        </w:rPr>
        <w:t>经甲方验收合格并收到</w:t>
      </w:r>
      <w:r>
        <w:rPr>
          <w:rFonts w:hint="eastAsia"/>
          <w:color w:val="auto"/>
          <w:sz w:val="21"/>
          <w:szCs w:val="21"/>
          <w:lang w:val="en-US" w:eastAsia="zh-CN"/>
        </w:rPr>
        <w:t>有效</w:t>
      </w:r>
      <w:r>
        <w:rPr>
          <w:rFonts w:hint="eastAsia"/>
          <w:color w:val="auto"/>
          <w:sz w:val="21"/>
          <w:szCs w:val="21"/>
        </w:rPr>
        <w:t>发票后</w:t>
      </w:r>
      <w:r>
        <w:rPr>
          <w:color w:val="auto"/>
          <w:sz w:val="21"/>
          <w:szCs w:val="21"/>
        </w:rPr>
        <w:t>7</w:t>
      </w:r>
      <w:r>
        <w:rPr>
          <w:rFonts w:hint="eastAsia"/>
          <w:color w:val="auto"/>
          <w:sz w:val="21"/>
          <w:szCs w:val="21"/>
        </w:rPr>
        <w:t>个工作日内，向乙方支付合同总价的</w:t>
      </w:r>
      <w:r>
        <w:rPr>
          <w:rFonts w:hint="eastAsia"/>
          <w:color w:val="auto"/>
          <w:sz w:val="21"/>
          <w:szCs w:val="21"/>
          <w:u w:val="single"/>
        </w:rPr>
        <w:t>　　　</w:t>
      </w:r>
      <w:r>
        <w:rPr>
          <w:color w:val="auto"/>
          <w:sz w:val="21"/>
          <w:szCs w:val="21"/>
        </w:rPr>
        <w:t>%</w:t>
      </w:r>
      <w:r>
        <w:rPr>
          <w:rFonts w:hint="eastAsia"/>
          <w:color w:val="auto"/>
          <w:sz w:val="21"/>
          <w:szCs w:val="21"/>
        </w:rPr>
        <w:t>。若供应商收取预付款，要求预付款保函有效期覆盖项目验收合格时间；提供了预付款保函则供应商无需再缴纳履约保证金。</w:t>
      </w:r>
    </w:p>
    <w:p w14:paraId="524FAA1F">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w:t>
      </w:r>
      <w:r>
        <w:rPr>
          <w:rFonts w:asciiTheme="minorEastAsia" w:hAnsiTheme="minorEastAsia" w:eastAsiaTheme="minorEastAsia"/>
          <w:color w:val="auto"/>
          <w:sz w:val="21"/>
          <w:szCs w:val="21"/>
        </w:rPr>
        <w:t>2</w:t>
      </w:r>
      <w:r>
        <w:rPr>
          <w:rFonts w:hint="eastAsia"/>
          <w:color w:val="auto"/>
          <w:sz w:val="21"/>
          <w:szCs w:val="21"/>
        </w:rPr>
        <w:t>）以人工投入为主且实行按月定期结算支付款项的项目，按月结算付款。</w:t>
      </w:r>
    </w:p>
    <w:p w14:paraId="765BB585">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w:t>
      </w:r>
      <w:r>
        <w:rPr>
          <w:rFonts w:asciiTheme="minorEastAsia" w:hAnsiTheme="minorEastAsia" w:eastAsiaTheme="minorEastAsia"/>
          <w:color w:val="auto"/>
          <w:sz w:val="21"/>
          <w:szCs w:val="21"/>
        </w:rPr>
        <w:t>3</w:t>
      </w:r>
      <w:r>
        <w:rPr>
          <w:rFonts w:hint="eastAsia"/>
          <w:color w:val="auto"/>
          <w:sz w:val="21"/>
          <w:szCs w:val="21"/>
        </w:rPr>
        <w:t>）签订合同时乙方明确表示无需预付款，可以采用以下付款方式：</w:t>
      </w:r>
    </w:p>
    <w:p w14:paraId="60FF54FC">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①</w:t>
      </w:r>
      <w:r>
        <w:rPr>
          <w:rFonts w:hint="eastAsia"/>
          <w:b/>
          <w:color w:val="auto"/>
          <w:sz w:val="21"/>
          <w:szCs w:val="21"/>
        </w:rPr>
        <w:t>一</w:t>
      </w:r>
      <w:r>
        <w:rPr>
          <w:rFonts w:hint="eastAsia"/>
          <w:bCs/>
          <w:color w:val="auto"/>
          <w:sz w:val="21"/>
          <w:szCs w:val="21"/>
        </w:rPr>
        <w:t>次性付款</w:t>
      </w:r>
      <w:r>
        <w:rPr>
          <w:rFonts w:hint="eastAsia"/>
          <w:b/>
          <w:color w:val="auto"/>
          <w:sz w:val="21"/>
          <w:szCs w:val="21"/>
        </w:rPr>
        <w:t>：</w:t>
      </w:r>
      <w:r>
        <w:rPr>
          <w:rFonts w:hint="eastAsia"/>
          <w:color w:val="auto"/>
          <w:sz w:val="21"/>
          <w:szCs w:val="21"/>
        </w:rPr>
        <w:t>服务</w:t>
      </w:r>
      <w:r>
        <w:rPr>
          <w:rFonts w:hint="eastAsia"/>
          <w:color w:val="auto"/>
          <w:sz w:val="21"/>
          <w:szCs w:val="21"/>
          <w:lang w:val="en-US" w:eastAsia="zh-CN"/>
        </w:rPr>
        <w:t>完成</w:t>
      </w:r>
      <w:r>
        <w:rPr>
          <w:rFonts w:hint="eastAsia"/>
          <w:color w:val="auto"/>
          <w:sz w:val="21"/>
          <w:szCs w:val="21"/>
        </w:rPr>
        <w:t>，甲方验收合格并收到</w:t>
      </w:r>
      <w:r>
        <w:rPr>
          <w:rFonts w:hint="eastAsia"/>
          <w:color w:val="auto"/>
          <w:sz w:val="21"/>
          <w:szCs w:val="21"/>
          <w:lang w:val="en-US" w:eastAsia="zh-CN"/>
        </w:rPr>
        <w:t>有效</w:t>
      </w:r>
      <w:r>
        <w:rPr>
          <w:rFonts w:hint="eastAsia"/>
          <w:color w:val="auto"/>
          <w:sz w:val="21"/>
          <w:szCs w:val="21"/>
        </w:rPr>
        <w:t>发票后</w:t>
      </w:r>
      <w:r>
        <w:rPr>
          <w:color w:val="auto"/>
          <w:sz w:val="21"/>
          <w:szCs w:val="21"/>
        </w:rPr>
        <w:t>10</w:t>
      </w:r>
      <w:r>
        <w:rPr>
          <w:rFonts w:hint="eastAsia"/>
          <w:color w:val="auto"/>
          <w:sz w:val="21"/>
          <w:szCs w:val="21"/>
        </w:rPr>
        <w:t>个工作日内，甲方向乙方支付全部合同价款。</w:t>
      </w:r>
    </w:p>
    <w:p w14:paraId="548C2052">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②</w:t>
      </w:r>
      <w:r>
        <w:rPr>
          <w:rFonts w:hint="eastAsia"/>
          <w:bCs/>
          <w:color w:val="auto"/>
          <w:sz w:val="21"/>
          <w:szCs w:val="21"/>
        </w:rPr>
        <w:t>按期结算</w:t>
      </w:r>
      <w:r>
        <w:rPr>
          <w:rFonts w:hint="eastAsia"/>
          <w:b/>
          <w:color w:val="auto"/>
          <w:sz w:val="21"/>
          <w:szCs w:val="21"/>
        </w:rPr>
        <w:t>：</w:t>
      </w:r>
      <w:r>
        <w:rPr>
          <w:rFonts w:hint="eastAsia"/>
          <w:color w:val="auto"/>
          <w:sz w:val="21"/>
          <w:szCs w:val="21"/>
        </w:rPr>
        <w:t>每</w:t>
      </w:r>
      <w:r>
        <w:rPr>
          <w:color w:val="auto"/>
          <w:sz w:val="21"/>
          <w:szCs w:val="21"/>
          <w:u w:val="single"/>
        </w:rPr>
        <w:t xml:space="preserve">    </w:t>
      </w:r>
      <w:r>
        <w:rPr>
          <w:rFonts w:hint="eastAsia"/>
          <w:color w:val="auto"/>
          <w:sz w:val="21"/>
          <w:szCs w:val="21"/>
        </w:rPr>
        <w:t>末（月</w:t>
      </w:r>
      <w:r>
        <w:rPr>
          <w:rFonts w:hint="eastAsia"/>
          <w:color w:val="auto"/>
          <w:sz w:val="21"/>
          <w:szCs w:val="21"/>
          <w:lang w:val="en-US" w:eastAsia="zh-CN"/>
        </w:rPr>
        <w:t>\</w:t>
      </w:r>
      <w:r>
        <w:rPr>
          <w:rFonts w:hint="eastAsia"/>
          <w:color w:val="auto"/>
          <w:sz w:val="21"/>
          <w:szCs w:val="21"/>
        </w:rPr>
        <w:t>季度</w:t>
      </w:r>
      <w:r>
        <w:rPr>
          <w:rFonts w:hint="eastAsia"/>
          <w:color w:val="auto"/>
          <w:sz w:val="21"/>
          <w:szCs w:val="21"/>
          <w:lang w:val="en-US" w:eastAsia="zh-CN"/>
        </w:rPr>
        <w:t>\</w:t>
      </w:r>
      <w:r>
        <w:rPr>
          <w:rFonts w:hint="eastAsia"/>
          <w:color w:val="auto"/>
          <w:sz w:val="21"/>
          <w:szCs w:val="21"/>
        </w:rPr>
        <w:t>半年</w:t>
      </w:r>
      <w:r>
        <w:rPr>
          <w:rFonts w:hint="eastAsia"/>
          <w:color w:val="auto"/>
          <w:sz w:val="21"/>
          <w:szCs w:val="21"/>
          <w:lang w:val="en-US" w:eastAsia="zh-CN"/>
        </w:rPr>
        <w:t>\年</w:t>
      </w:r>
      <w:r>
        <w:rPr>
          <w:rFonts w:hint="eastAsia"/>
          <w:color w:val="auto"/>
          <w:sz w:val="21"/>
          <w:szCs w:val="21"/>
        </w:rPr>
        <w:t>），</w:t>
      </w:r>
      <w:r>
        <w:rPr>
          <w:color w:val="auto"/>
          <w:sz w:val="21"/>
          <w:szCs w:val="21"/>
        </w:rPr>
        <w:t>合同生效、具备使用条件</w:t>
      </w:r>
      <w:r>
        <w:rPr>
          <w:rFonts w:hint="eastAsia"/>
          <w:color w:val="auto"/>
          <w:sz w:val="21"/>
          <w:szCs w:val="21"/>
        </w:rPr>
        <w:t>并</w:t>
      </w:r>
      <w:r>
        <w:rPr>
          <w:color w:val="auto"/>
          <w:sz w:val="21"/>
          <w:szCs w:val="21"/>
        </w:rPr>
        <w:t>经</w:t>
      </w:r>
      <w:r>
        <w:rPr>
          <w:rFonts w:hint="eastAsia"/>
          <w:color w:val="auto"/>
          <w:sz w:val="21"/>
          <w:szCs w:val="21"/>
        </w:rPr>
        <w:t>甲方验收合格并收到</w:t>
      </w:r>
      <w:r>
        <w:rPr>
          <w:rFonts w:hint="eastAsia"/>
          <w:color w:val="auto"/>
          <w:sz w:val="21"/>
          <w:szCs w:val="21"/>
          <w:lang w:val="en-US" w:eastAsia="zh-CN"/>
        </w:rPr>
        <w:t>有效</w:t>
      </w:r>
      <w:r>
        <w:rPr>
          <w:rFonts w:hint="eastAsia"/>
          <w:color w:val="auto"/>
          <w:sz w:val="21"/>
          <w:szCs w:val="21"/>
        </w:rPr>
        <w:t>发票后</w:t>
      </w:r>
      <w:r>
        <w:rPr>
          <w:color w:val="auto"/>
          <w:sz w:val="21"/>
          <w:szCs w:val="21"/>
        </w:rPr>
        <w:t xml:space="preserve"> 10</w:t>
      </w:r>
      <w:r>
        <w:rPr>
          <w:rFonts w:hint="eastAsia"/>
          <w:color w:val="auto"/>
          <w:sz w:val="21"/>
          <w:szCs w:val="21"/>
        </w:rPr>
        <w:t>个工作日内，甲方向乙方支付本期款项。</w:t>
      </w:r>
      <w:r>
        <w:rPr>
          <w:color w:val="auto"/>
          <w:sz w:val="21"/>
          <w:szCs w:val="21"/>
        </w:rPr>
        <w:t xml:space="preserve"> </w:t>
      </w:r>
    </w:p>
    <w:p w14:paraId="7847DFAE">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③按进度付款</w:t>
      </w:r>
      <w:r>
        <w:rPr>
          <w:rFonts w:hint="eastAsia"/>
          <w:b/>
          <w:bCs/>
          <w:color w:val="auto"/>
          <w:sz w:val="21"/>
          <w:szCs w:val="21"/>
        </w:rPr>
        <w:t>：</w:t>
      </w:r>
      <w:r>
        <w:rPr>
          <w:rFonts w:hint="eastAsia"/>
          <w:color w:val="auto"/>
          <w:sz w:val="21"/>
          <w:szCs w:val="21"/>
        </w:rPr>
        <w:t>每个进度节点，</w:t>
      </w:r>
      <w:r>
        <w:rPr>
          <w:rFonts w:hint="eastAsia"/>
          <w:bCs/>
          <w:color w:val="auto"/>
          <w:sz w:val="21"/>
          <w:szCs w:val="21"/>
        </w:rPr>
        <w:t>甲方</w:t>
      </w:r>
      <w:r>
        <w:rPr>
          <w:rFonts w:hint="eastAsia"/>
          <w:color w:val="auto"/>
          <w:sz w:val="21"/>
          <w:szCs w:val="21"/>
        </w:rPr>
        <w:t>验收合格并收到</w:t>
      </w:r>
      <w:r>
        <w:rPr>
          <w:rFonts w:hint="eastAsia"/>
          <w:color w:val="auto"/>
          <w:sz w:val="21"/>
          <w:szCs w:val="21"/>
          <w:lang w:val="en-US" w:eastAsia="zh-CN"/>
        </w:rPr>
        <w:t>有效</w:t>
      </w:r>
      <w:r>
        <w:rPr>
          <w:rFonts w:hint="eastAsia"/>
          <w:color w:val="auto"/>
          <w:sz w:val="21"/>
          <w:szCs w:val="21"/>
        </w:rPr>
        <w:t>发票后</w:t>
      </w:r>
      <w:r>
        <w:rPr>
          <w:color w:val="auto"/>
          <w:sz w:val="21"/>
          <w:szCs w:val="21"/>
        </w:rPr>
        <w:t>10</w:t>
      </w:r>
      <w:r>
        <w:rPr>
          <w:rFonts w:hint="eastAsia"/>
          <w:color w:val="auto"/>
          <w:sz w:val="21"/>
          <w:szCs w:val="21"/>
        </w:rPr>
        <w:t>个工作日内，甲方向乙方支付对应款项</w:t>
      </w:r>
      <w:r>
        <w:rPr>
          <w:rFonts w:hint="eastAsia"/>
          <w:color w:val="auto"/>
          <w:sz w:val="21"/>
          <w:szCs w:val="21"/>
          <w:lang w:eastAsia="zh-CN"/>
        </w:rPr>
        <w:t>，</w:t>
      </w:r>
      <w:r>
        <w:rPr>
          <w:rFonts w:hint="eastAsia"/>
          <w:color w:val="auto"/>
          <w:sz w:val="21"/>
          <w:szCs w:val="21"/>
          <w:lang w:val="en-US" w:eastAsia="zh-CN"/>
        </w:rPr>
        <w:t>具体结点及付款额度为</w:t>
      </w:r>
      <w:r>
        <w:rPr>
          <w:rFonts w:hint="eastAsia"/>
          <w:color w:val="auto"/>
          <w:sz w:val="21"/>
          <w:szCs w:val="21"/>
          <w:u w:val="single"/>
          <w:lang w:val="en-US" w:eastAsia="zh-CN"/>
        </w:rPr>
        <w:t xml:space="preserve">                                 </w:t>
      </w:r>
      <w:r>
        <w:rPr>
          <w:rFonts w:hint="eastAsia"/>
          <w:color w:val="auto"/>
          <w:sz w:val="21"/>
          <w:szCs w:val="21"/>
        </w:rPr>
        <w:t>。</w:t>
      </w:r>
    </w:p>
    <w:p w14:paraId="1188AA16">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④其它支付形式</w:t>
      </w:r>
      <w:r>
        <w:rPr>
          <w:rFonts w:hint="eastAsia"/>
          <w:color w:val="auto"/>
          <w:sz w:val="21"/>
          <w:szCs w:val="21"/>
          <w:lang w:eastAsia="zh-CN"/>
        </w:rPr>
        <w:t>（</w:t>
      </w:r>
      <w:r>
        <w:rPr>
          <w:rFonts w:hint="eastAsia"/>
          <w:color w:val="auto"/>
          <w:sz w:val="21"/>
          <w:szCs w:val="21"/>
        </w:rPr>
        <w:t>双方协商一致，</w:t>
      </w:r>
      <w:r>
        <w:rPr>
          <w:rFonts w:hint="eastAsia"/>
          <w:color w:val="auto"/>
          <w:sz w:val="21"/>
          <w:szCs w:val="21"/>
          <w:lang w:val="en-US" w:eastAsia="zh-CN"/>
        </w:rPr>
        <w:t>需</w:t>
      </w:r>
      <w:r>
        <w:rPr>
          <w:rFonts w:hint="eastAsia"/>
          <w:color w:val="auto"/>
          <w:sz w:val="21"/>
          <w:szCs w:val="21"/>
        </w:rPr>
        <w:t>符合采购法规</w:t>
      </w:r>
      <w:r>
        <w:rPr>
          <w:rFonts w:hint="eastAsia"/>
          <w:color w:val="auto"/>
          <w:sz w:val="21"/>
          <w:szCs w:val="21"/>
          <w:lang w:eastAsia="zh-CN"/>
        </w:rPr>
        <w:t>）：</w:t>
      </w:r>
      <w:r>
        <w:rPr>
          <w:rFonts w:hint="eastAsia"/>
          <w:color w:val="auto"/>
          <w:sz w:val="21"/>
          <w:szCs w:val="21"/>
          <w:u w:val="single"/>
          <w:lang w:val="en-US" w:eastAsia="zh-CN"/>
        </w:rPr>
        <w:t xml:space="preserve">                                      </w:t>
      </w:r>
      <w:r>
        <w:rPr>
          <w:rFonts w:hint="eastAsia"/>
          <w:color w:val="auto"/>
          <w:sz w:val="21"/>
          <w:szCs w:val="21"/>
        </w:rPr>
        <w:t>。</w:t>
      </w:r>
    </w:p>
    <w:p w14:paraId="2D574B29">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w:t>
      </w:r>
      <w:r>
        <w:rPr>
          <w:rFonts w:asciiTheme="minorEastAsia" w:hAnsiTheme="minorEastAsia" w:eastAsiaTheme="minorEastAsia"/>
          <w:color w:val="auto"/>
          <w:sz w:val="21"/>
          <w:szCs w:val="21"/>
        </w:rPr>
        <w:t>4</w:t>
      </w:r>
      <w:r>
        <w:rPr>
          <w:rFonts w:hint="eastAsia"/>
          <w:color w:val="auto"/>
          <w:sz w:val="21"/>
          <w:szCs w:val="21"/>
        </w:rPr>
        <w:t>）</w:t>
      </w:r>
      <w:r>
        <w:rPr>
          <w:color w:val="auto"/>
          <w:sz w:val="21"/>
          <w:szCs w:val="21"/>
        </w:rPr>
        <w:t>房屋租赁、服务器租用、数据库使用等租用型项目，合同生效、具备使用条件</w:t>
      </w:r>
      <w:r>
        <w:rPr>
          <w:rFonts w:hint="eastAsia"/>
          <w:color w:val="auto"/>
          <w:sz w:val="21"/>
          <w:szCs w:val="21"/>
        </w:rPr>
        <w:t>并</w:t>
      </w:r>
      <w:r>
        <w:rPr>
          <w:color w:val="auto"/>
          <w:sz w:val="21"/>
          <w:szCs w:val="21"/>
        </w:rPr>
        <w:t>经甲方验收合格后按期支付费用</w:t>
      </w:r>
      <w:r>
        <w:rPr>
          <w:rFonts w:hint="eastAsia"/>
          <w:color w:val="auto"/>
          <w:sz w:val="21"/>
          <w:szCs w:val="21"/>
          <w:lang w:eastAsia="zh-CN"/>
        </w:rPr>
        <w:t>，</w:t>
      </w:r>
      <w:r>
        <w:rPr>
          <w:rFonts w:hint="eastAsia"/>
          <w:color w:val="auto"/>
          <w:sz w:val="21"/>
          <w:szCs w:val="21"/>
          <w:lang w:val="en-US" w:eastAsia="zh-CN"/>
        </w:rPr>
        <w:t>按</w:t>
      </w:r>
      <w:r>
        <w:rPr>
          <w:color w:val="auto"/>
          <w:sz w:val="21"/>
          <w:szCs w:val="21"/>
          <w:u w:val="single"/>
        </w:rPr>
        <w:t xml:space="preserve">    </w:t>
      </w:r>
      <w:r>
        <w:rPr>
          <w:color w:val="auto"/>
          <w:sz w:val="21"/>
          <w:szCs w:val="21"/>
        </w:rPr>
        <w:t>（月</w:t>
      </w:r>
      <w:r>
        <w:rPr>
          <w:rFonts w:hint="eastAsia"/>
          <w:color w:val="auto"/>
          <w:sz w:val="21"/>
          <w:szCs w:val="21"/>
          <w:lang w:val="en-US" w:eastAsia="zh-CN"/>
        </w:rPr>
        <w:t>\</w:t>
      </w:r>
      <w:r>
        <w:rPr>
          <w:color w:val="auto"/>
          <w:sz w:val="21"/>
          <w:szCs w:val="21"/>
        </w:rPr>
        <w:t>季度</w:t>
      </w:r>
      <w:r>
        <w:rPr>
          <w:rFonts w:hint="eastAsia"/>
          <w:color w:val="auto"/>
          <w:sz w:val="21"/>
          <w:szCs w:val="21"/>
          <w:lang w:val="en-US" w:eastAsia="zh-CN"/>
        </w:rPr>
        <w:t>\</w:t>
      </w:r>
      <w:r>
        <w:rPr>
          <w:color w:val="auto"/>
          <w:sz w:val="21"/>
          <w:szCs w:val="21"/>
        </w:rPr>
        <w:t>半年</w:t>
      </w:r>
      <w:r>
        <w:rPr>
          <w:rFonts w:hint="eastAsia"/>
          <w:color w:val="auto"/>
          <w:sz w:val="21"/>
          <w:szCs w:val="21"/>
          <w:lang w:val="en-US" w:eastAsia="zh-CN"/>
        </w:rPr>
        <w:t>\</w:t>
      </w:r>
      <w:r>
        <w:rPr>
          <w:color w:val="auto"/>
          <w:sz w:val="21"/>
          <w:szCs w:val="21"/>
        </w:rPr>
        <w:t>年）</w:t>
      </w:r>
      <w:r>
        <w:rPr>
          <w:rFonts w:hint="eastAsia"/>
          <w:color w:val="auto"/>
          <w:sz w:val="21"/>
          <w:szCs w:val="21"/>
          <w:lang w:val="en-US" w:eastAsia="zh-CN"/>
        </w:rPr>
        <w:t>支付</w:t>
      </w:r>
      <w:r>
        <w:rPr>
          <w:color w:val="auto"/>
          <w:sz w:val="21"/>
          <w:szCs w:val="21"/>
        </w:rPr>
        <w:t>。</w:t>
      </w:r>
    </w:p>
    <w:p w14:paraId="2E7C850E">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无论何种结算方式，付款前</w:t>
      </w:r>
      <w:r>
        <w:rPr>
          <w:rFonts w:hint="eastAsia"/>
          <w:color w:val="auto"/>
          <w:sz w:val="21"/>
          <w:szCs w:val="21"/>
          <w:lang w:eastAsia="zh-CN"/>
        </w:rPr>
        <w:t>，</w:t>
      </w:r>
      <w:r>
        <w:rPr>
          <w:rFonts w:hint="eastAsia"/>
          <w:color w:val="auto"/>
          <w:sz w:val="21"/>
          <w:szCs w:val="21"/>
        </w:rPr>
        <w:t>乙方须交纳合同约定的履约保证金（如有）并提供</w:t>
      </w:r>
      <w:r>
        <w:rPr>
          <w:rFonts w:hint="eastAsia"/>
          <w:color w:val="auto"/>
          <w:sz w:val="21"/>
          <w:szCs w:val="21"/>
          <w:lang w:val="en-US" w:eastAsia="zh-CN"/>
        </w:rPr>
        <w:t>履约保证金保函或</w:t>
      </w:r>
      <w:r>
        <w:rPr>
          <w:rFonts w:hint="eastAsia"/>
          <w:color w:val="auto"/>
          <w:sz w:val="21"/>
          <w:szCs w:val="21"/>
        </w:rPr>
        <w:t>甲方财务处开具的履约保证金收据，乙方向甲方开具等额有效的发票。</w:t>
      </w:r>
    </w:p>
    <w:p w14:paraId="72E09DC9">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开票信息如下：</w:t>
      </w:r>
    </w:p>
    <w:p w14:paraId="4B26B1F6">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单位名称：杭州电子科技大学。税号：</w:t>
      </w:r>
      <w:r>
        <w:rPr>
          <w:color w:val="auto"/>
          <w:sz w:val="21"/>
          <w:szCs w:val="21"/>
        </w:rPr>
        <w:t>12330000470009026T</w:t>
      </w:r>
    </w:p>
    <w:p w14:paraId="19C9A802">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开户银行：工行杭州高新支行。账号：</w:t>
      </w:r>
      <w:r>
        <w:rPr>
          <w:color w:val="auto"/>
          <w:sz w:val="21"/>
          <w:szCs w:val="21"/>
        </w:rPr>
        <w:t>1202026209008806216</w:t>
      </w:r>
    </w:p>
    <w:p w14:paraId="541D96E2">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3" w:name="_Toc15160_WPSOffice_Level2"/>
      <w:r>
        <w:rPr>
          <w:rFonts w:hint="eastAsia"/>
          <w:b/>
          <w:bCs/>
          <w:color w:val="auto"/>
          <w:sz w:val="21"/>
          <w:szCs w:val="21"/>
        </w:rPr>
        <w:t>五、双方权利与义务</w:t>
      </w:r>
      <w:bookmarkEnd w:id="483"/>
    </w:p>
    <w:p w14:paraId="3A6FC5AE">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（按采购文件及采购结果填写，如有）</w:t>
      </w:r>
    </w:p>
    <w:p w14:paraId="4BF9E12A">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4" w:name="_Toc20349_WPSOffice_Level2"/>
      <w:r>
        <w:rPr>
          <w:rFonts w:hint="eastAsia"/>
          <w:b/>
          <w:bCs/>
          <w:color w:val="auto"/>
          <w:sz w:val="21"/>
          <w:szCs w:val="21"/>
        </w:rPr>
        <w:t>六、知识产权要求</w:t>
      </w:r>
      <w:bookmarkEnd w:id="484"/>
    </w:p>
    <w:p w14:paraId="77BDDEB1">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rFonts w:asciiTheme="minorEastAsia" w:hAnsiTheme="minorEastAsia" w:eastAsiaTheme="minorEastAsia"/>
          <w:color w:val="auto"/>
          <w:spacing w:val="-6"/>
          <w:sz w:val="21"/>
          <w:szCs w:val="21"/>
        </w:rPr>
        <w:t>.</w:t>
      </w:r>
      <w:r>
        <w:rPr>
          <w:rFonts w:hint="eastAsia"/>
          <w:color w:val="auto"/>
          <w:sz w:val="21"/>
          <w:szCs w:val="21"/>
        </w:rPr>
        <w:t>乙方应保证提供产品的商标、专利等知识产权归乙方所有，对于非乙方所有知识产权的产品，乙方有义务提供给甲方正规渠道证明。甲方在使用、制造和销售产品时必须拥有相关知识产权许可的，乙方应依照本合同向甲方授予该知识产权的使用许可。</w:t>
      </w:r>
    </w:p>
    <w:p w14:paraId="0811DADB">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2</w:t>
      </w:r>
      <w:r>
        <w:rPr>
          <w:rFonts w:asciiTheme="minorEastAsia" w:hAnsiTheme="minorEastAsia" w:eastAsiaTheme="minorEastAsia"/>
          <w:color w:val="auto"/>
          <w:spacing w:val="-6"/>
          <w:sz w:val="21"/>
          <w:szCs w:val="21"/>
        </w:rPr>
        <w:t>.</w:t>
      </w:r>
      <w:r>
        <w:rPr>
          <w:rFonts w:hint="eastAsia"/>
          <w:color w:val="auto"/>
          <w:sz w:val="21"/>
          <w:szCs w:val="21"/>
        </w:rPr>
        <w:t>乙方应保证甲方在使用本采购合同项下的产品或其任何一部分时免受第三方侵犯其知识产权或工业设计权的起诉，否则由此所导致的所有责任以及甲方所支付的所有费用（包括但不限于律师费、诉讼费等）均由乙方承担。</w:t>
      </w:r>
    </w:p>
    <w:p w14:paraId="5CC3A065">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5" w:name="_Toc25588_WPSOffice_Level2"/>
      <w:r>
        <w:rPr>
          <w:rFonts w:hint="eastAsia"/>
          <w:b/>
          <w:bCs/>
          <w:color w:val="auto"/>
          <w:sz w:val="21"/>
          <w:szCs w:val="21"/>
        </w:rPr>
        <w:t>七、转包或分包</w:t>
      </w:r>
      <w:bookmarkEnd w:id="485"/>
    </w:p>
    <w:p w14:paraId="36660C0C">
      <w:pPr>
        <w:pStyle w:val="27"/>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color w:val="auto"/>
          <w:spacing w:val="-6"/>
          <w:sz w:val="21"/>
          <w:szCs w:val="21"/>
        </w:rPr>
        <w:t>.</w:t>
      </w:r>
      <w:r>
        <w:rPr>
          <w:rFonts w:hint="eastAsia"/>
          <w:color w:val="auto"/>
          <w:sz w:val="21"/>
          <w:szCs w:val="21"/>
        </w:rPr>
        <w:t>本合同范围的</w:t>
      </w:r>
      <w:r>
        <w:rPr>
          <w:rFonts w:hint="eastAsia"/>
          <w:color w:val="auto"/>
          <w:sz w:val="21"/>
          <w:szCs w:val="21"/>
          <w:lang w:val="en-US" w:eastAsia="zh-CN"/>
        </w:rPr>
        <w:t>标的</w:t>
      </w:r>
      <w:r>
        <w:rPr>
          <w:rFonts w:hint="eastAsia"/>
          <w:color w:val="auto"/>
          <w:sz w:val="21"/>
          <w:szCs w:val="21"/>
        </w:rPr>
        <w:t>，应由乙方直接供应，不得转让他人供应。</w:t>
      </w:r>
    </w:p>
    <w:p w14:paraId="59B81F28">
      <w:pPr>
        <w:pStyle w:val="27"/>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2.</w:t>
      </w:r>
      <w:r>
        <w:rPr>
          <w:rFonts w:hint="eastAsia" w:asciiTheme="minorEastAsia" w:hAnsiTheme="minorEastAsia" w:eastAsiaTheme="minorEastAsia"/>
          <w:color w:val="auto"/>
          <w:sz w:val="21"/>
          <w:szCs w:val="21"/>
        </w:rPr>
        <w:t>除非得到甲方的书面同意，乙方不得将本合同范围的标的分包给他人供应。</w:t>
      </w:r>
    </w:p>
    <w:p w14:paraId="15AB1A78">
      <w:pPr>
        <w:pStyle w:val="27"/>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3.</w:t>
      </w:r>
      <w:r>
        <w:rPr>
          <w:rFonts w:hint="eastAsia" w:asciiTheme="minorEastAsia" w:hAnsiTheme="minorEastAsia" w:eastAsiaTheme="minorEastAsia"/>
          <w:color w:val="auto"/>
          <w:sz w:val="21"/>
          <w:szCs w:val="21"/>
        </w:rPr>
        <w:t>如有转让或未经甲方同意的分包行为，甲方有权解除合同，没收履约保证金并要求乙方支付合同总价15%的违约金。</w:t>
      </w:r>
    </w:p>
    <w:p w14:paraId="10BD50F9">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6" w:name="_Hlk155173514"/>
      <w:bookmarkStart w:id="487" w:name="_Toc426_WPSOffice_Level2"/>
      <w:r>
        <w:rPr>
          <w:rFonts w:hint="eastAsia"/>
          <w:b/>
          <w:bCs/>
          <w:color w:val="auto"/>
          <w:sz w:val="21"/>
          <w:szCs w:val="21"/>
        </w:rPr>
        <w:t>八、</w:t>
      </w:r>
      <w:bookmarkEnd w:id="486"/>
      <w:r>
        <w:rPr>
          <w:rFonts w:hint="eastAsia"/>
          <w:b/>
          <w:bCs/>
          <w:color w:val="auto"/>
          <w:sz w:val="21"/>
          <w:szCs w:val="21"/>
        </w:rPr>
        <w:t>验收</w:t>
      </w:r>
      <w:bookmarkEnd w:id="487"/>
    </w:p>
    <w:p w14:paraId="30CD2E13">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cs="宋体" w:asciiTheme="minorEastAsia" w:hAnsiTheme="minorEastAsia" w:eastAsiaTheme="minorEastAsia"/>
          <w:color w:val="auto"/>
          <w:sz w:val="21"/>
          <w:szCs w:val="21"/>
        </w:rPr>
        <w:t>1</w:t>
      </w:r>
      <w:r>
        <w:rPr>
          <w:rFonts w:asciiTheme="minorEastAsia" w:hAnsiTheme="minorEastAsia" w:eastAsiaTheme="minorEastAsia"/>
          <w:color w:val="auto"/>
          <w:sz w:val="21"/>
          <w:szCs w:val="21"/>
        </w:rPr>
        <w:t>.</w:t>
      </w:r>
      <w:r>
        <w:rPr>
          <w:rFonts w:hint="eastAsia"/>
          <w:color w:val="auto"/>
          <w:sz w:val="21"/>
          <w:szCs w:val="21"/>
        </w:rPr>
        <w:t>验收前乙方应对所提供服务作出全面检查及对验收文件进行整理，并列出清单，作为甲方验收和使用的技术条件依据，检验的结果应交甲方。</w:t>
      </w:r>
    </w:p>
    <w:p w14:paraId="7BD6388D">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cs="宋体"/>
          <w:color w:val="auto"/>
          <w:sz w:val="21"/>
          <w:szCs w:val="21"/>
        </w:rPr>
      </w:pPr>
      <w:r>
        <w:rPr>
          <w:rFonts w:cs="宋体" w:asciiTheme="minorEastAsia" w:hAnsiTheme="minorEastAsia" w:eastAsiaTheme="minorEastAsia"/>
          <w:color w:val="auto"/>
          <w:sz w:val="21"/>
          <w:szCs w:val="21"/>
        </w:rPr>
        <w:t>2</w:t>
      </w:r>
      <w:r>
        <w:rPr>
          <w:rFonts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rPr>
        <w:t>如甲方需要，</w:t>
      </w:r>
      <w:r>
        <w:rPr>
          <w:rFonts w:hint="eastAsia"/>
          <w:color w:val="auto"/>
          <w:sz w:val="21"/>
          <w:szCs w:val="21"/>
        </w:rPr>
        <w:t>验收时乙方应在现场，验收完毕后作出验收结果报告。</w:t>
      </w:r>
      <w:r>
        <w:rPr>
          <w:rFonts w:cs="宋体"/>
          <w:color w:val="auto"/>
          <w:sz w:val="21"/>
          <w:szCs w:val="21"/>
        </w:rPr>
        <w:t xml:space="preserve"> </w:t>
      </w:r>
    </w:p>
    <w:p w14:paraId="6B1ABF17">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3</w:t>
      </w:r>
      <w:r>
        <w:rPr>
          <w:rFonts w:asciiTheme="minorEastAsia" w:hAnsiTheme="minorEastAsia" w:eastAsiaTheme="minorEastAsia"/>
          <w:color w:val="auto"/>
          <w:spacing w:val="-6"/>
          <w:sz w:val="21"/>
          <w:szCs w:val="21"/>
        </w:rPr>
        <w:t>.</w:t>
      </w:r>
      <w:r>
        <w:rPr>
          <w:rFonts w:hint="eastAsia"/>
          <w:color w:val="auto"/>
          <w:sz w:val="21"/>
          <w:szCs w:val="21"/>
        </w:rPr>
        <w:t>验收应当按照本合同及采购文件上的技术要求和国家有关质量标准及双方约定的验收时间进行。乙方应当在验收前做好验收的必要准备并向甲方发出可以进行验收的书面通知，并同时按约定提交拟验收的服务成果。乙方提交验收书面通知及拟验收的服务成果不符合前述规定的，视为乙方未提交验收。乙方提交验收书面通知及拟验收的服务成果符合前述规定的，甲方应当在收到该验收通知后</w:t>
      </w:r>
      <w:r>
        <w:rPr>
          <w:rFonts w:hint="eastAsia" w:asciiTheme="minorEastAsia" w:hAnsiTheme="minorEastAsia" w:eastAsiaTheme="minorEastAsia"/>
          <w:b w:val="0"/>
          <w:bCs w:val="0"/>
          <w:color w:val="auto"/>
          <w:sz w:val="21"/>
          <w:szCs w:val="21"/>
          <w:u w:val="single"/>
        </w:rPr>
        <w:t xml:space="preserve"> </w:t>
      </w:r>
      <w:r>
        <w:rPr>
          <w:rFonts w:hint="eastAsia" w:asciiTheme="minorEastAsia" w:hAnsiTheme="minorEastAsia" w:eastAsiaTheme="minorEastAsia"/>
          <w:b w:val="0"/>
          <w:bCs w:val="0"/>
          <w:color w:val="auto"/>
          <w:sz w:val="21"/>
          <w:szCs w:val="21"/>
          <w:u w:val="single"/>
          <w:lang w:val="en-US" w:eastAsia="zh-CN"/>
        </w:rPr>
        <w:t>10</w:t>
      </w:r>
      <w:r>
        <w:rPr>
          <w:rFonts w:hint="eastAsia" w:asciiTheme="minorEastAsia" w:hAnsiTheme="minorEastAsia" w:eastAsiaTheme="minorEastAsia"/>
          <w:b w:val="0"/>
          <w:bCs w:val="0"/>
          <w:color w:val="auto"/>
          <w:sz w:val="21"/>
          <w:szCs w:val="21"/>
          <w:u w:val="single"/>
        </w:rPr>
        <w:t xml:space="preserve"> </w:t>
      </w:r>
      <w:r>
        <w:rPr>
          <w:rFonts w:hint="eastAsia"/>
          <w:color w:val="auto"/>
          <w:sz w:val="21"/>
          <w:szCs w:val="21"/>
        </w:rPr>
        <w:t>个工作日内开始验收。</w:t>
      </w:r>
    </w:p>
    <w:p w14:paraId="5CB9E31C">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cs="宋体"/>
          <w:strike/>
          <w:color w:val="auto"/>
          <w:sz w:val="21"/>
          <w:szCs w:val="21"/>
        </w:rPr>
      </w:pPr>
      <w:r>
        <w:rPr>
          <w:rFonts w:cs="宋体" w:asciiTheme="minorEastAsia" w:hAnsiTheme="minorEastAsia" w:eastAsiaTheme="minorEastAsia"/>
          <w:color w:val="auto"/>
          <w:sz w:val="21"/>
          <w:szCs w:val="21"/>
        </w:rPr>
        <w:t>4</w:t>
      </w:r>
      <w:r>
        <w:rPr>
          <w:rFonts w:asciiTheme="minorEastAsia" w:hAnsiTheme="minorEastAsia" w:eastAsiaTheme="minorEastAsia"/>
          <w:color w:val="auto"/>
          <w:sz w:val="21"/>
          <w:szCs w:val="21"/>
        </w:rPr>
        <w:t>.</w:t>
      </w:r>
      <w:r>
        <w:rPr>
          <w:rFonts w:hint="eastAsia"/>
          <w:color w:val="auto"/>
          <w:sz w:val="21"/>
          <w:szCs w:val="21"/>
        </w:rPr>
        <w:t>乙方提交的服务成果如经甲方验收不合格，乙方应当立即采取修改、完善或甲方要求的其他补救措施，并与甲方约定新的验收时间进行验收；若乙方重新提交验收而导致原定的服务完成期限或验收合格期限逾期的，乙方须承担逾期责任。</w:t>
      </w:r>
    </w:p>
    <w:p w14:paraId="3430E632">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8" w:name="_Toc27239_WPSOffice_Level2"/>
      <w:r>
        <w:rPr>
          <w:rFonts w:hint="eastAsia"/>
          <w:b/>
          <w:bCs/>
          <w:color w:val="auto"/>
          <w:sz w:val="21"/>
          <w:szCs w:val="21"/>
        </w:rPr>
        <w:t>九、质量保证与售后服务</w:t>
      </w:r>
      <w:bookmarkEnd w:id="488"/>
    </w:p>
    <w:p w14:paraId="2D7EF2E2">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rFonts w:hint="eastAsia"/>
          <w:color w:val="auto"/>
          <w:sz w:val="21"/>
          <w:szCs w:val="21"/>
        </w:rPr>
        <w:t>乙方按照本合同第二条约定的服务时间、地点、内容、数量和质量等要求向甲方提供服务，在服务期限内，若乙方提供的服务未达到约定的数量、质量等标准，应当及时更换、补齐或提升服务质量水平至本合同要求的标准。</w:t>
      </w:r>
    </w:p>
    <w:p w14:paraId="31B3E5E5">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cs="宋体"/>
          <w:b/>
          <w:bCs/>
          <w:color w:val="auto"/>
          <w:sz w:val="21"/>
          <w:szCs w:val="21"/>
        </w:rPr>
      </w:pPr>
      <w:r>
        <w:rPr>
          <w:rFonts w:hint="eastAsia" w:cs="宋体" w:asciiTheme="minorEastAsia" w:hAnsiTheme="minorEastAsia" w:eastAsiaTheme="minorEastAsia"/>
          <w:color w:val="auto"/>
          <w:sz w:val="21"/>
          <w:szCs w:val="21"/>
        </w:rPr>
        <w:t>2</w:t>
      </w:r>
      <w:r>
        <w:rPr>
          <w:rFonts w:asciiTheme="minorEastAsia" w:hAnsiTheme="minorEastAsia" w:eastAsiaTheme="minorEastAsia"/>
          <w:color w:val="auto"/>
          <w:sz w:val="21"/>
          <w:szCs w:val="21"/>
        </w:rPr>
        <w:t>.</w:t>
      </w:r>
      <w:r>
        <w:rPr>
          <w:rFonts w:hint="eastAsia"/>
          <w:color w:val="auto"/>
          <w:sz w:val="21"/>
          <w:szCs w:val="21"/>
        </w:rPr>
        <w:t>乙方应具有提供本合同所载服务应当具有的各项资质及专业技术人员，乙方工作人员应遵守甲方以及学校相关的规章制度，文明操作，安全服务；由于乙方的管理失误或乙方工作人员的过错造成的损失，由乙方承担全部责任，甲方保留追究乙方相关责任的权利。</w:t>
      </w:r>
    </w:p>
    <w:p w14:paraId="62DB3F04">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cs="宋体"/>
          <w:b/>
          <w:bCs/>
          <w:color w:val="auto"/>
          <w:sz w:val="21"/>
          <w:szCs w:val="21"/>
        </w:rPr>
      </w:pPr>
      <w:r>
        <w:rPr>
          <w:rFonts w:hint="eastAsia" w:cs="宋体" w:asciiTheme="minorEastAsia" w:hAnsiTheme="minorEastAsia" w:eastAsiaTheme="minorEastAsia"/>
          <w:color w:val="auto"/>
          <w:sz w:val="21"/>
          <w:szCs w:val="21"/>
        </w:rPr>
        <w:t>3</w:t>
      </w:r>
      <w:r>
        <w:rPr>
          <w:rFonts w:asciiTheme="minorEastAsia" w:hAnsiTheme="minorEastAsia" w:eastAsiaTheme="minorEastAsia"/>
          <w:color w:val="auto"/>
          <w:sz w:val="21"/>
          <w:szCs w:val="21"/>
        </w:rPr>
        <w:t>.</w:t>
      </w:r>
      <w:r>
        <w:rPr>
          <w:rFonts w:hint="eastAsia"/>
          <w:color w:val="auto"/>
          <w:sz w:val="21"/>
          <w:szCs w:val="21"/>
        </w:rPr>
        <w:t>质量保证期内，乙方对本项目所含货物类产品免费提供维护、维修或更换，包括设备维修所需的零配件及不能解决的故障需要返回生产厂家维修时所发生的一切费用。</w:t>
      </w:r>
    </w:p>
    <w:p w14:paraId="3B582823">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89" w:name="_Toc12547_WPSOffice_Level2"/>
      <w:r>
        <w:rPr>
          <w:rFonts w:hint="eastAsia"/>
          <w:b/>
          <w:bCs/>
          <w:color w:val="auto"/>
          <w:sz w:val="21"/>
          <w:szCs w:val="21"/>
        </w:rPr>
        <w:t>十、保密条款</w:t>
      </w:r>
      <w:bookmarkEnd w:id="489"/>
    </w:p>
    <w:p w14:paraId="7DD85F42">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乙方对合同内容及履行合同过程中所获悉的属于甲方的且无法自公开渠道获得的文件及资料，应负保密义务，非经甲方书面同意，不得擅自利用或对外发表或披露。违反前述约定的，乙方应支付</w:t>
      </w:r>
      <w:r>
        <w:rPr>
          <w:color w:val="auto"/>
          <w:sz w:val="21"/>
          <w:szCs w:val="21"/>
        </w:rPr>
        <w:t>给甲方</w:t>
      </w:r>
      <w:r>
        <w:rPr>
          <w:rFonts w:hint="eastAsia"/>
          <w:color w:val="auto"/>
          <w:sz w:val="21"/>
          <w:szCs w:val="21"/>
        </w:rPr>
        <w:t>惩罚性</w:t>
      </w:r>
      <w:r>
        <w:rPr>
          <w:color w:val="auto"/>
          <w:sz w:val="21"/>
          <w:szCs w:val="21"/>
        </w:rPr>
        <w:t>违约金</w:t>
      </w:r>
      <w:r>
        <w:rPr>
          <w:rFonts w:hint="eastAsia"/>
          <w:color w:val="auto"/>
          <w:sz w:val="21"/>
          <w:szCs w:val="21"/>
        </w:rPr>
        <w:t>，并承担赔偿责任。保密期限自乙方接收或知悉甲方信息资料之日起至该信息资料公开之日或甲方书面解除乙方保密义务之日止。</w:t>
      </w:r>
    </w:p>
    <w:p w14:paraId="253EE047">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90" w:name="_Toc18279_WPSOffice_Level2"/>
      <w:r>
        <w:rPr>
          <w:rFonts w:hint="eastAsia"/>
          <w:b/>
          <w:bCs/>
          <w:color w:val="auto"/>
          <w:sz w:val="21"/>
          <w:szCs w:val="21"/>
        </w:rPr>
        <w:t>十一、违约责任</w:t>
      </w:r>
      <w:bookmarkEnd w:id="490"/>
    </w:p>
    <w:p w14:paraId="74C87E9C">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rFonts w:asciiTheme="minorEastAsia" w:hAnsiTheme="minorEastAsia" w:eastAsiaTheme="minorEastAsia"/>
          <w:color w:val="auto"/>
          <w:spacing w:val="-6"/>
          <w:sz w:val="21"/>
          <w:szCs w:val="21"/>
        </w:rPr>
        <w:t>.</w:t>
      </w:r>
      <w:r>
        <w:rPr>
          <w:rFonts w:hint="eastAsia"/>
          <w:color w:val="auto"/>
          <w:sz w:val="21"/>
          <w:szCs w:val="21"/>
        </w:rPr>
        <w:t>甲方逾期支付款项的，每逾期一日，应按逾期付款总额</w:t>
      </w:r>
      <w:r>
        <w:rPr>
          <w:rFonts w:hint="eastAsia"/>
          <w:color w:val="auto"/>
          <w:sz w:val="21"/>
          <w:szCs w:val="21"/>
          <w:u w:val="single"/>
          <w:lang w:val="en-US" w:eastAsia="zh-CN"/>
        </w:rPr>
        <w:t xml:space="preserve">  万分之叁  </w:t>
      </w:r>
      <w:r>
        <w:rPr>
          <w:rFonts w:hint="eastAsia"/>
          <w:color w:val="auto"/>
          <w:sz w:val="21"/>
          <w:szCs w:val="21"/>
        </w:rPr>
        <w:t>向乙方支付违约金。</w:t>
      </w:r>
    </w:p>
    <w:p w14:paraId="0A5B4CA7">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2</w:t>
      </w:r>
      <w:r>
        <w:rPr>
          <w:rFonts w:asciiTheme="minorEastAsia" w:hAnsiTheme="minorEastAsia" w:eastAsiaTheme="minorEastAsia"/>
          <w:color w:val="auto"/>
          <w:spacing w:val="-6"/>
          <w:sz w:val="21"/>
          <w:szCs w:val="21"/>
        </w:rPr>
        <w:t>.</w:t>
      </w:r>
      <w:r>
        <w:rPr>
          <w:rFonts w:hint="eastAsia"/>
          <w:color w:val="auto"/>
          <w:sz w:val="21"/>
          <w:szCs w:val="21"/>
        </w:rPr>
        <w:t>乙方逾期履行合同的，每逾期一日，应按合同总价</w:t>
      </w:r>
      <w:r>
        <w:rPr>
          <w:rFonts w:hint="eastAsia"/>
          <w:color w:val="auto"/>
          <w:sz w:val="21"/>
          <w:szCs w:val="21"/>
          <w:u w:val="single"/>
          <w:lang w:val="en-US" w:eastAsia="zh-CN"/>
        </w:rPr>
        <w:t xml:space="preserve">  万分之叁  </w:t>
      </w:r>
      <w:r>
        <w:rPr>
          <w:rFonts w:hint="eastAsia"/>
          <w:color w:val="auto"/>
          <w:sz w:val="21"/>
          <w:szCs w:val="21"/>
        </w:rPr>
        <w:t>向甲方支付违约金。累计逾期超过约定日期</w:t>
      </w:r>
      <w:r>
        <w:rPr>
          <w:color w:val="auto"/>
          <w:sz w:val="21"/>
          <w:szCs w:val="21"/>
          <w:u w:val="single"/>
        </w:rPr>
        <w:t xml:space="preserve"> 10 </w:t>
      </w:r>
      <w:r>
        <w:rPr>
          <w:rFonts w:hint="eastAsia"/>
          <w:color w:val="auto"/>
          <w:sz w:val="21"/>
          <w:szCs w:val="21"/>
        </w:rPr>
        <w:t>个工作日的，甲方有权解除本合同，乙方应向</w:t>
      </w:r>
      <w:r>
        <w:rPr>
          <w:rFonts w:hint="eastAsia"/>
          <w:color w:val="auto"/>
          <w:spacing w:val="-6"/>
          <w:sz w:val="21"/>
          <w:szCs w:val="21"/>
        </w:rPr>
        <w:t>甲方返还全部已支付价款，并按合同总价的</w:t>
      </w:r>
      <w:r>
        <w:rPr>
          <w:color w:val="auto"/>
          <w:sz w:val="21"/>
          <w:szCs w:val="21"/>
          <w:u w:val="single"/>
        </w:rPr>
        <w:t>5 %</w:t>
      </w:r>
      <w:r>
        <w:rPr>
          <w:rFonts w:hint="eastAsia"/>
          <w:color w:val="auto"/>
          <w:spacing w:val="-6"/>
          <w:sz w:val="21"/>
          <w:szCs w:val="21"/>
        </w:rPr>
        <w:t>向甲方支付违约金，</w:t>
      </w:r>
      <w:r>
        <w:rPr>
          <w:rFonts w:hint="eastAsia"/>
          <w:color w:val="auto"/>
          <w:sz w:val="21"/>
          <w:szCs w:val="21"/>
        </w:rPr>
        <w:t>违约金不足以弥补甲方损失的，乙方还应向</w:t>
      </w:r>
      <w:r>
        <w:rPr>
          <w:rFonts w:hint="eastAsia"/>
          <w:color w:val="auto"/>
          <w:spacing w:val="-6"/>
          <w:sz w:val="21"/>
          <w:szCs w:val="21"/>
        </w:rPr>
        <w:t>甲方赔偿遭受的全部损失。</w:t>
      </w:r>
      <w:r>
        <w:rPr>
          <w:color w:val="auto"/>
          <w:sz w:val="21"/>
          <w:szCs w:val="21"/>
        </w:rPr>
        <w:t xml:space="preserve"> </w:t>
      </w:r>
    </w:p>
    <w:p w14:paraId="2B8D4E79">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cs="宋体" w:asciiTheme="minorEastAsia" w:hAnsiTheme="minorEastAsia" w:eastAsiaTheme="minorEastAsia"/>
          <w:color w:val="auto"/>
          <w:sz w:val="21"/>
          <w:szCs w:val="21"/>
        </w:rPr>
        <w:t>3</w:t>
      </w:r>
      <w:r>
        <w:rPr>
          <w:rFonts w:asciiTheme="minorEastAsia" w:hAnsiTheme="minorEastAsia" w:eastAsiaTheme="minorEastAsia"/>
          <w:color w:val="auto"/>
          <w:sz w:val="21"/>
          <w:szCs w:val="21"/>
        </w:rPr>
        <w:t>.</w:t>
      </w:r>
      <w:r>
        <w:rPr>
          <w:rFonts w:hint="eastAsia"/>
          <w:color w:val="auto"/>
          <w:sz w:val="21"/>
          <w:szCs w:val="21"/>
        </w:rPr>
        <w:t>若乙方未能按本合同要求全面提供服务或有其他违约行为，并经甲方书面通知后仍不改正的，甲方有权解除合同，</w:t>
      </w:r>
      <w:r>
        <w:rPr>
          <w:rFonts w:hint="eastAsia" w:cs="宋体"/>
          <w:color w:val="auto"/>
          <w:sz w:val="21"/>
          <w:szCs w:val="21"/>
        </w:rPr>
        <w:t>乙方应向</w:t>
      </w:r>
      <w:r>
        <w:rPr>
          <w:rFonts w:hint="eastAsia"/>
          <w:color w:val="auto"/>
          <w:sz w:val="21"/>
          <w:szCs w:val="21"/>
        </w:rPr>
        <w:t>甲方返还全部已支付价款，并按合同总价的</w:t>
      </w:r>
      <w:r>
        <w:rPr>
          <w:color w:val="auto"/>
          <w:sz w:val="21"/>
          <w:szCs w:val="21"/>
          <w:u w:val="single"/>
        </w:rPr>
        <w:t>5 %</w:t>
      </w:r>
      <w:r>
        <w:rPr>
          <w:rFonts w:hint="eastAsia"/>
          <w:color w:val="auto"/>
          <w:sz w:val="21"/>
          <w:szCs w:val="21"/>
        </w:rPr>
        <w:t>向甲方支付违约金，</w:t>
      </w:r>
      <w:r>
        <w:rPr>
          <w:rFonts w:hint="eastAsia" w:cs="宋体"/>
          <w:color w:val="auto"/>
          <w:sz w:val="21"/>
          <w:szCs w:val="21"/>
        </w:rPr>
        <w:t>违约金不足以弥补甲方损失的，乙方还应向</w:t>
      </w:r>
      <w:r>
        <w:rPr>
          <w:rFonts w:hint="eastAsia"/>
          <w:color w:val="auto"/>
          <w:sz w:val="21"/>
          <w:szCs w:val="21"/>
        </w:rPr>
        <w:t>甲方赔偿遭受的全部损失。</w:t>
      </w:r>
    </w:p>
    <w:p w14:paraId="730EECC2">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b/>
          <w:bCs/>
          <w:color w:val="auto"/>
          <w:sz w:val="21"/>
          <w:szCs w:val="21"/>
        </w:rPr>
      </w:pPr>
      <w:r>
        <w:rPr>
          <w:rFonts w:asciiTheme="minorEastAsia" w:hAnsiTheme="minorEastAsia" w:eastAsiaTheme="minorEastAsia"/>
          <w:color w:val="auto"/>
          <w:sz w:val="21"/>
          <w:szCs w:val="21"/>
        </w:rPr>
        <w:t>4.</w:t>
      </w:r>
      <w:r>
        <w:rPr>
          <w:rFonts w:hint="eastAsia"/>
          <w:color w:val="auto"/>
          <w:spacing w:val="-6"/>
          <w:sz w:val="21"/>
          <w:szCs w:val="21"/>
        </w:rPr>
        <w:t>服务期内乙方未在约定时间内作出服务响应的，</w:t>
      </w:r>
      <w:r>
        <w:rPr>
          <w:rFonts w:hint="eastAsia"/>
          <w:color w:val="auto"/>
          <w:sz w:val="21"/>
          <w:szCs w:val="21"/>
        </w:rPr>
        <w:t>每发生一次应向甲方支付</w:t>
      </w:r>
      <w:r>
        <w:rPr>
          <w:b w:val="0"/>
          <w:bCs w:val="0"/>
          <w:color w:val="auto"/>
          <w:sz w:val="21"/>
          <w:szCs w:val="21"/>
          <w:u w:val="single"/>
        </w:rPr>
        <w:t xml:space="preserve"> </w:t>
      </w:r>
      <w:r>
        <w:rPr>
          <w:rFonts w:hint="eastAsia"/>
          <w:b w:val="0"/>
          <w:bCs w:val="0"/>
          <w:color w:val="auto"/>
          <w:sz w:val="21"/>
          <w:szCs w:val="21"/>
          <w:u w:val="single"/>
          <w:lang w:val="en-US" w:eastAsia="zh-CN"/>
        </w:rPr>
        <w:t>1000</w:t>
      </w:r>
      <w:r>
        <w:rPr>
          <w:rFonts w:hint="eastAsia"/>
          <w:b w:val="0"/>
          <w:bCs w:val="0"/>
          <w:color w:val="auto"/>
          <w:sz w:val="21"/>
          <w:szCs w:val="21"/>
          <w:u w:val="single"/>
        </w:rPr>
        <w:t xml:space="preserve"> </w:t>
      </w:r>
      <w:r>
        <w:rPr>
          <w:rFonts w:hint="eastAsia"/>
          <w:color w:val="auto"/>
          <w:sz w:val="21"/>
          <w:szCs w:val="21"/>
        </w:rPr>
        <w:t>元的违约金，</w:t>
      </w:r>
      <w:r>
        <w:rPr>
          <w:rFonts w:hint="eastAsia"/>
          <w:color w:val="auto"/>
          <w:spacing w:val="-6"/>
          <w:sz w:val="21"/>
          <w:szCs w:val="21"/>
        </w:rPr>
        <w:t>甲方有权委托第三方提供服务，</w:t>
      </w:r>
      <w:r>
        <w:rPr>
          <w:rFonts w:hint="eastAsia"/>
          <w:color w:val="auto"/>
          <w:sz w:val="21"/>
          <w:szCs w:val="21"/>
        </w:rPr>
        <w:t>所产生的费用由乙方承担。</w:t>
      </w:r>
    </w:p>
    <w:p w14:paraId="6B29ECCD">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5.</w:t>
      </w:r>
      <w:r>
        <w:rPr>
          <w:rFonts w:hint="eastAsia"/>
          <w:color w:val="auto"/>
          <w:sz w:val="21"/>
          <w:szCs w:val="21"/>
        </w:rPr>
        <w:t>若乙方工作人员在服务过程中，未尽安全义务，出现有可能伤害自身或威胁到他人生命、财产安全的情况，甲方以及相关人员有权立即要求中止服务，由此产生的一切费用及损失由乙方自行承担，甲方不承担任何责任。</w:t>
      </w:r>
    </w:p>
    <w:p w14:paraId="3B70DC61">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91" w:name="_Toc16265_WPSOffice_Level2"/>
      <w:r>
        <w:rPr>
          <w:rFonts w:hint="eastAsia"/>
          <w:b/>
          <w:bCs/>
          <w:color w:val="auto"/>
          <w:sz w:val="21"/>
          <w:szCs w:val="21"/>
        </w:rPr>
        <w:t>十二、不可抗力</w:t>
      </w:r>
      <w:bookmarkEnd w:id="491"/>
    </w:p>
    <w:p w14:paraId="2EF5D2B2">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rFonts w:asciiTheme="minorEastAsia" w:hAnsiTheme="minorEastAsia" w:eastAsiaTheme="minorEastAsia"/>
          <w:color w:val="auto"/>
          <w:spacing w:val="-6"/>
          <w:sz w:val="21"/>
          <w:szCs w:val="21"/>
        </w:rPr>
        <w:t>.</w:t>
      </w:r>
      <w:r>
        <w:rPr>
          <w:rFonts w:hint="eastAsia"/>
          <w:color w:val="auto"/>
          <w:sz w:val="21"/>
          <w:szCs w:val="21"/>
        </w:rPr>
        <w:t>在合同有效期内，任何一方因不可抗力事件导致不能履行合同，则合同履行期可延长，其延长期与不可抗力影响期相同。</w:t>
      </w:r>
    </w:p>
    <w:p w14:paraId="2A019A55">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2</w:t>
      </w:r>
      <w:r>
        <w:rPr>
          <w:rFonts w:asciiTheme="minorEastAsia" w:hAnsiTheme="minorEastAsia" w:eastAsiaTheme="minorEastAsia"/>
          <w:color w:val="auto"/>
          <w:spacing w:val="-6"/>
          <w:sz w:val="21"/>
          <w:szCs w:val="21"/>
        </w:rPr>
        <w:t>.</w:t>
      </w:r>
      <w:r>
        <w:rPr>
          <w:rFonts w:hint="eastAsia"/>
          <w:color w:val="auto"/>
          <w:sz w:val="21"/>
          <w:szCs w:val="21"/>
        </w:rPr>
        <w:t>不可抗力事件发生后，受不可抗力事件影响的一方应在事件发生后</w:t>
      </w:r>
      <w:r>
        <w:rPr>
          <w:color w:val="auto"/>
          <w:sz w:val="21"/>
          <w:szCs w:val="21"/>
        </w:rPr>
        <w:t>3</w:t>
      </w:r>
      <w:r>
        <w:rPr>
          <w:rFonts w:hint="eastAsia"/>
          <w:color w:val="auto"/>
          <w:sz w:val="21"/>
          <w:szCs w:val="21"/>
        </w:rPr>
        <w:t>日内立即通知对方，并寄送有关权威机构出具的证明。同时应立即尽一切合理努力采取措施，消除影响，减少损失。</w:t>
      </w:r>
    </w:p>
    <w:p w14:paraId="4EB14919">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3</w:t>
      </w:r>
      <w:r>
        <w:rPr>
          <w:rFonts w:asciiTheme="minorEastAsia" w:hAnsiTheme="minorEastAsia" w:eastAsiaTheme="minorEastAsia"/>
          <w:color w:val="auto"/>
          <w:spacing w:val="-6"/>
          <w:sz w:val="21"/>
          <w:szCs w:val="21"/>
        </w:rPr>
        <w:t>.</w:t>
      </w:r>
      <w:r>
        <w:rPr>
          <w:rFonts w:hint="eastAsia"/>
          <w:color w:val="auto"/>
          <w:sz w:val="21"/>
          <w:szCs w:val="21"/>
        </w:rPr>
        <w:t>不可抗力事件延续</w:t>
      </w:r>
      <w:r>
        <w:rPr>
          <w:color w:val="auto"/>
          <w:sz w:val="21"/>
          <w:szCs w:val="21"/>
        </w:rPr>
        <w:t>30</w:t>
      </w:r>
      <w:r>
        <w:rPr>
          <w:rFonts w:hint="eastAsia"/>
          <w:color w:val="auto"/>
          <w:sz w:val="21"/>
          <w:szCs w:val="21"/>
        </w:rPr>
        <w:t>天以上，双方应通过友好协商，确定是否继续履行合同。</w:t>
      </w:r>
    </w:p>
    <w:p w14:paraId="0FFB5DBB">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cs="宋体" w:asciiTheme="minorEastAsia" w:hAnsiTheme="minorEastAsia" w:eastAsiaTheme="minorEastAsia"/>
          <w:color w:val="auto"/>
          <w:sz w:val="21"/>
          <w:szCs w:val="21"/>
        </w:rPr>
        <w:t>4.</w:t>
      </w:r>
      <w:r>
        <w:rPr>
          <w:rFonts w:hint="eastAsia"/>
          <w:color w:val="auto"/>
          <w:sz w:val="21"/>
          <w:szCs w:val="21"/>
        </w:rPr>
        <w:t>本条所述的“不可抗力”依法律规定。</w:t>
      </w:r>
    </w:p>
    <w:p w14:paraId="6204D7CD">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b/>
          <w:bCs/>
          <w:color w:val="auto"/>
          <w:sz w:val="21"/>
          <w:szCs w:val="21"/>
        </w:rPr>
      </w:pPr>
      <w:bookmarkStart w:id="492" w:name="_Toc30565_WPSOffice_Level2"/>
      <w:r>
        <w:rPr>
          <w:rFonts w:hint="eastAsia"/>
          <w:b/>
          <w:bCs/>
          <w:color w:val="auto"/>
          <w:sz w:val="21"/>
          <w:szCs w:val="21"/>
        </w:rPr>
        <w:t>十三、法律适用与争议解决</w:t>
      </w:r>
      <w:bookmarkEnd w:id="492"/>
    </w:p>
    <w:p w14:paraId="3D11C80B">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rFonts w:asciiTheme="minorEastAsia" w:hAnsiTheme="minorEastAsia" w:eastAsiaTheme="minorEastAsia"/>
          <w:color w:val="auto"/>
          <w:spacing w:val="-6"/>
          <w:sz w:val="21"/>
          <w:szCs w:val="21"/>
        </w:rPr>
        <w:t>.</w:t>
      </w:r>
      <w:r>
        <w:rPr>
          <w:rFonts w:hint="eastAsia"/>
          <w:color w:val="auto"/>
          <w:sz w:val="21"/>
          <w:szCs w:val="21"/>
        </w:rPr>
        <w:t>本合同的订立、解释、履行及争议解决，均适用中华人民共和国法律。</w:t>
      </w:r>
    </w:p>
    <w:p w14:paraId="4FE13605">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2</w:t>
      </w:r>
      <w:r>
        <w:rPr>
          <w:rFonts w:asciiTheme="minorEastAsia" w:hAnsiTheme="minorEastAsia" w:eastAsiaTheme="minorEastAsia"/>
          <w:color w:val="auto"/>
          <w:spacing w:val="-6"/>
          <w:sz w:val="21"/>
          <w:szCs w:val="21"/>
        </w:rPr>
        <w:t>.</w:t>
      </w:r>
      <w:r>
        <w:rPr>
          <w:rFonts w:hint="eastAsia"/>
          <w:color w:val="auto"/>
          <w:sz w:val="21"/>
          <w:szCs w:val="21"/>
        </w:rPr>
        <w:t>本合同履行过程中发生争议的，甲乙双方应友好协商；协商不成的，任何一方可向甲方所在地人民法院起诉。</w:t>
      </w:r>
    </w:p>
    <w:p w14:paraId="5C706CDC">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color w:val="auto"/>
          <w:sz w:val="21"/>
          <w:szCs w:val="21"/>
        </w:rPr>
      </w:pPr>
      <w:bookmarkStart w:id="493" w:name="_Toc14455_WPSOffice_Level2"/>
      <w:r>
        <w:rPr>
          <w:rFonts w:hint="eastAsia"/>
          <w:b/>
          <w:bCs/>
          <w:color w:val="auto"/>
          <w:sz w:val="21"/>
          <w:szCs w:val="21"/>
        </w:rPr>
        <w:t>十四、合同生效及其他</w:t>
      </w:r>
      <w:bookmarkEnd w:id="493"/>
    </w:p>
    <w:p w14:paraId="1184B59D">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1</w:t>
      </w:r>
      <w:r>
        <w:rPr>
          <w:rFonts w:asciiTheme="minorEastAsia" w:hAnsiTheme="minorEastAsia" w:eastAsiaTheme="minorEastAsia"/>
          <w:color w:val="auto"/>
          <w:spacing w:val="-6"/>
          <w:sz w:val="21"/>
          <w:szCs w:val="21"/>
        </w:rPr>
        <w:t>.</w:t>
      </w:r>
      <w:r>
        <w:rPr>
          <w:rFonts w:hint="eastAsia"/>
          <w:color w:val="auto"/>
          <w:sz w:val="21"/>
          <w:szCs w:val="21"/>
        </w:rPr>
        <w:t>本合同经甲、乙双方代表签字并加盖单位公章或合同专用章后生效，甲方的单位公章盖采购中心合同专用章。</w:t>
      </w:r>
    </w:p>
    <w:p w14:paraId="3881F8BD">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asciiTheme="minorEastAsia" w:hAnsiTheme="minorEastAsia" w:eastAsiaTheme="minorEastAsia"/>
          <w:color w:val="auto"/>
          <w:sz w:val="21"/>
          <w:szCs w:val="21"/>
        </w:rPr>
        <w:t>2.</w:t>
      </w:r>
      <w:bookmarkStart w:id="494" w:name="_Hlk154756484"/>
      <w:r>
        <w:rPr>
          <w:rFonts w:hint="eastAsia"/>
          <w:color w:val="auto"/>
          <w:sz w:val="21"/>
          <w:szCs w:val="21"/>
        </w:rPr>
        <w:t>合同执行中涉及采购内容修改或补充的，按《杭州电子科技大学采购合同管理实施细则》（杭电采〔</w:t>
      </w:r>
      <w:r>
        <w:rPr>
          <w:color w:val="auto"/>
          <w:sz w:val="21"/>
          <w:szCs w:val="21"/>
        </w:rPr>
        <w:t>2023〕154号）</w:t>
      </w:r>
      <w:r>
        <w:rPr>
          <w:rFonts w:hint="eastAsia"/>
          <w:color w:val="auto"/>
          <w:sz w:val="21"/>
          <w:szCs w:val="21"/>
        </w:rPr>
        <w:t>执行。（政府采购项目：合同执行中涉及采购资金和采购内容修改或补充的，须经财政部门审批，并签书面补充协议报政府采购监督管理部门备案，方可作为主合同不可分割的一部分。）</w:t>
      </w:r>
    </w:p>
    <w:bookmarkEnd w:id="494"/>
    <w:p w14:paraId="756E8AD5">
      <w:pPr>
        <w:keepNext w:val="0"/>
        <w:keepLines w:val="0"/>
        <w:pageBreakBefore w:val="0"/>
        <w:widowControl w:val="0"/>
        <w:kinsoku/>
        <w:wordWrap/>
        <w:overflowPunct/>
        <w:topLinePunct w:val="0"/>
        <w:bidi w:val="0"/>
        <w:snapToGrid/>
        <w:spacing w:line="288" w:lineRule="auto"/>
        <w:ind w:left="0" w:leftChars="0" w:firstLine="396" w:firstLineChars="200"/>
        <w:textAlignment w:val="auto"/>
        <w:outlineLvl w:val="0"/>
        <w:rPr>
          <w:color w:val="auto"/>
          <w:sz w:val="21"/>
          <w:szCs w:val="21"/>
          <w:lang w:val="zh-CN"/>
        </w:rPr>
      </w:pPr>
      <w:bookmarkStart w:id="495" w:name="_Hlk154756502"/>
      <w:r>
        <w:rPr>
          <w:rFonts w:cs="宋体" w:asciiTheme="minorEastAsia" w:hAnsiTheme="minorEastAsia" w:eastAsiaTheme="minorEastAsia"/>
          <w:color w:val="auto"/>
          <w:spacing w:val="-6"/>
          <w:sz w:val="21"/>
          <w:szCs w:val="21"/>
        </w:rPr>
        <w:t>3.</w:t>
      </w:r>
      <w:bookmarkEnd w:id="495"/>
      <w:r>
        <w:rPr>
          <w:rFonts w:hint="eastAsia"/>
          <w:color w:val="auto"/>
          <w:sz w:val="21"/>
          <w:szCs w:val="21"/>
        </w:rPr>
        <w:t>本次采购过程中形成的</w:t>
      </w:r>
      <w:r>
        <w:rPr>
          <w:rFonts w:hint="eastAsia" w:ascii="宋体" w:hAnsi="宋体" w:cs="宋体"/>
          <w:color w:val="auto"/>
          <w:sz w:val="21"/>
          <w:szCs w:val="21"/>
        </w:rPr>
        <w:t>招标（非招标）</w:t>
      </w:r>
      <w:r>
        <w:rPr>
          <w:rFonts w:hint="eastAsia" w:ascii="宋体" w:hAnsi="宋体" w:cs="宋体"/>
          <w:color w:val="auto"/>
          <w:sz w:val="21"/>
          <w:szCs w:val="21"/>
          <w:lang w:val="zh-CN"/>
        </w:rPr>
        <w:t>文件</w:t>
      </w:r>
      <w:r>
        <w:rPr>
          <w:rFonts w:hint="eastAsia"/>
          <w:color w:val="auto"/>
          <w:sz w:val="21"/>
          <w:szCs w:val="21"/>
        </w:rPr>
        <w:t>、投标（响应）文件、澄清承诺、补充协议、附件等</w:t>
      </w:r>
      <w:r>
        <w:rPr>
          <w:rFonts w:hint="eastAsia"/>
          <w:color w:val="auto"/>
          <w:sz w:val="21"/>
          <w:szCs w:val="21"/>
          <w:lang w:val="zh-CN"/>
        </w:rPr>
        <w:t>为本合同的组成部分，并构成一个整体，需综合解释、相互补充。如果</w:t>
      </w:r>
      <w:r>
        <w:rPr>
          <w:rFonts w:hint="eastAsia"/>
          <w:color w:val="auto"/>
          <w:sz w:val="21"/>
          <w:szCs w:val="21"/>
        </w:rPr>
        <w:t>上述</w:t>
      </w:r>
      <w:r>
        <w:rPr>
          <w:rFonts w:hint="eastAsia"/>
          <w:color w:val="auto"/>
          <w:sz w:val="21"/>
          <w:szCs w:val="21"/>
          <w:lang w:val="zh-CN"/>
        </w:rPr>
        <w:t>文件内容出现不一致的情形，那么在保证按照采购文件确定的事项的前提下，组成本合同的多个文件的优先适用顺序如下：</w:t>
      </w:r>
    </w:p>
    <w:p w14:paraId="74211EA8">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lang w:val="zh-CN"/>
        </w:rPr>
      </w:pPr>
      <w:r>
        <w:rPr>
          <w:rFonts w:hint="eastAsia"/>
          <w:color w:val="auto"/>
          <w:sz w:val="21"/>
          <w:szCs w:val="21"/>
          <w:lang w:val="zh-CN"/>
        </w:rPr>
        <w:t>（</w:t>
      </w:r>
      <w:r>
        <w:rPr>
          <w:rFonts w:asciiTheme="minorEastAsia" w:hAnsiTheme="minorEastAsia" w:eastAsiaTheme="minorEastAsia"/>
          <w:color w:val="auto"/>
          <w:sz w:val="21"/>
          <w:szCs w:val="21"/>
          <w:lang w:val="zh-CN"/>
        </w:rPr>
        <w:t>1</w:t>
      </w:r>
      <w:r>
        <w:rPr>
          <w:rFonts w:hint="eastAsia"/>
          <w:color w:val="auto"/>
          <w:sz w:val="21"/>
          <w:szCs w:val="21"/>
          <w:lang w:val="zh-CN"/>
        </w:rPr>
        <w:t>）本合同及其补充合同、变更协议；</w:t>
      </w:r>
    </w:p>
    <w:p w14:paraId="3B69F18C">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lang w:val="zh-CN"/>
        </w:rPr>
      </w:pPr>
      <w:r>
        <w:rPr>
          <w:rFonts w:hint="eastAsia"/>
          <w:color w:val="auto"/>
          <w:sz w:val="21"/>
          <w:szCs w:val="21"/>
        </w:rPr>
        <w:t>（</w:t>
      </w:r>
      <w:r>
        <w:rPr>
          <w:rFonts w:asciiTheme="minorEastAsia" w:hAnsiTheme="minorEastAsia" w:eastAsiaTheme="minorEastAsia"/>
          <w:color w:val="auto"/>
          <w:sz w:val="21"/>
          <w:szCs w:val="21"/>
        </w:rPr>
        <w:t>2</w:t>
      </w:r>
      <w:r>
        <w:rPr>
          <w:rFonts w:hint="eastAsia"/>
          <w:color w:val="auto"/>
          <w:sz w:val="21"/>
          <w:szCs w:val="21"/>
        </w:rPr>
        <w:t>）中标（成交）</w:t>
      </w:r>
      <w:r>
        <w:rPr>
          <w:rFonts w:hint="eastAsia"/>
          <w:color w:val="auto"/>
          <w:sz w:val="21"/>
          <w:szCs w:val="21"/>
          <w:lang w:val="zh-CN"/>
        </w:rPr>
        <w:t>通知书；</w:t>
      </w:r>
    </w:p>
    <w:p w14:paraId="27AFBDD8">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lang w:val="zh-CN"/>
        </w:rPr>
      </w:pPr>
      <w:r>
        <w:rPr>
          <w:rFonts w:hint="eastAsia"/>
          <w:color w:val="auto"/>
          <w:sz w:val="21"/>
          <w:szCs w:val="21"/>
        </w:rPr>
        <w:t>（</w:t>
      </w:r>
      <w:r>
        <w:rPr>
          <w:rFonts w:asciiTheme="minorEastAsia" w:hAnsiTheme="minorEastAsia" w:eastAsiaTheme="minorEastAsia"/>
          <w:color w:val="auto"/>
          <w:sz w:val="21"/>
          <w:szCs w:val="21"/>
        </w:rPr>
        <w:t>3</w:t>
      </w:r>
      <w:r>
        <w:rPr>
          <w:rFonts w:hint="eastAsia"/>
          <w:color w:val="auto"/>
          <w:sz w:val="21"/>
          <w:szCs w:val="21"/>
        </w:rPr>
        <w:t>）投标（</w:t>
      </w:r>
      <w:r>
        <w:rPr>
          <w:rFonts w:hint="eastAsia"/>
          <w:color w:val="auto"/>
          <w:sz w:val="21"/>
          <w:szCs w:val="21"/>
          <w:lang w:val="zh-CN"/>
        </w:rPr>
        <w:t>响应）文件（含澄清或者说明文件）；</w:t>
      </w:r>
    </w:p>
    <w:p w14:paraId="0A4394C0">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lang w:val="zh-CN"/>
        </w:rPr>
      </w:pPr>
      <w:r>
        <w:rPr>
          <w:rFonts w:hint="eastAsia"/>
          <w:color w:val="auto"/>
          <w:sz w:val="21"/>
          <w:szCs w:val="21"/>
        </w:rPr>
        <w:t>（</w:t>
      </w:r>
      <w:r>
        <w:rPr>
          <w:rFonts w:asciiTheme="minorEastAsia" w:hAnsiTheme="minorEastAsia" w:eastAsiaTheme="minorEastAsia"/>
          <w:color w:val="auto"/>
          <w:sz w:val="21"/>
          <w:szCs w:val="21"/>
        </w:rPr>
        <w:t>4</w:t>
      </w:r>
      <w:r>
        <w:rPr>
          <w:rFonts w:hint="eastAsia"/>
          <w:color w:val="auto"/>
          <w:sz w:val="21"/>
          <w:szCs w:val="21"/>
        </w:rPr>
        <w:t>）招标（非招标）</w:t>
      </w:r>
      <w:r>
        <w:rPr>
          <w:rFonts w:hint="eastAsia"/>
          <w:color w:val="auto"/>
          <w:sz w:val="21"/>
          <w:szCs w:val="21"/>
          <w:lang w:val="zh-CN"/>
        </w:rPr>
        <w:t>文件（含澄清或者修改文件）；</w:t>
      </w:r>
    </w:p>
    <w:p w14:paraId="79C8835E">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r>
        <w:rPr>
          <w:rFonts w:hint="eastAsia"/>
          <w:color w:val="auto"/>
          <w:sz w:val="21"/>
          <w:szCs w:val="21"/>
        </w:rPr>
        <w:t>（</w:t>
      </w:r>
      <w:r>
        <w:rPr>
          <w:rFonts w:asciiTheme="minorEastAsia" w:hAnsiTheme="minorEastAsia" w:eastAsiaTheme="minorEastAsia"/>
          <w:color w:val="auto"/>
          <w:sz w:val="21"/>
          <w:szCs w:val="21"/>
        </w:rPr>
        <w:t>5</w:t>
      </w:r>
      <w:r>
        <w:rPr>
          <w:rFonts w:hint="eastAsia"/>
          <w:color w:val="auto"/>
          <w:sz w:val="21"/>
          <w:szCs w:val="21"/>
        </w:rPr>
        <w:t>）</w:t>
      </w:r>
      <w:r>
        <w:rPr>
          <w:rFonts w:hint="eastAsia"/>
          <w:color w:val="auto"/>
          <w:sz w:val="21"/>
          <w:szCs w:val="21"/>
          <w:lang w:val="zh-CN"/>
        </w:rPr>
        <w:t>其他相关采购文件。</w:t>
      </w:r>
    </w:p>
    <w:p w14:paraId="279FB176">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color w:val="auto"/>
          <w:sz w:val="21"/>
          <w:szCs w:val="21"/>
        </w:rPr>
      </w:pPr>
      <w:bookmarkStart w:id="496" w:name="_Hlk154756515"/>
      <w:r>
        <w:rPr>
          <w:rFonts w:asciiTheme="minorEastAsia" w:hAnsiTheme="minorEastAsia" w:eastAsiaTheme="minorEastAsia"/>
          <w:color w:val="auto"/>
          <w:sz w:val="21"/>
          <w:szCs w:val="21"/>
        </w:rPr>
        <w:t>4.</w:t>
      </w:r>
      <w:r>
        <w:rPr>
          <w:rFonts w:hint="eastAsia"/>
          <w:color w:val="auto"/>
          <w:sz w:val="21"/>
          <w:szCs w:val="21"/>
        </w:rPr>
        <w:t>本合同未尽事宜，遵照《中华人民共和国民法典》有关条文执行。</w:t>
      </w:r>
    </w:p>
    <w:p w14:paraId="7DFBDBDC">
      <w:pPr>
        <w:keepNext w:val="0"/>
        <w:keepLines w:val="0"/>
        <w:pageBreakBefore w:val="0"/>
        <w:widowControl w:val="0"/>
        <w:kinsoku/>
        <w:wordWrap/>
        <w:overflowPunct/>
        <w:topLinePunct w:val="0"/>
        <w:bidi w:val="0"/>
        <w:snapToGrid/>
        <w:spacing w:line="288" w:lineRule="auto"/>
        <w:ind w:left="0" w:leftChars="0" w:firstLine="420" w:firstLineChars="200"/>
        <w:textAlignment w:val="auto"/>
        <w:outlineLvl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5.</w:t>
      </w:r>
      <w:r>
        <w:rPr>
          <w:rFonts w:hint="eastAsia" w:asciiTheme="minorEastAsia" w:hAnsiTheme="minorEastAsia" w:eastAsiaTheme="minorEastAsia"/>
          <w:color w:val="auto"/>
          <w:sz w:val="21"/>
          <w:szCs w:val="21"/>
        </w:rPr>
        <w:t>本合同</w:t>
      </w:r>
      <w:r>
        <w:rPr>
          <w:rFonts w:hint="eastAsia" w:asciiTheme="minorEastAsia" w:hAnsiTheme="minorEastAsia" w:eastAsiaTheme="minorEastAsia"/>
          <w:color w:val="auto"/>
          <w:szCs w:val="22"/>
        </w:rPr>
        <w:t>一式</w:t>
      </w:r>
      <w:r>
        <w:rPr>
          <w:rFonts w:hint="eastAsia" w:asciiTheme="minorEastAsia" w:hAnsiTheme="minorEastAsia" w:eastAsiaTheme="minorEastAsia"/>
          <w:color w:val="auto"/>
          <w:sz w:val="21"/>
          <w:szCs w:val="21"/>
          <w:lang w:val="en-US" w:eastAsia="zh-CN"/>
        </w:rPr>
        <w:t>肆</w:t>
      </w:r>
      <w:r>
        <w:rPr>
          <w:rFonts w:hint="eastAsia" w:asciiTheme="minorEastAsia" w:hAnsiTheme="minorEastAsia" w:eastAsiaTheme="minorEastAsia"/>
          <w:color w:val="auto"/>
          <w:szCs w:val="22"/>
        </w:rPr>
        <w:t>份，甲方执</w:t>
      </w:r>
      <w:r>
        <w:rPr>
          <w:rFonts w:hint="eastAsia" w:asciiTheme="minorEastAsia" w:hAnsiTheme="minorEastAsia" w:eastAsiaTheme="minorEastAsia"/>
          <w:color w:val="auto"/>
          <w:szCs w:val="22"/>
          <w:lang w:val="en-US" w:eastAsia="zh-CN"/>
        </w:rPr>
        <w:t>叁</w:t>
      </w:r>
      <w:r>
        <w:rPr>
          <w:rFonts w:hint="eastAsia" w:asciiTheme="minorEastAsia" w:hAnsiTheme="minorEastAsia" w:eastAsiaTheme="minorEastAsia"/>
          <w:color w:val="auto"/>
          <w:szCs w:val="22"/>
        </w:rPr>
        <w:t>份，乙方执</w:t>
      </w:r>
      <w:r>
        <w:rPr>
          <w:rFonts w:hint="eastAsia" w:asciiTheme="minorEastAsia" w:hAnsiTheme="minorEastAsia" w:eastAsiaTheme="minorEastAsia"/>
          <w:color w:val="auto"/>
          <w:szCs w:val="22"/>
          <w:lang w:val="en-US" w:eastAsia="zh-CN"/>
        </w:rPr>
        <w:t>壹</w:t>
      </w:r>
      <w:r>
        <w:rPr>
          <w:rFonts w:hint="eastAsia" w:asciiTheme="minorEastAsia" w:hAnsiTheme="minorEastAsia" w:eastAsiaTheme="minorEastAsia"/>
          <w:color w:val="auto"/>
          <w:szCs w:val="22"/>
        </w:rPr>
        <w:t>份</w:t>
      </w:r>
      <w:r>
        <w:rPr>
          <w:rFonts w:hint="eastAsia" w:asciiTheme="minorEastAsia" w:hAnsiTheme="minorEastAsia" w:eastAsiaTheme="minorEastAsia"/>
          <w:color w:val="auto"/>
          <w:sz w:val="21"/>
          <w:szCs w:val="21"/>
        </w:rPr>
        <w:t>，具有同等法律效力。</w:t>
      </w:r>
    </w:p>
    <w:bookmarkEnd w:id="496"/>
    <w:p w14:paraId="1DBCCC84">
      <w:pPr>
        <w:keepNext w:val="0"/>
        <w:keepLines w:val="0"/>
        <w:pageBreakBefore w:val="0"/>
        <w:widowControl w:val="0"/>
        <w:kinsoku/>
        <w:wordWrap/>
        <w:overflowPunct/>
        <w:topLinePunct w:val="0"/>
        <w:bidi w:val="0"/>
        <w:snapToGrid/>
        <w:spacing w:line="288" w:lineRule="auto"/>
        <w:ind w:left="0" w:leftChars="0" w:firstLine="422" w:firstLineChars="200"/>
        <w:textAlignment w:val="auto"/>
        <w:outlineLvl w:val="0"/>
        <w:rPr>
          <w:color w:val="auto"/>
          <w:sz w:val="21"/>
          <w:szCs w:val="21"/>
        </w:rPr>
      </w:pPr>
      <w:r>
        <w:rPr>
          <w:rFonts w:hint="eastAsia"/>
          <w:b/>
          <w:bCs/>
          <w:color w:val="auto"/>
          <w:sz w:val="21"/>
          <w:szCs w:val="21"/>
        </w:rPr>
        <w:t>合同附件</w:t>
      </w:r>
      <w:r>
        <w:rPr>
          <w:rFonts w:hint="eastAsia"/>
          <w:color w:val="auto"/>
          <w:sz w:val="21"/>
          <w:szCs w:val="21"/>
        </w:rPr>
        <w:t>：（附件名称</w:t>
      </w:r>
      <w:r>
        <w:rPr>
          <w:rFonts w:hint="eastAsia"/>
          <w:color w:val="auto"/>
          <w:sz w:val="21"/>
          <w:szCs w:val="21"/>
          <w:u w:val="single"/>
          <w:lang w:val="en-US" w:eastAsia="zh-CN"/>
        </w:rPr>
        <w:t xml:space="preserve">                      </w:t>
      </w:r>
      <w:r>
        <w:rPr>
          <w:rFonts w:hint="eastAsia"/>
          <w:color w:val="auto"/>
          <w:sz w:val="21"/>
          <w:szCs w:val="21"/>
          <w:u w:val="none"/>
        </w:rPr>
        <w:t>）</w:t>
      </w:r>
      <w:r>
        <w:rPr>
          <w:rFonts w:hint="eastAsia"/>
          <w:color w:val="auto"/>
          <w:sz w:val="21"/>
          <w:szCs w:val="21"/>
        </w:rPr>
        <w:t>（如有）</w:t>
      </w:r>
    </w:p>
    <w:p w14:paraId="3278CF17">
      <w:pPr>
        <w:keepNext w:val="0"/>
        <w:keepLines w:val="0"/>
        <w:pageBreakBefore w:val="0"/>
        <w:widowControl w:val="0"/>
        <w:kinsoku/>
        <w:wordWrap/>
        <w:overflowPunct/>
        <w:topLinePunct w:val="0"/>
        <w:bidi w:val="0"/>
        <w:snapToGrid/>
        <w:spacing w:line="288" w:lineRule="auto"/>
        <w:ind w:firstLine="0" w:firstLineChars="0"/>
        <w:textAlignment w:val="auto"/>
        <w:outlineLvl w:val="0"/>
        <w:rPr>
          <w:color w:val="auto"/>
          <w:sz w:val="21"/>
          <w:szCs w:val="21"/>
        </w:rPr>
      </w:pPr>
    </w:p>
    <w:tbl>
      <w:tblPr>
        <w:tblStyle w:val="45"/>
        <w:tblW w:w="9249" w:type="dxa"/>
        <w:jc w:val="center"/>
        <w:tblLayout w:type="fixed"/>
        <w:tblCellMar>
          <w:top w:w="0" w:type="dxa"/>
          <w:left w:w="108" w:type="dxa"/>
          <w:bottom w:w="0" w:type="dxa"/>
          <w:right w:w="108" w:type="dxa"/>
        </w:tblCellMar>
      </w:tblPr>
      <w:tblGrid>
        <w:gridCol w:w="5073"/>
        <w:gridCol w:w="4176"/>
      </w:tblGrid>
      <w:tr w14:paraId="7240A5EE">
        <w:tblPrEx>
          <w:tblCellMar>
            <w:top w:w="0" w:type="dxa"/>
            <w:left w:w="108" w:type="dxa"/>
            <w:bottom w:w="0" w:type="dxa"/>
            <w:right w:w="108" w:type="dxa"/>
          </w:tblCellMar>
        </w:tblPrEx>
        <w:trPr>
          <w:trHeight w:val="782" w:hRule="atLeast"/>
          <w:jc w:val="center"/>
        </w:trPr>
        <w:tc>
          <w:tcPr>
            <w:tcW w:w="5073" w:type="dxa"/>
            <w:vAlign w:val="center"/>
          </w:tcPr>
          <w:p w14:paraId="07120AB0">
            <w:pPr>
              <w:keepNext w:val="0"/>
              <w:keepLines w:val="0"/>
              <w:pageBreakBefore w:val="0"/>
              <w:widowControl w:val="0"/>
              <w:kinsoku/>
              <w:wordWrap/>
              <w:overflowPunct/>
              <w:topLinePunct w:val="0"/>
              <w:bidi w:val="0"/>
              <w:snapToGrid/>
              <w:spacing w:line="288" w:lineRule="auto"/>
              <w:jc w:val="both"/>
              <w:textAlignment w:val="auto"/>
              <w:outlineLvl w:val="0"/>
              <w:rPr>
                <w:color w:val="auto"/>
              </w:rPr>
            </w:pPr>
            <w:r>
              <w:rPr>
                <w:rFonts w:hint="eastAsia"/>
                <w:color w:val="auto"/>
              </w:rPr>
              <w:t>甲方：杭州电子科技大学（公章）</w:t>
            </w:r>
          </w:p>
        </w:tc>
        <w:tc>
          <w:tcPr>
            <w:tcW w:w="4176" w:type="dxa"/>
            <w:vAlign w:val="center"/>
          </w:tcPr>
          <w:p w14:paraId="74DB4064">
            <w:pPr>
              <w:keepNext w:val="0"/>
              <w:keepLines w:val="0"/>
              <w:pageBreakBefore w:val="0"/>
              <w:widowControl w:val="0"/>
              <w:kinsoku/>
              <w:wordWrap/>
              <w:overflowPunct/>
              <w:topLinePunct w:val="0"/>
              <w:bidi w:val="0"/>
              <w:snapToGrid/>
              <w:spacing w:line="288" w:lineRule="auto"/>
              <w:ind w:firstLine="0" w:firstLineChars="0"/>
              <w:jc w:val="both"/>
              <w:textAlignment w:val="auto"/>
              <w:outlineLvl w:val="0"/>
              <w:rPr>
                <w:color w:val="auto"/>
              </w:rPr>
            </w:pPr>
            <w:r>
              <w:rPr>
                <w:rFonts w:hint="eastAsia" w:ascii="宋体" w:hAnsi="宋体"/>
                <w:color w:val="auto"/>
                <w:spacing w:val="-6"/>
                <w:sz w:val="21"/>
                <w:szCs w:val="21"/>
              </w:rPr>
              <w:t>乙方</w:t>
            </w:r>
            <w:r>
              <w:rPr>
                <w:rFonts w:hint="eastAsia"/>
                <w:color w:val="auto"/>
              </w:rPr>
              <w:t>：（公章）</w:t>
            </w:r>
          </w:p>
        </w:tc>
      </w:tr>
      <w:tr w14:paraId="3DD448C8">
        <w:tblPrEx>
          <w:tblCellMar>
            <w:top w:w="0" w:type="dxa"/>
            <w:left w:w="108" w:type="dxa"/>
            <w:bottom w:w="0" w:type="dxa"/>
            <w:right w:w="108" w:type="dxa"/>
          </w:tblCellMar>
        </w:tblPrEx>
        <w:trPr>
          <w:trHeight w:val="1547" w:hRule="atLeast"/>
          <w:jc w:val="center"/>
        </w:trPr>
        <w:tc>
          <w:tcPr>
            <w:tcW w:w="5073" w:type="dxa"/>
            <w:vAlign w:val="center"/>
          </w:tcPr>
          <w:p w14:paraId="5C98D184">
            <w:pPr>
              <w:keepNext w:val="0"/>
              <w:keepLines w:val="0"/>
              <w:pageBreakBefore w:val="0"/>
              <w:widowControl w:val="0"/>
              <w:kinsoku/>
              <w:wordWrap/>
              <w:overflowPunct/>
              <w:topLinePunct w:val="0"/>
              <w:bidi w:val="0"/>
              <w:snapToGrid/>
              <w:spacing w:line="288" w:lineRule="auto"/>
              <w:jc w:val="both"/>
              <w:textAlignment w:val="auto"/>
              <w:outlineLvl w:val="0"/>
              <w:rPr>
                <w:color w:val="auto"/>
              </w:rPr>
            </w:pPr>
            <w:r>
              <w:rPr>
                <w:rFonts w:hint="eastAsia"/>
                <w:color w:val="auto"/>
              </w:rPr>
              <w:t>法定（授权）代表人：</w:t>
            </w:r>
          </w:p>
          <w:p w14:paraId="1FAB4E55">
            <w:pPr>
              <w:keepNext w:val="0"/>
              <w:keepLines w:val="0"/>
              <w:pageBreakBefore w:val="0"/>
              <w:widowControl w:val="0"/>
              <w:kinsoku/>
              <w:wordWrap/>
              <w:overflowPunct/>
              <w:topLinePunct w:val="0"/>
              <w:bidi w:val="0"/>
              <w:snapToGrid/>
              <w:spacing w:line="288" w:lineRule="auto"/>
              <w:ind w:firstLine="396"/>
              <w:jc w:val="both"/>
              <w:textAlignment w:val="auto"/>
              <w:outlineLvl w:val="0"/>
              <w:rPr>
                <w:color w:val="auto"/>
              </w:rPr>
            </w:pPr>
            <w:r>
              <w:rPr>
                <w:rFonts w:hint="eastAsia"/>
                <w:color w:val="auto"/>
              </w:rPr>
              <w:t>(签字）</w:t>
            </w:r>
          </w:p>
        </w:tc>
        <w:tc>
          <w:tcPr>
            <w:tcW w:w="4176" w:type="dxa"/>
            <w:vAlign w:val="center"/>
          </w:tcPr>
          <w:p w14:paraId="6F3DF033">
            <w:pPr>
              <w:keepNext w:val="0"/>
              <w:keepLines w:val="0"/>
              <w:pageBreakBefore w:val="0"/>
              <w:widowControl w:val="0"/>
              <w:kinsoku/>
              <w:wordWrap/>
              <w:overflowPunct/>
              <w:topLinePunct w:val="0"/>
              <w:bidi w:val="0"/>
              <w:snapToGrid/>
              <w:spacing w:line="288" w:lineRule="auto"/>
              <w:jc w:val="both"/>
              <w:textAlignment w:val="auto"/>
              <w:outlineLvl w:val="0"/>
              <w:rPr>
                <w:color w:val="auto"/>
                <w:sz w:val="21"/>
                <w:szCs w:val="21"/>
              </w:rPr>
            </w:pPr>
            <w:r>
              <w:rPr>
                <w:rFonts w:hint="eastAsia"/>
                <w:color w:val="auto"/>
                <w:sz w:val="21"/>
                <w:szCs w:val="21"/>
              </w:rPr>
              <w:t>法定（授权）代表人：</w:t>
            </w:r>
          </w:p>
          <w:p w14:paraId="62CD4337">
            <w:pPr>
              <w:keepNext w:val="0"/>
              <w:keepLines w:val="0"/>
              <w:pageBreakBefore w:val="0"/>
              <w:widowControl w:val="0"/>
              <w:kinsoku/>
              <w:wordWrap/>
              <w:overflowPunct/>
              <w:topLinePunct w:val="0"/>
              <w:bidi w:val="0"/>
              <w:snapToGrid/>
              <w:spacing w:line="288" w:lineRule="auto"/>
              <w:ind w:firstLine="396"/>
              <w:jc w:val="both"/>
              <w:textAlignment w:val="auto"/>
              <w:outlineLvl w:val="0"/>
              <w:rPr>
                <w:rFonts w:ascii="宋体" w:hAnsi="宋体"/>
                <w:color w:val="auto"/>
                <w:spacing w:val="-6"/>
                <w:sz w:val="21"/>
                <w:szCs w:val="21"/>
              </w:rPr>
            </w:pPr>
            <w:r>
              <w:rPr>
                <w:rFonts w:hint="eastAsia" w:ascii="宋体" w:hAnsi="宋体"/>
                <w:color w:val="auto"/>
                <w:spacing w:val="-6"/>
                <w:sz w:val="21"/>
                <w:szCs w:val="21"/>
              </w:rPr>
              <w:t>（签字）</w:t>
            </w:r>
          </w:p>
        </w:tc>
      </w:tr>
      <w:tr w14:paraId="6935737C">
        <w:tblPrEx>
          <w:tblCellMar>
            <w:top w:w="0" w:type="dxa"/>
            <w:left w:w="108" w:type="dxa"/>
            <w:bottom w:w="0" w:type="dxa"/>
            <w:right w:w="108" w:type="dxa"/>
          </w:tblCellMar>
        </w:tblPrEx>
        <w:trPr>
          <w:jc w:val="center"/>
        </w:trPr>
        <w:tc>
          <w:tcPr>
            <w:tcW w:w="5073" w:type="dxa"/>
            <w:vAlign w:val="center"/>
          </w:tcPr>
          <w:p w14:paraId="320371FE">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地址：杭州下沙高教园区二号大街1158号</w:t>
            </w:r>
          </w:p>
        </w:tc>
        <w:tc>
          <w:tcPr>
            <w:tcW w:w="4176" w:type="dxa"/>
            <w:vAlign w:val="center"/>
          </w:tcPr>
          <w:p w14:paraId="1E16A23B">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地址：</w:t>
            </w:r>
            <w:r>
              <w:rPr>
                <w:rFonts w:hint="eastAsia" w:ascii="宋体" w:hAnsi="宋体"/>
                <w:color w:val="auto"/>
                <w:spacing w:val="-6"/>
                <w:sz w:val="21"/>
                <w:szCs w:val="21"/>
              </w:rPr>
              <w:tab/>
            </w:r>
            <w:r>
              <w:rPr>
                <w:rFonts w:hint="eastAsia" w:ascii="宋体" w:hAnsi="宋体"/>
                <w:color w:val="auto"/>
                <w:spacing w:val="-6"/>
                <w:sz w:val="21"/>
                <w:szCs w:val="21"/>
              </w:rPr>
              <w:tab/>
            </w:r>
          </w:p>
        </w:tc>
      </w:tr>
      <w:tr w14:paraId="12C424CF">
        <w:tblPrEx>
          <w:tblCellMar>
            <w:top w:w="0" w:type="dxa"/>
            <w:left w:w="108" w:type="dxa"/>
            <w:bottom w:w="0" w:type="dxa"/>
            <w:right w:w="108" w:type="dxa"/>
          </w:tblCellMar>
        </w:tblPrEx>
        <w:trPr>
          <w:jc w:val="center"/>
        </w:trPr>
        <w:tc>
          <w:tcPr>
            <w:tcW w:w="5073" w:type="dxa"/>
            <w:vAlign w:val="center"/>
          </w:tcPr>
          <w:p w14:paraId="4DF1CABE">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 xml:space="preserve">电话： </w:t>
            </w:r>
          </w:p>
        </w:tc>
        <w:tc>
          <w:tcPr>
            <w:tcW w:w="4176" w:type="dxa"/>
            <w:vAlign w:val="center"/>
          </w:tcPr>
          <w:p w14:paraId="0B62FDB8">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电话：</w:t>
            </w:r>
            <w:r>
              <w:rPr>
                <w:rFonts w:hint="eastAsia" w:ascii="宋体" w:hAnsi="宋体"/>
                <w:color w:val="auto"/>
                <w:spacing w:val="-6"/>
                <w:sz w:val="21"/>
                <w:szCs w:val="21"/>
              </w:rPr>
              <w:tab/>
            </w:r>
          </w:p>
        </w:tc>
      </w:tr>
      <w:tr w14:paraId="60ECB9A3">
        <w:tblPrEx>
          <w:tblCellMar>
            <w:top w:w="0" w:type="dxa"/>
            <w:left w:w="108" w:type="dxa"/>
            <w:bottom w:w="0" w:type="dxa"/>
            <w:right w:w="108" w:type="dxa"/>
          </w:tblCellMar>
        </w:tblPrEx>
        <w:trPr>
          <w:jc w:val="center"/>
        </w:trPr>
        <w:tc>
          <w:tcPr>
            <w:tcW w:w="5073" w:type="dxa"/>
            <w:vAlign w:val="center"/>
          </w:tcPr>
          <w:p w14:paraId="1206E5D7">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 xml:space="preserve">开户银行：工行高新支行 </w:t>
            </w:r>
          </w:p>
        </w:tc>
        <w:tc>
          <w:tcPr>
            <w:tcW w:w="4176" w:type="dxa"/>
            <w:vAlign w:val="center"/>
          </w:tcPr>
          <w:p w14:paraId="0509F2E2">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开户银行：</w:t>
            </w:r>
            <w:r>
              <w:rPr>
                <w:rFonts w:hint="eastAsia" w:ascii="宋体" w:hAnsi="宋体"/>
                <w:color w:val="auto"/>
                <w:spacing w:val="-6"/>
                <w:sz w:val="21"/>
                <w:szCs w:val="21"/>
              </w:rPr>
              <w:tab/>
            </w:r>
          </w:p>
        </w:tc>
      </w:tr>
      <w:tr w14:paraId="5A0A712C">
        <w:tblPrEx>
          <w:tblCellMar>
            <w:top w:w="0" w:type="dxa"/>
            <w:left w:w="108" w:type="dxa"/>
            <w:bottom w:w="0" w:type="dxa"/>
            <w:right w:w="108" w:type="dxa"/>
          </w:tblCellMar>
        </w:tblPrEx>
        <w:trPr>
          <w:jc w:val="center"/>
        </w:trPr>
        <w:tc>
          <w:tcPr>
            <w:tcW w:w="5073" w:type="dxa"/>
            <w:vAlign w:val="center"/>
          </w:tcPr>
          <w:p w14:paraId="6610A711">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帐号：1202026209008806216</w:t>
            </w:r>
          </w:p>
        </w:tc>
        <w:tc>
          <w:tcPr>
            <w:tcW w:w="4176" w:type="dxa"/>
            <w:vAlign w:val="center"/>
          </w:tcPr>
          <w:p w14:paraId="6A1E8E3C">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帐号：</w:t>
            </w:r>
          </w:p>
        </w:tc>
      </w:tr>
      <w:tr w14:paraId="5F3596DB">
        <w:tblPrEx>
          <w:tblCellMar>
            <w:top w:w="0" w:type="dxa"/>
            <w:left w:w="108" w:type="dxa"/>
            <w:bottom w:w="0" w:type="dxa"/>
            <w:right w:w="108" w:type="dxa"/>
          </w:tblCellMar>
        </w:tblPrEx>
        <w:trPr>
          <w:jc w:val="center"/>
        </w:trPr>
        <w:tc>
          <w:tcPr>
            <w:tcW w:w="5073" w:type="dxa"/>
            <w:vAlign w:val="center"/>
          </w:tcPr>
          <w:p w14:paraId="430813E3">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签字日期：      年    月    日</w:t>
            </w:r>
          </w:p>
        </w:tc>
        <w:tc>
          <w:tcPr>
            <w:tcW w:w="4176" w:type="dxa"/>
            <w:vAlign w:val="center"/>
          </w:tcPr>
          <w:p w14:paraId="19C4F263">
            <w:pPr>
              <w:keepNext w:val="0"/>
              <w:keepLines w:val="0"/>
              <w:pageBreakBefore w:val="0"/>
              <w:widowControl w:val="0"/>
              <w:kinsoku/>
              <w:wordWrap/>
              <w:overflowPunct/>
              <w:topLinePunct w:val="0"/>
              <w:bidi w:val="0"/>
              <w:snapToGrid/>
              <w:spacing w:line="288" w:lineRule="auto"/>
              <w:ind w:left="0" w:leftChars="0" w:firstLine="0" w:firstLineChars="0"/>
              <w:textAlignment w:val="auto"/>
              <w:outlineLvl w:val="0"/>
              <w:rPr>
                <w:rFonts w:ascii="宋体" w:hAnsi="宋体"/>
                <w:color w:val="auto"/>
                <w:spacing w:val="-6"/>
                <w:sz w:val="21"/>
                <w:szCs w:val="21"/>
              </w:rPr>
            </w:pPr>
            <w:r>
              <w:rPr>
                <w:rFonts w:hint="eastAsia" w:ascii="宋体" w:hAnsi="宋体"/>
                <w:color w:val="auto"/>
                <w:spacing w:val="-6"/>
                <w:sz w:val="21"/>
                <w:szCs w:val="21"/>
              </w:rPr>
              <w:t>签字日期：      年    月    日</w:t>
            </w:r>
          </w:p>
        </w:tc>
      </w:tr>
    </w:tbl>
    <w:p w14:paraId="5BDB269C">
      <w:pPr>
        <w:outlineLvl w:val="0"/>
        <w:rPr>
          <w:color w:val="auto"/>
        </w:rPr>
      </w:pPr>
    </w:p>
    <w:p w14:paraId="4E9F95D3">
      <w:pPr>
        <w:outlineLvl w:val="0"/>
        <w:rPr>
          <w:rStyle w:val="55"/>
          <w:rFonts w:hint="eastAsia"/>
          <w:color w:val="auto"/>
        </w:rPr>
      </w:pPr>
      <w:r>
        <w:rPr>
          <w:rStyle w:val="55"/>
          <w:rFonts w:hint="eastAsia"/>
          <w:color w:val="auto"/>
        </w:rPr>
        <w:br w:type="page"/>
      </w:r>
    </w:p>
    <w:p w14:paraId="52DED8FB">
      <w:pPr>
        <w:snapToGrid w:val="0"/>
        <w:spacing w:before="240" w:beforeLines="100" w:after="240" w:afterLines="100"/>
        <w:jc w:val="center"/>
        <w:outlineLvl w:val="0"/>
        <w:rPr>
          <w:rStyle w:val="55"/>
          <w:color w:val="auto"/>
        </w:rPr>
      </w:pPr>
      <w:bookmarkStart w:id="497" w:name="_Toc13693_WPSOffice_Level1"/>
      <w:bookmarkStart w:id="498" w:name="_Toc28046_WPSOffice_Level1"/>
      <w:bookmarkStart w:id="499" w:name="_Toc23283"/>
      <w:r>
        <w:rPr>
          <w:rStyle w:val="55"/>
          <w:rFonts w:hint="eastAsia"/>
          <w:color w:val="auto"/>
        </w:rPr>
        <w:t>第六部分</w:t>
      </w:r>
      <w:r>
        <w:rPr>
          <w:rStyle w:val="55"/>
          <w:color w:val="auto"/>
        </w:rPr>
        <w:t xml:space="preserve"> </w:t>
      </w:r>
      <w:r>
        <w:rPr>
          <w:rStyle w:val="55"/>
          <w:rFonts w:hint="eastAsia"/>
          <w:color w:val="auto"/>
        </w:rPr>
        <w:t>响应文件格式</w:t>
      </w:r>
      <w:bookmarkEnd w:id="497"/>
      <w:bookmarkEnd w:id="498"/>
    </w:p>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99"/>
    <w:p w14:paraId="040D6415">
      <w:pPr>
        <w:adjustRightInd w:val="0"/>
        <w:snapToGrid w:val="0"/>
        <w:spacing w:line="288" w:lineRule="auto"/>
        <w:jc w:val="center"/>
        <w:outlineLvl w:val="0"/>
        <w:rPr>
          <w:b/>
          <w:bCs/>
          <w:color w:val="auto"/>
          <w:sz w:val="24"/>
          <w:szCs w:val="24"/>
        </w:rPr>
      </w:pPr>
      <w:bookmarkStart w:id="500" w:name="_Toc19298_WPSOffice_Level1"/>
      <w:bookmarkStart w:id="501" w:name="_Toc11183_WPSOffice_Level1"/>
      <w:bookmarkStart w:id="502" w:name="_Toc23880_WPSOffice_Level1"/>
      <w:bookmarkStart w:id="503" w:name="_Toc27063"/>
      <w:bookmarkStart w:id="504" w:name="_Toc20738"/>
      <w:bookmarkStart w:id="505" w:name="_Toc26648"/>
      <w:bookmarkStart w:id="506" w:name="_Toc9623"/>
      <w:bookmarkStart w:id="507" w:name="_Toc32185"/>
      <w:bookmarkStart w:id="508" w:name="_Toc9502"/>
      <w:bookmarkStart w:id="509" w:name="_Toc28613"/>
      <w:bookmarkStart w:id="510" w:name="_Toc23756"/>
      <w:bookmarkStart w:id="511" w:name="_Toc20870"/>
      <w:bookmarkStart w:id="512" w:name="_Toc2326"/>
      <w:bookmarkStart w:id="513" w:name="_Toc3964"/>
      <w:bookmarkStart w:id="514" w:name="_Toc19286"/>
      <w:bookmarkStart w:id="515" w:name="_Toc27551"/>
      <w:bookmarkStart w:id="516" w:name="_Toc20766"/>
      <w:bookmarkStart w:id="517" w:name="_Toc24168"/>
      <w:bookmarkStart w:id="518" w:name="_Toc25819"/>
      <w:bookmarkStart w:id="519" w:name="_Toc4274"/>
      <w:bookmarkStart w:id="520" w:name="_Toc32522"/>
      <w:bookmarkStart w:id="521" w:name="_Toc6868"/>
      <w:bookmarkStart w:id="522" w:name="_Toc7409"/>
      <w:bookmarkStart w:id="523" w:name="_Toc19804"/>
      <w:bookmarkStart w:id="524" w:name="_Toc14202"/>
      <w:bookmarkStart w:id="525" w:name="_Toc32223"/>
      <w:bookmarkStart w:id="526" w:name="_Toc706"/>
      <w:bookmarkStart w:id="527" w:name="_Toc7013"/>
      <w:bookmarkStart w:id="528" w:name="_Toc7710"/>
      <w:bookmarkStart w:id="529" w:name="_Toc4610"/>
      <w:bookmarkStart w:id="530" w:name="_Toc14400"/>
      <w:bookmarkStart w:id="531" w:name="_Toc8070"/>
      <w:bookmarkStart w:id="532" w:name="_Toc17119"/>
      <w:bookmarkStart w:id="533" w:name="_Toc28159"/>
      <w:bookmarkStart w:id="534" w:name="_Toc2886"/>
      <w:bookmarkStart w:id="535" w:name="_Toc9636"/>
      <w:bookmarkStart w:id="536" w:name="_Toc13819"/>
      <w:bookmarkStart w:id="537" w:name="_Toc31085"/>
      <w:bookmarkStart w:id="538" w:name="_Toc32288"/>
      <w:bookmarkStart w:id="539" w:name="_Toc11204"/>
      <w:bookmarkStart w:id="540" w:name="_Toc22675"/>
      <w:r>
        <w:rPr>
          <w:rFonts w:hint="eastAsia"/>
          <w:b/>
          <w:bCs/>
          <w:color w:val="auto"/>
          <w:sz w:val="24"/>
          <w:szCs w:val="24"/>
        </w:rPr>
        <w:t xml:space="preserve">目 </w:t>
      </w:r>
      <w:r>
        <w:rPr>
          <w:b/>
          <w:bCs/>
          <w:color w:val="auto"/>
          <w:sz w:val="24"/>
          <w:szCs w:val="24"/>
        </w:rPr>
        <w:t xml:space="preserve"> </w:t>
      </w:r>
      <w:r>
        <w:rPr>
          <w:rFonts w:hint="eastAsia"/>
          <w:b/>
          <w:bCs/>
          <w:color w:val="auto"/>
          <w:sz w:val="24"/>
          <w:szCs w:val="24"/>
        </w:rPr>
        <w:t>录</w:t>
      </w:r>
      <w:bookmarkEnd w:id="500"/>
      <w:bookmarkEnd w:id="501"/>
      <w:bookmarkEnd w:id="502"/>
    </w:p>
    <w:p w14:paraId="42F3B406">
      <w:pPr>
        <w:adjustRightInd w:val="0"/>
        <w:snapToGrid w:val="0"/>
        <w:spacing w:line="288" w:lineRule="auto"/>
        <w:rPr>
          <w:color w:val="auto"/>
          <w:sz w:val="24"/>
          <w:szCs w:val="24"/>
        </w:rPr>
      </w:pPr>
    </w:p>
    <w:p w14:paraId="4474273D">
      <w:pPr>
        <w:adjustRightInd w:val="0"/>
        <w:snapToGrid w:val="0"/>
        <w:spacing w:line="288" w:lineRule="auto"/>
        <w:ind w:firstLine="482" w:firstLineChars="200"/>
        <w:outlineLvl w:val="0"/>
        <w:rPr>
          <w:b/>
          <w:bCs/>
          <w:color w:val="auto"/>
          <w:sz w:val="24"/>
          <w:szCs w:val="24"/>
        </w:rPr>
      </w:pPr>
      <w:bookmarkStart w:id="541" w:name="_Toc31237_WPSOffice_Level1"/>
      <w:bookmarkStart w:id="542" w:name="_Toc15771_WPSOffice_Level1"/>
      <w:bookmarkStart w:id="543" w:name="_Toc18130_WPSOffice_Level1"/>
      <w:bookmarkStart w:id="544" w:name="_Hlk71884160"/>
      <w:r>
        <w:rPr>
          <w:rFonts w:hint="eastAsia"/>
          <w:b/>
          <w:bCs/>
          <w:color w:val="auto"/>
          <w:sz w:val="24"/>
          <w:szCs w:val="24"/>
        </w:rPr>
        <w:t>1.资格文件</w:t>
      </w:r>
      <w:bookmarkEnd w:id="541"/>
      <w:bookmarkEnd w:id="542"/>
      <w:bookmarkEnd w:id="543"/>
    </w:p>
    <w:p w14:paraId="7BCA3159">
      <w:pPr>
        <w:adjustRightInd w:val="0"/>
        <w:snapToGrid w:val="0"/>
        <w:spacing w:line="288" w:lineRule="auto"/>
        <w:ind w:firstLine="482" w:firstLineChars="200"/>
        <w:rPr>
          <w:b/>
          <w:bCs/>
          <w:color w:val="auto"/>
          <w:sz w:val="24"/>
          <w:szCs w:val="24"/>
        </w:rPr>
      </w:pPr>
      <w:r>
        <w:rPr>
          <w:rFonts w:hint="eastAsia"/>
          <w:b/>
          <w:bCs/>
          <w:color w:val="auto"/>
          <w:sz w:val="24"/>
          <w:szCs w:val="24"/>
        </w:rPr>
        <w:t>资格审查要求的资格证明材料(均需加盖公章)：</w:t>
      </w:r>
    </w:p>
    <w:bookmarkEnd w:id="544"/>
    <w:p w14:paraId="26D696C4">
      <w:pPr>
        <w:adjustRightInd w:val="0"/>
        <w:snapToGrid w:val="0"/>
        <w:spacing w:line="288" w:lineRule="auto"/>
        <w:ind w:firstLine="480" w:firstLineChars="200"/>
        <w:outlineLvl w:val="1"/>
        <w:rPr>
          <w:color w:val="auto"/>
          <w:sz w:val="24"/>
          <w:szCs w:val="24"/>
        </w:rPr>
      </w:pPr>
      <w:r>
        <w:rPr>
          <w:rFonts w:hint="eastAsia"/>
          <w:color w:val="auto"/>
          <w:sz w:val="24"/>
          <w:szCs w:val="24"/>
        </w:rPr>
        <w:t>（1）</w:t>
      </w:r>
      <w:r>
        <w:rPr>
          <w:rFonts w:hint="eastAsia"/>
          <w:b/>
          <w:bCs/>
          <w:color w:val="auto"/>
          <w:sz w:val="24"/>
          <w:szCs w:val="24"/>
        </w:rPr>
        <w:t>▲</w:t>
      </w:r>
      <w:r>
        <w:rPr>
          <w:rFonts w:hint="eastAsia"/>
          <w:color w:val="auto"/>
          <w:sz w:val="24"/>
          <w:szCs w:val="24"/>
        </w:rPr>
        <w:t>有效的法人或者其他组织的营业执照等证明文件，自然人的身份证明</w:t>
      </w:r>
    </w:p>
    <w:p w14:paraId="4EBA62B2">
      <w:pPr>
        <w:adjustRightInd w:val="0"/>
        <w:snapToGrid w:val="0"/>
        <w:spacing w:line="288" w:lineRule="auto"/>
        <w:ind w:firstLine="480" w:firstLineChars="200"/>
        <w:outlineLvl w:val="1"/>
        <w:rPr>
          <w:color w:val="auto"/>
          <w:sz w:val="24"/>
          <w:szCs w:val="24"/>
        </w:rPr>
      </w:pPr>
      <w:bookmarkStart w:id="545" w:name="_Hlk71884127"/>
      <w:r>
        <w:rPr>
          <w:rFonts w:hint="eastAsia"/>
          <w:color w:val="auto"/>
          <w:sz w:val="24"/>
          <w:szCs w:val="24"/>
        </w:rPr>
        <w:t>（</w:t>
      </w:r>
      <w:r>
        <w:rPr>
          <w:color w:val="auto"/>
          <w:sz w:val="24"/>
          <w:szCs w:val="24"/>
        </w:rPr>
        <w:t>2）</w:t>
      </w:r>
      <w:r>
        <w:rPr>
          <w:rFonts w:hint="eastAsia"/>
          <w:b/>
          <w:bCs/>
          <w:color w:val="auto"/>
          <w:sz w:val="24"/>
          <w:szCs w:val="24"/>
        </w:rPr>
        <w:t>▲</w:t>
      </w:r>
      <w:r>
        <w:rPr>
          <w:rFonts w:hint="eastAsia"/>
          <w:color w:val="auto"/>
          <w:sz w:val="24"/>
          <w:szCs w:val="24"/>
        </w:rPr>
        <w:t>资格条件</w:t>
      </w:r>
      <w:r>
        <w:rPr>
          <w:color w:val="auto"/>
          <w:sz w:val="24"/>
          <w:szCs w:val="24"/>
        </w:rPr>
        <w:t>承诺函</w:t>
      </w:r>
    </w:p>
    <w:p w14:paraId="2918730F">
      <w:pPr>
        <w:adjustRightInd w:val="0"/>
        <w:snapToGrid w:val="0"/>
        <w:spacing w:line="288" w:lineRule="auto"/>
        <w:ind w:firstLine="480" w:firstLineChars="200"/>
        <w:rPr>
          <w:color w:val="auto"/>
          <w:sz w:val="24"/>
          <w:szCs w:val="24"/>
        </w:rPr>
      </w:pPr>
      <w:r>
        <w:rPr>
          <w:rFonts w:hint="eastAsia"/>
          <w:color w:val="auto"/>
          <w:sz w:val="24"/>
          <w:szCs w:val="24"/>
        </w:rPr>
        <w:t>（</w:t>
      </w:r>
      <w:r>
        <w:rPr>
          <w:color w:val="auto"/>
          <w:sz w:val="24"/>
          <w:szCs w:val="24"/>
        </w:rPr>
        <w:t>3）</w:t>
      </w:r>
      <w:bookmarkStart w:id="546" w:name="OLE_LINK3"/>
      <w:r>
        <w:rPr>
          <w:rFonts w:hint="eastAsia"/>
          <w:b/>
          <w:bCs/>
          <w:color w:val="auto"/>
          <w:sz w:val="24"/>
          <w:szCs w:val="24"/>
        </w:rPr>
        <w:t>▲</w:t>
      </w:r>
      <w:bookmarkEnd w:id="546"/>
      <w:r>
        <w:rPr>
          <w:rFonts w:hint="eastAsia"/>
          <w:color w:val="auto"/>
          <w:sz w:val="24"/>
          <w:szCs w:val="24"/>
        </w:rPr>
        <w:t>中小企业声明函</w:t>
      </w:r>
    </w:p>
    <w:p w14:paraId="660AA931">
      <w:pPr>
        <w:adjustRightInd w:val="0"/>
        <w:snapToGrid w:val="0"/>
        <w:spacing w:line="288" w:lineRule="auto"/>
        <w:ind w:firstLine="480" w:firstLineChars="200"/>
        <w:outlineLvl w:val="1"/>
        <w:rPr>
          <w:rFonts w:hint="eastAsia" w:eastAsia="宋体"/>
          <w:color w:val="auto"/>
          <w:sz w:val="24"/>
          <w:szCs w:val="24"/>
          <w:lang w:eastAsia="zh-CN"/>
        </w:rPr>
      </w:pPr>
      <w:r>
        <w:rPr>
          <w:rFonts w:hint="eastAsia"/>
          <w:color w:val="auto"/>
          <w:sz w:val="24"/>
          <w:szCs w:val="24"/>
        </w:rPr>
        <w:t>（</w:t>
      </w:r>
      <w:r>
        <w:rPr>
          <w:color w:val="auto"/>
          <w:sz w:val="24"/>
          <w:szCs w:val="24"/>
        </w:rPr>
        <w:t>4）</w:t>
      </w:r>
      <w:r>
        <w:rPr>
          <w:rFonts w:hint="eastAsia"/>
          <w:b/>
          <w:bCs/>
          <w:color w:val="auto"/>
          <w:sz w:val="24"/>
          <w:szCs w:val="24"/>
        </w:rPr>
        <w:t>▲</w:t>
      </w:r>
      <w:r>
        <w:rPr>
          <w:rFonts w:hint="eastAsia"/>
          <w:color w:val="auto"/>
          <w:sz w:val="24"/>
          <w:szCs w:val="24"/>
        </w:rPr>
        <w:t>本项目的特定资格要求</w:t>
      </w:r>
      <w:r>
        <w:rPr>
          <w:color w:val="auto"/>
          <w:sz w:val="24"/>
          <w:szCs w:val="24"/>
        </w:rPr>
        <w:t>证明材料：</w:t>
      </w:r>
      <w:r>
        <w:rPr>
          <w:rFonts w:hint="eastAsia"/>
          <w:color w:val="auto"/>
          <w:sz w:val="24"/>
          <w:szCs w:val="24"/>
        </w:rPr>
        <w:t>杭州市卫生主管部门的浙江省病媒生物预防控制服务单位备案证明</w:t>
      </w:r>
      <w:r>
        <w:rPr>
          <w:rFonts w:hint="eastAsia"/>
          <w:color w:val="auto"/>
          <w:sz w:val="24"/>
          <w:szCs w:val="24"/>
          <w:lang w:eastAsia="zh-CN"/>
        </w:rPr>
        <w:t>。</w:t>
      </w:r>
    </w:p>
    <w:bookmarkEnd w:id="545"/>
    <w:p w14:paraId="14F5464E">
      <w:pPr>
        <w:adjustRightInd w:val="0"/>
        <w:snapToGrid w:val="0"/>
        <w:spacing w:line="288" w:lineRule="auto"/>
        <w:ind w:firstLine="482" w:firstLineChars="200"/>
        <w:outlineLvl w:val="0"/>
        <w:rPr>
          <w:b/>
          <w:bCs/>
          <w:color w:val="auto"/>
          <w:sz w:val="24"/>
          <w:szCs w:val="24"/>
        </w:rPr>
      </w:pPr>
      <w:bookmarkStart w:id="547" w:name="_Toc22353_WPSOffice_Level1"/>
      <w:bookmarkStart w:id="548" w:name="_Toc20822_WPSOffice_Level1"/>
      <w:bookmarkStart w:id="549" w:name="_Toc1683_WPSOffice_Level1"/>
      <w:r>
        <w:rPr>
          <w:rFonts w:hint="eastAsia"/>
          <w:b/>
          <w:bCs/>
          <w:color w:val="auto"/>
          <w:sz w:val="24"/>
          <w:szCs w:val="24"/>
        </w:rPr>
        <w:t>2.报价文件</w:t>
      </w:r>
      <w:bookmarkEnd w:id="547"/>
      <w:bookmarkEnd w:id="548"/>
      <w:bookmarkEnd w:id="549"/>
    </w:p>
    <w:p w14:paraId="7DFA3F99">
      <w:pPr>
        <w:adjustRightInd w:val="0"/>
        <w:snapToGrid w:val="0"/>
        <w:spacing w:line="288" w:lineRule="auto"/>
        <w:ind w:firstLine="480" w:firstLineChars="200"/>
        <w:outlineLvl w:val="1"/>
        <w:rPr>
          <w:color w:val="auto"/>
          <w:sz w:val="24"/>
          <w:szCs w:val="24"/>
        </w:rPr>
      </w:pPr>
      <w:bookmarkStart w:id="550" w:name="_Toc7937_WPSOffice_Level2"/>
      <w:r>
        <w:rPr>
          <w:rFonts w:hint="eastAsia"/>
          <w:color w:val="auto"/>
          <w:sz w:val="24"/>
          <w:szCs w:val="24"/>
        </w:rPr>
        <w:t>（1）</w:t>
      </w:r>
      <w:r>
        <w:rPr>
          <w:rFonts w:hint="eastAsia"/>
          <w:b/>
          <w:bCs/>
          <w:color w:val="auto"/>
          <w:sz w:val="24"/>
          <w:szCs w:val="24"/>
        </w:rPr>
        <w:t>▲</w:t>
      </w:r>
      <w:r>
        <w:rPr>
          <w:rFonts w:hint="eastAsia"/>
          <w:color w:val="auto"/>
          <w:sz w:val="24"/>
          <w:szCs w:val="24"/>
        </w:rPr>
        <w:t>初次报价一览表</w:t>
      </w:r>
      <w:bookmarkEnd w:id="550"/>
    </w:p>
    <w:p w14:paraId="4B2E53CB">
      <w:pPr>
        <w:adjustRightInd w:val="0"/>
        <w:snapToGrid w:val="0"/>
        <w:spacing w:line="288" w:lineRule="auto"/>
        <w:ind w:firstLine="482" w:firstLineChars="200"/>
        <w:outlineLvl w:val="0"/>
        <w:rPr>
          <w:b/>
          <w:bCs/>
          <w:color w:val="auto"/>
          <w:sz w:val="24"/>
          <w:szCs w:val="24"/>
        </w:rPr>
      </w:pPr>
      <w:bookmarkStart w:id="551" w:name="_Toc16019_WPSOffice_Level1"/>
      <w:bookmarkStart w:id="552" w:name="_Toc28966_WPSOffice_Level1"/>
      <w:bookmarkStart w:id="553" w:name="_Toc24260_WPSOffice_Level1"/>
      <w:r>
        <w:rPr>
          <w:rFonts w:hint="eastAsia"/>
          <w:b/>
          <w:bCs/>
          <w:color w:val="auto"/>
          <w:sz w:val="24"/>
          <w:szCs w:val="24"/>
        </w:rPr>
        <w:t>3.商务和技术文件</w:t>
      </w:r>
      <w:bookmarkEnd w:id="551"/>
      <w:bookmarkEnd w:id="552"/>
      <w:bookmarkEnd w:id="553"/>
    </w:p>
    <w:p w14:paraId="008A6332">
      <w:pPr>
        <w:adjustRightInd w:val="0"/>
        <w:snapToGrid w:val="0"/>
        <w:spacing w:line="288" w:lineRule="auto"/>
        <w:ind w:firstLine="480" w:firstLineChars="200"/>
        <w:rPr>
          <w:color w:val="auto"/>
          <w:sz w:val="24"/>
          <w:szCs w:val="24"/>
        </w:rPr>
      </w:pPr>
      <w:r>
        <w:rPr>
          <w:rFonts w:hint="eastAsia"/>
          <w:color w:val="auto"/>
          <w:sz w:val="24"/>
          <w:szCs w:val="24"/>
        </w:rPr>
        <w:t>（1）</w:t>
      </w:r>
      <w:r>
        <w:rPr>
          <w:rFonts w:hint="eastAsia"/>
          <w:b/>
          <w:bCs/>
          <w:color w:val="auto"/>
          <w:sz w:val="24"/>
          <w:szCs w:val="24"/>
        </w:rPr>
        <w:t>▲</w:t>
      </w:r>
      <w:r>
        <w:rPr>
          <w:rFonts w:hint="eastAsia"/>
          <w:color w:val="auto"/>
          <w:sz w:val="24"/>
          <w:szCs w:val="24"/>
        </w:rPr>
        <w:t>磋商响应函</w:t>
      </w:r>
    </w:p>
    <w:p w14:paraId="136470B4">
      <w:pPr>
        <w:adjustRightInd w:val="0"/>
        <w:snapToGrid w:val="0"/>
        <w:spacing w:line="288" w:lineRule="auto"/>
        <w:ind w:firstLine="480" w:firstLineChars="200"/>
        <w:rPr>
          <w:rFonts w:hint="eastAsia" w:eastAsia="宋体"/>
          <w:color w:val="auto"/>
          <w:sz w:val="24"/>
          <w:szCs w:val="24"/>
          <w:lang w:val="en-US" w:eastAsia="zh-CN"/>
        </w:rPr>
      </w:pPr>
      <w:r>
        <w:rPr>
          <w:rFonts w:hint="eastAsia"/>
          <w:color w:val="auto"/>
          <w:sz w:val="24"/>
          <w:szCs w:val="24"/>
        </w:rPr>
        <w:t>（</w:t>
      </w:r>
      <w:r>
        <w:rPr>
          <w:color w:val="auto"/>
          <w:sz w:val="24"/>
          <w:szCs w:val="24"/>
        </w:rPr>
        <w:t>2</w:t>
      </w:r>
      <w:r>
        <w:rPr>
          <w:rFonts w:hint="eastAsia"/>
          <w:color w:val="auto"/>
          <w:sz w:val="24"/>
          <w:szCs w:val="24"/>
        </w:rPr>
        <w:t>）</w:t>
      </w:r>
      <w:r>
        <w:rPr>
          <w:rFonts w:hint="eastAsia"/>
          <w:b/>
          <w:bCs/>
          <w:color w:val="auto"/>
          <w:sz w:val="24"/>
          <w:szCs w:val="24"/>
        </w:rPr>
        <w:t>▲</w:t>
      </w:r>
      <w:r>
        <w:rPr>
          <w:rFonts w:hint="eastAsia"/>
          <w:color w:val="auto"/>
          <w:sz w:val="24"/>
          <w:szCs w:val="24"/>
        </w:rPr>
        <w:t>法定代表人授权委托书（非法定代表人参加时提供）</w:t>
      </w:r>
      <w:r>
        <w:rPr>
          <w:rFonts w:hint="eastAsia"/>
          <w:color w:val="auto"/>
          <w:sz w:val="24"/>
          <w:szCs w:val="24"/>
          <w:lang w:val="en-US" w:eastAsia="zh-CN"/>
        </w:rPr>
        <w:t>或</w:t>
      </w:r>
      <w:r>
        <w:rPr>
          <w:rFonts w:hint="eastAsia"/>
          <w:color w:val="auto"/>
          <w:sz w:val="24"/>
          <w:szCs w:val="24"/>
        </w:rPr>
        <w:t>法定代表人资格证明书（法定代表人参加时提供）</w:t>
      </w:r>
    </w:p>
    <w:p w14:paraId="0F7E55B9">
      <w:pPr>
        <w:adjustRightInd w:val="0"/>
        <w:snapToGrid w:val="0"/>
        <w:spacing w:line="288" w:lineRule="auto"/>
        <w:ind w:firstLine="480" w:firstLineChars="200"/>
        <w:rPr>
          <w:rFonts w:hint="eastAsia" w:eastAsia="宋体"/>
          <w:color w:val="auto"/>
          <w:sz w:val="24"/>
          <w:szCs w:val="24"/>
          <w:lang w:eastAsia="zh-CN"/>
        </w:rPr>
      </w:pPr>
      <w:r>
        <w:rPr>
          <w:rFonts w:hint="eastAsia"/>
          <w:color w:val="auto"/>
          <w:sz w:val="24"/>
          <w:szCs w:val="24"/>
        </w:rPr>
        <w:t>（3）</w:t>
      </w:r>
      <w:r>
        <w:rPr>
          <w:rFonts w:hint="eastAsia"/>
          <w:b/>
          <w:bCs/>
          <w:color w:val="auto"/>
          <w:sz w:val="24"/>
          <w:szCs w:val="24"/>
        </w:rPr>
        <w:t>▲</w:t>
      </w:r>
      <w:r>
        <w:rPr>
          <w:rFonts w:hint="eastAsia"/>
          <w:color w:val="auto"/>
          <w:sz w:val="24"/>
          <w:szCs w:val="24"/>
          <w:lang w:eastAsia="zh-CN"/>
        </w:rPr>
        <w:t>2026年1月</w:t>
      </w:r>
      <w:r>
        <w:rPr>
          <w:rFonts w:hint="eastAsia"/>
          <w:color w:val="auto"/>
          <w:sz w:val="24"/>
          <w:szCs w:val="24"/>
        </w:rPr>
        <w:t>（含）以后任意一月供应商授权代表社保缴纳证明（非法定代表人参加时提供）</w:t>
      </w:r>
    </w:p>
    <w:p w14:paraId="2E9CDFC2">
      <w:pPr>
        <w:adjustRightInd w:val="0"/>
        <w:snapToGrid w:val="0"/>
        <w:spacing w:line="288" w:lineRule="auto"/>
        <w:ind w:firstLine="480" w:firstLineChars="200"/>
        <w:rPr>
          <w:color w:val="auto"/>
          <w:sz w:val="24"/>
          <w:szCs w:val="24"/>
        </w:rPr>
      </w:pPr>
      <w:r>
        <w:rPr>
          <w:rFonts w:hint="eastAsia"/>
          <w:color w:val="auto"/>
          <w:sz w:val="24"/>
          <w:szCs w:val="24"/>
        </w:rPr>
        <w:t>（4）</w:t>
      </w:r>
      <w:r>
        <w:rPr>
          <w:rFonts w:hint="eastAsia"/>
          <w:b/>
          <w:bCs/>
          <w:color w:val="auto"/>
          <w:sz w:val="24"/>
          <w:szCs w:val="24"/>
        </w:rPr>
        <w:t>▲</w:t>
      </w:r>
      <w:r>
        <w:rPr>
          <w:color w:val="auto"/>
          <w:sz w:val="24"/>
          <w:szCs w:val="24"/>
        </w:rPr>
        <w:t>采购需求偏离表</w:t>
      </w:r>
    </w:p>
    <w:p w14:paraId="6B351FE7">
      <w:pPr>
        <w:adjustRightInd w:val="0"/>
        <w:snapToGrid w:val="0"/>
        <w:spacing w:line="288" w:lineRule="auto"/>
        <w:ind w:firstLine="480" w:firstLineChars="200"/>
        <w:rPr>
          <w:color w:val="auto"/>
          <w:sz w:val="24"/>
          <w:szCs w:val="24"/>
        </w:rPr>
      </w:pPr>
      <w:r>
        <w:rPr>
          <w:rFonts w:hint="eastAsia"/>
          <w:color w:val="auto"/>
          <w:sz w:val="24"/>
          <w:szCs w:val="24"/>
        </w:rPr>
        <w:t>（</w:t>
      </w:r>
      <w:r>
        <w:rPr>
          <w:rFonts w:hint="eastAsia"/>
          <w:color w:val="auto"/>
          <w:sz w:val="24"/>
          <w:szCs w:val="24"/>
          <w:lang w:val="en-US" w:eastAsia="zh-CN"/>
        </w:rPr>
        <w:t>5</w:t>
      </w:r>
      <w:r>
        <w:rPr>
          <w:rFonts w:hint="eastAsia"/>
          <w:color w:val="auto"/>
          <w:sz w:val="24"/>
          <w:szCs w:val="24"/>
        </w:rPr>
        <w:t>）</w:t>
      </w:r>
      <w:r>
        <w:rPr>
          <w:rFonts w:hint="eastAsia"/>
          <w:b/>
          <w:bCs/>
          <w:color w:val="auto"/>
          <w:sz w:val="24"/>
          <w:szCs w:val="24"/>
        </w:rPr>
        <w:t>▲</w:t>
      </w:r>
      <w:r>
        <w:rPr>
          <w:rFonts w:hint="eastAsia"/>
          <w:color w:val="auto"/>
          <w:sz w:val="24"/>
          <w:szCs w:val="24"/>
        </w:rPr>
        <w:t>响应方基本情况表</w:t>
      </w:r>
    </w:p>
    <w:p w14:paraId="64830B19">
      <w:pPr>
        <w:adjustRightInd w:val="0"/>
        <w:snapToGrid w:val="0"/>
        <w:spacing w:line="288" w:lineRule="auto"/>
        <w:ind w:firstLine="480" w:firstLineChars="200"/>
        <w:rPr>
          <w:color w:val="auto"/>
          <w:sz w:val="24"/>
          <w:szCs w:val="24"/>
        </w:rPr>
      </w:pPr>
      <w:r>
        <w:rPr>
          <w:rFonts w:hint="eastAsia"/>
          <w:color w:val="auto"/>
          <w:sz w:val="24"/>
          <w:szCs w:val="24"/>
        </w:rPr>
        <w:t>（</w:t>
      </w:r>
      <w:r>
        <w:rPr>
          <w:rFonts w:hint="eastAsia"/>
          <w:color w:val="auto"/>
          <w:sz w:val="24"/>
          <w:szCs w:val="24"/>
          <w:lang w:val="en-US" w:eastAsia="zh-CN"/>
        </w:rPr>
        <w:t>6</w:t>
      </w:r>
      <w:r>
        <w:rPr>
          <w:rFonts w:hint="eastAsia"/>
          <w:color w:val="auto"/>
          <w:sz w:val="24"/>
          <w:szCs w:val="24"/>
        </w:rPr>
        <w:t>）供应商同类合同一览表</w:t>
      </w:r>
    </w:p>
    <w:p w14:paraId="7A5ED772">
      <w:pPr>
        <w:adjustRightInd w:val="0"/>
        <w:snapToGrid w:val="0"/>
        <w:spacing w:line="288" w:lineRule="auto"/>
        <w:ind w:firstLine="480" w:firstLineChars="200"/>
        <w:jc w:val="left"/>
        <w:rPr>
          <w:color w:val="auto"/>
          <w:sz w:val="24"/>
          <w:szCs w:val="24"/>
        </w:rPr>
      </w:pPr>
      <w:r>
        <w:rPr>
          <w:rFonts w:hint="eastAsia"/>
          <w:color w:val="auto"/>
          <w:sz w:val="24"/>
          <w:szCs w:val="24"/>
        </w:rPr>
        <w:t>（</w:t>
      </w:r>
      <w:r>
        <w:rPr>
          <w:rFonts w:hint="eastAsia"/>
          <w:color w:val="auto"/>
          <w:sz w:val="24"/>
          <w:szCs w:val="24"/>
          <w:lang w:val="en-US" w:eastAsia="zh-CN"/>
        </w:rPr>
        <w:t>7</w:t>
      </w:r>
      <w:r>
        <w:rPr>
          <w:color w:val="auto"/>
          <w:sz w:val="24"/>
          <w:szCs w:val="24"/>
        </w:rPr>
        <w:t>）</w:t>
      </w:r>
      <w:bookmarkStart w:id="554" w:name="_Hlk71884196"/>
      <w:r>
        <w:rPr>
          <w:rFonts w:hint="eastAsia"/>
          <w:color w:val="auto"/>
          <w:sz w:val="24"/>
          <w:szCs w:val="24"/>
        </w:rPr>
        <w:t>详细技术和服务方案</w:t>
      </w:r>
    </w:p>
    <w:p w14:paraId="61D5A229">
      <w:pPr>
        <w:adjustRightInd w:val="0"/>
        <w:snapToGrid w:val="0"/>
        <w:spacing w:line="288" w:lineRule="auto"/>
        <w:ind w:firstLine="480" w:firstLineChars="200"/>
        <w:jc w:val="left"/>
        <w:rPr>
          <w:color w:val="auto"/>
          <w:sz w:val="24"/>
          <w:szCs w:val="24"/>
        </w:rPr>
      </w:pPr>
      <w:r>
        <w:rPr>
          <w:rFonts w:hint="eastAsia"/>
          <w:color w:val="auto"/>
          <w:sz w:val="24"/>
          <w:szCs w:val="24"/>
        </w:rPr>
        <w:t>（</w:t>
      </w:r>
      <w:r>
        <w:rPr>
          <w:rFonts w:hint="eastAsia"/>
          <w:color w:val="auto"/>
          <w:sz w:val="24"/>
          <w:szCs w:val="24"/>
          <w:lang w:val="en-US" w:eastAsia="zh-CN"/>
        </w:rPr>
        <w:t>8</w:t>
      </w:r>
      <w:r>
        <w:rPr>
          <w:rFonts w:hint="eastAsia"/>
          <w:color w:val="auto"/>
          <w:sz w:val="24"/>
          <w:szCs w:val="24"/>
        </w:rPr>
        <w:t>）项目组成员一览表</w:t>
      </w:r>
    </w:p>
    <w:p w14:paraId="3BFA1F23">
      <w:pPr>
        <w:adjustRightInd w:val="0"/>
        <w:snapToGrid w:val="0"/>
        <w:spacing w:line="288" w:lineRule="auto"/>
        <w:ind w:firstLine="480" w:firstLineChars="200"/>
        <w:jc w:val="left"/>
        <w:rPr>
          <w:color w:val="auto"/>
          <w:sz w:val="24"/>
          <w:szCs w:val="24"/>
        </w:rPr>
      </w:pPr>
      <w:r>
        <w:rPr>
          <w:rFonts w:hint="eastAsia"/>
          <w:color w:val="auto"/>
          <w:sz w:val="24"/>
          <w:szCs w:val="24"/>
        </w:rPr>
        <w:t>（</w:t>
      </w:r>
      <w:r>
        <w:rPr>
          <w:rFonts w:hint="eastAsia"/>
          <w:color w:val="auto"/>
          <w:sz w:val="24"/>
          <w:szCs w:val="24"/>
          <w:lang w:val="en-US" w:eastAsia="zh-CN"/>
        </w:rPr>
        <w:t>9</w:t>
      </w:r>
      <w:r>
        <w:rPr>
          <w:rFonts w:hint="eastAsia"/>
          <w:color w:val="auto"/>
          <w:sz w:val="24"/>
          <w:szCs w:val="24"/>
        </w:rPr>
        <w:t xml:space="preserve">）关于对磋商文件中有关条款的拒绝声明(如有) </w:t>
      </w:r>
    </w:p>
    <w:bookmarkEnd w:id="554"/>
    <w:p w14:paraId="1CD52F89">
      <w:pPr>
        <w:adjustRightInd w:val="0"/>
        <w:snapToGrid w:val="0"/>
        <w:spacing w:line="288" w:lineRule="auto"/>
        <w:ind w:firstLine="482" w:firstLineChars="200"/>
        <w:outlineLvl w:val="0"/>
        <w:rPr>
          <w:b/>
          <w:bCs/>
          <w:color w:val="auto"/>
          <w:sz w:val="24"/>
          <w:szCs w:val="24"/>
        </w:rPr>
      </w:pPr>
      <w:bookmarkStart w:id="555" w:name="_Toc23526_WPSOffice_Level1"/>
      <w:bookmarkStart w:id="556" w:name="_Toc32333_WPSOffice_Level1"/>
      <w:bookmarkStart w:id="557" w:name="_Toc1340_WPSOffice_Level1"/>
      <w:r>
        <w:rPr>
          <w:rFonts w:hint="eastAsia"/>
          <w:b/>
          <w:bCs/>
          <w:color w:val="auto"/>
          <w:sz w:val="24"/>
          <w:szCs w:val="24"/>
        </w:rPr>
        <w:t>4.评分标准索引表</w:t>
      </w:r>
      <w:bookmarkEnd w:id="555"/>
      <w:bookmarkEnd w:id="556"/>
      <w:bookmarkEnd w:id="557"/>
      <w:r>
        <w:rPr>
          <w:rFonts w:hint="eastAsia"/>
          <w:b/>
          <w:bCs/>
          <w:color w:val="auto"/>
          <w:sz w:val="24"/>
          <w:szCs w:val="24"/>
        </w:rPr>
        <w:br w:type="page"/>
      </w:r>
    </w:p>
    <w:p w14:paraId="14F7B4E2">
      <w:pPr>
        <w:adjustRightInd w:val="0"/>
        <w:snapToGrid w:val="0"/>
        <w:spacing w:line="288" w:lineRule="auto"/>
        <w:jc w:val="center"/>
        <w:outlineLvl w:val="0"/>
        <w:rPr>
          <w:b/>
          <w:bCs/>
          <w:color w:val="auto"/>
          <w:sz w:val="84"/>
          <w:szCs w:val="84"/>
        </w:rPr>
      </w:pPr>
      <w:bookmarkStart w:id="558" w:name="_Toc26253_WPSOffice_Level1"/>
      <w:bookmarkStart w:id="559" w:name="_Toc25724_WPSOffice_Level1"/>
      <w:r>
        <w:rPr>
          <w:rFonts w:hint="eastAsia"/>
          <w:b/>
          <w:bCs/>
          <w:color w:val="auto"/>
          <w:sz w:val="84"/>
          <w:szCs w:val="84"/>
        </w:rPr>
        <w:t>资格文件</w:t>
      </w:r>
      <w:bookmarkEnd w:id="558"/>
      <w:bookmarkEnd w:id="559"/>
    </w:p>
    <w:p w14:paraId="7BE44FD9">
      <w:pPr>
        <w:adjustRightInd w:val="0"/>
        <w:snapToGrid w:val="0"/>
        <w:spacing w:line="288" w:lineRule="auto"/>
        <w:jc w:val="center"/>
        <w:outlineLvl w:val="0"/>
        <w:rPr>
          <w:b/>
          <w:bCs/>
          <w:color w:val="auto"/>
          <w:sz w:val="24"/>
          <w:szCs w:val="24"/>
        </w:rPr>
      </w:pPr>
      <w:bookmarkStart w:id="560" w:name="_Toc9718_WPSOffice_Level1"/>
      <w:bookmarkStart w:id="561" w:name="_Toc24504_WPSOffice_Level1"/>
      <w:bookmarkStart w:id="562" w:name="_Toc20982_WPSOffice_Level1"/>
      <w:bookmarkStart w:id="563" w:name="_Hlk94097338"/>
      <w:r>
        <w:rPr>
          <w:rFonts w:hint="eastAsia"/>
          <w:b/>
          <w:bCs/>
          <w:color w:val="auto"/>
          <w:sz w:val="24"/>
          <w:szCs w:val="24"/>
        </w:rPr>
        <w:t>资格审查要求的资格证明材料(均需加盖公章)</w:t>
      </w:r>
      <w:bookmarkEnd w:id="560"/>
      <w:bookmarkEnd w:id="561"/>
      <w:bookmarkEnd w:id="562"/>
      <w:bookmarkEnd w:id="563"/>
    </w:p>
    <w:p w14:paraId="38ED3533">
      <w:pPr>
        <w:pStyle w:val="2"/>
        <w:ind w:firstLine="480"/>
        <w:rPr>
          <w:color w:val="auto"/>
          <w:sz w:val="24"/>
        </w:rPr>
      </w:pPr>
    </w:p>
    <w:p w14:paraId="4E029105">
      <w:pPr>
        <w:adjustRightInd w:val="0"/>
        <w:snapToGrid w:val="0"/>
        <w:spacing w:line="288" w:lineRule="auto"/>
        <w:jc w:val="left"/>
        <w:outlineLvl w:val="9"/>
        <w:rPr>
          <w:b/>
          <w:bCs/>
          <w:color w:val="auto"/>
          <w:sz w:val="24"/>
          <w:szCs w:val="24"/>
        </w:rPr>
      </w:pPr>
    </w:p>
    <w:p w14:paraId="342960E1">
      <w:pPr>
        <w:pStyle w:val="5"/>
        <w:bidi w:val="0"/>
        <w:rPr>
          <w:rFonts w:hint="default"/>
          <w:color w:val="auto"/>
          <w:lang w:val="en-US" w:eastAsia="zh-CN"/>
        </w:rPr>
      </w:pPr>
      <w:bookmarkStart w:id="564" w:name="_Toc18409"/>
      <w:r>
        <w:rPr>
          <w:rFonts w:hint="eastAsia"/>
          <w:color w:val="auto"/>
          <w:lang w:val="en-US" w:eastAsia="zh-CN"/>
        </w:rPr>
        <w:t>资格文件</w:t>
      </w:r>
      <w:bookmarkEnd w:id="564"/>
    </w:p>
    <w:p w14:paraId="53FDDF95">
      <w:pPr>
        <w:pStyle w:val="6"/>
        <w:ind w:left="0" w:firstLine="0"/>
        <w:outlineLvl w:val="0"/>
        <w:rPr>
          <w:color w:val="auto"/>
        </w:rPr>
      </w:pPr>
      <w:bookmarkStart w:id="565" w:name="_Toc7753_WPSOffice_Level1"/>
      <w:bookmarkStart w:id="566" w:name="_Toc9701_WPSOffice_Level1"/>
      <w:bookmarkStart w:id="567" w:name="_Toc27253"/>
      <w:r>
        <w:rPr>
          <w:rFonts w:hint="eastAsia"/>
          <w:color w:val="auto"/>
        </w:rPr>
        <w:t>1）有效的法人或者其他组织的营业执照等证明文件，自然人的身份证明</w:t>
      </w:r>
      <w:bookmarkEnd w:id="565"/>
      <w:bookmarkEnd w:id="566"/>
      <w:bookmarkEnd w:id="567"/>
    </w:p>
    <w:p w14:paraId="44BC5FAD">
      <w:pPr>
        <w:adjustRightInd w:val="0"/>
        <w:snapToGrid w:val="0"/>
        <w:spacing w:line="288" w:lineRule="auto"/>
        <w:rPr>
          <w:b/>
          <w:bCs/>
          <w:color w:val="auto"/>
          <w:sz w:val="24"/>
          <w:szCs w:val="24"/>
        </w:rPr>
      </w:pPr>
      <w:r>
        <w:rPr>
          <w:rFonts w:hint="eastAsia"/>
          <w:b/>
          <w:bCs/>
          <w:color w:val="auto"/>
          <w:sz w:val="24"/>
          <w:szCs w:val="24"/>
        </w:rPr>
        <w:t>说明：</w:t>
      </w:r>
    </w:p>
    <w:p w14:paraId="67299489">
      <w:pPr>
        <w:adjustRightInd w:val="0"/>
        <w:snapToGrid w:val="0"/>
        <w:spacing w:line="288" w:lineRule="auto"/>
        <w:rPr>
          <w:color w:val="auto"/>
          <w:sz w:val="24"/>
          <w:szCs w:val="24"/>
        </w:rPr>
      </w:pPr>
      <w:r>
        <w:rPr>
          <w:rFonts w:hint="eastAsia"/>
          <w:color w:val="auto"/>
          <w:sz w:val="24"/>
          <w:szCs w:val="24"/>
        </w:rPr>
        <w:t>1.如供应商是企业（包括合伙企业），提供在工商部门注册的有效“企业法人营业执照”或“营业执照”；</w:t>
      </w:r>
    </w:p>
    <w:p w14:paraId="7667F441">
      <w:pPr>
        <w:adjustRightInd w:val="0"/>
        <w:snapToGrid w:val="0"/>
        <w:spacing w:line="288" w:lineRule="auto"/>
        <w:rPr>
          <w:color w:val="auto"/>
          <w:sz w:val="24"/>
          <w:szCs w:val="24"/>
        </w:rPr>
      </w:pPr>
      <w:r>
        <w:rPr>
          <w:rFonts w:hint="eastAsia"/>
          <w:color w:val="auto"/>
          <w:sz w:val="24"/>
          <w:szCs w:val="24"/>
        </w:rPr>
        <w:t>2.如供应商是事业单位，提供有效的“事业单位法人证书”；</w:t>
      </w:r>
    </w:p>
    <w:p w14:paraId="23B1AAA9">
      <w:pPr>
        <w:adjustRightInd w:val="0"/>
        <w:snapToGrid w:val="0"/>
        <w:spacing w:line="288" w:lineRule="auto"/>
        <w:rPr>
          <w:color w:val="auto"/>
          <w:sz w:val="24"/>
          <w:szCs w:val="24"/>
        </w:rPr>
      </w:pPr>
      <w:r>
        <w:rPr>
          <w:rFonts w:hint="eastAsia"/>
          <w:color w:val="auto"/>
          <w:sz w:val="24"/>
          <w:szCs w:val="24"/>
        </w:rPr>
        <w:t>3.如供应商是非企业专业服务机构的，提供执业许可证等证明文件；</w:t>
      </w:r>
    </w:p>
    <w:p w14:paraId="06981083">
      <w:pPr>
        <w:adjustRightInd w:val="0"/>
        <w:snapToGrid w:val="0"/>
        <w:spacing w:line="288" w:lineRule="auto"/>
        <w:rPr>
          <w:color w:val="auto"/>
          <w:sz w:val="24"/>
          <w:szCs w:val="24"/>
        </w:rPr>
      </w:pPr>
      <w:r>
        <w:rPr>
          <w:rFonts w:hint="eastAsia"/>
          <w:color w:val="auto"/>
          <w:sz w:val="24"/>
          <w:szCs w:val="24"/>
        </w:rPr>
        <w:t>4.如供应商是个体工商户，提供有效的“个体工商户营业执照”；</w:t>
      </w:r>
    </w:p>
    <w:p w14:paraId="384D634E">
      <w:pPr>
        <w:adjustRightInd w:val="0"/>
        <w:snapToGrid w:val="0"/>
        <w:spacing w:line="288" w:lineRule="auto"/>
        <w:rPr>
          <w:color w:val="auto"/>
          <w:sz w:val="24"/>
          <w:szCs w:val="24"/>
        </w:rPr>
      </w:pPr>
      <w:r>
        <w:rPr>
          <w:rFonts w:hint="eastAsia"/>
          <w:color w:val="auto"/>
          <w:sz w:val="24"/>
          <w:szCs w:val="24"/>
        </w:rPr>
        <w:t>5.如供应商是自然人，提供有效的自然人身份证明。</w:t>
      </w:r>
    </w:p>
    <w:p w14:paraId="6ED74C55">
      <w:pPr>
        <w:adjustRightInd w:val="0"/>
        <w:snapToGrid w:val="0"/>
        <w:spacing w:line="288" w:lineRule="auto"/>
        <w:rPr>
          <w:color w:val="auto"/>
          <w:szCs w:val="21"/>
        </w:rPr>
      </w:pPr>
      <w:r>
        <w:rPr>
          <w:rFonts w:hint="eastAsia"/>
          <w:color w:val="auto"/>
          <w:szCs w:val="21"/>
        </w:rPr>
        <w:br w:type="page"/>
      </w:r>
    </w:p>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14:paraId="05BAE6E1">
      <w:pPr>
        <w:jc w:val="center"/>
        <w:rPr>
          <w:b/>
          <w:bCs/>
          <w:color w:val="auto"/>
          <w:sz w:val="32"/>
          <w:szCs w:val="32"/>
        </w:rPr>
      </w:pPr>
    </w:p>
    <w:p w14:paraId="521A735E">
      <w:pPr>
        <w:pStyle w:val="6"/>
        <w:ind w:left="0" w:firstLine="0"/>
        <w:outlineLvl w:val="0"/>
        <w:rPr>
          <w:color w:val="auto"/>
        </w:rPr>
      </w:pPr>
      <w:bookmarkStart w:id="568" w:name="_Toc10243_WPSOffice_Level1"/>
      <w:bookmarkStart w:id="569" w:name="_Toc6081_WPSOffice_Level1"/>
      <w:bookmarkStart w:id="570" w:name="_Toc26293"/>
      <w:r>
        <w:rPr>
          <w:rFonts w:hint="eastAsia"/>
          <w:color w:val="auto"/>
        </w:rPr>
        <w:t>2）资格条件承诺函</w:t>
      </w:r>
      <w:bookmarkEnd w:id="568"/>
      <w:bookmarkEnd w:id="569"/>
      <w:bookmarkEnd w:id="570"/>
    </w:p>
    <w:p w14:paraId="6F85C0B6">
      <w:pPr>
        <w:jc w:val="center"/>
        <w:outlineLvl w:val="1"/>
        <w:rPr>
          <w:b/>
          <w:bCs/>
          <w:color w:val="auto"/>
          <w:sz w:val="32"/>
          <w:szCs w:val="32"/>
        </w:rPr>
      </w:pPr>
      <w:bookmarkStart w:id="571" w:name="_Toc785_WPSOffice_Level2"/>
      <w:r>
        <w:rPr>
          <w:rFonts w:hint="eastAsia"/>
          <w:b/>
          <w:bCs/>
          <w:color w:val="auto"/>
          <w:sz w:val="32"/>
          <w:szCs w:val="32"/>
        </w:rPr>
        <w:t>资格条件承诺函</w:t>
      </w:r>
      <w:bookmarkEnd w:id="571"/>
    </w:p>
    <w:p w14:paraId="4DE3A9CA">
      <w:pPr>
        <w:snapToGrid w:val="0"/>
        <w:spacing w:line="360" w:lineRule="auto"/>
        <w:rPr>
          <w:color w:val="auto"/>
          <w:sz w:val="24"/>
        </w:rPr>
      </w:pPr>
    </w:p>
    <w:p w14:paraId="03953F5B">
      <w:pPr>
        <w:snapToGrid w:val="0"/>
        <w:spacing w:line="360" w:lineRule="auto"/>
        <w:rPr>
          <w:color w:val="auto"/>
          <w:sz w:val="24"/>
        </w:rPr>
      </w:pPr>
      <w:r>
        <w:rPr>
          <w:rFonts w:hint="eastAsia"/>
          <w:color w:val="auto"/>
          <w:sz w:val="24"/>
        </w:rPr>
        <w:t>杭州电子科技大学：</w:t>
      </w:r>
    </w:p>
    <w:p w14:paraId="6D7D8E73">
      <w:pPr>
        <w:snapToGrid w:val="0"/>
        <w:spacing w:line="360" w:lineRule="auto"/>
        <w:ind w:firstLine="480" w:firstLineChars="200"/>
        <w:rPr>
          <w:color w:val="auto"/>
          <w:sz w:val="24"/>
        </w:rPr>
      </w:pPr>
      <w:r>
        <w:rPr>
          <w:rFonts w:hint="eastAsia"/>
          <w:color w:val="auto"/>
          <w:sz w:val="24"/>
        </w:rPr>
        <w:t>我方（供应商）承诺：</w:t>
      </w:r>
    </w:p>
    <w:p w14:paraId="11D6AC99">
      <w:pPr>
        <w:snapToGrid w:val="0"/>
        <w:spacing w:line="360" w:lineRule="auto"/>
        <w:ind w:firstLine="480" w:firstLineChars="200"/>
        <w:rPr>
          <w:color w:val="auto"/>
          <w:sz w:val="24"/>
        </w:rPr>
      </w:pPr>
      <w:r>
        <w:rPr>
          <w:rFonts w:hint="eastAsia"/>
          <w:color w:val="auto"/>
          <w:sz w:val="24"/>
        </w:rPr>
        <w:t>1、具有良好的商业信誉和健全的财务会计制度；</w:t>
      </w:r>
    </w:p>
    <w:p w14:paraId="67766273">
      <w:pPr>
        <w:snapToGrid w:val="0"/>
        <w:spacing w:line="360" w:lineRule="auto"/>
        <w:ind w:firstLine="480" w:firstLineChars="200"/>
        <w:rPr>
          <w:color w:val="auto"/>
          <w:sz w:val="24"/>
        </w:rPr>
      </w:pPr>
      <w:r>
        <w:rPr>
          <w:rFonts w:hint="eastAsia"/>
          <w:color w:val="auto"/>
          <w:sz w:val="24"/>
        </w:rPr>
        <w:t>2、具有履行合同所必需的设备和专业技术能力；</w:t>
      </w:r>
    </w:p>
    <w:p w14:paraId="41E4D79B">
      <w:pPr>
        <w:snapToGrid w:val="0"/>
        <w:spacing w:line="360" w:lineRule="auto"/>
        <w:ind w:firstLine="480" w:firstLineChars="200"/>
        <w:rPr>
          <w:color w:val="auto"/>
          <w:sz w:val="24"/>
        </w:rPr>
      </w:pPr>
      <w:r>
        <w:rPr>
          <w:rFonts w:hint="eastAsia"/>
          <w:color w:val="auto"/>
          <w:sz w:val="24"/>
        </w:rPr>
        <w:t>3、严格依法缴纳税收和社会保障资金；</w:t>
      </w:r>
    </w:p>
    <w:p w14:paraId="4BD535B4">
      <w:pPr>
        <w:snapToGrid w:val="0"/>
        <w:spacing w:line="360" w:lineRule="auto"/>
        <w:ind w:firstLine="480" w:firstLineChars="200"/>
        <w:rPr>
          <w:color w:val="auto"/>
          <w:sz w:val="24"/>
        </w:rPr>
      </w:pPr>
      <w:r>
        <w:rPr>
          <w:rFonts w:hint="eastAsia"/>
          <w:color w:val="auto"/>
          <w:sz w:val="24"/>
        </w:rPr>
        <w:t>4、参加本次采购活动前3年内在经营活动中没有重大违法记录（没有因违法经营受到刑事处罚，没有被责令停产停业、被吊销许可证或者执照、被处以较大数额罚款等行政处罚，没有因违法经营被禁止参加采购活动的期限未满情形）；</w:t>
      </w:r>
    </w:p>
    <w:p w14:paraId="70A022DF">
      <w:pPr>
        <w:snapToGrid w:val="0"/>
        <w:spacing w:line="360" w:lineRule="auto"/>
        <w:ind w:firstLine="480" w:firstLineChars="200"/>
        <w:rPr>
          <w:color w:val="auto"/>
          <w:sz w:val="24"/>
        </w:rPr>
      </w:pPr>
      <w:r>
        <w:rPr>
          <w:rFonts w:hint="eastAsia"/>
          <w:color w:val="auto"/>
          <w:sz w:val="24"/>
        </w:rPr>
        <w:t>5、未被列入失信被执行人名单、重大税收违法案件当事人名单、政府采购严重违法失信行为记录名单；</w:t>
      </w:r>
    </w:p>
    <w:p w14:paraId="3784A4AE">
      <w:pPr>
        <w:snapToGrid w:val="0"/>
        <w:spacing w:line="360" w:lineRule="auto"/>
        <w:ind w:firstLine="480" w:firstLineChars="200"/>
        <w:rPr>
          <w:color w:val="auto"/>
          <w:sz w:val="24"/>
        </w:rPr>
      </w:pPr>
      <w:r>
        <w:rPr>
          <w:rFonts w:hint="eastAsia"/>
          <w:color w:val="auto"/>
          <w:sz w:val="24"/>
        </w:rPr>
        <w:t>6、不存在以下情况：</w:t>
      </w:r>
    </w:p>
    <w:p w14:paraId="3EA68B57">
      <w:pPr>
        <w:snapToGrid w:val="0"/>
        <w:spacing w:line="360" w:lineRule="auto"/>
        <w:ind w:firstLine="480" w:firstLineChars="200"/>
        <w:rPr>
          <w:color w:val="auto"/>
          <w:sz w:val="24"/>
        </w:rPr>
      </w:pPr>
      <w:r>
        <w:rPr>
          <w:rFonts w:hint="eastAsia"/>
          <w:color w:val="auto"/>
          <w:sz w:val="24"/>
        </w:rPr>
        <w:t>（1）单位负责人为同一人或者存在直接控股、管理关系的不同供应商参加同一合同项下的政府采购活动的；</w:t>
      </w:r>
    </w:p>
    <w:p w14:paraId="24BBAE6D">
      <w:pPr>
        <w:snapToGrid w:val="0"/>
        <w:spacing w:line="360" w:lineRule="auto"/>
        <w:ind w:firstLine="480" w:firstLineChars="200"/>
        <w:rPr>
          <w:color w:val="auto"/>
          <w:sz w:val="24"/>
        </w:rPr>
      </w:pPr>
      <w:r>
        <w:rPr>
          <w:rFonts w:hint="eastAsia"/>
          <w:color w:val="auto"/>
          <w:sz w:val="24"/>
        </w:rPr>
        <w:t>（2）为采购项目提供整体设计、规范编制或者项目管理、监理、检测等服务后再参加该采购项目的其他采购活动的。</w:t>
      </w:r>
    </w:p>
    <w:p w14:paraId="065F9AB6">
      <w:pPr>
        <w:snapToGrid w:val="0"/>
        <w:spacing w:line="360" w:lineRule="auto"/>
        <w:ind w:firstLine="480" w:firstLineChars="200"/>
        <w:rPr>
          <w:color w:val="auto"/>
          <w:sz w:val="24"/>
        </w:rPr>
      </w:pPr>
      <w:r>
        <w:rPr>
          <w:rFonts w:hint="eastAsia"/>
          <w:color w:val="auto"/>
          <w:sz w:val="24"/>
        </w:rPr>
        <w:t>如有虚假，采购人可取消我方任何资格（磋商/成交/签订合同），我方对此无任何异议，并承担一切后果。</w:t>
      </w:r>
    </w:p>
    <w:p w14:paraId="47EE6336">
      <w:pPr>
        <w:snapToGrid w:val="0"/>
        <w:spacing w:line="360" w:lineRule="auto"/>
        <w:ind w:firstLine="480" w:firstLineChars="200"/>
        <w:rPr>
          <w:color w:val="auto"/>
          <w:sz w:val="24"/>
        </w:rPr>
      </w:pPr>
      <w:r>
        <w:rPr>
          <w:rFonts w:hint="eastAsia"/>
          <w:color w:val="auto"/>
          <w:sz w:val="24"/>
        </w:rPr>
        <w:t> </w:t>
      </w:r>
    </w:p>
    <w:p w14:paraId="3FAD011E">
      <w:pPr>
        <w:snapToGrid w:val="0"/>
        <w:spacing w:line="360" w:lineRule="auto"/>
        <w:ind w:firstLine="480" w:firstLineChars="200"/>
        <w:rPr>
          <w:color w:val="auto"/>
          <w:sz w:val="24"/>
        </w:rPr>
      </w:pPr>
      <w:r>
        <w:rPr>
          <w:rFonts w:hint="eastAsia"/>
          <w:color w:val="auto"/>
          <w:sz w:val="24"/>
        </w:rPr>
        <w:t>特此承诺！</w:t>
      </w:r>
    </w:p>
    <w:p w14:paraId="0D5A326F">
      <w:pPr>
        <w:pStyle w:val="8"/>
        <w:rPr>
          <w:color w:val="auto"/>
          <w:sz w:val="24"/>
        </w:rPr>
      </w:pPr>
    </w:p>
    <w:p w14:paraId="56C7732A">
      <w:pPr>
        <w:rPr>
          <w:color w:val="auto"/>
          <w:sz w:val="24"/>
        </w:rPr>
      </w:pPr>
    </w:p>
    <w:p w14:paraId="5134FC83">
      <w:pPr>
        <w:pStyle w:val="8"/>
        <w:rPr>
          <w:color w:val="auto"/>
        </w:rPr>
      </w:pPr>
    </w:p>
    <w:p w14:paraId="03AD7E14">
      <w:pPr>
        <w:pStyle w:val="27"/>
        <w:spacing w:line="360" w:lineRule="auto"/>
        <w:rPr>
          <w:rFonts w:hAnsi="宋体" w:cs="宋体"/>
          <w:b/>
          <w:bCs/>
          <w:color w:val="auto"/>
          <w:sz w:val="24"/>
        </w:rPr>
      </w:pPr>
      <w:r>
        <w:rPr>
          <w:rFonts w:hint="eastAsia" w:hAnsi="宋体" w:cs="宋体"/>
          <w:b/>
          <w:bCs/>
          <w:color w:val="auto"/>
          <w:sz w:val="24"/>
        </w:rPr>
        <w:t xml:space="preserve">响应方（盖章）：            </w:t>
      </w:r>
    </w:p>
    <w:p w14:paraId="07CE4DC3">
      <w:pPr>
        <w:spacing w:line="480" w:lineRule="auto"/>
        <w:rPr>
          <w:rFonts w:ascii="宋体" w:hAnsi="宋体" w:cs="宋体"/>
          <w:b/>
          <w:bCs/>
          <w:color w:val="auto"/>
          <w:sz w:val="24"/>
          <w:u w:val="single"/>
        </w:rPr>
      </w:pPr>
      <w:r>
        <w:rPr>
          <w:rFonts w:hint="eastAsia" w:hAnsi="宋体" w:cs="宋体"/>
          <w:b/>
          <w:bCs/>
          <w:color w:val="auto"/>
          <w:sz w:val="24"/>
        </w:rPr>
        <w:t>授权代表</w:t>
      </w:r>
      <w:r>
        <w:rPr>
          <w:rFonts w:hint="eastAsia" w:ascii="宋体" w:hAnsi="宋体" w:cs="宋体"/>
          <w:b/>
          <w:bCs/>
          <w:color w:val="auto"/>
          <w:sz w:val="24"/>
        </w:rPr>
        <w:t>（签字</w:t>
      </w:r>
      <w:r>
        <w:rPr>
          <w:rFonts w:hint="eastAsia" w:ascii="宋体" w:hAnsi="宋体" w:cs="宋体"/>
          <w:b/>
          <w:bCs/>
          <w:color w:val="auto"/>
          <w:sz w:val="24"/>
          <w:lang w:val="en-US" w:eastAsia="zh-CN"/>
        </w:rPr>
        <w:t>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181DDBE8">
      <w:pPr>
        <w:pStyle w:val="27"/>
        <w:spacing w:before="120" w:beforeLines="50" w:after="120" w:afterLines="50"/>
        <w:ind w:left="-27" w:firstLine="422"/>
        <w:rPr>
          <w:rFonts w:ascii="Times New Roman" w:hAnsi="宋体"/>
          <w:color w:val="auto"/>
          <w:sz w:val="24"/>
        </w:rPr>
      </w:pPr>
      <w:r>
        <w:rPr>
          <w:rFonts w:hint="eastAsia" w:hAnsi="宋体" w:cs="宋体"/>
          <w:color w:val="auto"/>
          <w:sz w:val="24"/>
        </w:rPr>
        <w:t>日期：      年   月   日</w:t>
      </w:r>
    </w:p>
    <w:p w14:paraId="2C25964E">
      <w:pPr>
        <w:adjustRightInd w:val="0"/>
        <w:snapToGrid w:val="0"/>
        <w:spacing w:line="288" w:lineRule="auto"/>
        <w:ind w:firstLine="480" w:firstLineChars="200"/>
        <w:rPr>
          <w:color w:val="auto"/>
          <w:sz w:val="24"/>
          <w:szCs w:val="24"/>
        </w:rPr>
      </w:pPr>
    </w:p>
    <w:p w14:paraId="6776264E">
      <w:pPr>
        <w:adjustRightInd w:val="0"/>
        <w:snapToGrid w:val="0"/>
        <w:spacing w:line="288" w:lineRule="auto"/>
        <w:ind w:firstLine="480" w:firstLineChars="200"/>
        <w:rPr>
          <w:color w:val="auto"/>
          <w:sz w:val="24"/>
          <w:szCs w:val="24"/>
        </w:rPr>
      </w:pPr>
    </w:p>
    <w:p w14:paraId="309826CE">
      <w:pPr>
        <w:pStyle w:val="6"/>
        <w:numPr>
          <w:ilvl w:val="0"/>
          <w:numId w:val="0"/>
        </w:numPr>
        <w:ind w:leftChars="0"/>
        <w:jc w:val="left"/>
        <w:outlineLvl w:val="9"/>
        <w:rPr>
          <w:rFonts w:hint="eastAsia"/>
          <w:color w:val="auto"/>
        </w:rPr>
      </w:pPr>
      <w:bookmarkStart w:id="572" w:name="_Toc9900_WPSOffice_Level1"/>
      <w:bookmarkStart w:id="573" w:name="_Toc9133"/>
      <w:bookmarkStart w:id="574" w:name="_Toc31219_WPSOffice_Level1"/>
      <w:r>
        <w:rPr>
          <w:rFonts w:hint="eastAsia"/>
          <w:color w:val="auto"/>
          <w:lang w:val="en-US" w:eastAsia="zh-CN"/>
        </w:rPr>
        <w:t>3）</w:t>
      </w:r>
      <w:r>
        <w:rPr>
          <w:rFonts w:hint="eastAsia"/>
          <w:color w:val="auto"/>
        </w:rPr>
        <w:t>落实政府采购政策需满足的资格要求：中小企业声明函</w:t>
      </w:r>
      <w:bookmarkEnd w:id="572"/>
      <w:bookmarkEnd w:id="573"/>
      <w:bookmarkEnd w:id="574"/>
    </w:p>
    <w:p w14:paraId="76686128">
      <w:pPr>
        <w:rPr>
          <w:rFonts w:ascii="Times New Roman" w:hAnsi="Times New Roman"/>
          <w:b/>
          <w:color w:val="auto"/>
          <w:sz w:val="32"/>
          <w:szCs w:val="32"/>
        </w:rPr>
      </w:pPr>
      <w:r>
        <w:rPr>
          <w:rFonts w:ascii="Times New Roman" w:hAnsi="Times New Roman"/>
          <w:b/>
          <w:color w:val="auto"/>
          <w:sz w:val="32"/>
          <w:szCs w:val="32"/>
        </w:rPr>
        <w:br w:type="page"/>
      </w:r>
    </w:p>
    <w:p w14:paraId="2A12633F">
      <w:pPr>
        <w:pStyle w:val="27"/>
        <w:spacing w:before="120" w:after="120" w:line="360" w:lineRule="auto"/>
        <w:ind w:left="-27" w:firstLine="565"/>
        <w:jc w:val="center"/>
        <w:outlineLvl w:val="1"/>
        <w:rPr>
          <w:rFonts w:ascii="Times New Roman" w:hAnsi="Times New Roman"/>
          <w:b/>
          <w:color w:val="auto"/>
          <w:sz w:val="32"/>
          <w:szCs w:val="32"/>
        </w:rPr>
      </w:pPr>
      <w:bookmarkStart w:id="575" w:name="_Toc4357_WPSOffice_Level2"/>
      <w:r>
        <w:rPr>
          <w:rFonts w:ascii="Times New Roman" w:hAnsi="Times New Roman"/>
          <w:b/>
          <w:color w:val="auto"/>
          <w:sz w:val="32"/>
          <w:szCs w:val="32"/>
        </w:rPr>
        <w:t>中小企业声明函</w:t>
      </w:r>
      <w:r>
        <w:rPr>
          <w:rFonts w:hint="eastAsia" w:ascii="Times New Roman" w:hAnsi="Times New Roman"/>
          <w:b/>
          <w:color w:val="auto"/>
          <w:sz w:val="32"/>
          <w:szCs w:val="32"/>
        </w:rPr>
        <w:t>（服务）</w:t>
      </w:r>
      <w:bookmarkEnd w:id="575"/>
    </w:p>
    <w:p w14:paraId="77C46488">
      <w:pPr>
        <w:pStyle w:val="20"/>
        <w:autoSpaceDE w:val="0"/>
        <w:autoSpaceDN w:val="0"/>
        <w:spacing w:after="0" w:line="360" w:lineRule="auto"/>
        <w:ind w:right="-54" w:firstLine="420" w:firstLineChars="200"/>
        <w:rPr>
          <w:rFonts w:ascii="宋体" w:hAnsi="宋体" w:cs="宋体"/>
          <w:color w:val="auto"/>
          <w:szCs w:val="21"/>
        </w:rPr>
      </w:pPr>
      <w:r>
        <w:rPr>
          <w:rFonts w:hint="eastAsia" w:ascii="宋体" w:hAnsi="宋体" w:cs="宋体"/>
          <w:color w:val="auto"/>
          <w:szCs w:val="21"/>
        </w:rPr>
        <w:t>本公司（联合体）郑重声明，根据《政府采购促进中小企业发展管理办法》（财库﹝2020﹞46 号）的规定，本公司（联合体）参加</w:t>
      </w:r>
      <w:r>
        <w:rPr>
          <w:rFonts w:hint="eastAsia" w:ascii="宋体" w:hAnsi="宋体" w:cs="宋体"/>
          <w:i/>
          <w:color w:val="auto"/>
          <w:szCs w:val="21"/>
          <w:u w:val="single"/>
        </w:rPr>
        <w:t>（单位名称）</w:t>
      </w:r>
      <w:r>
        <w:rPr>
          <w:rFonts w:hint="eastAsia" w:ascii="宋体" w:hAnsi="宋体" w:cs="宋体"/>
          <w:color w:val="auto"/>
          <w:szCs w:val="21"/>
        </w:rPr>
        <w:t>的</w:t>
      </w:r>
      <w:r>
        <w:rPr>
          <w:rFonts w:hint="eastAsia" w:ascii="宋体" w:hAnsi="宋体" w:cs="宋体"/>
          <w:i/>
          <w:color w:val="auto"/>
          <w:szCs w:val="21"/>
          <w:u w:val="single"/>
        </w:rPr>
        <w:t>（项目名称）</w:t>
      </w:r>
      <w:r>
        <w:rPr>
          <w:rFonts w:hint="eastAsia" w:ascii="宋体" w:hAnsi="宋体" w:cs="宋体"/>
          <w:color w:val="auto"/>
          <w:szCs w:val="21"/>
        </w:rPr>
        <w:t>采购活动，</w:t>
      </w:r>
      <w:r>
        <w:rPr>
          <w:rFonts w:hint="eastAsia" w:ascii="宋体" w:hAnsi="宋体" w:cs="宋体"/>
          <w:b/>
          <w:bCs/>
          <w:color w:val="auto"/>
          <w:szCs w:val="21"/>
        </w:rPr>
        <w:t>服务</w:t>
      </w:r>
      <w:r>
        <w:rPr>
          <w:rFonts w:hint="eastAsia" w:ascii="宋体" w:hAnsi="宋体" w:cs="宋体"/>
          <w:b/>
          <w:bCs/>
          <w:color w:val="auto"/>
          <w:w w:val="95"/>
          <w:szCs w:val="21"/>
        </w:rPr>
        <w:t>全部由符合政策要求的中小企业承接。</w:t>
      </w:r>
      <w:r>
        <w:rPr>
          <w:rFonts w:hint="eastAsia" w:ascii="宋体" w:hAnsi="宋体" w:cs="宋体"/>
          <w:color w:val="auto"/>
          <w:w w:val="95"/>
          <w:szCs w:val="21"/>
        </w:rPr>
        <w:t>相关企业（含联合</w:t>
      </w:r>
      <w:r>
        <w:rPr>
          <w:rFonts w:hint="eastAsia" w:ascii="宋体" w:hAnsi="宋体" w:cs="宋体"/>
          <w:color w:val="auto"/>
          <w:szCs w:val="21"/>
        </w:rPr>
        <w:t>体中的中小企业、签订分包意向协议的中小企业）的具体情况如下：</w:t>
      </w:r>
    </w:p>
    <w:p w14:paraId="28143D18">
      <w:pPr>
        <w:pStyle w:val="168"/>
        <w:tabs>
          <w:tab w:val="left" w:pos="1243"/>
        </w:tabs>
        <w:autoSpaceDE w:val="0"/>
        <w:autoSpaceDN w:val="0"/>
        <w:spacing w:line="360" w:lineRule="auto"/>
        <w:ind w:left="19" w:firstLine="480" w:firstLineChars="239"/>
        <w:rPr>
          <w:rFonts w:ascii="宋体" w:hAnsi="宋体" w:cs="宋体"/>
          <w:color w:val="auto"/>
          <w:szCs w:val="21"/>
        </w:rPr>
      </w:pPr>
      <w:r>
        <w:rPr>
          <w:rFonts w:hint="eastAsia" w:ascii="宋体" w:hAnsi="宋体" w:cs="宋体"/>
          <w:iCs/>
          <w:color w:val="auto"/>
          <w:w w:val="96"/>
          <w:szCs w:val="21"/>
        </w:rPr>
        <w:t>1.</w:t>
      </w:r>
      <w:r>
        <w:rPr>
          <w:rFonts w:hint="eastAsia" w:ascii="宋体" w:hAnsi="宋体" w:cs="宋体"/>
          <w:i/>
          <w:color w:val="auto"/>
          <w:w w:val="96"/>
          <w:szCs w:val="21"/>
          <w:u w:val="single"/>
        </w:rPr>
        <w:t>（标的名称）</w:t>
      </w:r>
      <w:r>
        <w:rPr>
          <w:rFonts w:hint="eastAsia" w:ascii="宋体" w:hAnsi="宋体" w:cs="宋体"/>
          <w:color w:val="auto"/>
          <w:w w:val="99"/>
          <w:szCs w:val="21"/>
        </w:rPr>
        <w:t>，属于</w:t>
      </w:r>
      <w:r>
        <w:rPr>
          <w:rFonts w:hint="eastAsia" w:ascii="宋体" w:hAnsi="宋体" w:cs="宋体"/>
          <w:i/>
          <w:color w:val="auto"/>
          <w:w w:val="96"/>
          <w:szCs w:val="21"/>
          <w:u w:val="single"/>
        </w:rPr>
        <w:t>（采购文件中明确的所属行业）</w:t>
      </w:r>
      <w:r>
        <w:rPr>
          <w:rFonts w:hint="eastAsia" w:ascii="宋体" w:hAnsi="宋体" w:cs="宋体"/>
          <w:color w:val="auto"/>
          <w:w w:val="99"/>
          <w:szCs w:val="21"/>
        </w:rPr>
        <w:t>：承建（承接）企业为</w:t>
      </w:r>
      <w:r>
        <w:rPr>
          <w:rFonts w:hint="eastAsia" w:ascii="宋体" w:hAnsi="宋体" w:cs="宋体"/>
          <w:i/>
          <w:color w:val="auto"/>
          <w:w w:val="96"/>
          <w:szCs w:val="21"/>
          <w:u w:val="single"/>
        </w:rPr>
        <w:t>（企业名称）</w:t>
      </w:r>
      <w:r>
        <w:rPr>
          <w:rFonts w:hint="eastAsia" w:ascii="宋体" w:hAnsi="宋体" w:cs="宋体"/>
          <w:color w:val="auto"/>
          <w:w w:val="99"/>
          <w:szCs w:val="21"/>
        </w:rPr>
        <w:t>，从业人员</w:t>
      </w:r>
      <w:r>
        <w:rPr>
          <w:rFonts w:hint="eastAsia" w:ascii="宋体" w:hAnsi="宋体" w:cs="宋体"/>
          <w:color w:val="auto"/>
          <w:w w:val="99"/>
          <w:szCs w:val="21"/>
          <w:u w:val="single"/>
        </w:rPr>
        <w:t xml:space="preserve"> </w:t>
      </w:r>
      <w:r>
        <w:rPr>
          <w:rFonts w:hint="eastAsia" w:ascii="宋体" w:hAnsi="宋体" w:cs="宋体"/>
          <w:color w:val="auto"/>
          <w:szCs w:val="21"/>
          <w:u w:val="single"/>
        </w:rPr>
        <w:tab/>
      </w:r>
      <w:r>
        <w:rPr>
          <w:rFonts w:hint="eastAsia" w:ascii="宋体" w:hAnsi="宋体" w:cs="宋体"/>
          <w:color w:val="auto"/>
          <w:szCs w:val="21"/>
          <w:u w:val="single"/>
        </w:rPr>
        <w:t xml:space="preserve"> </w:t>
      </w:r>
      <w:r>
        <w:rPr>
          <w:rFonts w:hint="eastAsia" w:ascii="宋体" w:hAnsi="宋体" w:cs="宋体"/>
          <w:color w:val="auto"/>
          <w:w w:val="99"/>
          <w:szCs w:val="21"/>
        </w:rPr>
        <w:t>人，营业</w:t>
      </w:r>
      <w:r>
        <w:rPr>
          <w:rFonts w:hint="eastAsia" w:ascii="宋体" w:hAnsi="宋体" w:cs="宋体"/>
          <w:color w:val="auto"/>
          <w:szCs w:val="21"/>
        </w:rPr>
        <w:t>收入为</w:t>
      </w:r>
      <w:r>
        <w:rPr>
          <w:rFonts w:hint="eastAsia" w:ascii="宋体" w:hAnsi="宋体" w:cs="宋体"/>
          <w:color w:val="auto"/>
          <w:szCs w:val="21"/>
          <w:u w:val="single"/>
        </w:rPr>
        <w:t xml:space="preserve"> </w:t>
      </w:r>
      <w:r>
        <w:rPr>
          <w:rFonts w:hint="eastAsia" w:ascii="宋体" w:hAnsi="宋体" w:cs="宋体"/>
          <w:color w:val="auto"/>
          <w:szCs w:val="21"/>
          <w:u w:val="single"/>
        </w:rPr>
        <w:tab/>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u w:val="single"/>
        </w:rPr>
        <w:tab/>
      </w:r>
      <w:r>
        <w:rPr>
          <w:rFonts w:hint="eastAsia" w:ascii="宋体" w:hAnsi="宋体" w:cs="宋体"/>
          <w:color w:val="auto"/>
          <w:szCs w:val="21"/>
        </w:rPr>
        <w:t>万元</w:t>
      </w:r>
      <w:r>
        <w:rPr>
          <w:color w:val="auto"/>
        </w:rPr>
        <w:fldChar w:fldCharType="begin"/>
      </w:r>
      <w:r>
        <w:rPr>
          <w:color w:val="auto"/>
        </w:rPr>
        <w:instrText xml:space="preserve"> HYPERLINK \l "_bookmark1" </w:instrText>
      </w:r>
      <w:r>
        <w:rPr>
          <w:color w:val="auto"/>
        </w:rPr>
        <w:fldChar w:fldCharType="separate"/>
      </w:r>
      <w:r>
        <w:rPr>
          <w:rFonts w:hint="eastAsia" w:ascii="宋体" w:hAnsi="宋体" w:cs="宋体"/>
          <w:color w:val="auto"/>
          <w:szCs w:val="21"/>
          <w:vertAlign w:val="superscript"/>
        </w:rPr>
        <w:t>1</w:t>
      </w:r>
      <w:r>
        <w:rPr>
          <w:rFonts w:hint="eastAsia" w:ascii="宋体" w:hAnsi="宋体" w:cs="宋体"/>
          <w:color w:val="auto"/>
          <w:szCs w:val="21"/>
          <w:vertAlign w:val="superscript"/>
        </w:rPr>
        <w:fldChar w:fldCharType="end"/>
      </w:r>
      <w:r>
        <w:rPr>
          <w:rFonts w:hint="eastAsia" w:ascii="宋体" w:hAnsi="宋体" w:cs="宋体"/>
          <w:color w:val="auto"/>
          <w:szCs w:val="21"/>
        </w:rPr>
        <w:t>，属于</w:t>
      </w:r>
      <w:r>
        <w:rPr>
          <w:rFonts w:hint="eastAsia" w:ascii="宋体" w:hAnsi="宋体" w:cs="宋体"/>
          <w:i/>
          <w:color w:val="auto"/>
          <w:szCs w:val="21"/>
          <w:u w:val="single"/>
        </w:rPr>
        <w:t>（中型企业、</w:t>
      </w:r>
      <w:r>
        <w:rPr>
          <w:rFonts w:hint="eastAsia" w:ascii="宋体" w:hAnsi="宋体" w:cs="宋体"/>
          <w:i/>
          <w:color w:val="auto"/>
          <w:w w:val="96"/>
          <w:szCs w:val="21"/>
          <w:u w:val="single"/>
        </w:rPr>
        <w:t>小型企业、微型企业）</w:t>
      </w:r>
      <w:r>
        <w:rPr>
          <w:rFonts w:hint="eastAsia" w:ascii="宋体" w:hAnsi="宋体" w:cs="宋体"/>
          <w:color w:val="auto"/>
          <w:w w:val="99"/>
          <w:szCs w:val="21"/>
        </w:rPr>
        <w:t>；</w:t>
      </w:r>
    </w:p>
    <w:p w14:paraId="7615B56F">
      <w:pPr>
        <w:pStyle w:val="20"/>
        <w:autoSpaceDE w:val="0"/>
        <w:autoSpaceDN w:val="0"/>
        <w:spacing w:before="11" w:after="0" w:line="360" w:lineRule="auto"/>
        <w:ind w:left="860"/>
        <w:rPr>
          <w:rFonts w:ascii="宋体" w:hAnsi="宋体" w:cs="宋体"/>
          <w:color w:val="auto"/>
          <w:szCs w:val="21"/>
        </w:rPr>
      </w:pPr>
      <w:r>
        <w:rPr>
          <w:rFonts w:hint="eastAsia" w:ascii="宋体" w:hAnsi="宋体" w:cs="宋体"/>
          <w:color w:val="auto"/>
          <w:szCs w:val="21"/>
        </w:rPr>
        <w:t>……</w:t>
      </w:r>
    </w:p>
    <w:p w14:paraId="14562244">
      <w:pPr>
        <w:pStyle w:val="20"/>
        <w:autoSpaceDE w:val="0"/>
        <w:autoSpaceDN w:val="0"/>
        <w:spacing w:before="108" w:after="0" w:line="360" w:lineRule="auto"/>
        <w:ind w:right="-54" w:firstLine="645"/>
        <w:rPr>
          <w:rFonts w:ascii="宋体" w:hAnsi="宋体" w:cs="宋体"/>
          <w:color w:val="auto"/>
          <w:szCs w:val="21"/>
        </w:rPr>
      </w:pPr>
      <w:r>
        <w:rPr>
          <w:rFonts w:hint="eastAsia" w:ascii="宋体" w:hAnsi="宋体" w:cs="宋体"/>
          <w:color w:val="auto"/>
          <w:szCs w:val="21"/>
        </w:rPr>
        <w:t>以上企业，不属于大企业的分支机构，不存在控股股东为大企业的情形，也不存在与大企业的负责人为同一人的情形。</w:t>
      </w:r>
    </w:p>
    <w:p w14:paraId="51881833">
      <w:pPr>
        <w:pStyle w:val="20"/>
        <w:autoSpaceDE w:val="0"/>
        <w:autoSpaceDN w:val="0"/>
        <w:spacing w:after="0" w:line="360" w:lineRule="auto"/>
        <w:ind w:right="-54" w:firstLine="640"/>
        <w:rPr>
          <w:rFonts w:ascii="宋体" w:hAnsi="宋体" w:cs="宋体"/>
          <w:color w:val="auto"/>
          <w:szCs w:val="21"/>
        </w:rPr>
      </w:pPr>
      <w:r>
        <w:rPr>
          <w:rFonts w:hint="eastAsia" w:ascii="宋体" w:hAnsi="宋体" w:cs="宋体"/>
          <w:color w:val="auto"/>
          <w:szCs w:val="21"/>
        </w:rPr>
        <w:t>本企业对上述声明内容的真实性负责。如有虚假，将依法承担相应责任。</w:t>
      </w:r>
    </w:p>
    <w:p w14:paraId="4D75FB05">
      <w:pPr>
        <w:pStyle w:val="27"/>
        <w:spacing w:line="360" w:lineRule="auto"/>
        <w:ind w:left="-27" w:firstLine="4796" w:firstLineChars="2275"/>
        <w:rPr>
          <w:rFonts w:hAnsi="宋体" w:cs="宋体"/>
          <w:b/>
          <w:bCs/>
          <w:color w:val="auto"/>
          <w:sz w:val="21"/>
          <w:szCs w:val="21"/>
        </w:rPr>
      </w:pPr>
    </w:p>
    <w:p w14:paraId="73EFA3A3">
      <w:pPr>
        <w:pStyle w:val="27"/>
        <w:spacing w:line="360" w:lineRule="auto"/>
        <w:ind w:left="-27" w:firstLine="4796" w:firstLineChars="2275"/>
        <w:rPr>
          <w:rFonts w:hAnsi="宋体" w:cs="宋体"/>
          <w:b/>
          <w:bCs/>
          <w:color w:val="auto"/>
          <w:sz w:val="21"/>
          <w:szCs w:val="21"/>
        </w:rPr>
      </w:pPr>
      <w:r>
        <w:rPr>
          <w:rFonts w:hint="eastAsia" w:hAnsi="宋体" w:cs="宋体"/>
          <w:b/>
          <w:bCs/>
          <w:color w:val="auto"/>
          <w:sz w:val="21"/>
          <w:szCs w:val="21"/>
        </w:rPr>
        <w:t xml:space="preserve">响应方（盖章）：            </w:t>
      </w:r>
    </w:p>
    <w:p w14:paraId="60882D0C">
      <w:pPr>
        <w:spacing w:line="480" w:lineRule="auto"/>
        <w:ind w:firstLine="4796" w:firstLineChars="2275"/>
        <w:rPr>
          <w:rFonts w:ascii="宋体" w:hAnsi="宋体" w:cs="宋体"/>
          <w:b/>
          <w:bCs/>
          <w:color w:val="auto"/>
          <w:szCs w:val="21"/>
          <w:u w:val="single"/>
        </w:rPr>
      </w:pPr>
      <w:r>
        <w:rPr>
          <w:rFonts w:hint="eastAsia" w:hAnsi="宋体" w:cs="宋体"/>
          <w:b/>
          <w:bCs/>
          <w:color w:val="auto"/>
          <w:szCs w:val="21"/>
        </w:rPr>
        <w:t>授权代表</w:t>
      </w:r>
      <w:r>
        <w:rPr>
          <w:rFonts w:hint="eastAsia" w:ascii="宋体" w:hAnsi="宋体" w:cs="宋体"/>
          <w:b/>
          <w:bCs/>
          <w:color w:val="auto"/>
          <w:szCs w:val="21"/>
        </w:rPr>
        <w:t>（签字</w:t>
      </w:r>
      <w:r>
        <w:rPr>
          <w:rFonts w:hint="eastAsia" w:ascii="宋体" w:hAnsi="宋体" w:cs="宋体"/>
          <w:b/>
          <w:bCs/>
          <w:color w:val="auto"/>
          <w:szCs w:val="21"/>
          <w:lang w:val="en-US" w:eastAsia="zh-CN"/>
        </w:rPr>
        <w:t>或法人代表章</w:t>
      </w:r>
      <w:r>
        <w:rPr>
          <w:rFonts w:hint="eastAsia" w:ascii="宋体" w:hAnsi="宋体" w:cs="宋体"/>
          <w:b/>
          <w:bCs/>
          <w:color w:val="auto"/>
          <w:szCs w:val="21"/>
        </w:rPr>
        <w:t>）：</w:t>
      </w:r>
      <w:r>
        <w:rPr>
          <w:rFonts w:hint="eastAsia" w:ascii="宋体" w:hAnsi="宋体" w:cs="宋体"/>
          <w:b/>
          <w:bCs/>
          <w:color w:val="auto"/>
          <w:szCs w:val="21"/>
          <w:u w:val="single"/>
        </w:rPr>
        <w:t xml:space="preserve">                 </w:t>
      </w:r>
    </w:p>
    <w:p w14:paraId="3E7182A5">
      <w:pPr>
        <w:pStyle w:val="27"/>
        <w:spacing w:line="420" w:lineRule="exact"/>
        <w:ind w:left="-27" w:firstLine="4777" w:firstLineChars="2275"/>
        <w:rPr>
          <w:rFonts w:hAnsi="宋体" w:cs="宋体"/>
          <w:color w:val="auto"/>
          <w:sz w:val="21"/>
          <w:szCs w:val="21"/>
        </w:rPr>
      </w:pPr>
      <w:r>
        <w:rPr>
          <w:rFonts w:hint="eastAsia" w:hAnsi="宋体" w:cs="宋体"/>
          <w:color w:val="auto"/>
          <w:sz w:val="21"/>
          <w:szCs w:val="21"/>
        </w:rPr>
        <w:t>日期：      年   月   日</w:t>
      </w:r>
    </w:p>
    <w:p w14:paraId="6E0FDC0D">
      <w:pPr>
        <w:autoSpaceDE w:val="0"/>
        <w:autoSpaceDN w:val="0"/>
        <w:spacing w:line="360" w:lineRule="auto"/>
        <w:rPr>
          <w:color w:val="auto"/>
          <w:szCs w:val="21"/>
          <w:highlight w:val="green"/>
        </w:rPr>
      </w:pPr>
    </w:p>
    <w:p w14:paraId="7020795D">
      <w:pPr>
        <w:adjustRightInd w:val="0"/>
        <w:snapToGrid w:val="0"/>
        <w:spacing w:line="320" w:lineRule="exact"/>
        <w:rPr>
          <w:rFonts w:ascii="宋体" w:hAnsi="宋体" w:cs="宋体"/>
          <w:b/>
          <w:color w:val="auto"/>
          <w:szCs w:val="21"/>
        </w:rPr>
      </w:pPr>
      <w:r>
        <w:rPr>
          <w:rFonts w:hint="eastAsia" w:ascii="宋体" w:hAnsi="宋体" w:cs="宋体"/>
          <w:b/>
          <w:color w:val="auto"/>
          <w:szCs w:val="21"/>
        </w:rPr>
        <w:t>说明：</w:t>
      </w:r>
    </w:p>
    <w:p w14:paraId="45FFA6AB">
      <w:pPr>
        <w:pStyle w:val="20"/>
        <w:rPr>
          <w:b/>
          <w:bCs/>
          <w:color w:val="auto"/>
        </w:rPr>
      </w:pPr>
      <w:r>
        <w:rPr>
          <w:rFonts w:hint="eastAsia"/>
          <w:b/>
          <w:bCs/>
          <w:color w:val="auto"/>
        </w:rPr>
        <w:t>1.从业人员、营业收入、资产总额填报上一年度数据，无上一年度数据的新成立企业可不填报。</w:t>
      </w:r>
    </w:p>
    <w:p w14:paraId="1D4EE10E">
      <w:pPr>
        <w:pStyle w:val="20"/>
        <w:rPr>
          <w:b/>
          <w:bCs/>
          <w:color w:val="auto"/>
        </w:rPr>
      </w:pPr>
      <w:r>
        <w:rPr>
          <w:rFonts w:hint="eastAsia"/>
          <w:b/>
          <w:bCs/>
          <w:color w:val="auto"/>
        </w:rPr>
        <w:t>2.本项目所属行业见前附表。</w:t>
      </w:r>
    </w:p>
    <w:p w14:paraId="39E58B16">
      <w:pPr>
        <w:pStyle w:val="20"/>
        <w:rPr>
          <w:b/>
          <w:bCs/>
          <w:color w:val="auto"/>
        </w:rPr>
      </w:pPr>
      <w:r>
        <w:rPr>
          <w:rFonts w:hint="eastAsia"/>
          <w:b/>
          <w:bCs/>
          <w:color w:val="auto"/>
        </w:rPr>
        <w:t>3.中小企业划型标准规定（工信部联企业[2011]300号）附后。</w:t>
      </w:r>
    </w:p>
    <w:p w14:paraId="265318C5">
      <w:pPr>
        <w:pStyle w:val="20"/>
        <w:rPr>
          <w:b/>
          <w:bCs/>
          <w:color w:val="auto"/>
        </w:rPr>
      </w:pPr>
      <w:r>
        <w:rPr>
          <w:rFonts w:hint="eastAsia"/>
          <w:b/>
          <w:bCs/>
          <w:color w:val="auto"/>
        </w:rPr>
        <w:t>4.《中小企业声明函》格式不得擅自调整，格式中划横线的部分需要各投标人按实际情况如实填写，括号中的内容是对拟填写内容的说明。</w:t>
      </w:r>
    </w:p>
    <w:p w14:paraId="40F0F87F">
      <w:pPr>
        <w:pStyle w:val="20"/>
        <w:rPr>
          <w:b/>
          <w:bCs/>
          <w:color w:val="auto"/>
        </w:rPr>
      </w:pPr>
      <w:r>
        <w:rPr>
          <w:rFonts w:hint="eastAsia"/>
          <w:b/>
          <w:bCs/>
          <w:color w:val="auto"/>
        </w:rPr>
        <w:t>5.《中小企业声明函》填写不全的，视为未提供《中小企业声明函》（从业人员、营业收入、资产总额在中小企业划型标准规定中不涉及的除外），不享受中小企业扶持政策。如项目包含“多件”标的物的，需按标的物项数逐项填写。</w:t>
      </w:r>
    </w:p>
    <w:p w14:paraId="6BD44E9B">
      <w:pPr>
        <w:pStyle w:val="20"/>
        <w:rPr>
          <w:b/>
          <w:bCs/>
          <w:color w:val="auto"/>
        </w:rPr>
      </w:pPr>
      <w:r>
        <w:rPr>
          <w:rFonts w:hint="eastAsia"/>
          <w:b/>
          <w:bCs/>
          <w:color w:val="auto"/>
        </w:rPr>
        <w:t>6</w:t>
      </w:r>
      <w:r>
        <w:rPr>
          <w:rFonts w:hint="eastAsia" w:ascii="宋体" w:hAnsi="宋体" w:cs="宋体"/>
          <w:b/>
          <w:color w:val="auto"/>
          <w:szCs w:val="21"/>
        </w:rPr>
        <w:t>.</w:t>
      </w:r>
      <w:r>
        <w:rPr>
          <w:rFonts w:hint="eastAsia"/>
          <w:b/>
          <w:bCs/>
          <w:color w:val="auto"/>
        </w:rPr>
        <w:t>投标人提供《中小企业声明函》内容不实的，属于提供虚假材料谋取中标、成交，依照《中华人民共和国政府采购法》等国家有关规定追究相应责任。</w:t>
      </w:r>
    </w:p>
    <w:p w14:paraId="28518099">
      <w:pPr>
        <w:pStyle w:val="20"/>
        <w:rPr>
          <w:b/>
          <w:bCs/>
          <w:color w:val="auto"/>
        </w:rPr>
        <w:sectPr>
          <w:footerReference r:id="rId5" w:type="default"/>
          <w:pgSz w:w="11907" w:h="16840"/>
          <w:pgMar w:top="1134" w:right="1247" w:bottom="1247" w:left="1247" w:header="567" w:footer="794" w:gutter="0"/>
          <w:cols w:space="720" w:num="1"/>
        </w:sectPr>
      </w:pPr>
      <w:r>
        <w:rPr>
          <w:rFonts w:hint="eastAsia"/>
          <w:b/>
          <w:bCs/>
          <w:color w:val="auto"/>
        </w:rPr>
        <w:t>7.本项目仅以《中小企业声明函》作为评判投标人是否属于中小企业的唯一依据。</w:t>
      </w:r>
    </w:p>
    <w:p w14:paraId="3E5B5045">
      <w:pPr>
        <w:pStyle w:val="27"/>
        <w:spacing w:before="120" w:after="120" w:line="360" w:lineRule="auto"/>
        <w:ind w:left="-27" w:firstLine="422"/>
        <w:rPr>
          <w:rFonts w:ascii="Times New Roman" w:hAnsi="Times New Roman"/>
          <w:b/>
          <w:color w:val="auto"/>
        </w:rPr>
      </w:pPr>
      <w:r>
        <w:rPr>
          <w:color w:val="auto"/>
        </w:rPr>
        <w:drawing>
          <wp:inline distT="0" distB="0" distL="114300" distR="114300">
            <wp:extent cx="8671560" cy="5244465"/>
            <wp:effectExtent l="0" t="0" r="15240"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8671560" cy="5244465"/>
                    </a:xfrm>
                    <a:prstGeom prst="rect">
                      <a:avLst/>
                    </a:prstGeom>
                    <a:noFill/>
                    <a:ln>
                      <a:noFill/>
                    </a:ln>
                  </pic:spPr>
                </pic:pic>
              </a:graphicData>
            </a:graphic>
          </wp:inline>
        </w:drawing>
      </w:r>
    </w:p>
    <w:p w14:paraId="04D8AC38">
      <w:pPr>
        <w:pStyle w:val="27"/>
        <w:spacing w:before="120" w:after="120" w:line="360" w:lineRule="auto"/>
        <w:ind w:left="-27" w:firstLine="424"/>
        <w:rPr>
          <w:rFonts w:ascii="Times New Roman" w:hAnsi="Times New Roman"/>
          <w:b/>
          <w:color w:val="auto"/>
        </w:rPr>
        <w:sectPr>
          <w:pgSz w:w="16840" w:h="11907" w:orient="landscape"/>
          <w:pgMar w:top="1247" w:right="1134" w:bottom="1247" w:left="1247" w:header="567" w:footer="794" w:gutter="0"/>
          <w:cols w:space="720" w:num="1"/>
        </w:sectPr>
      </w:pPr>
    </w:p>
    <w:p w14:paraId="636E2BCB">
      <w:pPr>
        <w:pStyle w:val="27"/>
        <w:spacing w:before="120" w:after="120" w:line="360" w:lineRule="auto"/>
        <w:ind w:left="-27" w:firstLine="565"/>
        <w:jc w:val="center"/>
        <w:outlineLvl w:val="1"/>
        <w:rPr>
          <w:rFonts w:ascii="Times New Roman" w:hAnsi="Times New Roman"/>
          <w:b/>
          <w:color w:val="auto"/>
          <w:sz w:val="32"/>
          <w:szCs w:val="32"/>
        </w:rPr>
      </w:pPr>
      <w:bookmarkStart w:id="576" w:name="_Toc29996_WPSOffice_Level2"/>
      <w:r>
        <w:rPr>
          <w:rFonts w:hint="eastAsia" w:ascii="Times New Roman" w:hAnsi="Times New Roman"/>
          <w:b/>
          <w:color w:val="auto"/>
          <w:sz w:val="32"/>
          <w:szCs w:val="32"/>
        </w:rPr>
        <w:t>监狱企业声明函</w:t>
      </w:r>
      <w:bookmarkEnd w:id="576"/>
    </w:p>
    <w:p w14:paraId="6BD045F2">
      <w:pPr>
        <w:pStyle w:val="27"/>
        <w:spacing w:before="120" w:after="120" w:line="360" w:lineRule="auto"/>
        <w:ind w:left="-27" w:firstLine="371"/>
        <w:jc w:val="center"/>
        <w:rPr>
          <w:rFonts w:ascii="Times New Roman" w:hAnsi="Times New Roman"/>
          <w:b/>
          <w:color w:val="auto"/>
          <w:sz w:val="21"/>
          <w:szCs w:val="21"/>
        </w:rPr>
      </w:pPr>
      <w:r>
        <w:rPr>
          <w:rFonts w:hint="eastAsia" w:ascii="Times New Roman" w:hAnsi="Times New Roman"/>
          <w:b/>
          <w:color w:val="auto"/>
          <w:sz w:val="21"/>
          <w:szCs w:val="21"/>
        </w:rPr>
        <w:t>【不属于监狱企业的无需填写、递交】</w:t>
      </w:r>
    </w:p>
    <w:p w14:paraId="6CC67F67">
      <w:pPr>
        <w:adjustRightInd w:val="0"/>
        <w:snapToGrid w:val="0"/>
        <w:spacing w:line="288" w:lineRule="auto"/>
        <w:ind w:firstLine="373" w:firstLineChars="177"/>
        <w:rPr>
          <w:b/>
          <w:bCs/>
          <w:color w:val="auto"/>
          <w:szCs w:val="21"/>
        </w:rPr>
      </w:pPr>
      <w:r>
        <w:rPr>
          <w:rFonts w:hint="eastAsia"/>
          <w:b/>
          <w:bCs/>
          <w:color w:val="auto"/>
          <w:szCs w:val="21"/>
        </w:rPr>
        <w:t>监狱企业参加政府采购活动时，应当提供由省级以上监狱管理局、戒毒管理局（含新疆生产建设兵团）出具的属于监狱企业的证明文件。</w:t>
      </w:r>
    </w:p>
    <w:p w14:paraId="17180CA3">
      <w:pPr>
        <w:adjustRightInd w:val="0"/>
        <w:snapToGrid w:val="0"/>
        <w:spacing w:line="288" w:lineRule="auto"/>
        <w:rPr>
          <w:color w:val="auto"/>
          <w:szCs w:val="21"/>
        </w:rPr>
      </w:pPr>
    </w:p>
    <w:p w14:paraId="176711D7">
      <w:pPr>
        <w:adjustRightInd w:val="0"/>
        <w:snapToGrid w:val="0"/>
        <w:spacing w:line="288" w:lineRule="auto"/>
        <w:rPr>
          <w:b/>
          <w:bCs/>
          <w:color w:val="auto"/>
          <w:szCs w:val="21"/>
        </w:rPr>
      </w:pPr>
      <w:r>
        <w:rPr>
          <w:rFonts w:hint="eastAsia"/>
          <w:b/>
          <w:bCs/>
          <w:color w:val="auto"/>
          <w:szCs w:val="21"/>
        </w:rPr>
        <w:t>说明：</w:t>
      </w:r>
    </w:p>
    <w:p w14:paraId="069BF939">
      <w:pPr>
        <w:widowControl/>
        <w:shd w:val="clear" w:color="auto" w:fill="FFFFFF"/>
        <w:adjustRightInd w:val="0"/>
        <w:snapToGrid w:val="0"/>
        <w:spacing w:line="288" w:lineRule="auto"/>
        <w:ind w:firstLine="371" w:firstLineChars="177"/>
        <w:jc w:val="left"/>
        <w:rPr>
          <w:color w:val="auto"/>
          <w:szCs w:val="21"/>
        </w:rPr>
      </w:pPr>
      <w:r>
        <w:rPr>
          <w:rFonts w:hint="eastAsia"/>
          <w:color w:val="auto"/>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23084EFF">
      <w:pPr>
        <w:widowControl/>
        <w:shd w:val="clear" w:color="auto" w:fill="FFFFFF"/>
        <w:adjustRightInd w:val="0"/>
        <w:snapToGrid w:val="0"/>
        <w:spacing w:line="288" w:lineRule="auto"/>
        <w:ind w:firstLine="371" w:firstLineChars="177"/>
        <w:jc w:val="left"/>
        <w:rPr>
          <w:color w:val="auto"/>
          <w:szCs w:val="21"/>
        </w:rPr>
      </w:pPr>
      <w:r>
        <w:rPr>
          <w:rFonts w:hint="eastAsia"/>
          <w:color w:val="auto"/>
          <w:szCs w:val="21"/>
        </w:rPr>
        <w:t>二、在政府采购活动中，监狱企业视同小型、微型企业，享受预留份额、评审中价格扣除等政府采购促进中小企业发展的政府采购政策。</w:t>
      </w:r>
    </w:p>
    <w:p w14:paraId="4929803F">
      <w:pPr>
        <w:widowControl/>
        <w:adjustRightInd w:val="0"/>
        <w:snapToGrid w:val="0"/>
        <w:spacing w:line="288" w:lineRule="auto"/>
        <w:jc w:val="left"/>
        <w:rPr>
          <w:b/>
          <w:color w:val="auto"/>
          <w:spacing w:val="-6"/>
          <w:szCs w:val="21"/>
        </w:rPr>
      </w:pPr>
      <w:r>
        <w:rPr>
          <w:b/>
          <w:color w:val="auto"/>
          <w:spacing w:val="-6"/>
          <w:szCs w:val="21"/>
        </w:rPr>
        <w:br w:type="page"/>
      </w:r>
    </w:p>
    <w:p w14:paraId="7E162583">
      <w:pPr>
        <w:pStyle w:val="27"/>
        <w:spacing w:before="120" w:after="120" w:line="360" w:lineRule="auto"/>
        <w:ind w:left="-27" w:firstLine="565"/>
        <w:jc w:val="center"/>
        <w:outlineLvl w:val="1"/>
        <w:rPr>
          <w:rFonts w:ascii="Times New Roman" w:hAnsi="Times New Roman"/>
          <w:b/>
          <w:color w:val="auto"/>
          <w:sz w:val="32"/>
          <w:szCs w:val="32"/>
        </w:rPr>
      </w:pPr>
      <w:bookmarkStart w:id="577" w:name="_Toc10590_WPSOffice_Level2"/>
      <w:r>
        <w:rPr>
          <w:rFonts w:hint="eastAsia" w:ascii="Times New Roman" w:hAnsi="Times New Roman"/>
          <w:b/>
          <w:color w:val="auto"/>
          <w:sz w:val="32"/>
          <w:szCs w:val="32"/>
        </w:rPr>
        <w:t>残疾人福利性单位声明函</w:t>
      </w:r>
      <w:bookmarkEnd w:id="577"/>
    </w:p>
    <w:p w14:paraId="368EB97A">
      <w:pPr>
        <w:pStyle w:val="27"/>
        <w:spacing w:before="120" w:after="120" w:line="360" w:lineRule="auto"/>
        <w:ind w:left="-27" w:firstLine="371"/>
        <w:jc w:val="center"/>
        <w:rPr>
          <w:rFonts w:ascii="Times New Roman" w:hAnsi="Times New Roman"/>
          <w:b/>
          <w:color w:val="auto"/>
          <w:sz w:val="21"/>
          <w:szCs w:val="21"/>
        </w:rPr>
      </w:pPr>
      <w:r>
        <w:rPr>
          <w:rFonts w:hint="eastAsia" w:ascii="Times New Roman" w:hAnsi="Times New Roman"/>
          <w:b/>
          <w:color w:val="auto"/>
          <w:sz w:val="21"/>
          <w:szCs w:val="21"/>
        </w:rPr>
        <w:t>【不属于残疾人福利性单位的无需填写、递交】</w:t>
      </w:r>
    </w:p>
    <w:p w14:paraId="77C499B4">
      <w:pPr>
        <w:spacing w:line="360" w:lineRule="auto"/>
        <w:ind w:firstLine="504" w:firstLineChars="200"/>
        <w:rPr>
          <w:rFonts w:hAnsi="宋体"/>
          <w:color w:val="auto"/>
          <w:spacing w:val="6"/>
          <w:sz w:val="24"/>
        </w:rPr>
      </w:pPr>
      <w:r>
        <w:rPr>
          <w:rFonts w:hint="eastAsia" w:hAnsi="宋体"/>
          <w:color w:val="auto"/>
          <w:spacing w:val="6"/>
          <w:sz w:val="24"/>
        </w:rPr>
        <w:t>本单位郑重声明，根据《财政部</w:t>
      </w:r>
      <w:r>
        <w:rPr>
          <w:color w:val="auto"/>
          <w:spacing w:val="6"/>
          <w:sz w:val="24"/>
        </w:rPr>
        <w:t xml:space="preserve"> </w:t>
      </w:r>
      <w:r>
        <w:rPr>
          <w:rFonts w:hint="eastAsia" w:hAnsi="宋体"/>
          <w:color w:val="auto"/>
          <w:spacing w:val="6"/>
          <w:sz w:val="24"/>
        </w:rPr>
        <w:t>民政部</w:t>
      </w:r>
      <w:r>
        <w:rPr>
          <w:color w:val="auto"/>
          <w:spacing w:val="6"/>
          <w:sz w:val="24"/>
        </w:rPr>
        <w:t xml:space="preserve"> </w:t>
      </w:r>
      <w:r>
        <w:rPr>
          <w:rFonts w:hint="eastAsia" w:hAnsi="宋体"/>
          <w:color w:val="auto"/>
          <w:spacing w:val="6"/>
          <w:sz w:val="24"/>
        </w:rPr>
        <w:t>中国残疾人联合会关于促进残疾人就业政府采购政策的通知》（财库</w:t>
      </w:r>
      <w:r>
        <w:rPr>
          <w:rFonts w:hint="eastAsia" w:hAnsi="宋体"/>
          <w:color w:val="auto"/>
          <w:sz w:val="24"/>
        </w:rPr>
        <w:t>〔</w:t>
      </w:r>
      <w:r>
        <w:rPr>
          <w:color w:val="auto"/>
          <w:sz w:val="24"/>
        </w:rPr>
        <w:t>2017</w:t>
      </w:r>
      <w:r>
        <w:rPr>
          <w:rFonts w:hint="eastAsia" w:hAnsi="宋体"/>
          <w:color w:val="auto"/>
          <w:sz w:val="24"/>
        </w:rPr>
        <w:t>〕</w:t>
      </w:r>
      <w:r>
        <w:rPr>
          <w:color w:val="auto"/>
          <w:sz w:val="24"/>
        </w:rPr>
        <w:t xml:space="preserve"> 141</w:t>
      </w:r>
      <w:r>
        <w:rPr>
          <w:rFonts w:hint="eastAsia" w:hAnsi="宋体"/>
          <w:color w:val="auto"/>
          <w:spacing w:val="6"/>
          <w:sz w:val="24"/>
        </w:rPr>
        <w:t>号）的规定，本单位为符合条件的残疾人福利性单位，且本单位参加</w:t>
      </w:r>
      <w:r>
        <w:rPr>
          <w:color w:val="auto"/>
          <w:spacing w:val="6"/>
          <w:sz w:val="24"/>
        </w:rPr>
        <w:t>______</w:t>
      </w:r>
      <w:r>
        <w:rPr>
          <w:rFonts w:hint="eastAsia" w:hAnsi="宋体"/>
          <w:color w:val="auto"/>
          <w:spacing w:val="6"/>
          <w:sz w:val="24"/>
        </w:rPr>
        <w:t>单位的</w:t>
      </w:r>
      <w:r>
        <w:rPr>
          <w:color w:val="auto"/>
          <w:spacing w:val="6"/>
          <w:sz w:val="24"/>
        </w:rPr>
        <w:t>______</w:t>
      </w:r>
      <w:r>
        <w:rPr>
          <w:rFonts w:hint="eastAsia" w:hAnsi="宋体"/>
          <w:color w:val="auto"/>
          <w:spacing w:val="6"/>
          <w:sz w:val="24"/>
        </w:rPr>
        <w:t>项目采购活动提供本单位制造的货物（由本单位承担工程</w:t>
      </w:r>
      <w:r>
        <w:rPr>
          <w:color w:val="auto"/>
          <w:spacing w:val="6"/>
          <w:sz w:val="24"/>
        </w:rPr>
        <w:t>/</w:t>
      </w:r>
      <w:r>
        <w:rPr>
          <w:rFonts w:hint="eastAsia" w:hAnsi="宋体"/>
          <w:color w:val="auto"/>
          <w:spacing w:val="6"/>
          <w:sz w:val="24"/>
        </w:rPr>
        <w:t>提供服务），或者提供其他残疾人福利性单位制造的货物（不包括使用非残疾人福利性单位注册商标的货物）。</w:t>
      </w:r>
    </w:p>
    <w:p w14:paraId="7D915CAB">
      <w:pPr>
        <w:spacing w:line="360" w:lineRule="auto"/>
        <w:ind w:firstLine="504" w:firstLineChars="200"/>
        <w:rPr>
          <w:color w:val="auto"/>
          <w:spacing w:val="6"/>
          <w:sz w:val="24"/>
        </w:rPr>
      </w:pPr>
    </w:p>
    <w:p w14:paraId="14FB3BDA">
      <w:pPr>
        <w:spacing w:line="360" w:lineRule="auto"/>
        <w:ind w:firstLine="504" w:firstLineChars="200"/>
        <w:rPr>
          <w:rFonts w:hAnsi="宋体"/>
          <w:color w:val="auto"/>
          <w:spacing w:val="6"/>
          <w:sz w:val="24"/>
        </w:rPr>
      </w:pPr>
      <w:r>
        <w:rPr>
          <w:rFonts w:hint="eastAsia" w:hAnsi="宋体"/>
          <w:color w:val="auto"/>
          <w:spacing w:val="6"/>
          <w:sz w:val="24"/>
        </w:rPr>
        <w:t>本单位对上述声明的真实性负责。如有虚假，将依法承担相应责任。</w:t>
      </w:r>
    </w:p>
    <w:p w14:paraId="5E9140EA">
      <w:pPr>
        <w:pStyle w:val="53"/>
        <w:rPr>
          <w:color w:val="auto"/>
        </w:rPr>
      </w:pPr>
    </w:p>
    <w:p w14:paraId="128DF9BE">
      <w:pPr>
        <w:pStyle w:val="27"/>
        <w:spacing w:line="360" w:lineRule="auto"/>
        <w:rPr>
          <w:rFonts w:hAnsi="宋体" w:cs="宋体"/>
          <w:b/>
          <w:bCs/>
          <w:color w:val="auto"/>
          <w:sz w:val="24"/>
        </w:rPr>
      </w:pPr>
      <w:r>
        <w:rPr>
          <w:rFonts w:hint="eastAsia" w:hAnsi="宋体" w:cs="宋体"/>
          <w:b/>
          <w:bCs/>
          <w:color w:val="auto"/>
          <w:sz w:val="24"/>
        </w:rPr>
        <w:t xml:space="preserve">响应方（盖章）：            </w:t>
      </w:r>
    </w:p>
    <w:p w14:paraId="5FA33181">
      <w:pPr>
        <w:spacing w:line="480" w:lineRule="auto"/>
        <w:rPr>
          <w:rFonts w:ascii="宋体" w:hAnsi="宋体" w:cs="宋体"/>
          <w:b/>
          <w:bCs/>
          <w:color w:val="auto"/>
          <w:sz w:val="24"/>
          <w:u w:val="single"/>
        </w:rPr>
      </w:pPr>
      <w:r>
        <w:rPr>
          <w:rFonts w:hint="eastAsia" w:hAnsi="宋体" w:cs="宋体"/>
          <w:b/>
          <w:bCs/>
          <w:color w:val="auto"/>
          <w:sz w:val="24"/>
        </w:rPr>
        <w:t>授权代表</w:t>
      </w:r>
      <w:r>
        <w:rPr>
          <w:rFonts w:hint="eastAsia" w:ascii="宋体" w:hAnsi="宋体" w:cs="宋体"/>
          <w:b/>
          <w:bCs/>
          <w:color w:val="auto"/>
          <w:sz w:val="24"/>
        </w:rPr>
        <w:t>（签字</w:t>
      </w:r>
      <w:r>
        <w:rPr>
          <w:rFonts w:hint="eastAsia" w:ascii="宋体" w:hAnsi="宋体" w:cs="宋体"/>
          <w:b/>
          <w:bCs/>
          <w:color w:val="auto"/>
          <w:sz w:val="24"/>
          <w:lang w:val="en-US" w:eastAsia="zh-CN"/>
        </w:rPr>
        <w:t>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30A6AA07">
      <w:pPr>
        <w:pStyle w:val="27"/>
        <w:spacing w:before="120" w:beforeLines="50" w:after="120" w:afterLines="50"/>
        <w:ind w:left="-27" w:firstLine="422"/>
        <w:rPr>
          <w:rFonts w:ascii="Times New Roman" w:hAnsi="宋体"/>
          <w:color w:val="auto"/>
          <w:sz w:val="24"/>
        </w:rPr>
      </w:pPr>
      <w:r>
        <w:rPr>
          <w:rFonts w:hint="eastAsia" w:hAnsi="宋体" w:cs="宋体"/>
          <w:color w:val="auto"/>
          <w:sz w:val="24"/>
        </w:rPr>
        <w:t>日期：      年   月   日</w:t>
      </w:r>
    </w:p>
    <w:p w14:paraId="076DF47D">
      <w:pPr>
        <w:adjustRightInd w:val="0"/>
        <w:snapToGrid w:val="0"/>
        <w:spacing w:line="288" w:lineRule="auto"/>
        <w:rPr>
          <w:rFonts w:ascii="宋体" w:hAnsi="宋体"/>
          <w:b/>
          <w:bCs/>
          <w:color w:val="auto"/>
          <w:szCs w:val="21"/>
        </w:rPr>
      </w:pPr>
    </w:p>
    <w:p w14:paraId="0A9B28FF">
      <w:pPr>
        <w:adjustRightInd w:val="0"/>
        <w:snapToGrid w:val="0"/>
        <w:spacing w:line="288" w:lineRule="auto"/>
        <w:rPr>
          <w:rFonts w:ascii="宋体" w:hAnsi="宋体"/>
          <w:b/>
          <w:bCs/>
          <w:color w:val="auto"/>
          <w:szCs w:val="21"/>
        </w:rPr>
      </w:pPr>
      <w:r>
        <w:rPr>
          <w:rFonts w:hint="eastAsia" w:ascii="宋体" w:hAnsi="宋体"/>
          <w:b/>
          <w:bCs/>
          <w:color w:val="auto"/>
          <w:szCs w:val="21"/>
        </w:rPr>
        <w:t>说明：</w:t>
      </w:r>
    </w:p>
    <w:p w14:paraId="0DAAADE1">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一、享受政府采购支持政策的残疾人福利性单位应当同时满足以下条件：</w:t>
      </w:r>
    </w:p>
    <w:p w14:paraId="2FF877AA">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（一）安置的残疾人占本单位在职职工人数的比例不低于25%（含25%），并且安置的残疾人人数不少于10人（含10人）；</w:t>
      </w:r>
    </w:p>
    <w:p w14:paraId="2E544381">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（二）依法与安置的每位残疾人签订了一年以上（含一年）的劳动合同或服务协议；</w:t>
      </w:r>
    </w:p>
    <w:p w14:paraId="067BA23D">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（三）为安置的每位残疾人按月足额缴纳了基本养老保险、基本医疗保险、失业保险、工伤保险和生育保险等社会保险费；</w:t>
      </w:r>
    </w:p>
    <w:p w14:paraId="51162388">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（四）通过银行等金融机构向安置的每位残疾人，按月支付了不低于单位所在区县适用的经省级人民政府批准的月最低工资标准的工资；</w:t>
      </w:r>
    </w:p>
    <w:p w14:paraId="70E9FEE2">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（五）提供本单位制造的货物、承担的工程或者服务（以下简称产品），或者提供其他残疾人福利性单位制造的货物（不包括使用非残疾人福利性单位注册商标的货物）。</w:t>
      </w:r>
    </w:p>
    <w:p w14:paraId="3FFB7AF8">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18C3C8D">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二、符合条件的残疾人福利性单位在参加政府采购活动时，应当提供财库</w:t>
      </w:r>
      <w:r>
        <w:rPr>
          <w:color w:val="auto"/>
          <w:sz w:val="21"/>
          <w:szCs w:val="21"/>
        </w:rPr>
        <w:t>[2017]141号</w:t>
      </w:r>
      <w:r>
        <w:rPr>
          <w:rFonts w:hint="eastAsia"/>
          <w:color w:val="auto"/>
          <w:sz w:val="21"/>
          <w:szCs w:val="21"/>
        </w:rPr>
        <w:t>文件规定的《残疾人福利性单位声明函》，并对声明的真实性负责。</w:t>
      </w:r>
    </w:p>
    <w:p w14:paraId="3A9C6DB4">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三、在政府采购活动中，残疾人福利性单位视同小型、微型企业，享受预留份额、评审中价格扣除等促进中小企业发展的政府采购政策。</w:t>
      </w:r>
    </w:p>
    <w:p w14:paraId="2FD9A304">
      <w:pPr>
        <w:pStyle w:val="42"/>
        <w:shd w:val="clear" w:color="auto" w:fill="FFFFFF"/>
        <w:adjustRightInd w:val="0"/>
        <w:snapToGrid w:val="0"/>
        <w:spacing w:before="0" w:beforeAutospacing="0" w:after="0" w:afterAutospacing="0" w:line="288" w:lineRule="auto"/>
        <w:ind w:firstLine="371" w:firstLineChars="177"/>
        <w:rPr>
          <w:color w:val="auto"/>
          <w:sz w:val="21"/>
          <w:szCs w:val="21"/>
        </w:rPr>
      </w:pPr>
      <w:r>
        <w:rPr>
          <w:rFonts w:hint="eastAsia"/>
          <w:color w:val="auto"/>
          <w:sz w:val="21"/>
          <w:szCs w:val="21"/>
        </w:rPr>
        <w:t>残疾人福利性单位属于小型、微型企业的，不重复享受政策。</w:t>
      </w:r>
    </w:p>
    <w:p w14:paraId="3524FB65">
      <w:pPr>
        <w:numPr>
          <w:ilvl w:val="0"/>
          <w:numId w:val="0"/>
        </w:numPr>
        <w:rPr>
          <w:color w:val="auto"/>
        </w:rPr>
      </w:pPr>
    </w:p>
    <w:p w14:paraId="1EC5FBBC">
      <w:pPr>
        <w:pStyle w:val="6"/>
        <w:ind w:left="0" w:firstLine="0"/>
        <w:jc w:val="left"/>
        <w:outlineLvl w:val="9"/>
        <w:rPr>
          <w:rFonts w:hint="eastAsia"/>
          <w:color w:val="auto"/>
        </w:rPr>
      </w:pPr>
    </w:p>
    <w:p w14:paraId="76428015">
      <w:pPr>
        <w:rPr>
          <w:rFonts w:hint="eastAsia"/>
          <w:color w:val="auto"/>
        </w:rPr>
      </w:pPr>
      <w:r>
        <w:rPr>
          <w:rFonts w:hint="eastAsia"/>
          <w:color w:val="auto"/>
        </w:rPr>
        <w:br w:type="page"/>
      </w:r>
    </w:p>
    <w:p w14:paraId="4EEF0685">
      <w:pPr>
        <w:pStyle w:val="6"/>
        <w:ind w:left="0" w:firstLine="0"/>
        <w:jc w:val="left"/>
        <w:outlineLvl w:val="9"/>
        <w:rPr>
          <w:rFonts w:hint="eastAsia"/>
          <w:color w:val="auto"/>
          <w:sz w:val="24"/>
          <w:szCs w:val="24"/>
        </w:rPr>
      </w:pPr>
      <w:bookmarkStart w:id="578" w:name="_Toc5576"/>
      <w:bookmarkStart w:id="579" w:name="_Toc2755_WPSOffice_Level2"/>
      <w:r>
        <w:rPr>
          <w:rFonts w:hint="eastAsia"/>
          <w:color w:val="auto"/>
          <w:lang w:val="en-US" w:eastAsia="zh-CN"/>
        </w:rPr>
        <w:t>4）</w:t>
      </w:r>
      <w:r>
        <w:rPr>
          <w:rFonts w:hint="eastAsia"/>
          <w:color w:val="auto"/>
        </w:rPr>
        <w:t>本项目的特定资格要求证明材料：</w:t>
      </w:r>
      <w:r>
        <w:rPr>
          <w:rFonts w:hint="eastAsia"/>
          <w:color w:val="auto"/>
          <w:sz w:val="24"/>
          <w:szCs w:val="24"/>
        </w:rPr>
        <w:t>杭州市卫生主管部门的浙江省病媒生物预防控制服务单位备案证明</w:t>
      </w:r>
      <w:bookmarkEnd w:id="578"/>
      <w:bookmarkEnd w:id="579"/>
    </w:p>
    <w:p w14:paraId="7CC713C1">
      <w:pPr>
        <w:rPr>
          <w:color w:val="auto"/>
        </w:rPr>
      </w:pPr>
    </w:p>
    <w:p w14:paraId="4F4E7ACA">
      <w:pPr>
        <w:pStyle w:val="2"/>
        <w:rPr>
          <w:color w:val="auto"/>
        </w:rPr>
      </w:pPr>
    </w:p>
    <w:p w14:paraId="548F70FD">
      <w:pPr>
        <w:snapToGrid w:val="0"/>
        <w:spacing w:line="360" w:lineRule="auto"/>
        <w:jc w:val="center"/>
        <w:rPr>
          <w:rFonts w:hint="eastAsia"/>
          <w:b/>
          <w:bCs/>
          <w:color w:val="auto"/>
          <w:sz w:val="32"/>
          <w:szCs w:val="32"/>
        </w:rPr>
      </w:pPr>
      <w:bookmarkStart w:id="580" w:name="_Toc21206_WPSOffice_Level1"/>
      <w:bookmarkStart w:id="581" w:name="_Toc27070_WPSOffice_Level1"/>
      <w:r>
        <w:rPr>
          <w:rFonts w:hint="eastAsia"/>
          <w:b/>
          <w:bCs/>
          <w:color w:val="auto"/>
          <w:sz w:val="32"/>
          <w:szCs w:val="32"/>
        </w:rPr>
        <w:t>杭州市卫生主管部门的浙江省病媒生物预防控制服务单位备案证明</w:t>
      </w:r>
      <w:bookmarkEnd w:id="580"/>
      <w:bookmarkEnd w:id="581"/>
    </w:p>
    <w:p w14:paraId="41CF52DC">
      <w:pPr>
        <w:snapToGrid w:val="0"/>
        <w:spacing w:line="360" w:lineRule="auto"/>
        <w:jc w:val="center"/>
        <w:rPr>
          <w:rFonts w:ascii="宋体" w:hAnsi="宋体" w:cs="宋体"/>
          <w:color w:val="auto"/>
          <w:sz w:val="24"/>
        </w:rPr>
      </w:pPr>
      <w:bookmarkStart w:id="582" w:name="_Toc4269_WPSOffice_Level1"/>
      <w:bookmarkStart w:id="583" w:name="_Toc25766_WPSOffice_Level1"/>
      <w:bookmarkStart w:id="584" w:name="_Toc28764_WPSOffice_Level1"/>
      <w:r>
        <w:rPr>
          <w:rFonts w:hint="eastAsia"/>
          <w:b/>
          <w:bCs/>
          <w:color w:val="auto"/>
          <w:sz w:val="32"/>
          <w:szCs w:val="32"/>
          <w:lang w:eastAsia="zh-CN"/>
        </w:rPr>
        <w:t>（</w:t>
      </w:r>
      <w:r>
        <w:rPr>
          <w:rFonts w:hint="eastAsia"/>
          <w:b/>
          <w:bCs/>
          <w:color w:val="auto"/>
          <w:sz w:val="32"/>
          <w:szCs w:val="32"/>
          <w:lang w:val="en-US" w:eastAsia="zh-CN"/>
        </w:rPr>
        <w:t>复印件加盖公章）</w:t>
      </w:r>
      <w:bookmarkEnd w:id="582"/>
      <w:bookmarkEnd w:id="583"/>
      <w:bookmarkEnd w:id="584"/>
      <w:r>
        <w:rPr>
          <w:rFonts w:hint="eastAsia" w:ascii="宋体" w:hAnsi="宋体" w:cs="宋体"/>
          <w:color w:val="auto"/>
          <w:sz w:val="24"/>
        </w:rPr>
        <w:br w:type="page"/>
      </w:r>
    </w:p>
    <w:p w14:paraId="49A054F2">
      <w:pPr>
        <w:adjustRightInd w:val="0"/>
        <w:snapToGrid w:val="0"/>
        <w:spacing w:line="288" w:lineRule="auto"/>
        <w:jc w:val="center"/>
        <w:outlineLvl w:val="0"/>
        <w:rPr>
          <w:b/>
          <w:bCs/>
          <w:color w:val="auto"/>
          <w:sz w:val="84"/>
          <w:szCs w:val="84"/>
        </w:rPr>
      </w:pPr>
      <w:bookmarkStart w:id="585" w:name="_Toc8812_WPSOffice_Level1"/>
      <w:bookmarkStart w:id="586" w:name="_Toc19611_WPSOffice_Level1"/>
      <w:r>
        <w:rPr>
          <w:rFonts w:hint="eastAsia"/>
          <w:b/>
          <w:bCs/>
          <w:color w:val="auto"/>
          <w:sz w:val="84"/>
          <w:szCs w:val="84"/>
        </w:rPr>
        <w:t>报价文件</w:t>
      </w:r>
      <w:bookmarkEnd w:id="585"/>
      <w:bookmarkEnd w:id="586"/>
    </w:p>
    <w:p w14:paraId="3E0B650A">
      <w:pPr>
        <w:pStyle w:val="5"/>
        <w:bidi w:val="0"/>
        <w:rPr>
          <w:rFonts w:hint="default"/>
          <w:color w:val="auto"/>
          <w:lang w:val="en-US" w:eastAsia="zh-CN"/>
        </w:rPr>
      </w:pPr>
      <w:bookmarkStart w:id="587" w:name="_Toc18911"/>
      <w:bookmarkStart w:id="588" w:name="_Toc2957_WPSOffice_Level1"/>
      <w:bookmarkStart w:id="589" w:name="_Toc23109_WPSOffice_Level1"/>
      <w:bookmarkStart w:id="590" w:name="_Toc20907"/>
      <w:bookmarkStart w:id="591" w:name="_Toc16624"/>
      <w:bookmarkStart w:id="592" w:name="_Toc28619"/>
      <w:bookmarkStart w:id="593" w:name="_Toc28695"/>
      <w:bookmarkStart w:id="594" w:name="_Toc15307"/>
      <w:bookmarkStart w:id="595" w:name="_Toc23539"/>
      <w:bookmarkStart w:id="596" w:name="_Toc19949"/>
      <w:bookmarkStart w:id="597" w:name="_Toc19897"/>
      <w:bookmarkStart w:id="598" w:name="_Toc27484"/>
      <w:bookmarkStart w:id="599" w:name="_Toc3471"/>
      <w:bookmarkStart w:id="600" w:name="_Toc24403"/>
      <w:bookmarkStart w:id="601" w:name="_Toc14186"/>
      <w:bookmarkStart w:id="602" w:name="_Toc13470"/>
      <w:bookmarkStart w:id="603" w:name="_Toc25012"/>
      <w:bookmarkStart w:id="604" w:name="_Toc32416"/>
      <w:bookmarkStart w:id="605" w:name="_Toc24738"/>
      <w:bookmarkStart w:id="606" w:name="_Toc22542"/>
      <w:bookmarkStart w:id="607" w:name="_Toc25971"/>
      <w:bookmarkStart w:id="608" w:name="_Toc23089"/>
      <w:bookmarkStart w:id="609" w:name="_Toc10749"/>
      <w:bookmarkStart w:id="610" w:name="_Toc18705"/>
      <w:bookmarkStart w:id="611" w:name="_Toc4455"/>
      <w:bookmarkStart w:id="612" w:name="_Toc11579"/>
      <w:bookmarkStart w:id="613" w:name="_Toc6771"/>
      <w:bookmarkStart w:id="614" w:name="_Toc14637"/>
      <w:bookmarkStart w:id="615" w:name="_Toc25418"/>
      <w:bookmarkStart w:id="616" w:name="_Toc19268"/>
      <w:bookmarkStart w:id="617" w:name="_Toc12332"/>
      <w:bookmarkStart w:id="618" w:name="_Toc25718"/>
      <w:bookmarkStart w:id="619" w:name="_Toc2198"/>
      <w:bookmarkStart w:id="620" w:name="_Toc16736"/>
      <w:bookmarkStart w:id="621" w:name="_Toc13060"/>
      <w:bookmarkStart w:id="622" w:name="_Toc24678"/>
      <w:bookmarkStart w:id="623" w:name="_Toc5206"/>
      <w:bookmarkStart w:id="624" w:name="_Toc23410"/>
      <w:r>
        <w:rPr>
          <w:rFonts w:hint="eastAsia"/>
          <w:color w:val="auto"/>
          <w:lang w:val="en-US" w:eastAsia="zh-CN"/>
        </w:rPr>
        <w:t>报价文件</w:t>
      </w:r>
      <w:bookmarkEnd w:id="587"/>
    </w:p>
    <w:p w14:paraId="331A5038">
      <w:pPr>
        <w:pStyle w:val="6"/>
        <w:ind w:left="0" w:firstLine="0"/>
        <w:outlineLvl w:val="0"/>
        <w:rPr>
          <w:color w:val="auto"/>
        </w:rPr>
      </w:pPr>
      <w:bookmarkStart w:id="625" w:name="_Toc15891"/>
      <w:r>
        <w:rPr>
          <w:rFonts w:hint="eastAsia"/>
          <w:color w:val="auto"/>
        </w:rPr>
        <w:t>（1）初次报价一览表</w:t>
      </w:r>
      <w:bookmarkEnd w:id="588"/>
      <w:bookmarkEnd w:id="589"/>
      <w:bookmarkEnd w:id="625"/>
    </w:p>
    <w:p w14:paraId="03925A08">
      <w:pPr>
        <w:pStyle w:val="6"/>
        <w:tabs>
          <w:tab w:val="left" w:pos="0"/>
          <w:tab w:val="clear" w:pos="1275"/>
        </w:tabs>
        <w:ind w:left="15" w:hanging="15"/>
        <w:outlineLvl w:val="9"/>
        <w:rPr>
          <w:rFonts w:ascii="黑体" w:hAnsi="黑体" w:eastAsia="黑体" w:cs="黑体"/>
          <w:color w:val="auto"/>
          <w:szCs w:val="28"/>
        </w:rPr>
      </w:pPr>
    </w:p>
    <w:p w14:paraId="0BC7C88B">
      <w:pPr>
        <w:jc w:val="center"/>
        <w:outlineLvl w:val="1"/>
        <w:rPr>
          <w:b/>
          <w:bCs/>
          <w:color w:val="auto"/>
          <w:sz w:val="32"/>
          <w:szCs w:val="32"/>
        </w:rPr>
      </w:pPr>
      <w:bookmarkStart w:id="626" w:name="_Toc19669_WPSOffice_Level2"/>
      <w:r>
        <w:rPr>
          <w:rFonts w:hint="eastAsia"/>
          <w:b/>
          <w:bCs/>
          <w:color w:val="auto"/>
          <w:sz w:val="32"/>
          <w:szCs w:val="32"/>
        </w:rPr>
        <w:t>初次报价一览表</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26"/>
    </w:p>
    <w:p w14:paraId="4CC6E103">
      <w:pPr>
        <w:spacing w:line="460" w:lineRule="exact"/>
        <w:rPr>
          <w:color w:val="auto"/>
          <w:sz w:val="24"/>
        </w:rPr>
      </w:pPr>
      <w:r>
        <w:rPr>
          <w:rFonts w:hint="eastAsia"/>
          <w:color w:val="auto"/>
          <w:sz w:val="24"/>
        </w:rPr>
        <w:t>项目名称：</w:t>
      </w:r>
    </w:p>
    <w:p w14:paraId="116B842E">
      <w:pPr>
        <w:spacing w:line="460" w:lineRule="exact"/>
        <w:rPr>
          <w:color w:val="auto"/>
          <w:sz w:val="24"/>
        </w:rPr>
      </w:pPr>
      <w:r>
        <w:rPr>
          <w:rFonts w:hint="eastAsia"/>
          <w:color w:val="auto"/>
          <w:sz w:val="24"/>
        </w:rPr>
        <w:t>项目编号：</w:t>
      </w:r>
    </w:p>
    <w:p w14:paraId="179A4027">
      <w:pPr>
        <w:rPr>
          <w:color w:val="auto"/>
        </w:rPr>
      </w:pPr>
    </w:p>
    <w:tbl>
      <w:tblPr>
        <w:tblStyle w:val="45"/>
        <w:tblW w:w="9640" w:type="dxa"/>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40"/>
      </w:tblGrid>
      <w:tr w14:paraId="2A1A5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9640" w:type="dxa"/>
            <w:tcBorders>
              <w:top w:val="single" w:color="auto" w:sz="4" w:space="0"/>
              <w:left w:val="single" w:color="auto" w:sz="4" w:space="0"/>
              <w:bottom w:val="single" w:color="auto" w:sz="4" w:space="0"/>
              <w:right w:val="single" w:color="auto" w:sz="4" w:space="0"/>
            </w:tcBorders>
            <w:vAlign w:val="center"/>
          </w:tcPr>
          <w:p w14:paraId="5CE0BB5C">
            <w:pPr>
              <w:spacing w:line="360" w:lineRule="auto"/>
              <w:jc w:val="center"/>
              <w:rPr>
                <w:rFonts w:ascii="宋体" w:hAnsi="宋体"/>
                <w:color w:val="auto"/>
                <w:spacing w:val="-6"/>
                <w:sz w:val="24"/>
                <w:u w:val="single"/>
              </w:rPr>
            </w:pPr>
            <w:r>
              <w:rPr>
                <w:rFonts w:hint="eastAsia" w:ascii="宋体" w:hAnsi="宋体"/>
                <w:b/>
                <w:bCs/>
                <w:color w:val="auto"/>
                <w:spacing w:val="-6"/>
                <w:sz w:val="24"/>
              </w:rPr>
              <w:t>初次总报价</w:t>
            </w:r>
          </w:p>
        </w:tc>
      </w:tr>
      <w:tr w14:paraId="1A6E9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9640" w:type="dxa"/>
            <w:tcBorders>
              <w:top w:val="single" w:color="auto" w:sz="4" w:space="0"/>
              <w:left w:val="single" w:color="auto" w:sz="4" w:space="0"/>
              <w:bottom w:val="single" w:color="auto" w:sz="4" w:space="0"/>
              <w:right w:val="single" w:color="auto" w:sz="4" w:space="0"/>
            </w:tcBorders>
            <w:vAlign w:val="center"/>
          </w:tcPr>
          <w:p w14:paraId="457CA282">
            <w:pPr>
              <w:spacing w:line="360" w:lineRule="auto"/>
              <w:rPr>
                <w:rFonts w:ascii="宋体" w:hAnsi="宋体"/>
                <w:b/>
                <w:color w:val="auto"/>
                <w:spacing w:val="-6"/>
                <w:sz w:val="24"/>
              </w:rPr>
            </w:pPr>
          </w:p>
          <w:p w14:paraId="7CB865D0">
            <w:pPr>
              <w:spacing w:line="360" w:lineRule="auto"/>
              <w:rPr>
                <w:rFonts w:ascii="宋体" w:hAnsi="宋体"/>
                <w:color w:val="auto"/>
                <w:spacing w:val="-6"/>
                <w:sz w:val="24"/>
                <w:u w:val="single"/>
              </w:rPr>
            </w:pPr>
            <w:r>
              <w:rPr>
                <w:rFonts w:hint="eastAsia" w:ascii="宋体" w:hAnsi="宋体"/>
                <w:color w:val="auto"/>
                <w:spacing w:val="-6"/>
                <w:sz w:val="24"/>
              </w:rPr>
              <w:t>金额大写：                             小写：</w:t>
            </w:r>
          </w:p>
          <w:p w14:paraId="07743EBE">
            <w:pPr>
              <w:spacing w:line="360" w:lineRule="auto"/>
              <w:rPr>
                <w:rFonts w:ascii="宋体" w:hAnsi="宋体"/>
                <w:color w:val="auto"/>
                <w:spacing w:val="-6"/>
                <w:sz w:val="24"/>
                <w:u w:val="single"/>
              </w:rPr>
            </w:pPr>
          </w:p>
          <w:p w14:paraId="66022A75">
            <w:pPr>
              <w:pStyle w:val="2"/>
              <w:ind w:left="0" w:leftChars="0" w:firstLine="0" w:firstLineChars="0"/>
              <w:rPr>
                <w:rFonts w:hint="default" w:ascii="宋体" w:hAnsi="宋体" w:eastAsia="宋体" w:cs="Times New Roman"/>
                <w:color w:val="auto"/>
                <w:spacing w:val="-6"/>
                <w:kern w:val="0"/>
                <w:sz w:val="24"/>
                <w:szCs w:val="22"/>
                <w:lang w:val="en-US" w:eastAsia="zh-CN" w:bidi="ar-SA"/>
              </w:rPr>
            </w:pPr>
            <w:r>
              <w:rPr>
                <w:rFonts w:hint="eastAsia" w:hAnsi="宋体" w:cs="Times New Roman"/>
                <w:color w:val="auto"/>
                <w:spacing w:val="-6"/>
                <w:kern w:val="0"/>
                <w:sz w:val="24"/>
                <w:szCs w:val="22"/>
                <w:lang w:val="en-US" w:eastAsia="zh-CN" w:bidi="ar-SA"/>
              </w:rPr>
              <w:t>服务</w:t>
            </w:r>
            <w:r>
              <w:rPr>
                <w:rFonts w:hint="eastAsia" w:ascii="宋体" w:hAnsi="宋体" w:eastAsia="宋体" w:cs="Times New Roman"/>
                <w:color w:val="auto"/>
                <w:spacing w:val="-6"/>
                <w:kern w:val="0"/>
                <w:sz w:val="24"/>
                <w:szCs w:val="22"/>
                <w:lang w:val="en-US" w:eastAsia="zh-CN" w:bidi="ar-SA"/>
              </w:rPr>
              <w:t>期限：三年</w:t>
            </w:r>
          </w:p>
          <w:p w14:paraId="661A9A13">
            <w:pPr>
              <w:spacing w:line="360" w:lineRule="auto"/>
              <w:rPr>
                <w:rFonts w:ascii="宋体" w:hAnsi="宋体"/>
                <w:b/>
                <w:color w:val="auto"/>
                <w:spacing w:val="-6"/>
                <w:sz w:val="24"/>
              </w:rPr>
            </w:pPr>
            <w:r>
              <w:rPr>
                <w:rFonts w:hint="eastAsia" w:ascii="宋体" w:hAnsi="宋体"/>
                <w:color w:val="auto"/>
                <w:spacing w:val="-6"/>
                <w:sz w:val="24"/>
              </w:rPr>
              <w:t>单位：人民币元</w:t>
            </w:r>
          </w:p>
        </w:tc>
      </w:tr>
    </w:tbl>
    <w:p w14:paraId="2AC27BCC">
      <w:pPr>
        <w:pStyle w:val="42"/>
        <w:snapToGrid w:val="0"/>
        <w:spacing w:line="400" w:lineRule="exact"/>
        <w:rPr>
          <w:color w:val="auto"/>
          <w:szCs w:val="24"/>
        </w:rPr>
      </w:pPr>
      <w:r>
        <w:rPr>
          <w:rFonts w:hint="eastAsia"/>
          <w:color w:val="auto"/>
          <w:szCs w:val="24"/>
        </w:rPr>
        <w:t>注：本报价中应包含乙方完成本项目所需的一切费用，包括但不限于其他技术服务费、培训费、保修保换费、保险费、税费等。</w:t>
      </w:r>
    </w:p>
    <w:p w14:paraId="759C287F">
      <w:pPr>
        <w:pStyle w:val="42"/>
        <w:snapToGrid w:val="0"/>
        <w:spacing w:line="400" w:lineRule="exact"/>
        <w:rPr>
          <w:color w:val="auto"/>
          <w:szCs w:val="24"/>
        </w:rPr>
      </w:pPr>
      <w:r>
        <w:rPr>
          <w:rFonts w:hint="eastAsia"/>
          <w:color w:val="auto"/>
          <w:szCs w:val="24"/>
        </w:rPr>
        <w:t>货币单位：元（人民币）</w:t>
      </w:r>
    </w:p>
    <w:p w14:paraId="659F70D3">
      <w:pPr>
        <w:spacing w:line="360" w:lineRule="auto"/>
        <w:ind w:right="-21" w:rightChars="-10"/>
        <w:rPr>
          <w:color w:val="auto"/>
          <w:sz w:val="24"/>
        </w:rPr>
      </w:pPr>
    </w:p>
    <w:p w14:paraId="13A1C35B">
      <w:pPr>
        <w:pStyle w:val="27"/>
        <w:spacing w:line="360" w:lineRule="auto"/>
        <w:rPr>
          <w:rFonts w:hAnsi="宋体" w:cs="宋体"/>
          <w:b/>
          <w:bCs/>
          <w:color w:val="auto"/>
          <w:sz w:val="24"/>
        </w:rPr>
      </w:pPr>
      <w:r>
        <w:rPr>
          <w:rFonts w:hint="eastAsia" w:hAnsi="宋体" w:cs="宋体"/>
          <w:b/>
          <w:bCs/>
          <w:color w:val="auto"/>
          <w:sz w:val="24"/>
        </w:rPr>
        <w:t xml:space="preserve">响应方（盖章）：            </w:t>
      </w:r>
    </w:p>
    <w:p w14:paraId="5D5BA66B">
      <w:pPr>
        <w:spacing w:line="480" w:lineRule="auto"/>
        <w:rPr>
          <w:rFonts w:ascii="宋体" w:hAnsi="宋体" w:cs="宋体"/>
          <w:b/>
          <w:bCs/>
          <w:color w:val="auto"/>
          <w:sz w:val="24"/>
          <w:u w:val="single"/>
        </w:rPr>
      </w:pPr>
      <w:r>
        <w:rPr>
          <w:rFonts w:hint="eastAsia" w:hAnsi="宋体" w:cs="宋体"/>
          <w:b/>
          <w:bCs/>
          <w:color w:val="auto"/>
          <w:sz w:val="24"/>
        </w:rPr>
        <w:t>授权代表</w:t>
      </w:r>
      <w:r>
        <w:rPr>
          <w:rFonts w:hint="eastAsia" w:ascii="宋体" w:hAnsi="宋体" w:cs="宋体"/>
          <w:b/>
          <w:bCs/>
          <w:color w:val="auto"/>
          <w:sz w:val="24"/>
        </w:rPr>
        <w:t>（签字</w:t>
      </w:r>
      <w:r>
        <w:rPr>
          <w:rFonts w:hint="eastAsia" w:ascii="宋体" w:hAnsi="宋体" w:cs="宋体"/>
          <w:b/>
          <w:bCs/>
          <w:color w:val="auto"/>
          <w:sz w:val="24"/>
          <w:lang w:val="en-US" w:eastAsia="zh-CN"/>
        </w:rPr>
        <w:t>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2D29D0EE">
      <w:pPr>
        <w:spacing w:before="240" w:beforeLines="100" w:after="240" w:afterLines="100"/>
        <w:jc w:val="left"/>
        <w:rPr>
          <w:color w:val="auto"/>
          <w:sz w:val="24"/>
          <w:szCs w:val="24"/>
        </w:rPr>
      </w:pPr>
      <w:r>
        <w:rPr>
          <w:rFonts w:hint="eastAsia" w:ascii="宋体" w:hAnsi="宋体" w:cs="宋体"/>
          <w:color w:val="auto"/>
          <w:sz w:val="24"/>
        </w:rPr>
        <w:t>日期：      年   月   日</w:t>
      </w:r>
    </w:p>
    <w:p w14:paraId="43CF8CC2">
      <w:pPr>
        <w:spacing w:line="360" w:lineRule="auto"/>
        <w:ind w:right="-21" w:rightChars="-10"/>
        <w:rPr>
          <w:color w:val="auto"/>
          <w:sz w:val="24"/>
        </w:rPr>
      </w:pPr>
    </w:p>
    <w:p w14:paraId="784A3FB8">
      <w:pPr>
        <w:tabs>
          <w:tab w:val="left" w:pos="1055"/>
        </w:tabs>
        <w:jc w:val="left"/>
        <w:rPr>
          <w:color w:val="auto"/>
        </w:rPr>
        <w:sectPr>
          <w:footerReference r:id="rId6" w:type="default"/>
          <w:pgSz w:w="11907" w:h="16840"/>
          <w:pgMar w:top="1134" w:right="1247" w:bottom="1247" w:left="1247" w:header="567" w:footer="794" w:gutter="0"/>
          <w:cols w:space="720" w:num="1"/>
        </w:sectPr>
      </w:pPr>
    </w:p>
    <w:bookmarkEnd w:id="617"/>
    <w:bookmarkEnd w:id="618"/>
    <w:bookmarkEnd w:id="619"/>
    <w:bookmarkEnd w:id="620"/>
    <w:bookmarkEnd w:id="621"/>
    <w:bookmarkEnd w:id="622"/>
    <w:bookmarkEnd w:id="623"/>
    <w:bookmarkEnd w:id="624"/>
    <w:p w14:paraId="6F09C8CA">
      <w:pPr>
        <w:adjustRightInd w:val="0"/>
        <w:snapToGrid w:val="0"/>
        <w:spacing w:line="288" w:lineRule="auto"/>
        <w:jc w:val="center"/>
        <w:outlineLvl w:val="0"/>
        <w:rPr>
          <w:b/>
          <w:bCs/>
          <w:color w:val="auto"/>
          <w:sz w:val="84"/>
          <w:szCs w:val="84"/>
        </w:rPr>
      </w:pPr>
      <w:bookmarkStart w:id="627" w:name="_Toc10167_WPSOffice_Level1"/>
      <w:bookmarkStart w:id="628" w:name="_Toc16081_WPSOffice_Level1"/>
      <w:bookmarkStart w:id="629" w:name="_Toc5305"/>
      <w:bookmarkStart w:id="630" w:name="_Toc13355"/>
      <w:bookmarkStart w:id="631" w:name="_Toc432"/>
      <w:bookmarkStart w:id="632" w:name="_Toc21599"/>
      <w:bookmarkStart w:id="633" w:name="_Toc10583"/>
      <w:bookmarkStart w:id="634" w:name="_Toc593"/>
      <w:bookmarkStart w:id="635" w:name="_Toc13604"/>
      <w:bookmarkStart w:id="636" w:name="_Toc23382"/>
      <w:bookmarkStart w:id="637" w:name="_Toc21390"/>
      <w:bookmarkStart w:id="638" w:name="_Toc22262"/>
      <w:bookmarkStart w:id="639" w:name="_Toc20322"/>
      <w:bookmarkStart w:id="640" w:name="_Toc2960"/>
      <w:bookmarkStart w:id="641" w:name="_Toc19321"/>
      <w:bookmarkStart w:id="642" w:name="_Toc27765"/>
      <w:bookmarkStart w:id="643" w:name="_Toc30975"/>
      <w:bookmarkStart w:id="644" w:name="_Toc1234"/>
      <w:bookmarkStart w:id="645" w:name="_Toc29034"/>
      <w:bookmarkStart w:id="646" w:name="_Toc8554"/>
      <w:bookmarkStart w:id="647" w:name="_Toc27848"/>
      <w:bookmarkStart w:id="648" w:name="_Toc10465"/>
      <w:bookmarkStart w:id="649" w:name="_Toc9514"/>
      <w:bookmarkStart w:id="650" w:name="_Toc4011"/>
      <w:bookmarkStart w:id="651" w:name="_Toc17483"/>
      <w:bookmarkStart w:id="652" w:name="_Toc11033"/>
      <w:bookmarkStart w:id="653" w:name="_Toc25574"/>
      <w:bookmarkStart w:id="654" w:name="_Toc2678"/>
      <w:bookmarkStart w:id="655" w:name="_Toc28796"/>
      <w:bookmarkStart w:id="656" w:name="_Toc4245"/>
      <w:bookmarkStart w:id="657" w:name="_Toc4954"/>
      <w:bookmarkStart w:id="658" w:name="_Toc31197"/>
      <w:bookmarkStart w:id="659" w:name="_Toc4882"/>
      <w:bookmarkStart w:id="660" w:name="_Toc32174"/>
      <w:bookmarkStart w:id="661" w:name="_Toc6658"/>
      <w:bookmarkStart w:id="662" w:name="_Toc3902"/>
      <w:bookmarkStart w:id="663" w:name="_Toc17061"/>
      <w:bookmarkStart w:id="664" w:name="_Toc118516210"/>
      <w:r>
        <w:rPr>
          <w:rFonts w:hint="eastAsia"/>
          <w:b/>
          <w:bCs/>
          <w:color w:val="auto"/>
          <w:sz w:val="84"/>
          <w:szCs w:val="84"/>
        </w:rPr>
        <w:t>商务和技术文件</w:t>
      </w:r>
      <w:bookmarkEnd w:id="627"/>
      <w:bookmarkEnd w:id="628"/>
    </w:p>
    <w:p w14:paraId="408FB499">
      <w:pPr>
        <w:pStyle w:val="5"/>
        <w:bidi w:val="0"/>
        <w:rPr>
          <w:rFonts w:hint="default"/>
          <w:color w:val="auto"/>
          <w:lang w:val="en-US" w:eastAsia="zh-CN"/>
        </w:rPr>
      </w:pPr>
      <w:bookmarkStart w:id="665" w:name="_Toc24832"/>
      <w:r>
        <w:rPr>
          <w:rFonts w:hint="eastAsia"/>
          <w:color w:val="auto"/>
          <w:lang w:val="en-US" w:eastAsia="zh-CN"/>
        </w:rPr>
        <w:t>商务和技术文件</w:t>
      </w:r>
      <w:bookmarkEnd w:id="665"/>
    </w:p>
    <w:p w14:paraId="578978FC">
      <w:pPr>
        <w:pStyle w:val="6"/>
        <w:ind w:left="0" w:firstLine="0"/>
        <w:outlineLvl w:val="0"/>
        <w:rPr>
          <w:color w:val="auto"/>
        </w:rPr>
      </w:pPr>
      <w:bookmarkStart w:id="666" w:name="_Toc9934"/>
      <w:bookmarkStart w:id="667" w:name="_Toc29516_WPSOffice_Level2"/>
      <w:r>
        <w:rPr>
          <w:rFonts w:hint="eastAsia"/>
          <w:color w:val="auto"/>
        </w:rPr>
        <w:t>（1）磋商响应函</w:t>
      </w:r>
      <w:bookmarkEnd w:id="666"/>
      <w:bookmarkEnd w:id="667"/>
      <w:r>
        <w:rPr>
          <w:rFonts w:hint="eastAsia"/>
          <w:color w:val="auto"/>
        </w:rPr>
        <w:t xml:space="preserve">   </w:t>
      </w:r>
    </w:p>
    <w:p w14:paraId="7710D5FF">
      <w:pPr>
        <w:jc w:val="center"/>
        <w:outlineLvl w:val="1"/>
        <w:rPr>
          <w:b/>
          <w:color w:val="auto"/>
          <w:sz w:val="32"/>
          <w:szCs w:val="32"/>
        </w:rPr>
      </w:pPr>
      <w:bookmarkStart w:id="668" w:name="_Toc7058_WPSOffice_Level2"/>
      <w:r>
        <w:rPr>
          <w:rFonts w:hint="eastAsia"/>
          <w:b/>
          <w:color w:val="auto"/>
          <w:sz w:val="32"/>
          <w:szCs w:val="32"/>
        </w:rPr>
        <w:t>磋商响应函</w:t>
      </w:r>
      <w:bookmarkEnd w:id="668"/>
    </w:p>
    <w:p w14:paraId="7551A10C">
      <w:pPr>
        <w:pStyle w:val="27"/>
        <w:ind w:left="-27" w:firstLine="530"/>
        <w:rPr>
          <w:rFonts w:ascii="Times New Roman" w:hAnsi="Times New Roman"/>
          <w:b/>
          <w:color w:val="auto"/>
          <w:sz w:val="30"/>
        </w:rPr>
      </w:pPr>
    </w:p>
    <w:p w14:paraId="2748DBCB">
      <w:pPr>
        <w:pStyle w:val="27"/>
        <w:spacing w:line="312" w:lineRule="auto"/>
        <w:ind w:left="-27" w:firstLine="422"/>
        <w:rPr>
          <w:rFonts w:ascii="Times New Roman" w:hAnsi="Times New Roman"/>
          <w:color w:val="auto"/>
          <w:sz w:val="24"/>
        </w:rPr>
      </w:pPr>
      <w:r>
        <w:rPr>
          <w:rFonts w:hint="eastAsia" w:ascii="Times New Roman" w:hAnsi="Times New Roman"/>
          <w:color w:val="auto"/>
          <w:sz w:val="24"/>
          <w:szCs w:val="28"/>
        </w:rPr>
        <w:t>致：</w:t>
      </w:r>
      <w:r>
        <w:rPr>
          <w:rFonts w:ascii="Times New Roman" w:hAnsi="Times New Roman"/>
          <w:color w:val="auto"/>
          <w:sz w:val="24"/>
          <w:szCs w:val="28"/>
          <w:u w:val="single"/>
        </w:rPr>
        <w:t xml:space="preserve">                 </w:t>
      </w:r>
    </w:p>
    <w:p w14:paraId="05757DFF">
      <w:pPr>
        <w:pStyle w:val="27"/>
        <w:spacing w:line="312" w:lineRule="auto"/>
        <w:ind w:left="-27" w:firstLine="422"/>
        <w:rPr>
          <w:rFonts w:ascii="Times New Roman" w:hAnsi="Times New Roman"/>
          <w:color w:val="auto"/>
          <w:sz w:val="24"/>
        </w:rPr>
      </w:pPr>
      <w:r>
        <w:rPr>
          <w:rFonts w:ascii="Times New Roman" w:hAnsi="Times New Roman"/>
          <w:color w:val="auto"/>
          <w:sz w:val="24"/>
        </w:rPr>
        <w:t xml:space="preserve">     </w:t>
      </w:r>
      <w:r>
        <w:rPr>
          <w:rFonts w:ascii="Times New Roman" w:hAnsi="Times New Roman"/>
          <w:color w:val="auto"/>
          <w:sz w:val="24"/>
          <w:u w:val="single"/>
        </w:rPr>
        <w:t xml:space="preserve">                </w:t>
      </w:r>
      <w:r>
        <w:rPr>
          <w:rFonts w:hint="eastAsia" w:ascii="Times New Roman" w:hAnsi="Times New Roman"/>
          <w:color w:val="auto"/>
          <w:sz w:val="24"/>
        </w:rPr>
        <w:t>（响应方全称）授权</w:t>
      </w:r>
      <w:r>
        <w:rPr>
          <w:rFonts w:ascii="Times New Roman" w:hAnsi="Times New Roman"/>
          <w:color w:val="auto"/>
          <w:sz w:val="24"/>
          <w:u w:val="single"/>
        </w:rPr>
        <w:t xml:space="preserve">   </w:t>
      </w:r>
      <w:r>
        <w:rPr>
          <w:rFonts w:hint="eastAsia" w:ascii="Times New Roman" w:hAnsi="Times New Roman"/>
          <w:color w:val="auto"/>
          <w:sz w:val="24"/>
          <w:u w:val="single"/>
        </w:rPr>
        <w:t>（授权代表名称）</w:t>
      </w:r>
      <w:r>
        <w:rPr>
          <w:rFonts w:ascii="Times New Roman" w:hAnsi="Times New Roman"/>
          <w:color w:val="auto"/>
          <w:sz w:val="24"/>
          <w:u w:val="single"/>
        </w:rPr>
        <w:t xml:space="preserve"> </w:t>
      </w:r>
      <w:r>
        <w:rPr>
          <w:rFonts w:hint="eastAsia" w:ascii="Times New Roman" w:hAnsi="Times New Roman"/>
          <w:color w:val="auto"/>
          <w:sz w:val="24"/>
          <w:u w:val="single"/>
        </w:rPr>
        <w:t>、（职务、职称）</w:t>
      </w:r>
      <w:r>
        <w:rPr>
          <w:rFonts w:hint="eastAsia" w:ascii="Times New Roman" w:hAnsi="Times New Roman"/>
          <w:color w:val="auto"/>
          <w:sz w:val="24"/>
        </w:rPr>
        <w:t>为授权代表，自愿参加贵方组织的</w:t>
      </w:r>
      <w:r>
        <w:rPr>
          <w:rFonts w:ascii="Times New Roman" w:hAnsi="Times New Roman"/>
          <w:color w:val="auto"/>
          <w:sz w:val="24"/>
          <w:u w:val="single"/>
        </w:rPr>
        <w:t xml:space="preserve">   </w:t>
      </w:r>
      <w:r>
        <w:rPr>
          <w:rFonts w:hint="eastAsia" w:ascii="Times New Roman" w:hAnsi="Times New Roman"/>
          <w:color w:val="auto"/>
          <w:sz w:val="24"/>
          <w:u w:val="single"/>
        </w:rPr>
        <w:t>（项目名称、项目编号）</w:t>
      </w:r>
      <w:r>
        <w:rPr>
          <w:rFonts w:ascii="Times New Roman" w:hAnsi="Times New Roman"/>
          <w:color w:val="auto"/>
          <w:sz w:val="24"/>
          <w:u w:val="single"/>
        </w:rPr>
        <w:t xml:space="preserve">  </w:t>
      </w:r>
      <w:r>
        <w:rPr>
          <w:rFonts w:hint="eastAsia" w:ascii="Times New Roman" w:hAnsi="Times New Roman"/>
          <w:color w:val="auto"/>
          <w:sz w:val="24"/>
        </w:rPr>
        <w:t>竞争性磋商的有关活动，以本响应文件对本项目进行响应。为此：</w:t>
      </w:r>
    </w:p>
    <w:p w14:paraId="79331455">
      <w:pPr>
        <w:pStyle w:val="27"/>
        <w:spacing w:line="312" w:lineRule="auto"/>
        <w:ind w:left="-25" w:leftChars="-12" w:firstLine="446" w:firstLineChars="186"/>
        <w:rPr>
          <w:rFonts w:ascii="Times New Roman" w:hAnsi="Times New Roman"/>
          <w:color w:val="auto"/>
          <w:sz w:val="24"/>
        </w:rPr>
      </w:pPr>
      <w:r>
        <w:rPr>
          <w:rFonts w:ascii="Times New Roman" w:hAnsi="Times New Roman"/>
          <w:color w:val="auto"/>
          <w:sz w:val="24"/>
        </w:rPr>
        <w:t>1</w:t>
      </w:r>
      <w:r>
        <w:rPr>
          <w:rFonts w:hint="eastAsia" w:ascii="Times New Roman" w:hAnsi="Times New Roman"/>
          <w:color w:val="auto"/>
          <w:sz w:val="24"/>
        </w:rPr>
        <w:t>、提供</w:t>
      </w:r>
      <w:r>
        <w:rPr>
          <w:rFonts w:hint="eastAsia" w:ascii="Times New Roman" w:hAnsi="Times New Roman"/>
          <w:color w:val="auto"/>
          <w:sz w:val="24"/>
          <w:lang w:val="en-US" w:eastAsia="zh-CN"/>
        </w:rPr>
        <w:t>磋商文件</w:t>
      </w:r>
      <w:r>
        <w:rPr>
          <w:rFonts w:hint="eastAsia" w:ascii="Times New Roman" w:hAnsi="Times New Roman"/>
          <w:color w:val="auto"/>
          <w:sz w:val="24"/>
        </w:rPr>
        <w:t>规定的电子加密</w:t>
      </w:r>
      <w:r>
        <w:rPr>
          <w:rFonts w:hint="eastAsia" w:ascii="Times New Roman" w:hAnsi="Times New Roman"/>
          <w:color w:val="auto"/>
          <w:sz w:val="24"/>
          <w:lang w:val="en-US" w:eastAsia="zh-CN"/>
        </w:rPr>
        <w:t>响应</w:t>
      </w:r>
      <w:r>
        <w:rPr>
          <w:rFonts w:hint="eastAsia" w:ascii="Times New Roman" w:hAnsi="Times New Roman"/>
          <w:color w:val="auto"/>
          <w:sz w:val="24"/>
        </w:rPr>
        <w:t>文件</w:t>
      </w:r>
      <w:r>
        <w:rPr>
          <w:rFonts w:hint="eastAsia" w:ascii="Times New Roman" w:hAnsi="Times New Roman"/>
          <w:color w:val="auto"/>
          <w:sz w:val="24"/>
          <w:lang w:eastAsia="zh-CN"/>
        </w:rPr>
        <w:t>。</w:t>
      </w:r>
    </w:p>
    <w:p w14:paraId="280FEA8B">
      <w:pPr>
        <w:spacing w:line="312" w:lineRule="auto"/>
        <w:ind w:left="-25" w:leftChars="-12" w:firstLine="446" w:firstLineChars="186"/>
        <w:rPr>
          <w:color w:val="auto"/>
          <w:sz w:val="24"/>
        </w:rPr>
      </w:pPr>
      <w:r>
        <w:rPr>
          <w:color w:val="auto"/>
          <w:sz w:val="24"/>
        </w:rPr>
        <w:t>2</w:t>
      </w:r>
      <w:r>
        <w:rPr>
          <w:rFonts w:hint="eastAsia"/>
          <w:color w:val="auto"/>
          <w:sz w:val="24"/>
        </w:rPr>
        <w:t>、保证遵守磋商文件中的有关规定和收费标准</w:t>
      </w:r>
      <w:r>
        <w:rPr>
          <w:rFonts w:hint="eastAsia"/>
          <w:color w:val="auto"/>
          <w:sz w:val="24"/>
          <w:lang w:eastAsia="zh-CN"/>
        </w:rPr>
        <w:t>（</w:t>
      </w:r>
      <w:r>
        <w:rPr>
          <w:rFonts w:hint="eastAsia"/>
          <w:color w:val="auto"/>
          <w:sz w:val="24"/>
          <w:lang w:val="en-US" w:eastAsia="zh-CN"/>
        </w:rPr>
        <w:t>如有</w:t>
      </w:r>
      <w:r>
        <w:rPr>
          <w:rFonts w:hint="eastAsia"/>
          <w:color w:val="auto"/>
          <w:sz w:val="24"/>
          <w:lang w:eastAsia="zh-CN"/>
        </w:rPr>
        <w:t>）</w:t>
      </w:r>
      <w:r>
        <w:rPr>
          <w:rFonts w:hint="eastAsia"/>
          <w:color w:val="auto"/>
          <w:sz w:val="24"/>
        </w:rPr>
        <w:t>。</w:t>
      </w:r>
    </w:p>
    <w:p w14:paraId="5C37CB22">
      <w:pPr>
        <w:pStyle w:val="27"/>
        <w:spacing w:line="312" w:lineRule="auto"/>
        <w:ind w:left="-25" w:leftChars="-12" w:firstLine="446" w:firstLineChars="186"/>
        <w:rPr>
          <w:rFonts w:ascii="Times New Roman" w:hAnsi="Times New Roman"/>
          <w:color w:val="auto"/>
          <w:sz w:val="24"/>
        </w:rPr>
      </w:pPr>
      <w:r>
        <w:rPr>
          <w:rFonts w:ascii="Times New Roman" w:hAnsi="Times New Roman"/>
          <w:color w:val="auto"/>
          <w:sz w:val="24"/>
        </w:rPr>
        <w:t>3</w:t>
      </w:r>
      <w:r>
        <w:rPr>
          <w:rFonts w:hint="eastAsia" w:ascii="Times New Roman" w:hAnsi="Times New Roman"/>
          <w:color w:val="auto"/>
          <w:sz w:val="24"/>
        </w:rPr>
        <w:t>、保证忠实地执行买卖双方所签的合同，并承担合同规定的责任义务。</w:t>
      </w:r>
    </w:p>
    <w:p w14:paraId="5B108A19">
      <w:pPr>
        <w:pStyle w:val="27"/>
        <w:spacing w:line="312" w:lineRule="auto"/>
        <w:ind w:left="-25" w:leftChars="-12" w:firstLine="446" w:firstLineChars="186"/>
        <w:rPr>
          <w:rFonts w:ascii="Times New Roman" w:hAnsi="Times New Roman"/>
          <w:color w:val="auto"/>
          <w:sz w:val="24"/>
        </w:rPr>
      </w:pPr>
      <w:r>
        <w:rPr>
          <w:rFonts w:ascii="Times New Roman" w:hAnsi="Times New Roman"/>
          <w:color w:val="auto"/>
          <w:sz w:val="24"/>
        </w:rPr>
        <w:t>4</w:t>
      </w:r>
      <w:r>
        <w:rPr>
          <w:rFonts w:hint="eastAsia" w:ascii="Times New Roman" w:hAnsi="Times New Roman"/>
          <w:color w:val="auto"/>
          <w:sz w:val="24"/>
        </w:rPr>
        <w:t>、我方已详细审查全部磋商文件，包括磋商补充文件（如有的话），充分理解并掌握了磋商的全部有关情况。我们完全理解并同意放弃对这方面有不明及误解的权利。</w:t>
      </w:r>
    </w:p>
    <w:p w14:paraId="2194E0E4">
      <w:pPr>
        <w:pStyle w:val="27"/>
        <w:spacing w:line="312" w:lineRule="auto"/>
        <w:ind w:left="-25" w:leftChars="-12" w:firstLine="446" w:firstLineChars="186"/>
        <w:rPr>
          <w:rFonts w:ascii="Times New Roman" w:hAnsi="Times New Roman"/>
          <w:color w:val="auto"/>
          <w:sz w:val="24"/>
        </w:rPr>
      </w:pPr>
      <w:r>
        <w:rPr>
          <w:rFonts w:ascii="Times New Roman" w:hAnsi="Times New Roman"/>
          <w:color w:val="auto"/>
          <w:sz w:val="24"/>
        </w:rPr>
        <w:t>5</w:t>
      </w:r>
      <w:r>
        <w:rPr>
          <w:rFonts w:hint="eastAsia" w:ascii="Times New Roman" w:hAnsi="Times New Roman"/>
          <w:color w:val="auto"/>
          <w:sz w:val="24"/>
        </w:rPr>
        <w:t>、愿意向贵方提供任何与该项磋商有关的数据、情况和技术资料，完全理解贵方不一定接受最低价的响应或收到的任何响应。</w:t>
      </w:r>
    </w:p>
    <w:p w14:paraId="434B0638">
      <w:pPr>
        <w:pStyle w:val="27"/>
        <w:spacing w:line="312" w:lineRule="auto"/>
        <w:ind w:left="-25" w:leftChars="-12" w:firstLine="446" w:firstLineChars="186"/>
        <w:rPr>
          <w:rFonts w:ascii="Times New Roman" w:hAnsi="Times New Roman"/>
          <w:color w:val="auto"/>
          <w:sz w:val="24"/>
        </w:rPr>
      </w:pPr>
      <w:r>
        <w:rPr>
          <w:rFonts w:hint="eastAsia" w:ascii="Times New Roman" w:hAnsi="Times New Roman"/>
          <w:color w:val="auto"/>
          <w:sz w:val="24"/>
        </w:rPr>
        <w:t>6.我方通过“信用中国”网站(www.creditchina.gov.cn)、中国政府采购网(www.ccgp.gov.cn)查询，未被列入失信被执行人、重大税收违法案件当事人名单、政府采购严重违法失信行为记录名单。</w:t>
      </w:r>
    </w:p>
    <w:p w14:paraId="783BC796">
      <w:pPr>
        <w:pStyle w:val="27"/>
        <w:spacing w:line="312" w:lineRule="auto"/>
        <w:ind w:left="-25" w:leftChars="-12" w:firstLine="446" w:firstLineChars="186"/>
        <w:rPr>
          <w:rFonts w:ascii="Times New Roman" w:hAnsi="Times New Roman"/>
          <w:color w:val="auto"/>
          <w:sz w:val="24"/>
        </w:rPr>
      </w:pPr>
      <w:r>
        <w:rPr>
          <w:rFonts w:hint="eastAsia" w:ascii="Times New Roman" w:hAnsi="Times New Roman"/>
          <w:color w:val="auto"/>
          <w:sz w:val="24"/>
        </w:rPr>
        <w:t>7、本响应自开启响应文件之日起</w:t>
      </w:r>
      <w:r>
        <w:rPr>
          <w:rFonts w:ascii="Times New Roman" w:hAnsi="Times New Roman"/>
          <w:color w:val="auto"/>
          <w:sz w:val="24"/>
          <w:u w:val="single"/>
        </w:rPr>
        <w:t xml:space="preserve">  90 </w:t>
      </w:r>
      <w:r>
        <w:rPr>
          <w:rFonts w:ascii="Times New Roman" w:hAnsi="Times New Roman"/>
          <w:color w:val="auto"/>
          <w:sz w:val="24"/>
        </w:rPr>
        <w:t xml:space="preserve"> </w:t>
      </w:r>
      <w:r>
        <w:rPr>
          <w:rFonts w:hint="eastAsia" w:ascii="Times New Roman" w:hAnsi="Times New Roman"/>
          <w:color w:val="auto"/>
          <w:sz w:val="24"/>
        </w:rPr>
        <w:t>天内有效。</w:t>
      </w:r>
    </w:p>
    <w:p w14:paraId="494A837D">
      <w:pPr>
        <w:pStyle w:val="27"/>
        <w:spacing w:line="312" w:lineRule="auto"/>
        <w:ind w:left="-25" w:leftChars="-12" w:firstLine="446" w:firstLineChars="186"/>
        <w:rPr>
          <w:rFonts w:ascii="Times New Roman" w:hAnsi="Times New Roman"/>
          <w:color w:val="auto"/>
          <w:sz w:val="24"/>
        </w:rPr>
      </w:pPr>
      <w:r>
        <w:rPr>
          <w:rFonts w:hint="eastAsia" w:ascii="Times New Roman" w:hAnsi="Times New Roman"/>
          <w:color w:val="auto"/>
          <w:sz w:val="24"/>
        </w:rPr>
        <w:t>8.以上事项如有虚假或隐瞒，我方愿意承担一切后果，并不再寻求任何旨在减轻或免除法律责任的辩解。</w:t>
      </w:r>
    </w:p>
    <w:p w14:paraId="37F59F6E">
      <w:pPr>
        <w:pStyle w:val="27"/>
        <w:spacing w:line="312" w:lineRule="auto"/>
        <w:ind w:left="-25" w:leftChars="-12" w:firstLine="446" w:firstLineChars="186"/>
        <w:rPr>
          <w:rFonts w:ascii="Times New Roman" w:hAnsi="Times New Roman"/>
          <w:color w:val="auto"/>
          <w:sz w:val="24"/>
        </w:rPr>
      </w:pPr>
      <w:r>
        <w:rPr>
          <w:rFonts w:hint="eastAsia" w:ascii="Times New Roman" w:hAnsi="Times New Roman"/>
          <w:color w:val="auto"/>
          <w:sz w:val="24"/>
        </w:rPr>
        <w:t>9、与本响应有关的一切往来通讯请寄：</w:t>
      </w:r>
    </w:p>
    <w:p w14:paraId="2AA02DFC">
      <w:pPr>
        <w:pStyle w:val="27"/>
        <w:spacing w:line="312" w:lineRule="auto"/>
        <w:ind w:left="-27" w:firstLine="720" w:firstLineChars="300"/>
        <w:rPr>
          <w:rFonts w:hint="eastAsia" w:ascii="Times New Roman" w:hAnsi="Times New Roman"/>
          <w:color w:val="auto"/>
          <w:sz w:val="24"/>
        </w:rPr>
      </w:pPr>
      <w:r>
        <w:rPr>
          <w:rFonts w:hint="eastAsia" w:ascii="Times New Roman" w:hAnsi="Times New Roman"/>
          <w:color w:val="auto"/>
          <w:sz w:val="24"/>
        </w:rPr>
        <w:t>联系人：</w:t>
      </w:r>
      <w:r>
        <w:rPr>
          <w:rFonts w:hint="eastAsia" w:ascii="Times New Roman" w:hAnsi="Times New Roman"/>
          <w:color w:val="auto"/>
          <w:sz w:val="24"/>
          <w:lang w:val="en-US" w:eastAsia="zh-CN"/>
        </w:rPr>
        <w:t xml:space="preserve">                </w:t>
      </w:r>
      <w:r>
        <w:rPr>
          <w:rFonts w:hint="eastAsia" w:ascii="Times New Roman" w:hAnsi="Times New Roman"/>
          <w:color w:val="auto"/>
          <w:sz w:val="24"/>
        </w:rPr>
        <w:t>职务：</w:t>
      </w:r>
    </w:p>
    <w:p w14:paraId="7F8B333D">
      <w:pPr>
        <w:pStyle w:val="27"/>
        <w:spacing w:line="312" w:lineRule="auto"/>
        <w:ind w:left="-27" w:firstLine="720" w:firstLineChars="300"/>
        <w:rPr>
          <w:rFonts w:ascii="Times New Roman" w:hAnsi="Times New Roman"/>
          <w:color w:val="auto"/>
          <w:sz w:val="24"/>
        </w:rPr>
      </w:pPr>
      <w:r>
        <w:rPr>
          <w:rFonts w:hint="eastAsia" w:ascii="Times New Roman" w:hAnsi="Times New Roman"/>
          <w:color w:val="auto"/>
          <w:sz w:val="24"/>
        </w:rPr>
        <w:t>电话：</w:t>
      </w:r>
      <w:r>
        <w:rPr>
          <w:rFonts w:ascii="Times New Roman" w:hAnsi="Times New Roman"/>
          <w:color w:val="auto"/>
          <w:sz w:val="24"/>
        </w:rPr>
        <w:t xml:space="preserve">                  </w:t>
      </w:r>
      <w:r>
        <w:rPr>
          <w:rFonts w:hint="eastAsia" w:ascii="Times New Roman" w:hAnsi="Times New Roman"/>
          <w:color w:val="auto"/>
          <w:sz w:val="24"/>
        </w:rPr>
        <w:t>电子邮箱：</w:t>
      </w:r>
    </w:p>
    <w:p w14:paraId="309E73CD">
      <w:pPr>
        <w:pStyle w:val="27"/>
        <w:spacing w:line="312" w:lineRule="auto"/>
        <w:ind w:left="-27" w:firstLine="720" w:firstLineChars="300"/>
        <w:rPr>
          <w:rFonts w:ascii="Times New Roman" w:hAnsi="Times New Roman"/>
          <w:color w:val="auto"/>
          <w:sz w:val="24"/>
        </w:rPr>
      </w:pPr>
      <w:r>
        <w:rPr>
          <w:rFonts w:hint="eastAsia" w:ascii="Times New Roman" w:hAnsi="Times New Roman"/>
          <w:color w:val="auto"/>
          <w:sz w:val="24"/>
        </w:rPr>
        <w:t>地址：</w:t>
      </w:r>
      <w:r>
        <w:rPr>
          <w:rFonts w:ascii="Times New Roman" w:hAnsi="Times New Roman"/>
          <w:color w:val="auto"/>
          <w:sz w:val="24"/>
        </w:rPr>
        <w:t xml:space="preserve">                  </w:t>
      </w:r>
      <w:r>
        <w:rPr>
          <w:rFonts w:hint="eastAsia" w:ascii="Times New Roman" w:hAnsi="Times New Roman"/>
          <w:color w:val="auto"/>
          <w:sz w:val="24"/>
        </w:rPr>
        <w:t>邮编：</w:t>
      </w:r>
      <w:r>
        <w:rPr>
          <w:rFonts w:ascii="Times New Roman" w:hAnsi="Times New Roman"/>
          <w:color w:val="auto"/>
          <w:sz w:val="24"/>
        </w:rPr>
        <w:t xml:space="preserve">  </w:t>
      </w:r>
    </w:p>
    <w:p w14:paraId="4EFBCDCC">
      <w:pPr>
        <w:pStyle w:val="27"/>
        <w:spacing w:line="312" w:lineRule="auto"/>
        <w:ind w:firstLine="720" w:firstLineChars="300"/>
        <w:rPr>
          <w:rFonts w:ascii="Times New Roman" w:hAnsi="Times New Roman"/>
          <w:color w:val="auto"/>
          <w:sz w:val="24"/>
        </w:rPr>
      </w:pPr>
      <w:r>
        <w:rPr>
          <w:rFonts w:hint="eastAsia" w:ascii="Times New Roman" w:hAnsi="Times New Roman"/>
          <w:color w:val="auto"/>
          <w:sz w:val="24"/>
        </w:rPr>
        <w:t>开户银行：</w:t>
      </w:r>
      <w:r>
        <w:rPr>
          <w:rFonts w:hint="eastAsia" w:ascii="Times New Roman" w:hAnsi="Times New Roman"/>
          <w:color w:val="auto"/>
          <w:sz w:val="24"/>
          <w:lang w:val="en-US" w:eastAsia="zh-CN"/>
        </w:rPr>
        <w:t xml:space="preserve">              </w:t>
      </w:r>
      <w:r>
        <w:rPr>
          <w:rFonts w:hint="eastAsia" w:ascii="Times New Roman" w:hAnsi="Times New Roman"/>
          <w:color w:val="auto"/>
          <w:sz w:val="24"/>
        </w:rPr>
        <w:t>银行账号：</w:t>
      </w:r>
    </w:p>
    <w:p w14:paraId="14FD3D22">
      <w:pPr>
        <w:pStyle w:val="27"/>
        <w:spacing w:line="312" w:lineRule="auto"/>
        <w:ind w:left="-27" w:firstLine="422"/>
        <w:rPr>
          <w:rFonts w:ascii="Times New Roman" w:hAnsi="Times New Roman"/>
          <w:color w:val="auto"/>
          <w:sz w:val="24"/>
        </w:rPr>
      </w:pPr>
    </w:p>
    <w:p w14:paraId="3AF572B8">
      <w:pPr>
        <w:pStyle w:val="27"/>
        <w:spacing w:line="360" w:lineRule="auto"/>
        <w:rPr>
          <w:rFonts w:hAnsi="宋体" w:cs="宋体"/>
          <w:b/>
          <w:bCs/>
          <w:color w:val="auto"/>
          <w:sz w:val="24"/>
        </w:rPr>
      </w:pPr>
      <w:r>
        <w:rPr>
          <w:rFonts w:hint="eastAsia" w:hAnsi="宋体" w:cs="宋体"/>
          <w:b/>
          <w:bCs/>
          <w:color w:val="auto"/>
          <w:sz w:val="24"/>
        </w:rPr>
        <w:t>响应方</w:t>
      </w:r>
      <w:r>
        <w:rPr>
          <w:rFonts w:hint="eastAsia" w:hAnsi="宋体" w:cs="宋体"/>
          <w:b/>
          <w:bCs/>
          <w:color w:val="auto"/>
          <w:sz w:val="24"/>
          <w:lang w:val="en-US" w:eastAsia="zh-CN"/>
        </w:rPr>
        <w:t>名称</w:t>
      </w:r>
      <w:r>
        <w:rPr>
          <w:rFonts w:hint="eastAsia" w:hAnsi="宋体" w:cs="宋体"/>
          <w:b/>
          <w:bCs/>
          <w:color w:val="auto"/>
          <w:sz w:val="24"/>
        </w:rPr>
        <w:t xml:space="preserve">（盖章）：            </w:t>
      </w:r>
    </w:p>
    <w:p w14:paraId="6EB6B8E9">
      <w:pPr>
        <w:spacing w:line="480" w:lineRule="auto"/>
        <w:rPr>
          <w:rFonts w:ascii="宋体" w:hAnsi="宋体" w:cs="宋体"/>
          <w:b/>
          <w:bCs/>
          <w:color w:val="auto"/>
          <w:sz w:val="24"/>
          <w:u w:val="single"/>
        </w:rPr>
      </w:pPr>
      <w:r>
        <w:rPr>
          <w:rFonts w:hint="eastAsia" w:hAnsi="宋体" w:cs="宋体"/>
          <w:b/>
          <w:bCs/>
          <w:color w:val="auto"/>
          <w:sz w:val="24"/>
          <w:lang w:eastAsia="zh-CN"/>
        </w:rPr>
        <w:t>授权代表（签字或法人代表章）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2190B39F">
      <w:pPr>
        <w:spacing w:before="240" w:beforeLines="100" w:after="240" w:afterLines="100"/>
        <w:jc w:val="left"/>
        <w:rPr>
          <w:color w:val="auto"/>
          <w:sz w:val="24"/>
          <w:szCs w:val="24"/>
        </w:rPr>
      </w:pPr>
      <w:r>
        <w:rPr>
          <w:rFonts w:hint="eastAsia" w:ascii="宋体" w:hAnsi="宋体" w:cs="宋体"/>
          <w:color w:val="auto"/>
          <w:sz w:val="24"/>
        </w:rPr>
        <w:t>日期：      年   月   日</w:t>
      </w:r>
    </w:p>
    <w:p w14:paraId="0C4A5D28">
      <w:pPr>
        <w:rPr>
          <w:rStyle w:val="57"/>
          <w:rFonts w:ascii="黑体" w:hAnsi="黑体" w:eastAsia="黑体" w:cs="黑体"/>
          <w:color w:val="auto"/>
          <w:szCs w:val="28"/>
        </w:rPr>
      </w:pPr>
      <w:r>
        <w:rPr>
          <w:rStyle w:val="57"/>
          <w:rFonts w:hint="eastAsia" w:ascii="黑体" w:hAnsi="黑体" w:eastAsia="黑体" w:cs="黑体"/>
          <w:color w:val="auto"/>
          <w:szCs w:val="28"/>
        </w:rPr>
        <w:br w:type="page"/>
      </w:r>
    </w:p>
    <w:p w14:paraId="3FE2CD25">
      <w:pPr>
        <w:pStyle w:val="6"/>
        <w:ind w:left="0" w:firstLine="0"/>
        <w:outlineLvl w:val="0"/>
        <w:rPr>
          <w:color w:val="auto"/>
        </w:rPr>
      </w:pPr>
      <w:bookmarkStart w:id="669" w:name="_Toc538"/>
      <w:bookmarkStart w:id="670" w:name="_Toc27313_WPSOffice_Level2"/>
      <w:r>
        <w:rPr>
          <w:rFonts w:hint="eastAsia"/>
          <w:color w:val="auto"/>
        </w:rPr>
        <w:t>（2）法定代表人授权书（非法定代表人参加时提供）</w:t>
      </w:r>
      <w:bookmarkEnd w:id="669"/>
      <w:bookmarkEnd w:id="670"/>
    </w:p>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14:paraId="4C3D0025">
      <w:pPr>
        <w:pStyle w:val="27"/>
        <w:tabs>
          <w:tab w:val="left" w:pos="450"/>
        </w:tabs>
        <w:spacing w:line="400" w:lineRule="atLeast"/>
        <w:ind w:left="-27" w:firstLine="422"/>
        <w:rPr>
          <w:rFonts w:ascii="Times New Roman" w:hAnsi="Times New Roman"/>
          <w:color w:val="auto"/>
          <w:sz w:val="24"/>
          <w:szCs w:val="24"/>
        </w:rPr>
      </w:pPr>
    </w:p>
    <w:p w14:paraId="7A2C16F4">
      <w:pPr>
        <w:pStyle w:val="27"/>
        <w:tabs>
          <w:tab w:val="left" w:pos="450"/>
        </w:tabs>
        <w:spacing w:line="400" w:lineRule="atLeast"/>
        <w:ind w:left="-27" w:firstLine="565"/>
        <w:jc w:val="center"/>
        <w:outlineLvl w:val="1"/>
        <w:rPr>
          <w:rFonts w:ascii="Times New Roman" w:hAnsi="Times New Roman"/>
          <w:b/>
          <w:color w:val="auto"/>
          <w:sz w:val="32"/>
          <w:szCs w:val="32"/>
        </w:rPr>
      </w:pPr>
      <w:bookmarkStart w:id="671" w:name="_Toc5294_WPSOffice_Level2"/>
      <w:r>
        <w:rPr>
          <w:rFonts w:hint="eastAsia" w:ascii="Times New Roman" w:hAnsi="Times New Roman"/>
          <w:b/>
          <w:color w:val="auto"/>
          <w:sz w:val="32"/>
          <w:szCs w:val="32"/>
        </w:rPr>
        <w:t>法定代表人授权书</w:t>
      </w:r>
      <w:bookmarkEnd w:id="671"/>
    </w:p>
    <w:p w14:paraId="4E7F7E0A">
      <w:pPr>
        <w:pStyle w:val="27"/>
        <w:spacing w:line="600" w:lineRule="atLeast"/>
        <w:ind w:left="-27" w:firstLine="493"/>
        <w:rPr>
          <w:rFonts w:ascii="Times New Roman" w:hAnsi="Times New Roman"/>
          <w:color w:val="auto"/>
          <w:sz w:val="28"/>
          <w:u w:val="single"/>
        </w:rPr>
      </w:pPr>
    </w:p>
    <w:p w14:paraId="1F5B8415">
      <w:pPr>
        <w:pStyle w:val="27"/>
        <w:spacing w:line="600" w:lineRule="atLeast"/>
        <w:ind w:left="-27" w:firstLine="422"/>
        <w:rPr>
          <w:rFonts w:ascii="Times New Roman" w:hAnsi="Times New Roman"/>
          <w:color w:val="auto"/>
          <w:sz w:val="24"/>
          <w:szCs w:val="24"/>
          <w:u w:val="single"/>
        </w:rPr>
      </w:pPr>
      <w:r>
        <w:rPr>
          <w:rFonts w:hint="eastAsia" w:ascii="Times New Roman" w:hAnsi="Times New Roman"/>
          <w:color w:val="auto"/>
          <w:sz w:val="24"/>
          <w:szCs w:val="24"/>
          <w:u w:val="single"/>
        </w:rPr>
        <w:t>杭州电子科技大学：</w:t>
      </w:r>
    </w:p>
    <w:p w14:paraId="67DCA0B6">
      <w:pPr>
        <w:pStyle w:val="27"/>
        <w:spacing w:line="8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u w:val="single"/>
        </w:rPr>
        <w:t xml:space="preserve">  </w:t>
      </w:r>
      <w:r>
        <w:rPr>
          <w:rFonts w:hint="eastAsia" w:ascii="Times New Roman" w:hAnsi="Times New Roman"/>
          <w:color w:val="auto"/>
          <w:sz w:val="24"/>
          <w:szCs w:val="24"/>
          <w:u w:val="single"/>
        </w:rPr>
        <w:t>（响应方全称）</w:t>
      </w:r>
      <w:r>
        <w:rPr>
          <w:rFonts w:ascii="Times New Roman" w:hAnsi="Times New Roman"/>
          <w:color w:val="auto"/>
          <w:sz w:val="24"/>
          <w:szCs w:val="24"/>
          <w:u w:val="single"/>
        </w:rPr>
        <w:t xml:space="preserve">  </w:t>
      </w:r>
      <w:r>
        <w:rPr>
          <w:rFonts w:hint="eastAsia" w:ascii="Times New Roman" w:hAnsi="Times New Roman"/>
          <w:color w:val="auto"/>
          <w:sz w:val="24"/>
          <w:szCs w:val="24"/>
        </w:rPr>
        <w:t>法定代表人</w:t>
      </w:r>
      <w:r>
        <w:rPr>
          <w:rFonts w:ascii="Times New Roman" w:hAnsi="Times New Roman"/>
          <w:color w:val="auto"/>
          <w:sz w:val="24"/>
          <w:szCs w:val="24"/>
          <w:u w:val="single"/>
        </w:rPr>
        <w:tab/>
      </w:r>
      <w:r>
        <w:rPr>
          <w:rFonts w:hint="eastAsia" w:ascii="Times New Roman" w:hAnsi="Times New Roman"/>
          <w:color w:val="auto"/>
          <w:sz w:val="24"/>
          <w:szCs w:val="24"/>
          <w:u w:val="single"/>
        </w:rPr>
        <w:t>（法定代表人姓名）</w:t>
      </w:r>
      <w:r>
        <w:rPr>
          <w:rFonts w:ascii="Times New Roman" w:hAnsi="Times New Roman"/>
          <w:color w:val="auto"/>
          <w:sz w:val="24"/>
          <w:szCs w:val="24"/>
          <w:u w:val="single"/>
        </w:rPr>
        <w:t xml:space="preserve">  </w:t>
      </w:r>
      <w:r>
        <w:rPr>
          <w:rFonts w:hint="eastAsia" w:ascii="Times New Roman" w:hAnsi="Times New Roman"/>
          <w:color w:val="auto"/>
          <w:sz w:val="24"/>
          <w:szCs w:val="24"/>
        </w:rPr>
        <w:t>授权</w:t>
      </w:r>
      <w:r>
        <w:rPr>
          <w:rFonts w:hint="eastAsia" w:ascii="Times New Roman" w:hAnsi="Times New Roman"/>
          <w:color w:val="auto"/>
          <w:sz w:val="24"/>
          <w:szCs w:val="24"/>
          <w:u w:val="single"/>
        </w:rPr>
        <w:t>（授权代表姓名）</w:t>
      </w:r>
      <w:r>
        <w:rPr>
          <w:rFonts w:hint="eastAsia" w:ascii="Times New Roman" w:hAnsi="Times New Roman"/>
          <w:color w:val="auto"/>
          <w:sz w:val="24"/>
          <w:szCs w:val="24"/>
        </w:rPr>
        <w:t>为授权代表，参加贵单位组织的</w:t>
      </w:r>
      <w:r>
        <w:rPr>
          <w:rFonts w:ascii="Times New Roman" w:hAnsi="Times New Roman"/>
          <w:color w:val="auto"/>
          <w:sz w:val="24"/>
          <w:szCs w:val="24"/>
          <w:u w:val="single"/>
        </w:rPr>
        <w:tab/>
      </w:r>
      <w:r>
        <w:rPr>
          <w:rFonts w:hint="eastAsia" w:ascii="Times New Roman" w:hAnsi="Times New Roman"/>
          <w:color w:val="auto"/>
          <w:sz w:val="24"/>
          <w:szCs w:val="24"/>
          <w:u w:val="single"/>
        </w:rPr>
        <w:t>（项目名称、项目编号）</w:t>
      </w:r>
      <w:r>
        <w:rPr>
          <w:rFonts w:hint="eastAsia" w:ascii="Times New Roman" w:hAnsi="Times New Roman"/>
          <w:color w:val="auto"/>
          <w:sz w:val="24"/>
          <w:szCs w:val="24"/>
        </w:rPr>
        <w:t>项目的竞争性磋商，并全权处理磋商中的一切事宜。</w:t>
      </w:r>
    </w:p>
    <w:p w14:paraId="04EEC748">
      <w:pPr>
        <w:pStyle w:val="27"/>
        <w:spacing w:line="600" w:lineRule="atLeast"/>
        <w:ind w:left="-27" w:firstLine="422"/>
        <w:rPr>
          <w:rFonts w:ascii="Times New Roman" w:hAnsi="Times New Roman"/>
          <w:color w:val="auto"/>
          <w:sz w:val="24"/>
          <w:szCs w:val="24"/>
        </w:rPr>
      </w:pPr>
    </w:p>
    <w:p w14:paraId="05BB90F1">
      <w:pPr>
        <w:spacing w:line="360" w:lineRule="auto"/>
        <w:ind w:firstLine="424" w:firstLineChars="186"/>
        <w:rPr>
          <w:rFonts w:ascii="宋体" w:hAnsi="宋体"/>
          <w:color w:val="auto"/>
          <w:spacing w:val="-6"/>
          <w:sz w:val="24"/>
          <w:szCs w:val="24"/>
          <w:u w:val="single"/>
        </w:rPr>
      </w:pPr>
      <w:r>
        <w:rPr>
          <w:rFonts w:hint="eastAsia" w:ascii="宋体" w:hAnsi="宋体"/>
          <w:color w:val="auto"/>
          <w:spacing w:val="-6"/>
          <w:sz w:val="24"/>
          <w:szCs w:val="24"/>
          <w:u w:val="single"/>
        </w:rPr>
        <w:t>▲</w:t>
      </w:r>
      <w:r>
        <w:rPr>
          <w:rFonts w:hint="eastAsia" w:ascii="宋体" w:hAnsi="宋体"/>
          <w:b/>
          <w:bCs/>
          <w:color w:val="auto"/>
          <w:spacing w:val="-6"/>
          <w:sz w:val="24"/>
          <w:szCs w:val="24"/>
          <w:u w:val="single"/>
        </w:rPr>
        <w:t>响应方授权代表必须为投标人本单位在职职工，并提供</w:t>
      </w:r>
      <w:r>
        <w:rPr>
          <w:rFonts w:hint="eastAsia" w:ascii="宋体" w:hAnsi="宋体"/>
          <w:b/>
          <w:bCs/>
          <w:color w:val="auto"/>
          <w:spacing w:val="-6"/>
          <w:sz w:val="24"/>
          <w:szCs w:val="24"/>
          <w:u w:val="single"/>
          <w:lang w:eastAsia="zh-CN"/>
        </w:rPr>
        <w:t>2026年1月</w:t>
      </w:r>
      <w:r>
        <w:rPr>
          <w:rFonts w:hint="eastAsia" w:ascii="宋体" w:hAnsi="宋体"/>
          <w:b/>
          <w:bCs/>
          <w:color w:val="auto"/>
          <w:spacing w:val="-6"/>
          <w:sz w:val="24"/>
          <w:szCs w:val="24"/>
          <w:u w:val="single"/>
        </w:rPr>
        <w:t>（含）以后任意一月社保缴纳证明。</w:t>
      </w:r>
    </w:p>
    <w:p w14:paraId="15218134">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ab/>
      </w:r>
      <w:r>
        <w:rPr>
          <w:rFonts w:ascii="Times New Roman" w:hAnsi="Times New Roman"/>
          <w:color w:val="auto"/>
          <w:sz w:val="24"/>
          <w:szCs w:val="24"/>
        </w:rPr>
        <w:tab/>
      </w:r>
      <w:r>
        <w:rPr>
          <w:rFonts w:ascii="Times New Roman" w:hAnsi="Times New Roman"/>
          <w:color w:val="auto"/>
          <w:sz w:val="24"/>
          <w:szCs w:val="24"/>
        </w:rPr>
        <w:t xml:space="preserve">   </w:t>
      </w:r>
    </w:p>
    <w:p w14:paraId="18C87E47">
      <w:pPr>
        <w:pStyle w:val="27"/>
        <w:spacing w:line="400" w:lineRule="atLeast"/>
        <w:ind w:left="-27" w:firstLine="1205" w:firstLineChars="500"/>
        <w:rPr>
          <w:rFonts w:hAnsi="宋体" w:cs="宋体"/>
          <w:color w:val="auto"/>
          <w:sz w:val="24"/>
          <w:szCs w:val="24"/>
        </w:rPr>
      </w:pPr>
      <w:r>
        <w:rPr>
          <w:rFonts w:hint="eastAsia" w:hAnsi="宋体" w:cs="宋体"/>
          <w:b/>
          <w:bCs/>
          <w:color w:val="auto"/>
          <w:sz w:val="24"/>
          <w:szCs w:val="24"/>
        </w:rPr>
        <w:t>法定代表人（</w:t>
      </w:r>
      <w:r>
        <w:rPr>
          <w:rFonts w:hint="eastAsia" w:hAnsi="宋体" w:cs="宋体"/>
          <w:b/>
          <w:bCs/>
          <w:color w:val="auto"/>
          <w:sz w:val="24"/>
          <w:szCs w:val="24"/>
          <w:lang w:val="en-US" w:eastAsia="zh-CN"/>
        </w:rPr>
        <w:t>签字或法人代表章</w:t>
      </w:r>
      <w:r>
        <w:rPr>
          <w:rFonts w:hint="eastAsia" w:hAnsi="宋体" w:cs="宋体"/>
          <w:b/>
          <w:bCs/>
          <w:color w:val="auto"/>
          <w:sz w:val="24"/>
          <w:szCs w:val="24"/>
        </w:rPr>
        <w:t>）：</w:t>
      </w:r>
      <w:r>
        <w:rPr>
          <w:rFonts w:hint="eastAsia" w:hAnsi="宋体" w:cs="宋体"/>
          <w:b/>
          <w:bCs/>
          <w:color w:val="auto"/>
          <w:sz w:val="24"/>
          <w:szCs w:val="24"/>
          <w:u w:val="single"/>
        </w:rPr>
        <w:t xml:space="preserve">                 </w:t>
      </w:r>
      <w:r>
        <w:rPr>
          <w:rFonts w:hint="eastAsia" w:hAnsi="宋体" w:cs="宋体"/>
          <w:b/>
          <w:bCs/>
          <w:color w:val="auto"/>
          <w:sz w:val="24"/>
          <w:szCs w:val="24"/>
        </w:rPr>
        <w:t xml:space="preserve">      </w:t>
      </w:r>
    </w:p>
    <w:p w14:paraId="06D2F209">
      <w:pPr>
        <w:pStyle w:val="27"/>
        <w:spacing w:line="400" w:lineRule="atLeast"/>
        <w:ind w:left="-27" w:firstLine="422"/>
        <w:rPr>
          <w:rFonts w:ascii="Times New Roman" w:hAnsi="Times New Roman"/>
          <w:color w:val="auto"/>
          <w:sz w:val="24"/>
          <w:szCs w:val="24"/>
        </w:rPr>
      </w:pPr>
    </w:p>
    <w:p w14:paraId="5CCAA009">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ab/>
      </w:r>
      <w:r>
        <w:rPr>
          <w:rFonts w:ascii="Times New Roman" w:hAnsi="Times New Roman"/>
          <w:color w:val="auto"/>
          <w:sz w:val="24"/>
          <w:szCs w:val="24"/>
        </w:rPr>
        <w:tab/>
      </w:r>
      <w:r>
        <w:rPr>
          <w:rFonts w:ascii="Times New Roman" w:hAnsi="Times New Roman"/>
          <w:color w:val="auto"/>
          <w:sz w:val="24"/>
          <w:szCs w:val="24"/>
        </w:rPr>
        <w:t xml:space="preserve">   </w:t>
      </w:r>
      <w:r>
        <w:rPr>
          <w:rFonts w:hint="eastAsia" w:ascii="Times New Roman" w:hAnsi="Times New Roman"/>
          <w:b/>
          <w:bCs/>
          <w:color w:val="auto"/>
          <w:sz w:val="24"/>
          <w:szCs w:val="24"/>
        </w:rPr>
        <w:t>响应方全称（公章）</w:t>
      </w:r>
      <w:r>
        <w:rPr>
          <w:rFonts w:hint="eastAsia" w:ascii="Times New Roman" w:hAnsi="Times New Roman"/>
          <w:color w:val="auto"/>
          <w:sz w:val="24"/>
          <w:szCs w:val="24"/>
        </w:rPr>
        <w:t>：</w:t>
      </w:r>
    </w:p>
    <w:p w14:paraId="6AD9964F">
      <w:pPr>
        <w:pStyle w:val="27"/>
        <w:spacing w:line="400" w:lineRule="atLeast"/>
        <w:ind w:left="-27" w:firstLine="422"/>
        <w:rPr>
          <w:rFonts w:ascii="Times New Roman" w:hAnsi="Times New Roman"/>
          <w:color w:val="auto"/>
          <w:sz w:val="24"/>
          <w:szCs w:val="24"/>
        </w:rPr>
      </w:pPr>
    </w:p>
    <w:p w14:paraId="3B75467D">
      <w:pPr>
        <w:spacing w:before="240" w:beforeLines="100" w:after="240" w:afterLines="100"/>
        <w:jc w:val="left"/>
        <w:rPr>
          <w:color w:val="auto"/>
          <w:sz w:val="24"/>
          <w:szCs w:val="24"/>
        </w:rPr>
      </w:pPr>
      <w:r>
        <w:rPr>
          <w:color w:val="auto"/>
          <w:sz w:val="24"/>
          <w:szCs w:val="24"/>
        </w:rPr>
        <w:tab/>
      </w:r>
      <w:r>
        <w:rPr>
          <w:color w:val="auto"/>
          <w:sz w:val="24"/>
          <w:szCs w:val="24"/>
        </w:rPr>
        <w:tab/>
      </w:r>
      <w:r>
        <w:rPr>
          <w:color w:val="auto"/>
          <w:sz w:val="24"/>
          <w:szCs w:val="24"/>
        </w:rPr>
        <w:t xml:space="preserve">   </w:t>
      </w:r>
      <w:r>
        <w:rPr>
          <w:rFonts w:hint="eastAsia"/>
          <w:color w:val="auto"/>
          <w:sz w:val="24"/>
          <w:szCs w:val="24"/>
        </w:rPr>
        <w:t>日</w:t>
      </w:r>
      <w:r>
        <w:rPr>
          <w:color w:val="auto"/>
          <w:sz w:val="24"/>
          <w:szCs w:val="24"/>
        </w:rPr>
        <w:t xml:space="preserve"> </w:t>
      </w:r>
      <w:r>
        <w:rPr>
          <w:rFonts w:hint="eastAsia"/>
          <w:color w:val="auto"/>
          <w:sz w:val="24"/>
          <w:szCs w:val="24"/>
        </w:rPr>
        <w:t>期：</w:t>
      </w:r>
      <w:r>
        <w:rPr>
          <w:color w:val="auto"/>
          <w:sz w:val="24"/>
          <w:szCs w:val="24"/>
        </w:rPr>
        <w:t xml:space="preserve">      </w:t>
      </w:r>
      <w:r>
        <w:rPr>
          <w:rFonts w:hint="eastAsia"/>
          <w:color w:val="auto"/>
          <w:sz w:val="24"/>
          <w:szCs w:val="24"/>
        </w:rPr>
        <w:t>年</w:t>
      </w:r>
      <w:r>
        <w:rPr>
          <w:color w:val="auto"/>
          <w:sz w:val="24"/>
          <w:szCs w:val="24"/>
        </w:rPr>
        <w:t xml:space="preserve">   </w:t>
      </w:r>
      <w:r>
        <w:rPr>
          <w:rFonts w:hint="eastAsia"/>
          <w:color w:val="auto"/>
          <w:sz w:val="24"/>
          <w:szCs w:val="24"/>
        </w:rPr>
        <w:t>月</w:t>
      </w:r>
      <w:r>
        <w:rPr>
          <w:color w:val="auto"/>
          <w:sz w:val="24"/>
          <w:szCs w:val="24"/>
        </w:rPr>
        <w:t xml:space="preserve">   </w:t>
      </w:r>
      <w:r>
        <w:rPr>
          <w:rFonts w:hint="eastAsia"/>
          <w:color w:val="auto"/>
          <w:sz w:val="24"/>
          <w:szCs w:val="24"/>
        </w:rPr>
        <w:t>日</w:t>
      </w:r>
    </w:p>
    <w:p w14:paraId="79FB5A62">
      <w:pPr>
        <w:pStyle w:val="27"/>
        <w:spacing w:line="400" w:lineRule="atLeast"/>
        <w:ind w:left="-27" w:firstLine="422"/>
        <w:rPr>
          <w:rFonts w:ascii="Times New Roman" w:hAnsi="Times New Roman"/>
          <w:color w:val="auto"/>
          <w:sz w:val="24"/>
          <w:szCs w:val="24"/>
        </w:rPr>
      </w:pPr>
      <w:r>
        <w:rPr>
          <w:rFonts w:hint="eastAsia" w:ascii="Times New Roman" w:hAnsi="Times New Roman"/>
          <w:color w:val="auto"/>
          <w:sz w:val="24"/>
          <w:szCs w:val="24"/>
        </w:rPr>
        <w:t>附：</w:t>
      </w:r>
    </w:p>
    <w:p w14:paraId="7456CCD8">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hint="eastAsia" w:ascii="Times New Roman" w:hAnsi="Times New Roman"/>
          <w:color w:val="auto"/>
          <w:sz w:val="24"/>
          <w:szCs w:val="24"/>
        </w:rPr>
        <w:t>授权代表姓名：</w:t>
      </w:r>
      <w:r>
        <w:rPr>
          <w:rFonts w:hint="eastAsia" w:hAnsi="宋体" w:cs="宋体"/>
          <w:b/>
          <w:bCs/>
          <w:color w:val="auto"/>
          <w:sz w:val="24"/>
          <w:szCs w:val="24"/>
          <w:u w:val="single"/>
        </w:rPr>
        <w:t xml:space="preserve">                 </w:t>
      </w:r>
    </w:p>
    <w:p w14:paraId="7E4657A0">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hint="eastAsia" w:ascii="Times New Roman" w:hAnsi="Times New Roman"/>
          <w:color w:val="auto"/>
          <w:sz w:val="24"/>
          <w:szCs w:val="24"/>
        </w:rPr>
        <w:t>职</w:t>
      </w:r>
      <w:r>
        <w:rPr>
          <w:rFonts w:ascii="Times New Roman" w:hAnsi="Times New Roman"/>
          <w:color w:val="auto"/>
          <w:sz w:val="24"/>
          <w:szCs w:val="24"/>
        </w:rPr>
        <w:t xml:space="preserve">  </w:t>
      </w:r>
      <w:r>
        <w:rPr>
          <w:rFonts w:hint="eastAsia" w:ascii="Times New Roman" w:hAnsi="Times New Roman"/>
          <w:color w:val="auto"/>
          <w:sz w:val="24"/>
          <w:szCs w:val="24"/>
        </w:rPr>
        <w:t>务：</w:t>
      </w:r>
      <w:r>
        <w:rPr>
          <w:rFonts w:hint="eastAsia" w:hAnsi="宋体" w:cs="宋体"/>
          <w:b/>
          <w:bCs/>
          <w:color w:val="auto"/>
          <w:sz w:val="24"/>
          <w:szCs w:val="24"/>
          <w:u w:val="single"/>
        </w:rPr>
        <w:t xml:space="preserve">                 </w:t>
      </w:r>
    </w:p>
    <w:p w14:paraId="0EA8F125">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hint="eastAsia" w:ascii="Times New Roman" w:hAnsi="Times New Roman"/>
          <w:color w:val="auto"/>
          <w:sz w:val="24"/>
          <w:szCs w:val="24"/>
        </w:rPr>
        <w:t>详细通讯地址：</w:t>
      </w:r>
      <w:r>
        <w:rPr>
          <w:rFonts w:hint="eastAsia" w:hAnsi="宋体" w:cs="宋体"/>
          <w:b/>
          <w:bCs/>
          <w:color w:val="auto"/>
          <w:sz w:val="24"/>
          <w:szCs w:val="24"/>
          <w:u w:val="single"/>
        </w:rPr>
        <w:t xml:space="preserve">                 </w:t>
      </w:r>
    </w:p>
    <w:p w14:paraId="3AF0C21A">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hint="eastAsia" w:ascii="Times New Roman" w:hAnsi="Times New Roman"/>
          <w:color w:val="auto"/>
          <w:sz w:val="24"/>
          <w:szCs w:val="24"/>
        </w:rPr>
        <w:t>邮 箱：</w:t>
      </w:r>
      <w:r>
        <w:rPr>
          <w:rFonts w:hint="eastAsia" w:hAnsi="宋体" w:cs="宋体"/>
          <w:b/>
          <w:bCs/>
          <w:color w:val="auto"/>
          <w:sz w:val="24"/>
          <w:szCs w:val="24"/>
          <w:u w:val="single"/>
        </w:rPr>
        <w:t xml:space="preserve">                 </w:t>
      </w:r>
    </w:p>
    <w:p w14:paraId="61A4526D">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hint="eastAsia" w:ascii="Times New Roman" w:hAnsi="Times New Roman"/>
          <w:color w:val="auto"/>
          <w:sz w:val="24"/>
          <w:szCs w:val="24"/>
        </w:rPr>
        <w:t>电</w:t>
      </w:r>
      <w:r>
        <w:rPr>
          <w:rFonts w:ascii="Times New Roman" w:hAnsi="Times New Roman"/>
          <w:color w:val="auto"/>
          <w:sz w:val="24"/>
          <w:szCs w:val="24"/>
        </w:rPr>
        <w:t xml:space="preserve">  </w:t>
      </w:r>
      <w:r>
        <w:rPr>
          <w:rFonts w:hint="eastAsia" w:ascii="Times New Roman" w:hAnsi="Times New Roman"/>
          <w:color w:val="auto"/>
          <w:sz w:val="24"/>
          <w:szCs w:val="24"/>
        </w:rPr>
        <w:t>话：</w:t>
      </w:r>
      <w:r>
        <w:rPr>
          <w:rFonts w:hint="eastAsia" w:hAnsi="宋体" w:cs="宋体"/>
          <w:b/>
          <w:bCs/>
          <w:color w:val="auto"/>
          <w:sz w:val="24"/>
          <w:szCs w:val="24"/>
          <w:u w:val="single"/>
        </w:rPr>
        <w:t xml:space="preserve">                 </w:t>
      </w:r>
    </w:p>
    <w:p w14:paraId="625BFDD5">
      <w:pPr>
        <w:pStyle w:val="27"/>
        <w:spacing w:line="400" w:lineRule="atLeast"/>
        <w:ind w:left="-27" w:firstLine="422"/>
        <w:rPr>
          <w:rFonts w:ascii="Times New Roman" w:hAnsi="Times New Roman"/>
          <w:color w:val="auto"/>
          <w:sz w:val="24"/>
          <w:szCs w:val="24"/>
        </w:rPr>
      </w:pPr>
      <w:r>
        <w:rPr>
          <w:rFonts w:ascii="Times New Roman" w:hAnsi="Times New Roman"/>
          <w:color w:val="auto"/>
          <w:sz w:val="24"/>
          <w:szCs w:val="24"/>
        </w:rPr>
        <w:t xml:space="preserve">        </w:t>
      </w:r>
      <w:r>
        <w:rPr>
          <w:rFonts w:hint="eastAsia" w:ascii="Times New Roman" w:hAnsi="Times New Roman"/>
          <w:color w:val="auto"/>
          <w:sz w:val="24"/>
          <w:szCs w:val="24"/>
        </w:rPr>
        <w:t>邮政编码：</w:t>
      </w:r>
      <w:r>
        <w:rPr>
          <w:rFonts w:hint="eastAsia" w:hAnsi="宋体" w:cs="宋体"/>
          <w:b/>
          <w:bCs/>
          <w:color w:val="auto"/>
          <w:sz w:val="24"/>
          <w:szCs w:val="24"/>
          <w:u w:val="single"/>
        </w:rPr>
        <w:t xml:space="preserve">                 </w:t>
      </w:r>
    </w:p>
    <w:p w14:paraId="1F650A4F">
      <w:pPr>
        <w:pStyle w:val="27"/>
        <w:spacing w:line="400" w:lineRule="atLeast"/>
        <w:ind w:left="-27" w:firstLine="480" w:firstLineChars="200"/>
        <w:rPr>
          <w:rFonts w:ascii="Times New Roman" w:hAnsi="Times New Roman"/>
          <w:color w:val="auto"/>
          <w:sz w:val="24"/>
          <w:szCs w:val="24"/>
        </w:rPr>
      </w:pPr>
      <w:r>
        <w:rPr>
          <w:rFonts w:ascii="Times New Roman" w:hAnsi="Times New Roman"/>
          <w:color w:val="auto"/>
          <w:sz w:val="24"/>
          <w:szCs w:val="24"/>
        </w:rPr>
        <w:t xml:space="preserve">   </w:t>
      </w:r>
    </w:p>
    <w:p w14:paraId="41738326">
      <w:pPr>
        <w:widowControl/>
        <w:ind w:firstLine="723" w:firstLineChars="225"/>
        <w:jc w:val="left"/>
        <w:outlineLvl w:val="2"/>
        <w:rPr>
          <w:b/>
          <w:color w:val="auto"/>
          <w:sz w:val="32"/>
          <w:szCs w:val="32"/>
        </w:rPr>
      </w:pPr>
      <w:r>
        <w:rPr>
          <w:rFonts w:hint="eastAsia"/>
          <w:b/>
          <w:color w:val="auto"/>
          <w:sz w:val="32"/>
          <w:szCs w:val="32"/>
        </w:rPr>
        <w:t>法定代表人身份证复印件（正反面）</w:t>
      </w:r>
    </w:p>
    <w:p w14:paraId="2834D2F9">
      <w:pPr>
        <w:widowControl/>
        <w:ind w:firstLine="723" w:firstLineChars="225"/>
        <w:jc w:val="left"/>
        <w:rPr>
          <w:b/>
          <w:color w:val="auto"/>
          <w:sz w:val="32"/>
          <w:szCs w:val="32"/>
        </w:rPr>
      </w:pPr>
    </w:p>
    <w:p w14:paraId="34F60291">
      <w:pPr>
        <w:widowControl/>
        <w:ind w:firstLine="723" w:firstLineChars="225"/>
        <w:jc w:val="left"/>
        <w:outlineLvl w:val="2"/>
        <w:rPr>
          <w:b/>
          <w:color w:val="auto"/>
          <w:sz w:val="32"/>
          <w:szCs w:val="32"/>
        </w:rPr>
      </w:pPr>
      <w:r>
        <w:rPr>
          <w:rFonts w:hint="eastAsia"/>
          <w:b/>
          <w:color w:val="auto"/>
          <w:sz w:val="32"/>
          <w:szCs w:val="32"/>
        </w:rPr>
        <w:t>授权代表人身份证复印件（正反面）</w:t>
      </w:r>
    </w:p>
    <w:p w14:paraId="07D6DC8C">
      <w:pPr>
        <w:widowControl/>
        <w:ind w:firstLine="723" w:firstLineChars="225"/>
        <w:jc w:val="left"/>
        <w:rPr>
          <w:b/>
          <w:color w:val="auto"/>
          <w:sz w:val="32"/>
          <w:szCs w:val="32"/>
        </w:rPr>
      </w:pPr>
    </w:p>
    <w:p w14:paraId="5AF66180">
      <w:pPr>
        <w:rPr>
          <w:rFonts w:ascii="宋体" w:hAnsi="宋体" w:cs="宋体"/>
          <w:b/>
          <w:color w:val="auto"/>
          <w:spacing w:val="-6"/>
          <w:sz w:val="24"/>
          <w:szCs w:val="24"/>
        </w:rPr>
      </w:pPr>
      <w:r>
        <w:rPr>
          <w:rFonts w:hint="eastAsia" w:ascii="宋体" w:hAnsi="宋体" w:cs="宋体"/>
          <w:b/>
          <w:color w:val="auto"/>
          <w:spacing w:val="-6"/>
          <w:sz w:val="24"/>
          <w:szCs w:val="24"/>
        </w:rPr>
        <w:br w:type="page"/>
      </w:r>
    </w:p>
    <w:p w14:paraId="08C41247">
      <w:pPr>
        <w:pStyle w:val="6"/>
        <w:ind w:left="0" w:firstLine="0"/>
        <w:outlineLvl w:val="0"/>
        <w:rPr>
          <w:color w:val="auto"/>
        </w:rPr>
      </w:pPr>
      <w:bookmarkStart w:id="672" w:name="_Toc196"/>
      <w:bookmarkStart w:id="673" w:name="_Toc17177_WPSOffice_Level2"/>
      <w:r>
        <w:rPr>
          <w:rFonts w:hint="eastAsia"/>
          <w:color w:val="auto"/>
        </w:rPr>
        <w:t>（3）授权代表社保缴纳证明</w:t>
      </w:r>
      <w:bookmarkEnd w:id="672"/>
      <w:bookmarkEnd w:id="673"/>
    </w:p>
    <w:p w14:paraId="3FF0B41E">
      <w:pPr>
        <w:rPr>
          <w:rFonts w:ascii="宋体" w:hAnsi="宋体" w:cs="宋体"/>
          <w:b/>
          <w:color w:val="auto"/>
          <w:spacing w:val="-6"/>
          <w:sz w:val="32"/>
          <w:szCs w:val="32"/>
        </w:rPr>
      </w:pPr>
    </w:p>
    <w:p w14:paraId="693BA00C">
      <w:pPr>
        <w:jc w:val="center"/>
        <w:outlineLvl w:val="1"/>
        <w:rPr>
          <w:rFonts w:ascii="宋体" w:hAnsi="宋体" w:cs="宋体"/>
          <w:b/>
          <w:color w:val="auto"/>
          <w:spacing w:val="-6"/>
          <w:sz w:val="32"/>
          <w:szCs w:val="32"/>
        </w:rPr>
      </w:pPr>
      <w:bookmarkStart w:id="674" w:name="_Toc7008_WPSOffice_Level2"/>
      <w:r>
        <w:rPr>
          <w:rFonts w:hint="eastAsia" w:ascii="宋体" w:hAnsi="宋体" w:cs="宋体"/>
          <w:b/>
          <w:color w:val="auto"/>
          <w:spacing w:val="-6"/>
          <w:sz w:val="32"/>
          <w:szCs w:val="32"/>
          <w:lang w:eastAsia="zh-CN"/>
        </w:rPr>
        <w:t>2026年1月</w:t>
      </w:r>
      <w:r>
        <w:rPr>
          <w:rFonts w:hint="eastAsia" w:ascii="宋体" w:hAnsi="宋体" w:cs="宋体"/>
          <w:b/>
          <w:color w:val="auto"/>
          <w:spacing w:val="-6"/>
          <w:sz w:val="32"/>
          <w:szCs w:val="32"/>
        </w:rPr>
        <w:t>（含）以后任意一月授权代表社保缴纳证明</w:t>
      </w:r>
      <w:bookmarkEnd w:id="674"/>
    </w:p>
    <w:p w14:paraId="6E1A1981">
      <w:pPr>
        <w:spacing w:line="200" w:lineRule="atLeast"/>
        <w:ind w:firstLine="420"/>
        <w:jc w:val="center"/>
        <w:outlineLvl w:val="0"/>
        <w:rPr>
          <w:rFonts w:ascii="宋体" w:hAnsi="宋体"/>
          <w:b/>
          <w:color w:val="auto"/>
          <w:spacing w:val="-4"/>
          <w:sz w:val="28"/>
          <w:szCs w:val="28"/>
        </w:rPr>
      </w:pPr>
      <w:bookmarkStart w:id="675" w:name="_Toc28131_WPSOffice_Level2"/>
      <w:r>
        <w:rPr>
          <w:rFonts w:hint="eastAsia" w:ascii="宋体" w:hAnsi="宋体"/>
          <w:b/>
          <w:color w:val="auto"/>
          <w:spacing w:val="-6"/>
          <w:sz w:val="28"/>
          <w:szCs w:val="28"/>
        </w:rPr>
        <w:t>（授权代表为法定代表人可不提供）</w:t>
      </w:r>
      <w:bookmarkEnd w:id="675"/>
    </w:p>
    <w:p w14:paraId="091B5053">
      <w:pPr>
        <w:widowControl/>
        <w:ind w:firstLine="723" w:firstLineChars="225"/>
        <w:jc w:val="left"/>
        <w:rPr>
          <w:b/>
          <w:color w:val="auto"/>
          <w:sz w:val="32"/>
          <w:szCs w:val="32"/>
        </w:rPr>
      </w:pPr>
    </w:p>
    <w:p w14:paraId="608CB4E9">
      <w:pPr>
        <w:widowControl/>
        <w:ind w:firstLine="723" w:firstLineChars="225"/>
        <w:jc w:val="left"/>
        <w:rPr>
          <w:b/>
          <w:color w:val="auto"/>
          <w:sz w:val="32"/>
          <w:szCs w:val="32"/>
        </w:rPr>
        <w:sectPr>
          <w:footerReference r:id="rId7" w:type="default"/>
          <w:pgSz w:w="11907" w:h="16840"/>
          <w:pgMar w:top="1134" w:right="1247" w:bottom="1247" w:left="1247" w:header="567" w:footer="794" w:gutter="0"/>
          <w:cols w:space="720" w:num="1"/>
        </w:sectPr>
      </w:pPr>
    </w:p>
    <w:p w14:paraId="1F340563">
      <w:pPr>
        <w:pStyle w:val="6"/>
        <w:ind w:left="0" w:firstLine="0"/>
        <w:outlineLvl w:val="0"/>
        <w:rPr>
          <w:color w:val="auto"/>
        </w:rPr>
      </w:pPr>
      <w:bookmarkStart w:id="676" w:name="_Toc25890"/>
      <w:bookmarkStart w:id="677" w:name="_Toc4883"/>
      <w:bookmarkStart w:id="678" w:name="_Toc26387"/>
      <w:bookmarkStart w:id="679" w:name="_Toc14222"/>
      <w:bookmarkStart w:id="680" w:name="_Toc19676"/>
      <w:bookmarkStart w:id="681" w:name="_Toc30038"/>
      <w:bookmarkStart w:id="682" w:name="_Toc2212"/>
      <w:bookmarkStart w:id="683" w:name="_Toc21021"/>
      <w:bookmarkStart w:id="684" w:name="_Toc25749"/>
      <w:bookmarkStart w:id="685" w:name="_Toc23121"/>
      <w:bookmarkStart w:id="686" w:name="_Toc20234"/>
      <w:bookmarkStart w:id="687" w:name="_Toc4745_WPSOffice_Level2"/>
      <w:bookmarkStart w:id="688" w:name="_Toc14198"/>
      <w:bookmarkStart w:id="689" w:name="_Toc4577"/>
      <w:bookmarkStart w:id="690" w:name="_Toc30387"/>
      <w:bookmarkStart w:id="691" w:name="_Toc24848"/>
      <w:bookmarkStart w:id="692" w:name="_Toc12615"/>
      <w:bookmarkStart w:id="693" w:name="_Toc32360"/>
      <w:bookmarkStart w:id="694" w:name="_Toc11813"/>
      <w:bookmarkStart w:id="695" w:name="_Toc772"/>
      <w:bookmarkStart w:id="696" w:name="_Toc5481"/>
      <w:bookmarkStart w:id="697" w:name="_Toc26242"/>
      <w:bookmarkStart w:id="698" w:name="_Toc11332"/>
      <w:bookmarkStart w:id="699" w:name="_Toc18481"/>
      <w:bookmarkStart w:id="700" w:name="_Toc20129"/>
      <w:bookmarkStart w:id="701" w:name="_Toc22103"/>
      <w:bookmarkStart w:id="702" w:name="_Toc9338"/>
      <w:bookmarkStart w:id="703" w:name="_Toc24184"/>
      <w:bookmarkStart w:id="704" w:name="_Toc26592"/>
      <w:bookmarkStart w:id="705" w:name="_Toc14931"/>
      <w:bookmarkStart w:id="706" w:name="_Toc31464"/>
      <w:bookmarkStart w:id="707" w:name="_Toc2974"/>
      <w:bookmarkStart w:id="708" w:name="_Toc20443"/>
      <w:bookmarkStart w:id="709" w:name="_Toc31758"/>
      <w:bookmarkStart w:id="710" w:name="_Toc28598"/>
      <w:bookmarkStart w:id="711" w:name="_Toc350"/>
      <w:bookmarkStart w:id="712" w:name="_Toc3968"/>
      <w:bookmarkStart w:id="713" w:name="_Toc14954"/>
      <w:bookmarkStart w:id="714" w:name="_Toc2570"/>
      <w:bookmarkStart w:id="715" w:name="_Toc31568"/>
      <w:r>
        <w:rPr>
          <w:rFonts w:hint="eastAsia"/>
          <w:color w:val="auto"/>
        </w:rPr>
        <w:t>（4）法定代表人资格证明书</w:t>
      </w:r>
      <w:bookmarkEnd w:id="676"/>
      <w:bookmarkEnd w:id="677"/>
      <w:bookmarkEnd w:id="678"/>
      <w:bookmarkEnd w:id="679"/>
      <w:bookmarkEnd w:id="680"/>
      <w:bookmarkEnd w:id="681"/>
      <w:bookmarkEnd w:id="682"/>
      <w:bookmarkEnd w:id="683"/>
      <w:bookmarkEnd w:id="684"/>
      <w:bookmarkEnd w:id="685"/>
      <w:r>
        <w:rPr>
          <w:rFonts w:hint="eastAsia"/>
          <w:color w:val="auto"/>
        </w:rPr>
        <w:t>（法定代表人参加时提供）</w:t>
      </w:r>
      <w:bookmarkEnd w:id="686"/>
      <w:bookmarkEnd w:id="687"/>
    </w:p>
    <w:p w14:paraId="104D2A02">
      <w:pPr>
        <w:pStyle w:val="2"/>
        <w:ind w:left="0" w:leftChars="0" w:firstLine="0" w:firstLineChars="0"/>
        <w:rPr>
          <w:color w:val="auto"/>
        </w:rPr>
      </w:pPr>
    </w:p>
    <w:p w14:paraId="78946EFF">
      <w:pPr>
        <w:pStyle w:val="27"/>
        <w:tabs>
          <w:tab w:val="left" w:pos="450"/>
        </w:tabs>
        <w:spacing w:line="400" w:lineRule="atLeast"/>
        <w:ind w:left="-27" w:firstLine="565"/>
        <w:jc w:val="center"/>
        <w:outlineLvl w:val="1"/>
        <w:rPr>
          <w:rFonts w:ascii="Times New Roman" w:hAnsi="Times New Roman"/>
          <w:b/>
          <w:color w:val="auto"/>
          <w:sz w:val="32"/>
          <w:szCs w:val="32"/>
        </w:rPr>
      </w:pPr>
      <w:bookmarkStart w:id="716" w:name="_Toc10019"/>
      <w:bookmarkStart w:id="717" w:name="_Toc1401_WPSOffice_Level2"/>
      <w:r>
        <w:rPr>
          <w:rFonts w:hint="eastAsia" w:ascii="Times New Roman" w:hAnsi="Times New Roman"/>
          <w:b/>
          <w:color w:val="auto"/>
          <w:sz w:val="32"/>
          <w:szCs w:val="32"/>
        </w:rPr>
        <w:t>法定代表人资格证明书</w:t>
      </w:r>
      <w:bookmarkEnd w:id="716"/>
      <w:bookmarkEnd w:id="717"/>
    </w:p>
    <w:p w14:paraId="256FBF2B">
      <w:pPr>
        <w:spacing w:line="360" w:lineRule="auto"/>
        <w:jc w:val="center"/>
        <w:rPr>
          <w:b/>
          <w:color w:val="auto"/>
          <w:spacing w:val="-6"/>
          <w:sz w:val="24"/>
        </w:rPr>
      </w:pPr>
    </w:p>
    <w:p w14:paraId="3B364F3E">
      <w:pPr>
        <w:spacing w:line="360" w:lineRule="auto"/>
        <w:rPr>
          <w:bCs/>
          <w:color w:val="auto"/>
          <w:spacing w:val="-6"/>
          <w:sz w:val="24"/>
        </w:rPr>
      </w:pPr>
      <w:r>
        <w:rPr>
          <w:rFonts w:hint="eastAsia"/>
          <w:bCs/>
          <w:color w:val="auto"/>
          <w:spacing w:val="-6"/>
          <w:sz w:val="24"/>
        </w:rPr>
        <w:t>杭州电子科技大学</w:t>
      </w:r>
      <w:r>
        <w:rPr>
          <w:bCs/>
          <w:color w:val="auto"/>
          <w:spacing w:val="-6"/>
          <w:sz w:val="24"/>
        </w:rPr>
        <w:t>：</w:t>
      </w:r>
    </w:p>
    <w:p w14:paraId="646CFD19">
      <w:pPr>
        <w:spacing w:line="360" w:lineRule="auto"/>
        <w:ind w:firstLine="456" w:firstLineChars="200"/>
        <w:rPr>
          <w:bCs/>
          <w:color w:val="auto"/>
          <w:spacing w:val="-6"/>
          <w:sz w:val="24"/>
        </w:rPr>
      </w:pPr>
      <w:r>
        <w:rPr>
          <w:bCs/>
          <w:color w:val="auto"/>
          <w:spacing w:val="-6"/>
          <w:sz w:val="24"/>
        </w:rPr>
        <w:t>我</w:t>
      </w:r>
      <w:r>
        <w:rPr>
          <w:color w:val="auto"/>
          <w:spacing w:val="-6"/>
          <w:sz w:val="24"/>
          <w:u w:val="single"/>
        </w:rPr>
        <w:t xml:space="preserve">                 </w:t>
      </w:r>
      <w:r>
        <w:rPr>
          <w:bCs/>
          <w:color w:val="auto"/>
          <w:spacing w:val="-6"/>
          <w:sz w:val="24"/>
        </w:rPr>
        <w:t>(姓名)系</w:t>
      </w:r>
      <w:r>
        <w:rPr>
          <w:color w:val="auto"/>
          <w:spacing w:val="-6"/>
          <w:sz w:val="24"/>
          <w:u w:val="single"/>
        </w:rPr>
        <w:t xml:space="preserve">                            </w:t>
      </w:r>
      <w:r>
        <w:rPr>
          <w:bCs/>
          <w:color w:val="auto"/>
          <w:spacing w:val="-6"/>
          <w:sz w:val="24"/>
        </w:rPr>
        <w:t>(投标人名称)的法定代表人，身份证号：</w:t>
      </w:r>
      <w:r>
        <w:rPr>
          <w:color w:val="auto"/>
          <w:spacing w:val="-6"/>
          <w:sz w:val="24"/>
          <w:u w:val="single"/>
        </w:rPr>
        <w:t xml:space="preserve">                                     </w:t>
      </w:r>
      <w:r>
        <w:rPr>
          <w:bCs/>
          <w:color w:val="auto"/>
          <w:spacing w:val="-6"/>
          <w:sz w:val="24"/>
        </w:rPr>
        <w:t>。</w:t>
      </w:r>
    </w:p>
    <w:p w14:paraId="07BBDD6B">
      <w:pPr>
        <w:spacing w:line="360" w:lineRule="auto"/>
        <w:ind w:firstLine="456" w:firstLineChars="200"/>
        <w:rPr>
          <w:bCs/>
          <w:color w:val="auto"/>
          <w:spacing w:val="-6"/>
          <w:sz w:val="24"/>
        </w:rPr>
      </w:pPr>
      <w:r>
        <w:rPr>
          <w:bCs/>
          <w:color w:val="auto"/>
          <w:spacing w:val="-6"/>
          <w:sz w:val="24"/>
        </w:rPr>
        <w:t>特此证明。</w:t>
      </w:r>
    </w:p>
    <w:p w14:paraId="2AB34AED">
      <w:pPr>
        <w:spacing w:line="360" w:lineRule="auto"/>
        <w:rPr>
          <w:bCs/>
          <w:color w:val="auto"/>
          <w:spacing w:val="-6"/>
          <w:sz w:val="24"/>
        </w:rPr>
      </w:pPr>
    </w:p>
    <w:tbl>
      <w:tblPr>
        <w:tblStyle w:val="45"/>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E3B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0" w:hRule="atLeast"/>
        </w:trPr>
        <w:tc>
          <w:tcPr>
            <w:tcW w:w="8528" w:type="dxa"/>
            <w:vAlign w:val="center"/>
          </w:tcPr>
          <w:p w14:paraId="21F30976">
            <w:pPr>
              <w:jc w:val="center"/>
              <w:rPr>
                <w:color w:val="auto"/>
                <w:sz w:val="24"/>
              </w:rPr>
            </w:pPr>
            <w:r>
              <w:rPr>
                <w:color w:val="auto"/>
                <w:sz w:val="24"/>
              </w:rPr>
              <w:t>法定代表人身份证(正、反面)复印件粘贴处</w:t>
            </w:r>
          </w:p>
          <w:p w14:paraId="1486DAF1">
            <w:pPr>
              <w:spacing w:line="360" w:lineRule="auto"/>
              <w:jc w:val="center"/>
              <w:rPr>
                <w:bCs/>
                <w:color w:val="auto"/>
                <w:spacing w:val="-6"/>
                <w:sz w:val="24"/>
              </w:rPr>
            </w:pPr>
          </w:p>
        </w:tc>
      </w:tr>
    </w:tbl>
    <w:p w14:paraId="2A0A502F">
      <w:pPr>
        <w:spacing w:line="360" w:lineRule="auto"/>
        <w:rPr>
          <w:bCs/>
          <w:color w:val="auto"/>
          <w:spacing w:val="-6"/>
          <w:sz w:val="24"/>
        </w:rPr>
      </w:pPr>
    </w:p>
    <w:p w14:paraId="32DEE59D">
      <w:pPr>
        <w:spacing w:line="360" w:lineRule="auto"/>
        <w:ind w:right="456"/>
        <w:rPr>
          <w:b/>
          <w:bCs/>
          <w:color w:val="auto"/>
          <w:spacing w:val="-6"/>
          <w:sz w:val="24"/>
        </w:rPr>
      </w:pPr>
    </w:p>
    <w:p w14:paraId="38A6C48B">
      <w:pPr>
        <w:pStyle w:val="27"/>
        <w:spacing w:line="400" w:lineRule="atLeast"/>
        <w:ind w:left="-27" w:firstLine="2530" w:firstLineChars="1050"/>
        <w:rPr>
          <w:rFonts w:hAnsi="宋体" w:cs="宋体"/>
          <w:b/>
          <w:bCs/>
          <w:color w:val="auto"/>
          <w:sz w:val="24"/>
          <w:szCs w:val="24"/>
          <w:u w:val="single"/>
        </w:rPr>
      </w:pPr>
      <w:r>
        <w:rPr>
          <w:rFonts w:hint="eastAsia" w:hAnsi="宋体" w:cs="宋体"/>
          <w:b/>
          <w:bCs/>
          <w:color w:val="auto"/>
          <w:sz w:val="24"/>
          <w:szCs w:val="24"/>
        </w:rPr>
        <w:t>法定代表人（签字或</w:t>
      </w:r>
      <w:r>
        <w:rPr>
          <w:rFonts w:hint="eastAsia" w:hAnsi="宋体" w:cs="宋体"/>
          <w:b/>
          <w:bCs/>
          <w:color w:val="auto"/>
          <w:sz w:val="24"/>
          <w:szCs w:val="24"/>
          <w:lang w:val="en-US" w:eastAsia="zh-CN"/>
        </w:rPr>
        <w:t>法人代表</w:t>
      </w:r>
      <w:r>
        <w:rPr>
          <w:rFonts w:hint="eastAsia" w:hAnsi="宋体" w:cs="宋体"/>
          <w:b/>
          <w:bCs/>
          <w:color w:val="auto"/>
          <w:sz w:val="24"/>
          <w:szCs w:val="24"/>
        </w:rPr>
        <w:t>章）：</w:t>
      </w:r>
      <w:r>
        <w:rPr>
          <w:rFonts w:hint="eastAsia" w:hAnsi="宋体" w:cs="宋体"/>
          <w:b/>
          <w:bCs/>
          <w:color w:val="auto"/>
          <w:sz w:val="24"/>
          <w:szCs w:val="24"/>
          <w:u w:val="single"/>
        </w:rPr>
        <w:t xml:space="preserve">                </w:t>
      </w:r>
    </w:p>
    <w:p w14:paraId="0E45B0D7">
      <w:pPr>
        <w:pStyle w:val="27"/>
        <w:spacing w:line="400" w:lineRule="atLeast"/>
        <w:ind w:left="-27" w:firstLine="2530" w:firstLineChars="1050"/>
        <w:rPr>
          <w:rFonts w:ascii="Times New Roman" w:hAnsi="Times New Roman"/>
          <w:b/>
          <w:bCs/>
          <w:color w:val="auto"/>
          <w:sz w:val="24"/>
          <w:szCs w:val="24"/>
        </w:rPr>
      </w:pPr>
    </w:p>
    <w:p w14:paraId="6A950BFC">
      <w:pPr>
        <w:pStyle w:val="27"/>
        <w:spacing w:line="400" w:lineRule="atLeast"/>
        <w:ind w:left="-27" w:firstLine="2530" w:firstLineChars="1050"/>
        <w:rPr>
          <w:rFonts w:ascii="Times New Roman" w:hAnsi="Times New Roman"/>
          <w:b/>
          <w:bCs/>
          <w:color w:val="auto"/>
          <w:sz w:val="24"/>
          <w:szCs w:val="24"/>
        </w:rPr>
      </w:pPr>
      <w:r>
        <w:rPr>
          <w:rFonts w:hint="eastAsia" w:ascii="Times New Roman" w:hAnsi="Times New Roman"/>
          <w:b/>
          <w:bCs/>
          <w:color w:val="auto"/>
          <w:sz w:val="24"/>
          <w:szCs w:val="24"/>
        </w:rPr>
        <w:t>响应方全称（公章）：</w:t>
      </w:r>
    </w:p>
    <w:p w14:paraId="6D7A0FA8">
      <w:pPr>
        <w:spacing w:line="360" w:lineRule="auto"/>
        <w:ind w:left="3578" w:leftChars="1704" w:right="456"/>
        <w:rPr>
          <w:b/>
          <w:bCs/>
          <w:color w:val="auto"/>
          <w:sz w:val="24"/>
          <w:szCs w:val="24"/>
        </w:rPr>
      </w:pPr>
      <w:r>
        <w:rPr>
          <w:rFonts w:hint="eastAsia"/>
          <w:b/>
          <w:bCs/>
          <w:color w:val="auto"/>
          <w:sz w:val="24"/>
          <w:szCs w:val="24"/>
        </w:rPr>
        <w:t xml:space="preserve"> </w:t>
      </w:r>
    </w:p>
    <w:p w14:paraId="36D78CE8">
      <w:pPr>
        <w:spacing w:line="360" w:lineRule="auto"/>
        <w:ind w:left="3360" w:leftChars="1600" w:right="456"/>
        <w:rPr>
          <w:color w:val="auto"/>
          <w:sz w:val="24"/>
          <w:szCs w:val="24"/>
        </w:rPr>
      </w:pPr>
    </w:p>
    <w:p w14:paraId="5F725473">
      <w:pPr>
        <w:ind w:firstLine="2519" w:firstLineChars="1105"/>
        <w:jc w:val="left"/>
        <w:rPr>
          <w:rFonts w:ascii="黑体" w:hAnsi="黑体" w:eastAsia="黑体" w:cs="黑体"/>
          <w:color w:val="auto"/>
          <w:sz w:val="28"/>
          <w:szCs w:val="28"/>
        </w:rPr>
      </w:pPr>
      <w:r>
        <w:rPr>
          <w:bCs/>
          <w:color w:val="auto"/>
          <w:spacing w:val="-6"/>
          <w:sz w:val="24"/>
        </w:rPr>
        <w:t xml:space="preserve">日期：  </w:t>
      </w:r>
      <w:r>
        <w:rPr>
          <w:rFonts w:hint="eastAsia"/>
          <w:bCs/>
          <w:color w:val="auto"/>
          <w:spacing w:val="-6"/>
          <w:sz w:val="24"/>
        </w:rPr>
        <w:t xml:space="preserve">  </w:t>
      </w:r>
      <w:r>
        <w:rPr>
          <w:bCs/>
          <w:color w:val="auto"/>
          <w:spacing w:val="-6"/>
          <w:sz w:val="24"/>
        </w:rPr>
        <w:t xml:space="preserve">  年  </w:t>
      </w:r>
      <w:r>
        <w:rPr>
          <w:rFonts w:hint="eastAsia"/>
          <w:bCs/>
          <w:color w:val="auto"/>
          <w:spacing w:val="-6"/>
          <w:sz w:val="24"/>
        </w:rPr>
        <w:t xml:space="preserve"> </w:t>
      </w:r>
      <w:r>
        <w:rPr>
          <w:bCs/>
          <w:color w:val="auto"/>
          <w:spacing w:val="-6"/>
          <w:sz w:val="24"/>
        </w:rPr>
        <w:t xml:space="preserve">  月 </w:t>
      </w:r>
      <w:r>
        <w:rPr>
          <w:rFonts w:hint="eastAsia"/>
          <w:bCs/>
          <w:color w:val="auto"/>
          <w:spacing w:val="-6"/>
          <w:sz w:val="24"/>
        </w:rPr>
        <w:t xml:space="preserve"> </w:t>
      </w:r>
      <w:r>
        <w:rPr>
          <w:bCs/>
          <w:color w:val="auto"/>
          <w:spacing w:val="-6"/>
          <w:sz w:val="24"/>
        </w:rPr>
        <w:t xml:space="preserve">  日</w:t>
      </w:r>
      <w:r>
        <w:rPr>
          <w:rFonts w:hint="eastAsia" w:ascii="黑体" w:hAnsi="黑体" w:eastAsia="黑体" w:cs="黑体"/>
          <w:color w:val="auto"/>
          <w:sz w:val="28"/>
          <w:szCs w:val="28"/>
        </w:rPr>
        <w:br w:type="page"/>
      </w:r>
    </w:p>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14:paraId="0286FBCC">
      <w:pPr>
        <w:pStyle w:val="6"/>
        <w:ind w:left="0" w:firstLine="0"/>
        <w:outlineLvl w:val="0"/>
        <w:rPr>
          <w:color w:val="auto"/>
        </w:rPr>
      </w:pPr>
      <w:bookmarkStart w:id="718" w:name="_Toc20887"/>
      <w:bookmarkStart w:id="719" w:name="_Toc10669_WPSOffice_Level2"/>
      <w:bookmarkStart w:id="720" w:name="_Toc20480"/>
      <w:bookmarkStart w:id="721" w:name="_Toc1334"/>
      <w:bookmarkStart w:id="722" w:name="_Toc15720"/>
      <w:bookmarkStart w:id="723" w:name="_Toc11889"/>
      <w:bookmarkStart w:id="724" w:name="_Toc24989"/>
      <w:bookmarkStart w:id="725" w:name="_Toc17126"/>
      <w:bookmarkStart w:id="726" w:name="_Toc441"/>
      <w:bookmarkStart w:id="727" w:name="_Toc27945"/>
      <w:bookmarkStart w:id="728" w:name="_Toc21937"/>
      <w:bookmarkStart w:id="729" w:name="_Toc3162"/>
      <w:bookmarkStart w:id="730" w:name="_Toc24530"/>
      <w:bookmarkStart w:id="731" w:name="_Toc20101"/>
      <w:bookmarkStart w:id="732" w:name="_Toc11492"/>
      <w:bookmarkStart w:id="733" w:name="_Toc3893"/>
      <w:bookmarkStart w:id="734" w:name="_Toc17219"/>
      <w:bookmarkStart w:id="735" w:name="_Toc16347"/>
      <w:bookmarkStart w:id="736" w:name="_Toc2218"/>
      <w:bookmarkStart w:id="737" w:name="_Toc15510"/>
      <w:bookmarkStart w:id="738" w:name="_Toc22052"/>
      <w:bookmarkStart w:id="739" w:name="_Toc1553"/>
      <w:bookmarkStart w:id="740" w:name="_Toc30022"/>
      <w:bookmarkStart w:id="741" w:name="_Toc23078"/>
      <w:bookmarkStart w:id="742" w:name="_Toc21741"/>
      <w:bookmarkStart w:id="743" w:name="_Toc30169"/>
      <w:bookmarkStart w:id="744" w:name="_Toc32465"/>
      <w:bookmarkStart w:id="745" w:name="_Toc30921"/>
      <w:bookmarkStart w:id="746" w:name="_Toc6625"/>
      <w:bookmarkStart w:id="747" w:name="_Toc25655"/>
      <w:bookmarkStart w:id="748" w:name="_Toc5970"/>
      <w:bookmarkStart w:id="749" w:name="_Toc29343"/>
      <w:bookmarkStart w:id="750" w:name="_Toc27024"/>
      <w:bookmarkStart w:id="751" w:name="_Toc4163"/>
      <w:bookmarkStart w:id="752" w:name="_Toc27347"/>
      <w:bookmarkStart w:id="753" w:name="_Toc32367"/>
      <w:bookmarkStart w:id="754" w:name="_Toc26243"/>
      <w:r>
        <w:rPr>
          <w:rFonts w:hint="eastAsia"/>
          <w:color w:val="auto"/>
        </w:rPr>
        <w:t>（5）采购需求偏离表</w:t>
      </w:r>
      <w:bookmarkEnd w:id="718"/>
      <w:bookmarkEnd w:id="719"/>
    </w:p>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14:paraId="45555A38">
      <w:pPr>
        <w:jc w:val="center"/>
        <w:outlineLvl w:val="1"/>
        <w:rPr>
          <w:b/>
          <w:bCs/>
          <w:color w:val="auto"/>
          <w:sz w:val="32"/>
        </w:rPr>
      </w:pPr>
      <w:bookmarkStart w:id="755" w:name="_Toc9976_WPSOffice_Level2"/>
      <w:r>
        <w:rPr>
          <w:rFonts w:hint="eastAsia"/>
          <w:b/>
          <w:bCs/>
          <w:color w:val="auto"/>
          <w:sz w:val="32"/>
        </w:rPr>
        <w:t>采购需求偏离表</w:t>
      </w:r>
      <w:bookmarkEnd w:id="755"/>
    </w:p>
    <w:p w14:paraId="27E0A381">
      <w:pPr>
        <w:rPr>
          <w:b/>
          <w:bCs/>
          <w:color w:val="auto"/>
          <w:sz w:val="32"/>
        </w:rPr>
      </w:pPr>
    </w:p>
    <w:p w14:paraId="1219CA28">
      <w:pPr>
        <w:pStyle w:val="27"/>
        <w:spacing w:line="400" w:lineRule="atLeast"/>
        <w:ind w:left="-27" w:firstLine="422"/>
        <w:rPr>
          <w:rFonts w:ascii="Times New Roman" w:hAnsi="Times New Roman"/>
          <w:color w:val="auto"/>
          <w:sz w:val="24"/>
        </w:rPr>
      </w:pPr>
      <w:r>
        <w:rPr>
          <w:rFonts w:hint="eastAsia" w:ascii="Times New Roman" w:hAnsi="Times New Roman"/>
          <w:color w:val="auto"/>
          <w:sz w:val="24"/>
        </w:rPr>
        <w:t>项目名称：</w:t>
      </w:r>
      <w:r>
        <w:rPr>
          <w:rFonts w:ascii="Times New Roman" w:hAnsi="Times New Roman"/>
          <w:color w:val="auto"/>
          <w:sz w:val="24"/>
        </w:rPr>
        <w:t xml:space="preserve"> </w:t>
      </w:r>
    </w:p>
    <w:p w14:paraId="24B1E78C">
      <w:pPr>
        <w:pStyle w:val="27"/>
        <w:spacing w:line="400" w:lineRule="atLeast"/>
        <w:ind w:left="-27" w:firstLine="422"/>
        <w:rPr>
          <w:rFonts w:ascii="Times New Roman" w:hAnsi="Times New Roman"/>
          <w:color w:val="auto"/>
          <w:sz w:val="24"/>
        </w:rPr>
      </w:pPr>
      <w:r>
        <w:rPr>
          <w:rFonts w:hint="eastAsia" w:ascii="Times New Roman" w:hAnsi="Times New Roman"/>
          <w:color w:val="auto"/>
          <w:sz w:val="24"/>
        </w:rPr>
        <w:t>项目编号：</w:t>
      </w:r>
    </w:p>
    <w:p w14:paraId="6C5399FB">
      <w:pPr>
        <w:pStyle w:val="27"/>
        <w:spacing w:line="400" w:lineRule="atLeast"/>
        <w:ind w:left="-27" w:firstLine="422"/>
        <w:rPr>
          <w:rFonts w:ascii="Times New Roman" w:hAnsi="Times New Roman"/>
          <w:color w:val="auto"/>
          <w:sz w:val="24"/>
        </w:rPr>
      </w:pPr>
    </w:p>
    <w:tbl>
      <w:tblPr>
        <w:tblStyle w:val="45"/>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4254"/>
        <w:gridCol w:w="2574"/>
        <w:gridCol w:w="2124"/>
      </w:tblGrid>
      <w:tr w14:paraId="19EE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2FD44139">
            <w:pPr>
              <w:jc w:val="center"/>
              <w:rPr>
                <w:rFonts w:ascii="宋体" w:hAnsi="宋体" w:cs="宋体"/>
                <w:b/>
                <w:bCs/>
                <w:color w:val="auto"/>
                <w:szCs w:val="21"/>
              </w:rPr>
            </w:pPr>
            <w:r>
              <w:rPr>
                <w:rFonts w:hint="eastAsia" w:ascii="宋体" w:hAnsi="宋体" w:cs="宋体"/>
                <w:b/>
                <w:bCs/>
                <w:color w:val="auto"/>
                <w:szCs w:val="21"/>
              </w:rPr>
              <w:t>序号</w:t>
            </w:r>
          </w:p>
        </w:tc>
        <w:tc>
          <w:tcPr>
            <w:tcW w:w="4254" w:type="dxa"/>
            <w:tcBorders>
              <w:top w:val="single" w:color="auto" w:sz="4" w:space="0"/>
              <w:left w:val="single" w:color="auto" w:sz="4" w:space="0"/>
              <w:bottom w:val="single" w:color="auto" w:sz="4" w:space="0"/>
              <w:right w:val="single" w:color="auto" w:sz="4" w:space="0"/>
            </w:tcBorders>
            <w:vAlign w:val="center"/>
          </w:tcPr>
          <w:p w14:paraId="07127FED">
            <w:pPr>
              <w:jc w:val="center"/>
              <w:rPr>
                <w:rFonts w:ascii="宋体" w:hAnsi="宋体" w:cs="宋体"/>
                <w:b/>
                <w:bCs/>
                <w:color w:val="auto"/>
                <w:szCs w:val="21"/>
              </w:rPr>
            </w:pPr>
            <w:r>
              <w:rPr>
                <w:rFonts w:hint="eastAsia" w:ascii="宋体" w:hAnsi="宋体" w:cs="宋体"/>
                <w:b/>
                <w:bCs/>
                <w:color w:val="auto"/>
                <w:szCs w:val="21"/>
              </w:rPr>
              <w:t>磋商文件要求</w:t>
            </w:r>
          </w:p>
        </w:tc>
        <w:tc>
          <w:tcPr>
            <w:tcW w:w="2574" w:type="dxa"/>
            <w:tcBorders>
              <w:top w:val="single" w:color="auto" w:sz="4" w:space="0"/>
              <w:left w:val="single" w:color="auto" w:sz="4" w:space="0"/>
              <w:bottom w:val="single" w:color="auto" w:sz="4" w:space="0"/>
              <w:right w:val="single" w:color="auto" w:sz="4" w:space="0"/>
            </w:tcBorders>
            <w:vAlign w:val="center"/>
          </w:tcPr>
          <w:p w14:paraId="2036B99E">
            <w:pPr>
              <w:jc w:val="center"/>
              <w:rPr>
                <w:rFonts w:ascii="宋体" w:hAnsi="宋体" w:cs="宋体"/>
                <w:b/>
                <w:bCs/>
                <w:color w:val="auto"/>
                <w:szCs w:val="21"/>
              </w:rPr>
            </w:pPr>
            <w:r>
              <w:rPr>
                <w:rFonts w:hint="eastAsia" w:ascii="宋体" w:hAnsi="宋体" w:cs="宋体"/>
                <w:b/>
                <w:bCs/>
                <w:color w:val="auto"/>
                <w:szCs w:val="21"/>
              </w:rPr>
              <w:t>响应情况</w:t>
            </w:r>
          </w:p>
        </w:tc>
        <w:tc>
          <w:tcPr>
            <w:tcW w:w="2124" w:type="dxa"/>
            <w:tcBorders>
              <w:top w:val="single" w:color="auto" w:sz="4" w:space="0"/>
              <w:left w:val="single" w:color="auto" w:sz="4" w:space="0"/>
              <w:bottom w:val="single" w:color="auto" w:sz="4" w:space="0"/>
              <w:right w:val="single" w:color="auto" w:sz="4" w:space="0"/>
            </w:tcBorders>
            <w:vAlign w:val="center"/>
          </w:tcPr>
          <w:p w14:paraId="095E0737">
            <w:pPr>
              <w:jc w:val="center"/>
              <w:rPr>
                <w:rFonts w:ascii="宋体" w:hAnsi="宋体" w:cs="宋体"/>
                <w:b/>
                <w:bCs/>
                <w:color w:val="auto"/>
                <w:szCs w:val="21"/>
              </w:rPr>
            </w:pPr>
            <w:r>
              <w:rPr>
                <w:rFonts w:hint="eastAsia" w:ascii="宋体" w:hAnsi="宋体" w:cs="宋体"/>
                <w:b/>
                <w:bCs/>
                <w:color w:val="auto"/>
                <w:szCs w:val="21"/>
              </w:rPr>
              <w:t>是否偏离（提供说明）</w:t>
            </w:r>
          </w:p>
        </w:tc>
      </w:tr>
      <w:tr w14:paraId="730B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28" w:type="dxa"/>
            <w:gridSpan w:val="4"/>
            <w:vAlign w:val="center"/>
          </w:tcPr>
          <w:p w14:paraId="3290C03E">
            <w:pPr>
              <w:rPr>
                <w:rFonts w:ascii="宋体" w:hAnsi="宋体" w:cs="宋体"/>
                <w:color w:val="auto"/>
                <w:szCs w:val="21"/>
              </w:rPr>
            </w:pPr>
            <w:r>
              <w:rPr>
                <w:rFonts w:hint="eastAsia" w:ascii="宋体" w:hAnsi="宋体" w:cs="宋体"/>
                <w:b/>
                <w:bCs/>
                <w:color w:val="auto"/>
                <w:szCs w:val="21"/>
              </w:rPr>
              <w:t>商务要求（采购资金的支付方式、时间、条件等）</w:t>
            </w:r>
          </w:p>
        </w:tc>
      </w:tr>
      <w:tr w14:paraId="776E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vAlign w:val="center"/>
          </w:tcPr>
          <w:p w14:paraId="2785A690">
            <w:pPr>
              <w:jc w:val="center"/>
              <w:rPr>
                <w:rFonts w:ascii="宋体" w:hAnsi="宋体" w:cs="宋体"/>
                <w:color w:val="auto"/>
                <w:szCs w:val="21"/>
              </w:rPr>
            </w:pPr>
            <w:r>
              <w:rPr>
                <w:rFonts w:hint="eastAsia" w:ascii="宋体" w:hAnsi="宋体" w:cs="宋体"/>
                <w:color w:val="auto"/>
                <w:szCs w:val="21"/>
              </w:rPr>
              <w:t>1</w:t>
            </w:r>
          </w:p>
        </w:tc>
        <w:tc>
          <w:tcPr>
            <w:tcW w:w="4254" w:type="dxa"/>
            <w:vAlign w:val="center"/>
          </w:tcPr>
          <w:p w14:paraId="63478CAF">
            <w:pPr>
              <w:rPr>
                <w:rFonts w:ascii="宋体" w:hAnsi="宋体" w:cs="宋体"/>
                <w:color w:val="auto"/>
                <w:szCs w:val="21"/>
              </w:rPr>
            </w:pPr>
          </w:p>
        </w:tc>
        <w:tc>
          <w:tcPr>
            <w:tcW w:w="2574" w:type="dxa"/>
            <w:vAlign w:val="center"/>
          </w:tcPr>
          <w:p w14:paraId="03363CCB">
            <w:pPr>
              <w:rPr>
                <w:rFonts w:ascii="宋体" w:hAnsi="宋体" w:cs="宋体"/>
                <w:color w:val="auto"/>
                <w:szCs w:val="21"/>
              </w:rPr>
            </w:pPr>
          </w:p>
        </w:tc>
        <w:tc>
          <w:tcPr>
            <w:tcW w:w="2124" w:type="dxa"/>
            <w:vAlign w:val="center"/>
          </w:tcPr>
          <w:p w14:paraId="593BB478">
            <w:pPr>
              <w:rPr>
                <w:rFonts w:ascii="宋体" w:hAnsi="宋体" w:cs="宋体"/>
                <w:color w:val="auto"/>
                <w:szCs w:val="21"/>
              </w:rPr>
            </w:pPr>
          </w:p>
        </w:tc>
      </w:tr>
      <w:tr w14:paraId="4C6C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vAlign w:val="center"/>
          </w:tcPr>
          <w:p w14:paraId="5D7749DE">
            <w:pPr>
              <w:jc w:val="center"/>
              <w:rPr>
                <w:rFonts w:ascii="宋体" w:hAnsi="宋体" w:cs="宋体"/>
                <w:color w:val="auto"/>
                <w:szCs w:val="21"/>
              </w:rPr>
            </w:pPr>
            <w:r>
              <w:rPr>
                <w:rFonts w:hint="eastAsia" w:ascii="宋体" w:hAnsi="宋体" w:cs="宋体"/>
                <w:color w:val="auto"/>
                <w:szCs w:val="21"/>
              </w:rPr>
              <w:t>2</w:t>
            </w:r>
          </w:p>
        </w:tc>
        <w:tc>
          <w:tcPr>
            <w:tcW w:w="4254" w:type="dxa"/>
            <w:vAlign w:val="center"/>
          </w:tcPr>
          <w:p w14:paraId="735A11E8">
            <w:pPr>
              <w:rPr>
                <w:rFonts w:ascii="宋体" w:hAnsi="宋体" w:cs="宋体"/>
                <w:color w:val="auto"/>
                <w:szCs w:val="21"/>
              </w:rPr>
            </w:pPr>
          </w:p>
        </w:tc>
        <w:tc>
          <w:tcPr>
            <w:tcW w:w="2574" w:type="dxa"/>
            <w:vAlign w:val="center"/>
          </w:tcPr>
          <w:p w14:paraId="467E7E2F">
            <w:pPr>
              <w:rPr>
                <w:rFonts w:ascii="宋体" w:hAnsi="宋体" w:cs="宋体"/>
                <w:color w:val="auto"/>
                <w:szCs w:val="21"/>
              </w:rPr>
            </w:pPr>
          </w:p>
        </w:tc>
        <w:tc>
          <w:tcPr>
            <w:tcW w:w="2124" w:type="dxa"/>
            <w:vAlign w:val="center"/>
          </w:tcPr>
          <w:p w14:paraId="2C939629">
            <w:pPr>
              <w:rPr>
                <w:rFonts w:ascii="宋体" w:hAnsi="宋体" w:cs="宋体"/>
                <w:color w:val="auto"/>
                <w:szCs w:val="21"/>
              </w:rPr>
            </w:pPr>
          </w:p>
        </w:tc>
      </w:tr>
      <w:tr w14:paraId="4EFF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vAlign w:val="center"/>
          </w:tcPr>
          <w:p w14:paraId="2EA1ED01">
            <w:pPr>
              <w:jc w:val="center"/>
              <w:rPr>
                <w:rFonts w:ascii="宋体" w:hAnsi="宋体" w:cs="宋体"/>
                <w:color w:val="auto"/>
                <w:szCs w:val="21"/>
              </w:rPr>
            </w:pPr>
            <w:r>
              <w:rPr>
                <w:rFonts w:hint="eastAsia" w:ascii="宋体" w:hAnsi="宋体" w:cs="宋体"/>
                <w:color w:val="auto"/>
                <w:szCs w:val="21"/>
              </w:rPr>
              <w:t>……</w:t>
            </w:r>
          </w:p>
        </w:tc>
        <w:tc>
          <w:tcPr>
            <w:tcW w:w="4254" w:type="dxa"/>
            <w:vAlign w:val="center"/>
          </w:tcPr>
          <w:p w14:paraId="1861B63D">
            <w:pPr>
              <w:rPr>
                <w:rFonts w:ascii="宋体" w:hAnsi="宋体" w:cs="宋体"/>
                <w:color w:val="auto"/>
                <w:szCs w:val="21"/>
              </w:rPr>
            </w:pPr>
          </w:p>
        </w:tc>
        <w:tc>
          <w:tcPr>
            <w:tcW w:w="2574" w:type="dxa"/>
            <w:vAlign w:val="center"/>
          </w:tcPr>
          <w:p w14:paraId="5F4E74A0">
            <w:pPr>
              <w:rPr>
                <w:rFonts w:ascii="宋体" w:hAnsi="宋体" w:cs="宋体"/>
                <w:color w:val="auto"/>
                <w:szCs w:val="21"/>
              </w:rPr>
            </w:pPr>
          </w:p>
        </w:tc>
        <w:tc>
          <w:tcPr>
            <w:tcW w:w="2124" w:type="dxa"/>
            <w:vAlign w:val="center"/>
          </w:tcPr>
          <w:p w14:paraId="602B55DB">
            <w:pPr>
              <w:rPr>
                <w:rFonts w:ascii="宋体" w:hAnsi="宋体" w:cs="宋体"/>
                <w:color w:val="auto"/>
                <w:szCs w:val="21"/>
              </w:rPr>
            </w:pPr>
          </w:p>
        </w:tc>
      </w:tr>
      <w:tr w14:paraId="6090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28" w:type="dxa"/>
            <w:gridSpan w:val="4"/>
            <w:vAlign w:val="center"/>
          </w:tcPr>
          <w:p w14:paraId="193F006B">
            <w:pPr>
              <w:rPr>
                <w:rFonts w:ascii="宋体" w:hAnsi="宋体" w:cs="宋体"/>
                <w:color w:val="auto"/>
                <w:szCs w:val="21"/>
              </w:rPr>
            </w:pPr>
            <w:r>
              <w:rPr>
                <w:rFonts w:hint="eastAsia" w:ascii="宋体" w:hAnsi="宋体" w:cs="宋体"/>
                <w:b/>
                <w:bCs/>
                <w:color w:val="auto"/>
                <w:szCs w:val="21"/>
              </w:rPr>
              <w:t>技术参数、功能、服务等技术要求</w:t>
            </w:r>
          </w:p>
        </w:tc>
      </w:tr>
      <w:tr w14:paraId="33BD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vAlign w:val="center"/>
          </w:tcPr>
          <w:p w14:paraId="1E5DCB50">
            <w:pPr>
              <w:jc w:val="center"/>
              <w:rPr>
                <w:rFonts w:ascii="宋体" w:hAnsi="宋体" w:cs="宋体"/>
                <w:color w:val="auto"/>
                <w:szCs w:val="21"/>
              </w:rPr>
            </w:pPr>
            <w:r>
              <w:rPr>
                <w:rFonts w:hint="eastAsia" w:ascii="宋体" w:hAnsi="宋体" w:cs="宋体"/>
                <w:color w:val="auto"/>
                <w:szCs w:val="21"/>
              </w:rPr>
              <w:t>1</w:t>
            </w:r>
          </w:p>
        </w:tc>
        <w:tc>
          <w:tcPr>
            <w:tcW w:w="4254" w:type="dxa"/>
            <w:vAlign w:val="center"/>
          </w:tcPr>
          <w:p w14:paraId="60BCF2D0">
            <w:pPr>
              <w:jc w:val="left"/>
              <w:rPr>
                <w:rFonts w:ascii="宋体" w:hAnsi="宋体" w:cs="宋体"/>
                <w:color w:val="auto"/>
                <w:szCs w:val="21"/>
              </w:rPr>
            </w:pPr>
          </w:p>
        </w:tc>
        <w:tc>
          <w:tcPr>
            <w:tcW w:w="2574" w:type="dxa"/>
            <w:vAlign w:val="center"/>
          </w:tcPr>
          <w:p w14:paraId="77BEB8EF">
            <w:pPr>
              <w:jc w:val="left"/>
              <w:rPr>
                <w:rFonts w:ascii="宋体" w:hAnsi="宋体" w:cs="宋体"/>
                <w:color w:val="auto"/>
                <w:szCs w:val="21"/>
              </w:rPr>
            </w:pPr>
          </w:p>
        </w:tc>
        <w:tc>
          <w:tcPr>
            <w:tcW w:w="2124" w:type="dxa"/>
            <w:vAlign w:val="center"/>
          </w:tcPr>
          <w:p w14:paraId="0B49B963">
            <w:pPr>
              <w:jc w:val="left"/>
              <w:rPr>
                <w:rFonts w:ascii="宋体" w:hAnsi="宋体" w:cs="宋体"/>
                <w:color w:val="auto"/>
                <w:szCs w:val="21"/>
              </w:rPr>
            </w:pPr>
          </w:p>
        </w:tc>
      </w:tr>
      <w:tr w14:paraId="7E0E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vAlign w:val="center"/>
          </w:tcPr>
          <w:p w14:paraId="15FB713E">
            <w:pPr>
              <w:jc w:val="center"/>
              <w:rPr>
                <w:rFonts w:ascii="宋体" w:hAnsi="宋体" w:cs="宋体"/>
                <w:color w:val="auto"/>
                <w:szCs w:val="21"/>
              </w:rPr>
            </w:pPr>
            <w:r>
              <w:rPr>
                <w:rFonts w:hint="eastAsia" w:ascii="宋体" w:hAnsi="宋体" w:cs="宋体"/>
                <w:color w:val="auto"/>
                <w:szCs w:val="21"/>
              </w:rPr>
              <w:t>2</w:t>
            </w:r>
          </w:p>
        </w:tc>
        <w:tc>
          <w:tcPr>
            <w:tcW w:w="4254" w:type="dxa"/>
            <w:vAlign w:val="center"/>
          </w:tcPr>
          <w:p w14:paraId="1C62EC90">
            <w:pPr>
              <w:jc w:val="left"/>
              <w:rPr>
                <w:rFonts w:ascii="宋体" w:hAnsi="宋体" w:cs="宋体"/>
                <w:color w:val="auto"/>
                <w:szCs w:val="21"/>
              </w:rPr>
            </w:pPr>
          </w:p>
        </w:tc>
        <w:tc>
          <w:tcPr>
            <w:tcW w:w="2574" w:type="dxa"/>
            <w:vAlign w:val="center"/>
          </w:tcPr>
          <w:p w14:paraId="747657CD">
            <w:pPr>
              <w:jc w:val="left"/>
              <w:rPr>
                <w:rFonts w:ascii="宋体" w:hAnsi="宋体" w:cs="宋体"/>
                <w:color w:val="auto"/>
                <w:szCs w:val="21"/>
              </w:rPr>
            </w:pPr>
          </w:p>
        </w:tc>
        <w:tc>
          <w:tcPr>
            <w:tcW w:w="2124" w:type="dxa"/>
            <w:vAlign w:val="center"/>
          </w:tcPr>
          <w:p w14:paraId="02A5C308">
            <w:pPr>
              <w:jc w:val="left"/>
              <w:rPr>
                <w:rFonts w:ascii="宋体" w:hAnsi="宋体" w:cs="宋体"/>
                <w:color w:val="auto"/>
                <w:szCs w:val="21"/>
              </w:rPr>
            </w:pPr>
          </w:p>
        </w:tc>
      </w:tr>
      <w:tr w14:paraId="555F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dxa"/>
            <w:vAlign w:val="center"/>
          </w:tcPr>
          <w:p w14:paraId="586262E9">
            <w:pPr>
              <w:jc w:val="center"/>
              <w:rPr>
                <w:rFonts w:ascii="宋体" w:hAnsi="宋体" w:cs="宋体"/>
                <w:color w:val="auto"/>
                <w:szCs w:val="21"/>
              </w:rPr>
            </w:pPr>
            <w:r>
              <w:rPr>
                <w:rFonts w:hint="eastAsia" w:ascii="宋体" w:hAnsi="宋体" w:cs="宋体"/>
                <w:color w:val="auto"/>
                <w:szCs w:val="21"/>
              </w:rPr>
              <w:t>……</w:t>
            </w:r>
          </w:p>
        </w:tc>
        <w:tc>
          <w:tcPr>
            <w:tcW w:w="4254" w:type="dxa"/>
            <w:vAlign w:val="center"/>
          </w:tcPr>
          <w:p w14:paraId="3743F5BA">
            <w:pPr>
              <w:jc w:val="left"/>
              <w:rPr>
                <w:rFonts w:ascii="宋体" w:hAnsi="宋体" w:cs="宋体"/>
                <w:color w:val="auto"/>
                <w:szCs w:val="21"/>
              </w:rPr>
            </w:pPr>
          </w:p>
        </w:tc>
        <w:tc>
          <w:tcPr>
            <w:tcW w:w="2574" w:type="dxa"/>
            <w:vAlign w:val="center"/>
          </w:tcPr>
          <w:p w14:paraId="6B9D8B96">
            <w:pPr>
              <w:jc w:val="left"/>
              <w:rPr>
                <w:rFonts w:ascii="宋体" w:hAnsi="宋体" w:cs="宋体"/>
                <w:color w:val="auto"/>
                <w:szCs w:val="21"/>
              </w:rPr>
            </w:pPr>
          </w:p>
        </w:tc>
        <w:tc>
          <w:tcPr>
            <w:tcW w:w="2124" w:type="dxa"/>
            <w:vAlign w:val="center"/>
          </w:tcPr>
          <w:p w14:paraId="0B29C97A">
            <w:pPr>
              <w:jc w:val="left"/>
              <w:rPr>
                <w:rFonts w:ascii="宋体" w:hAnsi="宋体" w:cs="宋体"/>
                <w:color w:val="auto"/>
                <w:szCs w:val="21"/>
              </w:rPr>
            </w:pPr>
          </w:p>
        </w:tc>
      </w:tr>
    </w:tbl>
    <w:p w14:paraId="6146F1FE">
      <w:pPr>
        <w:spacing w:line="360" w:lineRule="auto"/>
        <w:rPr>
          <w:rFonts w:ascii="宋体" w:hAnsi="宋体"/>
          <w:b/>
          <w:bCs/>
          <w:color w:val="auto"/>
          <w:spacing w:val="-6"/>
          <w:szCs w:val="21"/>
        </w:rPr>
      </w:pPr>
    </w:p>
    <w:p w14:paraId="4909693B">
      <w:pPr>
        <w:spacing w:line="360" w:lineRule="auto"/>
        <w:rPr>
          <w:rFonts w:ascii="宋体" w:hAnsi="宋体"/>
          <w:b/>
          <w:bCs/>
          <w:color w:val="auto"/>
          <w:spacing w:val="-6"/>
          <w:szCs w:val="21"/>
        </w:rPr>
      </w:pPr>
      <w:r>
        <w:rPr>
          <w:rFonts w:hint="eastAsia" w:ascii="宋体" w:hAnsi="宋体"/>
          <w:b/>
          <w:bCs/>
          <w:color w:val="auto"/>
          <w:spacing w:val="-6"/>
          <w:szCs w:val="21"/>
        </w:rPr>
        <w:t>说明：</w:t>
      </w:r>
    </w:p>
    <w:p w14:paraId="5262DF61">
      <w:pPr>
        <w:spacing w:line="360" w:lineRule="auto"/>
        <w:rPr>
          <w:rFonts w:ascii="宋体" w:hAnsi="宋体"/>
          <w:b/>
          <w:bCs/>
          <w:color w:val="auto"/>
          <w:spacing w:val="-6"/>
          <w:szCs w:val="21"/>
        </w:rPr>
      </w:pPr>
      <w:r>
        <w:rPr>
          <w:rFonts w:hint="eastAsia" w:ascii="宋体" w:hAnsi="宋体"/>
          <w:b/>
          <w:bCs/>
          <w:color w:val="auto"/>
          <w:spacing w:val="-6"/>
          <w:szCs w:val="21"/>
        </w:rPr>
        <w:t>1</w:t>
      </w:r>
      <w:r>
        <w:rPr>
          <w:rFonts w:ascii="宋体" w:hAnsi="宋体"/>
          <w:b/>
          <w:bCs/>
          <w:color w:val="auto"/>
          <w:spacing w:val="-6"/>
          <w:szCs w:val="21"/>
        </w:rPr>
        <w:t>.</w:t>
      </w:r>
      <w:r>
        <w:rPr>
          <w:rFonts w:hint="eastAsia" w:ascii="宋体" w:hAnsi="宋体"/>
          <w:b/>
          <w:bCs/>
          <w:color w:val="auto"/>
          <w:spacing w:val="-6"/>
          <w:szCs w:val="21"/>
        </w:rPr>
        <w:t>逐项按照磋商文件要求填写响应情况；</w:t>
      </w:r>
    </w:p>
    <w:p w14:paraId="6974644C">
      <w:pPr>
        <w:spacing w:line="360" w:lineRule="auto"/>
        <w:rPr>
          <w:rFonts w:ascii="宋体" w:hAnsi="宋体"/>
          <w:b/>
          <w:bCs/>
          <w:color w:val="auto"/>
          <w:spacing w:val="-6"/>
          <w:szCs w:val="21"/>
        </w:rPr>
      </w:pPr>
      <w:r>
        <w:rPr>
          <w:rFonts w:hint="eastAsia" w:ascii="宋体" w:hAnsi="宋体"/>
          <w:b/>
          <w:bCs/>
          <w:color w:val="auto"/>
          <w:spacing w:val="-6"/>
          <w:szCs w:val="21"/>
        </w:rPr>
        <w:t>2</w:t>
      </w:r>
      <w:r>
        <w:rPr>
          <w:rFonts w:ascii="宋体" w:hAnsi="宋体"/>
          <w:b/>
          <w:bCs/>
          <w:color w:val="auto"/>
          <w:spacing w:val="-6"/>
          <w:szCs w:val="21"/>
        </w:rPr>
        <w:t>.</w:t>
      </w:r>
      <w:r>
        <w:rPr>
          <w:rFonts w:hint="eastAsia" w:ascii="宋体" w:hAnsi="宋体"/>
          <w:b/>
          <w:bCs/>
          <w:color w:val="auto"/>
          <w:spacing w:val="-6"/>
          <w:szCs w:val="21"/>
        </w:rPr>
        <w:t>偏离说明是指对磋商文件要求存在不同之处的解释说明。偏离系指：正偏离（高于采购需求）、负偏离（低于采购需求）、无偏离（满足采购需求）；</w:t>
      </w:r>
    </w:p>
    <w:p w14:paraId="3502E8C2">
      <w:pPr>
        <w:spacing w:line="360" w:lineRule="auto"/>
        <w:rPr>
          <w:rFonts w:ascii="宋体" w:hAnsi="宋体"/>
          <w:b/>
          <w:color w:val="auto"/>
          <w:spacing w:val="-6"/>
          <w:szCs w:val="21"/>
        </w:rPr>
      </w:pPr>
      <w:r>
        <w:rPr>
          <w:rFonts w:hint="eastAsia" w:ascii="宋体" w:hAnsi="宋体"/>
          <w:b/>
          <w:bCs/>
          <w:color w:val="auto"/>
          <w:spacing w:val="-6"/>
          <w:szCs w:val="21"/>
        </w:rPr>
        <w:t>3</w:t>
      </w:r>
      <w:r>
        <w:rPr>
          <w:rFonts w:ascii="宋体" w:hAnsi="宋体"/>
          <w:b/>
          <w:bCs/>
          <w:color w:val="auto"/>
          <w:spacing w:val="-6"/>
          <w:szCs w:val="21"/>
        </w:rPr>
        <w:t>.</w:t>
      </w:r>
      <w:r>
        <w:rPr>
          <w:rFonts w:hint="eastAsia" w:ascii="宋体" w:hAnsi="宋体"/>
          <w:b/>
          <w:bCs/>
          <w:color w:val="auto"/>
          <w:spacing w:val="-6"/>
          <w:szCs w:val="21"/>
        </w:rPr>
        <w:t>如不填写或未如实填写</w:t>
      </w:r>
      <w:r>
        <w:rPr>
          <w:rFonts w:hint="eastAsia" w:ascii="宋体" w:hAnsi="宋体"/>
          <w:b/>
          <w:color w:val="auto"/>
          <w:spacing w:val="-6"/>
          <w:szCs w:val="21"/>
        </w:rPr>
        <w:t>，自行承担投标风险。</w:t>
      </w:r>
    </w:p>
    <w:p w14:paraId="3FF42162">
      <w:pPr>
        <w:pStyle w:val="27"/>
        <w:spacing w:line="400" w:lineRule="atLeast"/>
        <w:ind w:left="-27" w:firstLine="422"/>
        <w:rPr>
          <w:rFonts w:ascii="Times New Roman" w:hAnsi="Times New Roman"/>
          <w:color w:val="auto"/>
          <w:sz w:val="24"/>
        </w:rPr>
      </w:pPr>
    </w:p>
    <w:p w14:paraId="45E1B9D9">
      <w:pPr>
        <w:pStyle w:val="27"/>
        <w:spacing w:line="400" w:lineRule="atLeast"/>
        <w:ind w:left="-27" w:firstLine="422"/>
        <w:rPr>
          <w:rFonts w:ascii="Times New Roman" w:hAnsi="Times New Roman"/>
          <w:color w:val="auto"/>
          <w:sz w:val="24"/>
        </w:rPr>
      </w:pPr>
    </w:p>
    <w:p w14:paraId="5CCE4F41">
      <w:pPr>
        <w:pStyle w:val="27"/>
        <w:spacing w:line="360" w:lineRule="auto"/>
        <w:rPr>
          <w:rFonts w:hAnsi="宋体" w:cs="宋体"/>
          <w:b/>
          <w:bCs/>
          <w:color w:val="auto"/>
          <w:sz w:val="24"/>
        </w:rPr>
      </w:pPr>
      <w:r>
        <w:rPr>
          <w:rFonts w:hint="eastAsia" w:hAnsi="宋体" w:cs="宋体"/>
          <w:b/>
          <w:bCs/>
          <w:color w:val="auto"/>
          <w:sz w:val="24"/>
        </w:rPr>
        <w:t>响应方</w:t>
      </w:r>
      <w:r>
        <w:rPr>
          <w:rFonts w:hint="eastAsia" w:hAnsi="宋体" w:cs="宋体"/>
          <w:b/>
          <w:bCs/>
          <w:color w:val="auto"/>
          <w:sz w:val="24"/>
          <w:lang w:val="en-US" w:eastAsia="zh-CN"/>
        </w:rPr>
        <w:t>名称</w:t>
      </w:r>
      <w:r>
        <w:rPr>
          <w:rFonts w:hint="eastAsia" w:hAnsi="宋体" w:cs="宋体"/>
          <w:b/>
          <w:bCs/>
          <w:color w:val="auto"/>
          <w:sz w:val="24"/>
        </w:rPr>
        <w:t xml:space="preserve">（盖章）：            </w:t>
      </w:r>
    </w:p>
    <w:p w14:paraId="2B15D497">
      <w:pPr>
        <w:spacing w:line="480" w:lineRule="auto"/>
        <w:rPr>
          <w:rFonts w:ascii="宋体" w:hAnsi="宋体" w:cs="宋体"/>
          <w:b/>
          <w:bCs/>
          <w:color w:val="auto"/>
          <w:sz w:val="24"/>
          <w:u w:val="single"/>
        </w:rPr>
      </w:pPr>
      <w:r>
        <w:rPr>
          <w:rFonts w:hint="eastAsia" w:hAnsi="宋体" w:cs="宋体"/>
          <w:b/>
          <w:bCs/>
          <w:color w:val="auto"/>
          <w:sz w:val="24"/>
          <w:lang w:eastAsia="zh-CN"/>
        </w:rPr>
        <w:t>授权代表（签字或法人代表章）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6936E6F4">
      <w:pPr>
        <w:spacing w:before="240" w:beforeLines="100" w:after="240" w:afterLines="100"/>
        <w:jc w:val="left"/>
        <w:rPr>
          <w:color w:val="auto"/>
          <w:sz w:val="24"/>
          <w:szCs w:val="24"/>
        </w:rPr>
      </w:pPr>
      <w:r>
        <w:rPr>
          <w:rFonts w:hint="eastAsia" w:ascii="宋体" w:hAnsi="宋体" w:cs="宋体"/>
          <w:color w:val="auto"/>
          <w:sz w:val="24"/>
        </w:rPr>
        <w:t>日期：      年   月   日</w:t>
      </w:r>
    </w:p>
    <w:p w14:paraId="23316F8B">
      <w:pPr>
        <w:pStyle w:val="27"/>
        <w:spacing w:line="400" w:lineRule="atLeast"/>
        <w:ind w:left="-27" w:firstLine="528"/>
        <w:rPr>
          <w:rFonts w:ascii="Times New Roman" w:hAnsi="Times New Roman"/>
          <w:color w:val="auto"/>
          <w:sz w:val="30"/>
        </w:rPr>
      </w:pPr>
    </w:p>
    <w:p w14:paraId="3892124F">
      <w:pPr>
        <w:pStyle w:val="6"/>
        <w:ind w:left="0" w:firstLine="0"/>
        <w:outlineLvl w:val="0"/>
        <w:rPr>
          <w:color w:val="auto"/>
        </w:rPr>
      </w:pPr>
      <w:r>
        <w:rPr>
          <w:bCs/>
          <w:color w:val="auto"/>
          <w:sz w:val="32"/>
        </w:rPr>
        <w:br w:type="page"/>
      </w:r>
      <w:bookmarkStart w:id="756" w:name="_Toc3732_WPSOffice_Level2"/>
      <w:bookmarkStart w:id="757" w:name="_Toc23871"/>
      <w:bookmarkStart w:id="758" w:name="_Toc12636"/>
      <w:bookmarkStart w:id="759" w:name="_Toc5267"/>
      <w:bookmarkStart w:id="760" w:name="_Toc5417"/>
      <w:bookmarkStart w:id="761" w:name="_Toc28469"/>
      <w:bookmarkStart w:id="762" w:name="_Toc16944"/>
      <w:bookmarkStart w:id="763" w:name="_Toc27408"/>
      <w:bookmarkStart w:id="764" w:name="_Toc21740"/>
      <w:bookmarkStart w:id="765" w:name="_Toc7973"/>
      <w:bookmarkStart w:id="766" w:name="_Toc31984"/>
      <w:bookmarkStart w:id="767" w:name="_Toc24720"/>
      <w:bookmarkStart w:id="768" w:name="_Toc24911"/>
      <w:bookmarkStart w:id="769" w:name="_Toc1162"/>
      <w:bookmarkStart w:id="770" w:name="_Toc4311"/>
      <w:bookmarkStart w:id="771" w:name="_Toc29052"/>
      <w:bookmarkStart w:id="772" w:name="_Toc18149"/>
      <w:bookmarkStart w:id="773" w:name="_Toc15291"/>
      <w:bookmarkStart w:id="774" w:name="_Toc27033"/>
      <w:bookmarkStart w:id="775" w:name="_Toc23576"/>
      <w:bookmarkStart w:id="776" w:name="_Toc5561"/>
      <w:bookmarkStart w:id="777" w:name="_Toc10664"/>
      <w:bookmarkStart w:id="778" w:name="_Toc13064"/>
      <w:bookmarkStart w:id="779" w:name="_Toc21842"/>
      <w:bookmarkStart w:id="780" w:name="_Toc10611"/>
      <w:bookmarkStart w:id="781" w:name="_Toc25833"/>
      <w:bookmarkStart w:id="782" w:name="_Toc32055"/>
      <w:bookmarkStart w:id="783" w:name="_Toc14028"/>
      <w:bookmarkStart w:id="784" w:name="_Toc31125"/>
      <w:bookmarkStart w:id="785" w:name="_Toc18959"/>
      <w:bookmarkStart w:id="786" w:name="_Toc13471"/>
      <w:bookmarkStart w:id="787" w:name="_Toc19442"/>
      <w:bookmarkStart w:id="788" w:name="_Toc2658"/>
      <w:bookmarkStart w:id="789" w:name="_Toc8117"/>
      <w:bookmarkStart w:id="790" w:name="_Toc21423"/>
      <w:bookmarkStart w:id="791" w:name="_Toc21289"/>
      <w:bookmarkStart w:id="792" w:name="_Toc12587"/>
      <w:bookmarkStart w:id="793" w:name="_Toc32508"/>
      <w:bookmarkStart w:id="794" w:name="_Toc27705"/>
      <w:bookmarkStart w:id="795" w:name="_Toc13985"/>
      <w:bookmarkStart w:id="796" w:name="_Toc14653"/>
      <w:bookmarkStart w:id="797" w:name="_Toc25187"/>
      <w:bookmarkStart w:id="798" w:name="_Toc26665"/>
      <w:bookmarkStart w:id="799" w:name="_Toc3061"/>
      <w:bookmarkStart w:id="800" w:name="_Toc3703"/>
      <w:bookmarkStart w:id="801" w:name="_Toc16636"/>
      <w:bookmarkStart w:id="802" w:name="_Toc22794"/>
      <w:bookmarkStart w:id="803" w:name="_Toc20418"/>
      <w:bookmarkStart w:id="804" w:name="_Toc12787"/>
      <w:bookmarkStart w:id="805" w:name="_Toc9470"/>
      <w:bookmarkStart w:id="806" w:name="_Toc26450"/>
      <w:bookmarkStart w:id="807" w:name="_Toc16502"/>
      <w:bookmarkStart w:id="808" w:name="_Toc23923"/>
      <w:bookmarkStart w:id="809" w:name="_Toc17790"/>
      <w:bookmarkStart w:id="810" w:name="_Toc15898"/>
      <w:bookmarkStart w:id="811" w:name="_Toc23122"/>
      <w:bookmarkStart w:id="812" w:name="_Toc19416"/>
      <w:bookmarkStart w:id="813" w:name="_Toc22688"/>
      <w:bookmarkStart w:id="814" w:name="_Toc22720"/>
      <w:bookmarkStart w:id="815" w:name="_Toc1110"/>
      <w:bookmarkStart w:id="816" w:name="_Toc18451"/>
      <w:bookmarkStart w:id="817" w:name="_Toc16423"/>
      <w:r>
        <w:rPr>
          <w:rFonts w:hint="eastAsia"/>
          <w:color w:val="auto"/>
        </w:rPr>
        <w:t>（6）响应方基本情况表</w:t>
      </w:r>
      <w:bookmarkEnd w:id="756"/>
      <w:bookmarkEnd w:id="757"/>
    </w:p>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1A6064EB">
      <w:pPr>
        <w:jc w:val="center"/>
        <w:outlineLvl w:val="1"/>
        <w:rPr>
          <w:b/>
          <w:bCs/>
          <w:color w:val="auto"/>
          <w:sz w:val="32"/>
        </w:rPr>
      </w:pPr>
      <w:bookmarkStart w:id="818" w:name="_Toc8626_WPSOffice_Level2"/>
      <w:r>
        <w:rPr>
          <w:rFonts w:hint="eastAsia"/>
          <w:b/>
          <w:bCs/>
          <w:color w:val="auto"/>
          <w:sz w:val="32"/>
        </w:rPr>
        <w:t>响应方基本情况表</w:t>
      </w:r>
      <w:bookmarkEnd w:id="818"/>
    </w:p>
    <w:tbl>
      <w:tblPr>
        <w:tblStyle w:val="45"/>
        <w:tblW w:w="9603"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520"/>
        <w:gridCol w:w="1785"/>
        <w:gridCol w:w="4563"/>
      </w:tblGrid>
      <w:tr w14:paraId="6C92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3BB0DBCF">
            <w:pPr>
              <w:spacing w:line="360" w:lineRule="auto"/>
              <w:jc w:val="center"/>
              <w:rPr>
                <w:rFonts w:ascii="宋体" w:hAnsi="宋体" w:cs="宋体"/>
                <w:color w:val="auto"/>
                <w:sz w:val="24"/>
                <w:szCs w:val="24"/>
              </w:rPr>
            </w:pPr>
            <w:r>
              <w:rPr>
                <w:rFonts w:hint="eastAsia" w:ascii="宋体" w:hAnsi="宋体" w:cs="宋体"/>
                <w:color w:val="auto"/>
                <w:sz w:val="24"/>
                <w:szCs w:val="24"/>
              </w:rPr>
              <w:t>1</w:t>
            </w:r>
          </w:p>
        </w:tc>
        <w:tc>
          <w:tcPr>
            <w:tcW w:w="8868" w:type="dxa"/>
            <w:gridSpan w:val="3"/>
            <w:vAlign w:val="center"/>
          </w:tcPr>
          <w:p w14:paraId="7800690E">
            <w:pPr>
              <w:spacing w:line="360" w:lineRule="auto"/>
              <w:rPr>
                <w:rFonts w:ascii="宋体" w:hAnsi="宋体" w:cs="宋体"/>
                <w:color w:val="auto"/>
                <w:sz w:val="24"/>
                <w:szCs w:val="24"/>
              </w:rPr>
            </w:pPr>
            <w:r>
              <w:rPr>
                <w:rFonts w:hint="eastAsia" w:ascii="宋体" w:hAnsi="宋体" w:cs="宋体"/>
                <w:color w:val="auto"/>
                <w:sz w:val="24"/>
                <w:szCs w:val="24"/>
              </w:rPr>
              <w:t>企业名称：</w:t>
            </w:r>
          </w:p>
        </w:tc>
      </w:tr>
      <w:tr w14:paraId="4620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374D1F7B">
            <w:pPr>
              <w:spacing w:line="360" w:lineRule="auto"/>
              <w:jc w:val="center"/>
              <w:rPr>
                <w:rFonts w:ascii="宋体" w:hAnsi="宋体" w:cs="宋体"/>
                <w:color w:val="auto"/>
                <w:sz w:val="24"/>
                <w:szCs w:val="24"/>
              </w:rPr>
            </w:pPr>
            <w:r>
              <w:rPr>
                <w:rFonts w:hint="eastAsia" w:ascii="宋体" w:hAnsi="宋体" w:cs="宋体"/>
                <w:color w:val="auto"/>
                <w:sz w:val="24"/>
                <w:szCs w:val="24"/>
              </w:rPr>
              <w:t>2</w:t>
            </w:r>
          </w:p>
        </w:tc>
        <w:tc>
          <w:tcPr>
            <w:tcW w:w="8868" w:type="dxa"/>
            <w:gridSpan w:val="3"/>
            <w:vAlign w:val="center"/>
          </w:tcPr>
          <w:p w14:paraId="4E4CF095">
            <w:pPr>
              <w:spacing w:line="360" w:lineRule="auto"/>
              <w:rPr>
                <w:rFonts w:ascii="宋体" w:hAnsi="宋体" w:cs="宋体"/>
                <w:color w:val="auto"/>
                <w:sz w:val="24"/>
                <w:szCs w:val="24"/>
              </w:rPr>
            </w:pPr>
            <w:r>
              <w:rPr>
                <w:rFonts w:hint="eastAsia" w:ascii="宋体" w:hAnsi="宋体" w:cs="宋体"/>
                <w:color w:val="auto"/>
                <w:sz w:val="24"/>
                <w:szCs w:val="24"/>
              </w:rPr>
              <w:t>总部地址：</w:t>
            </w:r>
          </w:p>
        </w:tc>
      </w:tr>
      <w:tr w14:paraId="1AA4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2207B578">
            <w:pPr>
              <w:spacing w:line="360" w:lineRule="auto"/>
              <w:jc w:val="center"/>
              <w:rPr>
                <w:rFonts w:ascii="宋体" w:hAnsi="宋体" w:cs="宋体"/>
                <w:color w:val="auto"/>
                <w:sz w:val="24"/>
                <w:szCs w:val="24"/>
              </w:rPr>
            </w:pPr>
            <w:r>
              <w:rPr>
                <w:rFonts w:hint="eastAsia" w:ascii="宋体" w:hAnsi="宋体" w:cs="宋体"/>
                <w:color w:val="auto"/>
                <w:sz w:val="24"/>
                <w:szCs w:val="24"/>
              </w:rPr>
              <w:t>3</w:t>
            </w:r>
          </w:p>
        </w:tc>
        <w:tc>
          <w:tcPr>
            <w:tcW w:w="8868" w:type="dxa"/>
            <w:gridSpan w:val="3"/>
            <w:vAlign w:val="center"/>
          </w:tcPr>
          <w:p w14:paraId="1199CD0E">
            <w:pPr>
              <w:spacing w:line="360" w:lineRule="auto"/>
              <w:rPr>
                <w:rFonts w:ascii="宋体" w:hAnsi="宋体" w:cs="宋体"/>
                <w:color w:val="auto"/>
                <w:sz w:val="24"/>
                <w:szCs w:val="24"/>
              </w:rPr>
            </w:pPr>
            <w:r>
              <w:rPr>
                <w:rFonts w:hint="eastAsia" w:ascii="宋体" w:hAnsi="宋体" w:cs="宋体"/>
                <w:color w:val="auto"/>
                <w:sz w:val="24"/>
                <w:szCs w:val="24"/>
              </w:rPr>
              <w:t>当地代表处地址：</w:t>
            </w:r>
          </w:p>
        </w:tc>
      </w:tr>
      <w:tr w14:paraId="1682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15283BF2">
            <w:pPr>
              <w:spacing w:line="360" w:lineRule="auto"/>
              <w:jc w:val="center"/>
              <w:rPr>
                <w:rFonts w:ascii="宋体" w:hAnsi="宋体" w:cs="宋体"/>
                <w:color w:val="auto"/>
                <w:sz w:val="24"/>
                <w:szCs w:val="24"/>
              </w:rPr>
            </w:pPr>
            <w:r>
              <w:rPr>
                <w:rFonts w:hint="eastAsia" w:ascii="宋体" w:hAnsi="宋体" w:cs="宋体"/>
                <w:color w:val="auto"/>
                <w:sz w:val="24"/>
                <w:szCs w:val="24"/>
              </w:rPr>
              <w:t>4</w:t>
            </w:r>
          </w:p>
        </w:tc>
        <w:tc>
          <w:tcPr>
            <w:tcW w:w="4305" w:type="dxa"/>
            <w:gridSpan w:val="2"/>
            <w:vAlign w:val="center"/>
          </w:tcPr>
          <w:p w14:paraId="1728FAAA">
            <w:pPr>
              <w:spacing w:line="360" w:lineRule="auto"/>
              <w:rPr>
                <w:rFonts w:ascii="宋体" w:hAnsi="宋体" w:cs="宋体"/>
                <w:color w:val="auto"/>
                <w:sz w:val="24"/>
                <w:szCs w:val="24"/>
              </w:rPr>
            </w:pPr>
            <w:r>
              <w:rPr>
                <w:rFonts w:hint="eastAsia" w:ascii="宋体" w:hAnsi="宋体" w:cs="宋体"/>
                <w:color w:val="auto"/>
                <w:sz w:val="24"/>
                <w:szCs w:val="24"/>
              </w:rPr>
              <w:t>电话：</w:t>
            </w:r>
          </w:p>
        </w:tc>
        <w:tc>
          <w:tcPr>
            <w:tcW w:w="4563" w:type="dxa"/>
            <w:vAlign w:val="center"/>
          </w:tcPr>
          <w:p w14:paraId="6438873E">
            <w:pPr>
              <w:spacing w:line="360" w:lineRule="auto"/>
              <w:rPr>
                <w:rFonts w:ascii="宋体" w:hAnsi="宋体" w:cs="宋体"/>
                <w:color w:val="auto"/>
                <w:sz w:val="24"/>
                <w:szCs w:val="24"/>
              </w:rPr>
            </w:pPr>
            <w:r>
              <w:rPr>
                <w:rFonts w:hint="eastAsia" w:ascii="宋体" w:hAnsi="宋体" w:cs="宋体"/>
                <w:color w:val="auto"/>
                <w:sz w:val="24"/>
                <w:szCs w:val="24"/>
              </w:rPr>
              <w:t>联系人：</w:t>
            </w:r>
          </w:p>
        </w:tc>
      </w:tr>
      <w:tr w14:paraId="2472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3014383A">
            <w:pPr>
              <w:spacing w:line="360" w:lineRule="auto"/>
              <w:jc w:val="center"/>
              <w:rPr>
                <w:rFonts w:ascii="宋体" w:hAnsi="宋体" w:cs="宋体"/>
                <w:color w:val="auto"/>
                <w:sz w:val="24"/>
                <w:szCs w:val="24"/>
              </w:rPr>
            </w:pPr>
            <w:r>
              <w:rPr>
                <w:rFonts w:hint="eastAsia" w:ascii="宋体" w:hAnsi="宋体" w:cs="宋体"/>
                <w:color w:val="auto"/>
                <w:sz w:val="24"/>
                <w:szCs w:val="24"/>
              </w:rPr>
              <w:t>5</w:t>
            </w:r>
          </w:p>
        </w:tc>
        <w:tc>
          <w:tcPr>
            <w:tcW w:w="4305" w:type="dxa"/>
            <w:gridSpan w:val="2"/>
            <w:vAlign w:val="center"/>
          </w:tcPr>
          <w:p w14:paraId="65C7F40F">
            <w:pPr>
              <w:spacing w:line="360" w:lineRule="auto"/>
              <w:rPr>
                <w:rFonts w:ascii="宋体" w:hAnsi="宋体" w:cs="宋体"/>
                <w:color w:val="auto"/>
                <w:sz w:val="24"/>
                <w:szCs w:val="24"/>
              </w:rPr>
            </w:pPr>
            <w:r>
              <w:rPr>
                <w:rFonts w:hint="eastAsia" w:ascii="宋体" w:hAnsi="宋体" w:cs="宋体"/>
                <w:color w:val="auto"/>
                <w:sz w:val="24"/>
                <w:szCs w:val="24"/>
              </w:rPr>
              <w:t>传真：</w:t>
            </w:r>
          </w:p>
        </w:tc>
        <w:tc>
          <w:tcPr>
            <w:tcW w:w="4563" w:type="dxa"/>
            <w:vAlign w:val="center"/>
          </w:tcPr>
          <w:p w14:paraId="017AB27A">
            <w:pPr>
              <w:spacing w:line="360" w:lineRule="auto"/>
              <w:rPr>
                <w:rFonts w:ascii="宋体" w:hAnsi="宋体" w:cs="宋体"/>
                <w:color w:val="auto"/>
                <w:sz w:val="24"/>
                <w:szCs w:val="24"/>
              </w:rPr>
            </w:pPr>
            <w:r>
              <w:rPr>
                <w:rFonts w:hint="eastAsia" w:ascii="宋体" w:hAnsi="宋体" w:cs="宋体"/>
                <w:color w:val="auto"/>
                <w:sz w:val="24"/>
                <w:szCs w:val="24"/>
              </w:rPr>
              <w:t>电子信箱：</w:t>
            </w:r>
          </w:p>
        </w:tc>
      </w:tr>
      <w:tr w14:paraId="5B66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1E59F8BA">
            <w:pPr>
              <w:spacing w:line="360" w:lineRule="auto"/>
              <w:jc w:val="center"/>
              <w:rPr>
                <w:rFonts w:ascii="宋体" w:hAnsi="宋体" w:cs="宋体"/>
                <w:color w:val="auto"/>
                <w:sz w:val="24"/>
                <w:szCs w:val="24"/>
              </w:rPr>
            </w:pPr>
            <w:r>
              <w:rPr>
                <w:rFonts w:hint="eastAsia" w:ascii="宋体" w:hAnsi="宋体" w:cs="宋体"/>
                <w:color w:val="auto"/>
                <w:sz w:val="24"/>
                <w:szCs w:val="24"/>
              </w:rPr>
              <w:t>6</w:t>
            </w:r>
          </w:p>
        </w:tc>
        <w:tc>
          <w:tcPr>
            <w:tcW w:w="4305" w:type="dxa"/>
            <w:gridSpan w:val="2"/>
            <w:vAlign w:val="center"/>
          </w:tcPr>
          <w:p w14:paraId="6C291DC4">
            <w:pPr>
              <w:spacing w:line="360" w:lineRule="auto"/>
              <w:rPr>
                <w:rFonts w:ascii="宋体" w:hAnsi="宋体" w:cs="宋体"/>
                <w:color w:val="auto"/>
                <w:sz w:val="24"/>
                <w:szCs w:val="24"/>
              </w:rPr>
            </w:pPr>
            <w:r>
              <w:rPr>
                <w:rFonts w:hint="eastAsia" w:ascii="宋体" w:hAnsi="宋体" w:cs="宋体"/>
                <w:color w:val="auto"/>
                <w:sz w:val="24"/>
                <w:szCs w:val="24"/>
              </w:rPr>
              <w:t>注册地：</w:t>
            </w:r>
          </w:p>
        </w:tc>
        <w:tc>
          <w:tcPr>
            <w:tcW w:w="4563" w:type="dxa"/>
            <w:vAlign w:val="center"/>
          </w:tcPr>
          <w:p w14:paraId="47C86799">
            <w:pPr>
              <w:spacing w:line="360" w:lineRule="auto"/>
              <w:rPr>
                <w:rFonts w:ascii="宋体" w:hAnsi="宋体" w:cs="宋体"/>
                <w:color w:val="auto"/>
                <w:sz w:val="24"/>
                <w:szCs w:val="24"/>
              </w:rPr>
            </w:pPr>
            <w:r>
              <w:rPr>
                <w:rFonts w:hint="eastAsia" w:ascii="宋体" w:hAnsi="宋体" w:cs="宋体"/>
                <w:color w:val="auto"/>
                <w:sz w:val="24"/>
                <w:szCs w:val="24"/>
              </w:rPr>
              <w:t>注册年份：</w:t>
            </w:r>
          </w:p>
        </w:tc>
      </w:tr>
      <w:tr w14:paraId="31BB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0E108D6D">
            <w:pPr>
              <w:spacing w:line="360" w:lineRule="auto"/>
              <w:jc w:val="center"/>
              <w:rPr>
                <w:rFonts w:ascii="宋体" w:hAnsi="宋体" w:cs="宋体"/>
                <w:color w:val="auto"/>
                <w:sz w:val="24"/>
                <w:szCs w:val="24"/>
              </w:rPr>
            </w:pPr>
            <w:r>
              <w:rPr>
                <w:rFonts w:hint="eastAsia" w:ascii="宋体" w:hAnsi="宋体" w:cs="宋体"/>
                <w:color w:val="auto"/>
                <w:sz w:val="24"/>
                <w:szCs w:val="24"/>
              </w:rPr>
              <w:t>7</w:t>
            </w:r>
          </w:p>
        </w:tc>
        <w:tc>
          <w:tcPr>
            <w:tcW w:w="8868" w:type="dxa"/>
            <w:gridSpan w:val="3"/>
            <w:vAlign w:val="center"/>
          </w:tcPr>
          <w:p w14:paraId="5AC87FD2">
            <w:pPr>
              <w:spacing w:line="360" w:lineRule="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相关证书</w:t>
            </w:r>
            <w:r>
              <w:rPr>
                <w:rFonts w:hint="eastAsia" w:ascii="宋体" w:hAnsi="宋体" w:cs="宋体"/>
                <w:color w:val="auto"/>
                <w:sz w:val="24"/>
                <w:szCs w:val="24"/>
              </w:rPr>
              <w:t>（</w:t>
            </w:r>
            <w:r>
              <w:rPr>
                <w:rFonts w:hint="eastAsia" w:ascii="宋体" w:hAnsi="宋体" w:cs="宋体"/>
                <w:color w:val="auto"/>
                <w:sz w:val="24"/>
                <w:szCs w:val="24"/>
                <w:lang w:val="en-US" w:eastAsia="zh-CN"/>
              </w:rPr>
              <w:t>如有，</w:t>
            </w:r>
            <w:r>
              <w:rPr>
                <w:rFonts w:hint="eastAsia" w:ascii="宋体" w:hAnsi="宋体" w:cs="宋体"/>
                <w:color w:val="auto"/>
                <w:sz w:val="24"/>
                <w:szCs w:val="24"/>
              </w:rPr>
              <w:t>请附上有关证书的扫描件</w:t>
            </w:r>
            <w:r>
              <w:rPr>
                <w:rFonts w:hint="eastAsia" w:ascii="宋体" w:hAnsi="宋体" w:cs="宋体"/>
                <w:color w:val="auto"/>
                <w:sz w:val="24"/>
                <w:szCs w:val="24"/>
                <w:lang w:val="en-US" w:eastAsia="zh-CN"/>
              </w:rPr>
              <w:t>并加盖公章</w:t>
            </w:r>
            <w:r>
              <w:rPr>
                <w:rFonts w:hint="eastAsia" w:ascii="宋体" w:hAnsi="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u w:val="single"/>
                <w:lang w:val="en-US" w:eastAsia="zh-CN"/>
              </w:rPr>
              <w:t xml:space="preserve"> “质量管理体系认证证书”、“环境管理体系认证证书”、“职业健康安全管理体系认证证书” </w:t>
            </w:r>
          </w:p>
        </w:tc>
      </w:tr>
      <w:tr w14:paraId="5270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5" w:type="dxa"/>
            <w:vAlign w:val="center"/>
          </w:tcPr>
          <w:p w14:paraId="634129F2">
            <w:pPr>
              <w:spacing w:line="360" w:lineRule="auto"/>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p>
        </w:tc>
        <w:tc>
          <w:tcPr>
            <w:tcW w:w="2520" w:type="dxa"/>
            <w:vAlign w:val="center"/>
          </w:tcPr>
          <w:p w14:paraId="014D849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其他需要说明的情况</w:t>
            </w:r>
          </w:p>
        </w:tc>
        <w:tc>
          <w:tcPr>
            <w:tcW w:w="6348" w:type="dxa"/>
            <w:gridSpan w:val="2"/>
            <w:vAlign w:val="center"/>
          </w:tcPr>
          <w:p w14:paraId="5C1FB931">
            <w:pPr>
              <w:spacing w:line="360" w:lineRule="auto"/>
              <w:rPr>
                <w:rFonts w:hint="eastAsia" w:ascii="宋体" w:hAnsi="宋体" w:eastAsia="宋体" w:cs="宋体"/>
                <w:color w:val="auto"/>
                <w:sz w:val="24"/>
                <w:szCs w:val="24"/>
              </w:rPr>
            </w:pPr>
          </w:p>
        </w:tc>
      </w:tr>
    </w:tbl>
    <w:p w14:paraId="1E525D52">
      <w:pPr>
        <w:spacing w:line="360" w:lineRule="auto"/>
        <w:ind w:firstLine="240" w:firstLineChars="100"/>
        <w:rPr>
          <w:color w:val="auto"/>
          <w:sz w:val="24"/>
          <w:szCs w:val="24"/>
        </w:rPr>
      </w:pPr>
      <w:r>
        <w:rPr>
          <w:rFonts w:hint="eastAsia"/>
          <w:color w:val="auto"/>
          <w:sz w:val="24"/>
          <w:szCs w:val="24"/>
        </w:rPr>
        <w:t>说明：</w:t>
      </w:r>
    </w:p>
    <w:p w14:paraId="0F454A71">
      <w:pPr>
        <w:spacing w:line="360" w:lineRule="auto"/>
        <w:ind w:firstLine="360" w:firstLineChars="150"/>
        <w:jc w:val="left"/>
        <w:outlineLvl w:val="2"/>
        <w:rPr>
          <w:color w:val="auto"/>
          <w:sz w:val="24"/>
          <w:szCs w:val="24"/>
        </w:rPr>
      </w:pPr>
      <w:r>
        <w:rPr>
          <w:color w:val="auto"/>
          <w:sz w:val="24"/>
          <w:szCs w:val="24"/>
        </w:rPr>
        <w:t>1</w:t>
      </w:r>
      <w:r>
        <w:rPr>
          <w:rFonts w:hint="eastAsia"/>
          <w:color w:val="auto"/>
          <w:sz w:val="24"/>
          <w:szCs w:val="24"/>
        </w:rPr>
        <w:t>、表格如不够，可按同样格式扩展。</w:t>
      </w:r>
    </w:p>
    <w:p w14:paraId="5B62AC27">
      <w:pPr>
        <w:spacing w:line="360" w:lineRule="auto"/>
        <w:ind w:firstLine="360" w:firstLineChars="150"/>
        <w:jc w:val="left"/>
        <w:outlineLvl w:val="2"/>
        <w:rPr>
          <w:color w:val="auto"/>
          <w:sz w:val="24"/>
          <w:szCs w:val="24"/>
        </w:rPr>
      </w:pPr>
      <w:r>
        <w:rPr>
          <w:color w:val="auto"/>
          <w:sz w:val="24"/>
          <w:szCs w:val="24"/>
        </w:rPr>
        <w:t>2</w:t>
      </w:r>
      <w:r>
        <w:rPr>
          <w:rFonts w:hint="eastAsia"/>
          <w:color w:val="auto"/>
          <w:sz w:val="24"/>
          <w:szCs w:val="24"/>
        </w:rPr>
        <w:t>、证书、资信材料等，根据评分标准要求提供。</w:t>
      </w:r>
    </w:p>
    <w:p w14:paraId="0C015A37">
      <w:pPr>
        <w:spacing w:line="360" w:lineRule="auto"/>
        <w:ind w:firstLine="360" w:firstLineChars="150"/>
        <w:jc w:val="left"/>
        <w:rPr>
          <w:color w:val="auto"/>
          <w:sz w:val="24"/>
          <w:szCs w:val="24"/>
        </w:rPr>
      </w:pPr>
    </w:p>
    <w:p w14:paraId="19C8B02F">
      <w:pPr>
        <w:pStyle w:val="27"/>
        <w:spacing w:line="360" w:lineRule="auto"/>
        <w:rPr>
          <w:rFonts w:hAnsi="宋体" w:cs="宋体"/>
          <w:b/>
          <w:bCs/>
          <w:color w:val="auto"/>
          <w:sz w:val="24"/>
        </w:rPr>
      </w:pPr>
      <w:r>
        <w:rPr>
          <w:rFonts w:hint="eastAsia" w:hAnsi="宋体" w:cs="宋体"/>
          <w:b/>
          <w:bCs/>
          <w:color w:val="auto"/>
          <w:sz w:val="24"/>
        </w:rPr>
        <w:t>响应方</w:t>
      </w:r>
      <w:r>
        <w:rPr>
          <w:rFonts w:hint="eastAsia" w:hAnsi="宋体" w:cs="宋体"/>
          <w:b/>
          <w:bCs/>
          <w:color w:val="auto"/>
          <w:sz w:val="24"/>
          <w:lang w:val="en-US" w:eastAsia="zh-CN"/>
        </w:rPr>
        <w:t>名称</w:t>
      </w:r>
      <w:r>
        <w:rPr>
          <w:rFonts w:hint="eastAsia" w:hAnsi="宋体" w:cs="宋体"/>
          <w:b/>
          <w:bCs/>
          <w:color w:val="auto"/>
          <w:sz w:val="24"/>
        </w:rPr>
        <w:t xml:space="preserve">（盖章）：            </w:t>
      </w:r>
    </w:p>
    <w:p w14:paraId="76558EEE">
      <w:pPr>
        <w:spacing w:line="480" w:lineRule="auto"/>
        <w:rPr>
          <w:rFonts w:ascii="宋体" w:hAnsi="宋体" w:cs="宋体"/>
          <w:b/>
          <w:bCs/>
          <w:color w:val="auto"/>
          <w:sz w:val="24"/>
          <w:u w:val="single"/>
        </w:rPr>
      </w:pPr>
      <w:r>
        <w:rPr>
          <w:rFonts w:hint="eastAsia" w:hAnsi="宋体" w:cs="宋体"/>
          <w:b/>
          <w:bCs/>
          <w:color w:val="auto"/>
          <w:sz w:val="24"/>
          <w:lang w:eastAsia="zh-CN"/>
        </w:rPr>
        <w:t>授权代表（签字或法人代表章）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4D961759">
      <w:pPr>
        <w:spacing w:before="240" w:beforeLines="100" w:after="240" w:afterLines="100"/>
        <w:jc w:val="left"/>
        <w:rPr>
          <w:color w:val="auto"/>
          <w:sz w:val="24"/>
          <w:szCs w:val="24"/>
        </w:rPr>
      </w:pPr>
      <w:r>
        <w:rPr>
          <w:rFonts w:hint="eastAsia" w:ascii="宋体" w:hAnsi="宋体" w:cs="宋体"/>
          <w:color w:val="auto"/>
          <w:sz w:val="24"/>
        </w:rPr>
        <w:t>日期：      年   月   日</w:t>
      </w:r>
    </w:p>
    <w:p w14:paraId="31F9D32B">
      <w:pPr>
        <w:widowControl/>
        <w:jc w:val="left"/>
        <w:rPr>
          <w:b/>
          <w:color w:val="auto"/>
          <w:szCs w:val="21"/>
        </w:rPr>
      </w:pPr>
    </w:p>
    <w:p w14:paraId="5937E07A">
      <w:pPr>
        <w:pStyle w:val="2"/>
        <w:ind w:left="0" w:leftChars="0" w:firstLine="0" w:firstLineChars="0"/>
        <w:rPr>
          <w:rFonts w:hint="eastAsia" w:ascii="宋体" w:hAnsi="宋体" w:cs="宋体"/>
          <w:color w:val="auto"/>
          <w:sz w:val="24"/>
          <w:szCs w:val="24"/>
          <w:u w:val="single"/>
          <w:lang w:val="en-US" w:eastAsia="zh-CN"/>
        </w:rPr>
      </w:pPr>
    </w:p>
    <w:p w14:paraId="1CE5EF8F">
      <w:pPr>
        <w:pStyle w:val="2"/>
        <w:ind w:left="0" w:leftChars="0" w:firstLine="0" w:firstLineChars="0"/>
        <w:rPr>
          <w:rFonts w:hint="eastAsia" w:ascii="宋体" w:hAnsi="宋体" w:cs="宋体"/>
          <w:color w:val="auto"/>
          <w:sz w:val="24"/>
          <w:szCs w:val="24"/>
          <w:u w:val="single"/>
          <w:lang w:val="en-US" w:eastAsia="zh-CN"/>
        </w:rPr>
      </w:pPr>
    </w:p>
    <w:p w14:paraId="2B2EDF9D">
      <w:pPr>
        <w:pStyle w:val="2"/>
        <w:ind w:left="0" w:leftChars="0" w:firstLine="0" w:firstLineChars="0"/>
        <w:rPr>
          <w:b/>
          <w:bCs/>
          <w:color w:val="auto"/>
        </w:rPr>
        <w:sectPr>
          <w:type w:val="nextColumn"/>
          <w:pgSz w:w="11907" w:h="16840"/>
          <w:pgMar w:top="1134" w:right="1247" w:bottom="1247" w:left="1247" w:header="567" w:footer="794" w:gutter="0"/>
          <w:cols w:space="720" w:num="1"/>
        </w:sectPr>
      </w:pPr>
      <w:r>
        <w:rPr>
          <w:rFonts w:hint="eastAsia" w:ascii="宋体" w:hAnsi="宋体" w:cs="宋体"/>
          <w:b/>
          <w:bCs/>
          <w:color w:val="auto"/>
          <w:sz w:val="24"/>
          <w:szCs w:val="24"/>
          <w:u w:val="single"/>
          <w:lang w:val="en-US" w:eastAsia="zh-CN"/>
        </w:rPr>
        <w:t xml:space="preserve">附：“质量管理体系认证证书”、“环境管理体系认证证书”、“职业健康安全管理体系认证证书”（复印件加盖公章） </w:t>
      </w:r>
    </w:p>
    <w:p w14:paraId="6EC48306">
      <w:pPr>
        <w:pStyle w:val="6"/>
        <w:ind w:left="0" w:firstLine="0"/>
        <w:outlineLvl w:val="0"/>
        <w:rPr>
          <w:color w:val="auto"/>
        </w:rPr>
      </w:pPr>
      <w:bookmarkStart w:id="819" w:name="_Toc11785"/>
      <w:bookmarkStart w:id="820" w:name="_Toc21110"/>
      <w:bookmarkStart w:id="821" w:name="_Toc18777"/>
      <w:bookmarkStart w:id="822" w:name="_Toc20174"/>
      <w:bookmarkStart w:id="823" w:name="_Toc16592"/>
      <w:bookmarkStart w:id="824" w:name="_Toc3327"/>
      <w:bookmarkStart w:id="825" w:name="_Toc3841"/>
      <w:bookmarkStart w:id="826" w:name="_Toc21767"/>
      <w:bookmarkStart w:id="827" w:name="_Toc17265"/>
      <w:bookmarkStart w:id="828" w:name="_Toc24426"/>
      <w:bookmarkStart w:id="829" w:name="_Toc5024"/>
      <w:r>
        <w:rPr>
          <w:rFonts w:hint="eastAsia"/>
          <w:color w:val="auto"/>
        </w:rPr>
        <w:t>（7）供应商同类合同一览表</w:t>
      </w:r>
      <w:bookmarkEnd w:id="819"/>
    </w:p>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20"/>
    <w:bookmarkEnd w:id="821"/>
    <w:bookmarkEnd w:id="822"/>
    <w:bookmarkEnd w:id="823"/>
    <w:bookmarkEnd w:id="824"/>
    <w:bookmarkEnd w:id="825"/>
    <w:bookmarkEnd w:id="826"/>
    <w:bookmarkEnd w:id="827"/>
    <w:bookmarkEnd w:id="828"/>
    <w:bookmarkEnd w:id="829"/>
    <w:p w14:paraId="32EBDC45">
      <w:pPr>
        <w:adjustRightInd w:val="0"/>
        <w:snapToGrid w:val="0"/>
        <w:spacing w:line="288" w:lineRule="auto"/>
        <w:jc w:val="center"/>
        <w:outlineLvl w:val="1"/>
        <w:rPr>
          <w:rFonts w:hint="eastAsia"/>
          <w:color w:val="auto"/>
          <w:sz w:val="24"/>
          <w:szCs w:val="24"/>
        </w:rPr>
      </w:pPr>
      <w:bookmarkStart w:id="830" w:name="_Toc29864_WPSOffice_Level1"/>
      <w:bookmarkStart w:id="831" w:name="_Toc19028_WPSOffice_Level1"/>
      <w:bookmarkStart w:id="832" w:name="_Toc18264"/>
      <w:r>
        <w:rPr>
          <w:rFonts w:hint="eastAsia"/>
          <w:color w:val="auto"/>
          <w:sz w:val="24"/>
          <w:szCs w:val="24"/>
        </w:rPr>
        <w:t>同类合同一览表</w:t>
      </w:r>
      <w:bookmarkEnd w:id="830"/>
      <w:bookmarkEnd w:id="831"/>
    </w:p>
    <w:tbl>
      <w:tblPr>
        <w:tblStyle w:val="46"/>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380"/>
        <w:gridCol w:w="1510"/>
        <w:gridCol w:w="1256"/>
        <w:gridCol w:w="732"/>
        <w:gridCol w:w="1005"/>
        <w:gridCol w:w="1675"/>
      </w:tblGrid>
      <w:tr w14:paraId="35F2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vAlign w:val="center"/>
          </w:tcPr>
          <w:p w14:paraId="71942DD7">
            <w:pPr>
              <w:adjustRightInd w:val="0"/>
              <w:snapToGrid w:val="0"/>
              <w:spacing w:line="288" w:lineRule="auto"/>
              <w:jc w:val="center"/>
              <w:rPr>
                <w:color w:val="auto"/>
                <w:sz w:val="24"/>
                <w:szCs w:val="24"/>
              </w:rPr>
            </w:pPr>
            <w:r>
              <w:rPr>
                <w:rFonts w:hint="eastAsia"/>
                <w:color w:val="auto"/>
                <w:sz w:val="24"/>
                <w:szCs w:val="24"/>
              </w:rPr>
              <w:t>序号</w:t>
            </w:r>
          </w:p>
        </w:tc>
        <w:tc>
          <w:tcPr>
            <w:tcW w:w="1380" w:type="dxa"/>
            <w:vAlign w:val="center"/>
          </w:tcPr>
          <w:p w14:paraId="31FDCF8F">
            <w:pPr>
              <w:adjustRightInd w:val="0"/>
              <w:snapToGrid w:val="0"/>
              <w:spacing w:line="288" w:lineRule="auto"/>
              <w:jc w:val="center"/>
              <w:rPr>
                <w:color w:val="auto"/>
                <w:sz w:val="24"/>
                <w:szCs w:val="24"/>
              </w:rPr>
            </w:pPr>
            <w:r>
              <w:rPr>
                <w:rFonts w:hint="eastAsia"/>
                <w:color w:val="auto"/>
                <w:sz w:val="24"/>
                <w:szCs w:val="24"/>
              </w:rPr>
              <w:t>采购单位</w:t>
            </w:r>
          </w:p>
        </w:tc>
        <w:tc>
          <w:tcPr>
            <w:tcW w:w="1510" w:type="dxa"/>
            <w:vAlign w:val="center"/>
          </w:tcPr>
          <w:p w14:paraId="780B82D8">
            <w:pPr>
              <w:adjustRightInd w:val="0"/>
              <w:snapToGrid w:val="0"/>
              <w:spacing w:line="288" w:lineRule="auto"/>
              <w:jc w:val="center"/>
              <w:rPr>
                <w:color w:val="auto"/>
                <w:sz w:val="24"/>
                <w:szCs w:val="24"/>
              </w:rPr>
            </w:pPr>
            <w:r>
              <w:rPr>
                <w:rFonts w:hint="eastAsia"/>
                <w:color w:val="auto"/>
                <w:sz w:val="24"/>
                <w:szCs w:val="24"/>
              </w:rPr>
              <w:t>项目名称</w:t>
            </w:r>
          </w:p>
        </w:tc>
        <w:tc>
          <w:tcPr>
            <w:tcW w:w="1256" w:type="dxa"/>
            <w:vAlign w:val="center"/>
          </w:tcPr>
          <w:p w14:paraId="13CA634A">
            <w:pPr>
              <w:adjustRightInd w:val="0"/>
              <w:snapToGrid w:val="0"/>
              <w:spacing w:line="288" w:lineRule="auto"/>
              <w:jc w:val="center"/>
              <w:rPr>
                <w:color w:val="auto"/>
                <w:sz w:val="24"/>
                <w:szCs w:val="24"/>
              </w:rPr>
            </w:pPr>
            <w:r>
              <w:rPr>
                <w:rFonts w:hint="eastAsia"/>
                <w:color w:val="auto"/>
                <w:sz w:val="24"/>
                <w:szCs w:val="24"/>
              </w:rPr>
              <w:t>合同金额</w:t>
            </w:r>
          </w:p>
          <w:p w14:paraId="222224C2">
            <w:pPr>
              <w:adjustRightInd w:val="0"/>
              <w:snapToGrid w:val="0"/>
              <w:spacing w:line="288" w:lineRule="auto"/>
              <w:jc w:val="center"/>
              <w:rPr>
                <w:color w:val="auto"/>
                <w:sz w:val="24"/>
                <w:szCs w:val="24"/>
              </w:rPr>
            </w:pPr>
            <w:r>
              <w:rPr>
                <w:rFonts w:hint="eastAsia"/>
                <w:color w:val="auto"/>
                <w:sz w:val="24"/>
                <w:szCs w:val="24"/>
              </w:rPr>
              <w:t>（万元）</w:t>
            </w:r>
          </w:p>
        </w:tc>
        <w:tc>
          <w:tcPr>
            <w:tcW w:w="732" w:type="dxa"/>
            <w:vAlign w:val="center"/>
          </w:tcPr>
          <w:p w14:paraId="6C8C822E">
            <w:pPr>
              <w:adjustRightInd w:val="0"/>
              <w:snapToGrid w:val="0"/>
              <w:spacing w:line="288" w:lineRule="auto"/>
              <w:jc w:val="center"/>
              <w:rPr>
                <w:color w:val="auto"/>
                <w:sz w:val="24"/>
                <w:szCs w:val="24"/>
              </w:rPr>
            </w:pPr>
            <w:r>
              <w:rPr>
                <w:rFonts w:hint="eastAsia"/>
                <w:color w:val="auto"/>
                <w:sz w:val="24"/>
                <w:szCs w:val="24"/>
              </w:rPr>
              <w:t>附件页码</w:t>
            </w:r>
          </w:p>
        </w:tc>
        <w:tc>
          <w:tcPr>
            <w:tcW w:w="1005" w:type="dxa"/>
            <w:vAlign w:val="center"/>
          </w:tcPr>
          <w:p w14:paraId="588A326B">
            <w:pPr>
              <w:adjustRightInd w:val="0"/>
              <w:snapToGrid w:val="0"/>
              <w:spacing w:line="288" w:lineRule="auto"/>
              <w:jc w:val="center"/>
              <w:rPr>
                <w:color w:val="auto"/>
                <w:sz w:val="24"/>
                <w:szCs w:val="24"/>
              </w:rPr>
            </w:pPr>
            <w:r>
              <w:rPr>
                <w:rFonts w:hint="eastAsia"/>
                <w:color w:val="auto"/>
                <w:sz w:val="24"/>
                <w:szCs w:val="24"/>
              </w:rPr>
              <w:t>合同签订时间</w:t>
            </w:r>
          </w:p>
        </w:tc>
        <w:tc>
          <w:tcPr>
            <w:tcW w:w="1675" w:type="dxa"/>
            <w:vAlign w:val="center"/>
          </w:tcPr>
          <w:p w14:paraId="1D694DF7">
            <w:pPr>
              <w:adjustRightInd w:val="0"/>
              <w:snapToGrid w:val="0"/>
              <w:spacing w:line="288" w:lineRule="auto"/>
              <w:jc w:val="center"/>
              <w:rPr>
                <w:color w:val="auto"/>
                <w:sz w:val="24"/>
                <w:szCs w:val="24"/>
              </w:rPr>
            </w:pPr>
            <w:r>
              <w:rPr>
                <w:rFonts w:hint="eastAsia"/>
                <w:color w:val="auto"/>
                <w:sz w:val="24"/>
                <w:szCs w:val="24"/>
              </w:rPr>
              <w:t>采购单位</w:t>
            </w:r>
          </w:p>
          <w:p w14:paraId="36421B2D">
            <w:pPr>
              <w:adjustRightInd w:val="0"/>
              <w:snapToGrid w:val="0"/>
              <w:spacing w:line="288" w:lineRule="auto"/>
              <w:jc w:val="center"/>
              <w:rPr>
                <w:color w:val="auto"/>
                <w:sz w:val="24"/>
                <w:szCs w:val="24"/>
              </w:rPr>
            </w:pPr>
            <w:r>
              <w:rPr>
                <w:rFonts w:hint="eastAsia"/>
                <w:color w:val="auto"/>
                <w:sz w:val="24"/>
                <w:szCs w:val="24"/>
              </w:rPr>
              <w:t>联系人及电话</w:t>
            </w:r>
          </w:p>
        </w:tc>
      </w:tr>
      <w:tr w14:paraId="3E06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vAlign w:val="center"/>
          </w:tcPr>
          <w:p w14:paraId="14AEA134">
            <w:pPr>
              <w:adjustRightInd w:val="0"/>
              <w:snapToGrid w:val="0"/>
              <w:spacing w:line="288" w:lineRule="auto"/>
              <w:jc w:val="center"/>
              <w:rPr>
                <w:color w:val="auto"/>
                <w:sz w:val="24"/>
                <w:szCs w:val="24"/>
              </w:rPr>
            </w:pPr>
          </w:p>
        </w:tc>
        <w:tc>
          <w:tcPr>
            <w:tcW w:w="1380" w:type="dxa"/>
            <w:vAlign w:val="center"/>
          </w:tcPr>
          <w:p w14:paraId="5A0619AD">
            <w:pPr>
              <w:adjustRightInd w:val="0"/>
              <w:snapToGrid w:val="0"/>
              <w:spacing w:line="288" w:lineRule="auto"/>
              <w:jc w:val="center"/>
              <w:rPr>
                <w:color w:val="auto"/>
                <w:sz w:val="24"/>
                <w:szCs w:val="24"/>
              </w:rPr>
            </w:pPr>
          </w:p>
        </w:tc>
        <w:tc>
          <w:tcPr>
            <w:tcW w:w="1510" w:type="dxa"/>
            <w:vAlign w:val="center"/>
          </w:tcPr>
          <w:p w14:paraId="75A66ED4">
            <w:pPr>
              <w:adjustRightInd w:val="0"/>
              <w:snapToGrid w:val="0"/>
              <w:spacing w:line="288" w:lineRule="auto"/>
              <w:jc w:val="center"/>
              <w:rPr>
                <w:color w:val="auto"/>
                <w:sz w:val="24"/>
                <w:szCs w:val="24"/>
              </w:rPr>
            </w:pPr>
          </w:p>
        </w:tc>
        <w:tc>
          <w:tcPr>
            <w:tcW w:w="1256" w:type="dxa"/>
            <w:vAlign w:val="center"/>
          </w:tcPr>
          <w:p w14:paraId="0CA4376A">
            <w:pPr>
              <w:adjustRightInd w:val="0"/>
              <w:snapToGrid w:val="0"/>
              <w:spacing w:line="288" w:lineRule="auto"/>
              <w:jc w:val="center"/>
              <w:rPr>
                <w:color w:val="auto"/>
                <w:sz w:val="24"/>
                <w:szCs w:val="24"/>
              </w:rPr>
            </w:pPr>
          </w:p>
        </w:tc>
        <w:tc>
          <w:tcPr>
            <w:tcW w:w="732" w:type="dxa"/>
            <w:vAlign w:val="center"/>
          </w:tcPr>
          <w:p w14:paraId="4E3D0B36">
            <w:pPr>
              <w:adjustRightInd w:val="0"/>
              <w:snapToGrid w:val="0"/>
              <w:spacing w:line="288" w:lineRule="auto"/>
              <w:jc w:val="center"/>
              <w:rPr>
                <w:color w:val="auto"/>
                <w:sz w:val="24"/>
                <w:szCs w:val="24"/>
              </w:rPr>
            </w:pPr>
          </w:p>
        </w:tc>
        <w:tc>
          <w:tcPr>
            <w:tcW w:w="1005" w:type="dxa"/>
            <w:vAlign w:val="center"/>
          </w:tcPr>
          <w:p w14:paraId="729D8C65">
            <w:pPr>
              <w:adjustRightInd w:val="0"/>
              <w:snapToGrid w:val="0"/>
              <w:spacing w:line="288" w:lineRule="auto"/>
              <w:jc w:val="center"/>
              <w:rPr>
                <w:color w:val="auto"/>
                <w:sz w:val="24"/>
                <w:szCs w:val="24"/>
              </w:rPr>
            </w:pPr>
          </w:p>
        </w:tc>
        <w:tc>
          <w:tcPr>
            <w:tcW w:w="1675" w:type="dxa"/>
            <w:vAlign w:val="center"/>
          </w:tcPr>
          <w:p w14:paraId="3D2AC3B6">
            <w:pPr>
              <w:adjustRightInd w:val="0"/>
              <w:snapToGrid w:val="0"/>
              <w:spacing w:line="288" w:lineRule="auto"/>
              <w:jc w:val="center"/>
              <w:rPr>
                <w:color w:val="auto"/>
                <w:sz w:val="24"/>
                <w:szCs w:val="24"/>
              </w:rPr>
            </w:pPr>
          </w:p>
        </w:tc>
      </w:tr>
      <w:tr w14:paraId="0FD0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vAlign w:val="center"/>
          </w:tcPr>
          <w:p w14:paraId="129D8E17">
            <w:pPr>
              <w:adjustRightInd w:val="0"/>
              <w:snapToGrid w:val="0"/>
              <w:spacing w:line="288" w:lineRule="auto"/>
              <w:jc w:val="center"/>
              <w:rPr>
                <w:color w:val="auto"/>
                <w:sz w:val="24"/>
                <w:szCs w:val="24"/>
              </w:rPr>
            </w:pPr>
          </w:p>
        </w:tc>
        <w:tc>
          <w:tcPr>
            <w:tcW w:w="1380" w:type="dxa"/>
            <w:vAlign w:val="center"/>
          </w:tcPr>
          <w:p w14:paraId="025CAE05">
            <w:pPr>
              <w:adjustRightInd w:val="0"/>
              <w:snapToGrid w:val="0"/>
              <w:spacing w:line="288" w:lineRule="auto"/>
              <w:jc w:val="center"/>
              <w:rPr>
                <w:color w:val="auto"/>
                <w:sz w:val="24"/>
                <w:szCs w:val="24"/>
              </w:rPr>
            </w:pPr>
          </w:p>
        </w:tc>
        <w:tc>
          <w:tcPr>
            <w:tcW w:w="1510" w:type="dxa"/>
            <w:vAlign w:val="center"/>
          </w:tcPr>
          <w:p w14:paraId="6DB34348">
            <w:pPr>
              <w:adjustRightInd w:val="0"/>
              <w:snapToGrid w:val="0"/>
              <w:spacing w:line="288" w:lineRule="auto"/>
              <w:jc w:val="center"/>
              <w:rPr>
                <w:color w:val="auto"/>
                <w:sz w:val="24"/>
                <w:szCs w:val="24"/>
              </w:rPr>
            </w:pPr>
          </w:p>
        </w:tc>
        <w:tc>
          <w:tcPr>
            <w:tcW w:w="1256" w:type="dxa"/>
            <w:vAlign w:val="center"/>
          </w:tcPr>
          <w:p w14:paraId="7C727225">
            <w:pPr>
              <w:adjustRightInd w:val="0"/>
              <w:snapToGrid w:val="0"/>
              <w:spacing w:line="288" w:lineRule="auto"/>
              <w:jc w:val="center"/>
              <w:rPr>
                <w:color w:val="auto"/>
                <w:sz w:val="24"/>
                <w:szCs w:val="24"/>
              </w:rPr>
            </w:pPr>
          </w:p>
        </w:tc>
        <w:tc>
          <w:tcPr>
            <w:tcW w:w="732" w:type="dxa"/>
            <w:vAlign w:val="center"/>
          </w:tcPr>
          <w:p w14:paraId="2794CA91">
            <w:pPr>
              <w:adjustRightInd w:val="0"/>
              <w:snapToGrid w:val="0"/>
              <w:spacing w:line="288" w:lineRule="auto"/>
              <w:jc w:val="center"/>
              <w:rPr>
                <w:color w:val="auto"/>
                <w:sz w:val="24"/>
                <w:szCs w:val="24"/>
              </w:rPr>
            </w:pPr>
          </w:p>
        </w:tc>
        <w:tc>
          <w:tcPr>
            <w:tcW w:w="1005" w:type="dxa"/>
            <w:vAlign w:val="center"/>
          </w:tcPr>
          <w:p w14:paraId="54E44C01">
            <w:pPr>
              <w:adjustRightInd w:val="0"/>
              <w:snapToGrid w:val="0"/>
              <w:spacing w:line="288" w:lineRule="auto"/>
              <w:jc w:val="center"/>
              <w:rPr>
                <w:color w:val="auto"/>
                <w:sz w:val="24"/>
                <w:szCs w:val="24"/>
              </w:rPr>
            </w:pPr>
          </w:p>
        </w:tc>
        <w:tc>
          <w:tcPr>
            <w:tcW w:w="1675" w:type="dxa"/>
            <w:vAlign w:val="center"/>
          </w:tcPr>
          <w:p w14:paraId="6B59FF47">
            <w:pPr>
              <w:adjustRightInd w:val="0"/>
              <w:snapToGrid w:val="0"/>
              <w:spacing w:line="288" w:lineRule="auto"/>
              <w:jc w:val="center"/>
              <w:rPr>
                <w:color w:val="auto"/>
                <w:sz w:val="24"/>
                <w:szCs w:val="24"/>
              </w:rPr>
            </w:pPr>
          </w:p>
        </w:tc>
      </w:tr>
      <w:tr w14:paraId="1594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vAlign w:val="center"/>
          </w:tcPr>
          <w:p w14:paraId="70260F32">
            <w:pPr>
              <w:adjustRightInd w:val="0"/>
              <w:snapToGrid w:val="0"/>
              <w:spacing w:line="288" w:lineRule="auto"/>
              <w:jc w:val="center"/>
              <w:rPr>
                <w:color w:val="auto"/>
                <w:sz w:val="24"/>
                <w:szCs w:val="24"/>
              </w:rPr>
            </w:pPr>
          </w:p>
        </w:tc>
        <w:tc>
          <w:tcPr>
            <w:tcW w:w="1380" w:type="dxa"/>
            <w:vAlign w:val="center"/>
          </w:tcPr>
          <w:p w14:paraId="5BA273DC">
            <w:pPr>
              <w:adjustRightInd w:val="0"/>
              <w:snapToGrid w:val="0"/>
              <w:spacing w:line="288" w:lineRule="auto"/>
              <w:jc w:val="center"/>
              <w:rPr>
                <w:color w:val="auto"/>
                <w:sz w:val="24"/>
                <w:szCs w:val="24"/>
              </w:rPr>
            </w:pPr>
          </w:p>
        </w:tc>
        <w:tc>
          <w:tcPr>
            <w:tcW w:w="1510" w:type="dxa"/>
            <w:vAlign w:val="center"/>
          </w:tcPr>
          <w:p w14:paraId="0C42A7A6">
            <w:pPr>
              <w:adjustRightInd w:val="0"/>
              <w:snapToGrid w:val="0"/>
              <w:spacing w:line="288" w:lineRule="auto"/>
              <w:jc w:val="center"/>
              <w:rPr>
                <w:color w:val="auto"/>
                <w:sz w:val="24"/>
                <w:szCs w:val="24"/>
              </w:rPr>
            </w:pPr>
          </w:p>
        </w:tc>
        <w:tc>
          <w:tcPr>
            <w:tcW w:w="1256" w:type="dxa"/>
            <w:vAlign w:val="center"/>
          </w:tcPr>
          <w:p w14:paraId="35CC91D8">
            <w:pPr>
              <w:adjustRightInd w:val="0"/>
              <w:snapToGrid w:val="0"/>
              <w:spacing w:line="288" w:lineRule="auto"/>
              <w:jc w:val="center"/>
              <w:rPr>
                <w:color w:val="auto"/>
                <w:sz w:val="24"/>
                <w:szCs w:val="24"/>
              </w:rPr>
            </w:pPr>
          </w:p>
        </w:tc>
        <w:tc>
          <w:tcPr>
            <w:tcW w:w="732" w:type="dxa"/>
            <w:vAlign w:val="center"/>
          </w:tcPr>
          <w:p w14:paraId="236C8623">
            <w:pPr>
              <w:adjustRightInd w:val="0"/>
              <w:snapToGrid w:val="0"/>
              <w:spacing w:line="288" w:lineRule="auto"/>
              <w:jc w:val="center"/>
              <w:rPr>
                <w:color w:val="auto"/>
                <w:sz w:val="24"/>
                <w:szCs w:val="24"/>
              </w:rPr>
            </w:pPr>
          </w:p>
        </w:tc>
        <w:tc>
          <w:tcPr>
            <w:tcW w:w="1005" w:type="dxa"/>
            <w:vAlign w:val="center"/>
          </w:tcPr>
          <w:p w14:paraId="65A6F0A9">
            <w:pPr>
              <w:adjustRightInd w:val="0"/>
              <w:snapToGrid w:val="0"/>
              <w:spacing w:line="288" w:lineRule="auto"/>
              <w:jc w:val="center"/>
              <w:rPr>
                <w:color w:val="auto"/>
                <w:sz w:val="24"/>
                <w:szCs w:val="24"/>
              </w:rPr>
            </w:pPr>
          </w:p>
        </w:tc>
        <w:tc>
          <w:tcPr>
            <w:tcW w:w="1675" w:type="dxa"/>
            <w:vAlign w:val="center"/>
          </w:tcPr>
          <w:p w14:paraId="123673F4">
            <w:pPr>
              <w:adjustRightInd w:val="0"/>
              <w:snapToGrid w:val="0"/>
              <w:spacing w:line="288" w:lineRule="auto"/>
              <w:jc w:val="center"/>
              <w:rPr>
                <w:color w:val="auto"/>
                <w:sz w:val="24"/>
                <w:szCs w:val="24"/>
              </w:rPr>
            </w:pPr>
          </w:p>
        </w:tc>
      </w:tr>
      <w:tr w14:paraId="0455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vAlign w:val="center"/>
          </w:tcPr>
          <w:p w14:paraId="6EDC7355">
            <w:pPr>
              <w:adjustRightInd w:val="0"/>
              <w:snapToGrid w:val="0"/>
              <w:spacing w:line="288" w:lineRule="auto"/>
              <w:jc w:val="center"/>
              <w:rPr>
                <w:color w:val="auto"/>
                <w:sz w:val="24"/>
                <w:szCs w:val="24"/>
              </w:rPr>
            </w:pPr>
          </w:p>
        </w:tc>
        <w:tc>
          <w:tcPr>
            <w:tcW w:w="1380" w:type="dxa"/>
            <w:vAlign w:val="center"/>
          </w:tcPr>
          <w:p w14:paraId="03D2A110">
            <w:pPr>
              <w:adjustRightInd w:val="0"/>
              <w:snapToGrid w:val="0"/>
              <w:spacing w:line="288" w:lineRule="auto"/>
              <w:jc w:val="center"/>
              <w:rPr>
                <w:color w:val="auto"/>
                <w:sz w:val="24"/>
                <w:szCs w:val="24"/>
              </w:rPr>
            </w:pPr>
          </w:p>
        </w:tc>
        <w:tc>
          <w:tcPr>
            <w:tcW w:w="1510" w:type="dxa"/>
            <w:vAlign w:val="center"/>
          </w:tcPr>
          <w:p w14:paraId="288E26B9">
            <w:pPr>
              <w:adjustRightInd w:val="0"/>
              <w:snapToGrid w:val="0"/>
              <w:spacing w:line="288" w:lineRule="auto"/>
              <w:jc w:val="center"/>
              <w:rPr>
                <w:color w:val="auto"/>
                <w:sz w:val="24"/>
                <w:szCs w:val="24"/>
              </w:rPr>
            </w:pPr>
          </w:p>
        </w:tc>
        <w:tc>
          <w:tcPr>
            <w:tcW w:w="1256" w:type="dxa"/>
            <w:vAlign w:val="center"/>
          </w:tcPr>
          <w:p w14:paraId="53A12798">
            <w:pPr>
              <w:adjustRightInd w:val="0"/>
              <w:snapToGrid w:val="0"/>
              <w:spacing w:line="288" w:lineRule="auto"/>
              <w:jc w:val="center"/>
              <w:rPr>
                <w:color w:val="auto"/>
                <w:sz w:val="24"/>
                <w:szCs w:val="24"/>
              </w:rPr>
            </w:pPr>
          </w:p>
        </w:tc>
        <w:tc>
          <w:tcPr>
            <w:tcW w:w="732" w:type="dxa"/>
            <w:vAlign w:val="center"/>
          </w:tcPr>
          <w:p w14:paraId="40C81203">
            <w:pPr>
              <w:adjustRightInd w:val="0"/>
              <w:snapToGrid w:val="0"/>
              <w:spacing w:line="288" w:lineRule="auto"/>
              <w:jc w:val="center"/>
              <w:rPr>
                <w:color w:val="auto"/>
                <w:sz w:val="24"/>
                <w:szCs w:val="24"/>
              </w:rPr>
            </w:pPr>
          </w:p>
        </w:tc>
        <w:tc>
          <w:tcPr>
            <w:tcW w:w="1005" w:type="dxa"/>
            <w:vAlign w:val="center"/>
          </w:tcPr>
          <w:p w14:paraId="3F8649C4">
            <w:pPr>
              <w:adjustRightInd w:val="0"/>
              <w:snapToGrid w:val="0"/>
              <w:spacing w:line="288" w:lineRule="auto"/>
              <w:jc w:val="center"/>
              <w:rPr>
                <w:color w:val="auto"/>
                <w:sz w:val="24"/>
                <w:szCs w:val="24"/>
              </w:rPr>
            </w:pPr>
          </w:p>
        </w:tc>
        <w:tc>
          <w:tcPr>
            <w:tcW w:w="1675" w:type="dxa"/>
            <w:vAlign w:val="center"/>
          </w:tcPr>
          <w:p w14:paraId="3B0CAC6A">
            <w:pPr>
              <w:adjustRightInd w:val="0"/>
              <w:snapToGrid w:val="0"/>
              <w:spacing w:line="288" w:lineRule="auto"/>
              <w:jc w:val="center"/>
              <w:rPr>
                <w:color w:val="auto"/>
                <w:sz w:val="24"/>
                <w:szCs w:val="24"/>
              </w:rPr>
            </w:pPr>
          </w:p>
        </w:tc>
      </w:tr>
    </w:tbl>
    <w:p w14:paraId="707296F6">
      <w:pPr>
        <w:adjustRightInd w:val="0"/>
        <w:snapToGrid w:val="0"/>
        <w:spacing w:line="288" w:lineRule="auto"/>
        <w:rPr>
          <w:color w:val="auto"/>
          <w:sz w:val="24"/>
          <w:szCs w:val="24"/>
        </w:rPr>
      </w:pPr>
    </w:p>
    <w:p w14:paraId="5BB46963">
      <w:pPr>
        <w:adjustRightInd w:val="0"/>
        <w:snapToGrid w:val="0"/>
        <w:spacing w:line="288" w:lineRule="auto"/>
        <w:rPr>
          <w:color w:val="auto"/>
          <w:sz w:val="24"/>
          <w:szCs w:val="24"/>
        </w:rPr>
      </w:pPr>
      <w:r>
        <w:rPr>
          <w:rFonts w:hint="eastAsia"/>
          <w:color w:val="auto"/>
          <w:sz w:val="24"/>
          <w:szCs w:val="24"/>
        </w:rPr>
        <w:t>说明：</w:t>
      </w:r>
    </w:p>
    <w:p w14:paraId="70939DAF">
      <w:pPr>
        <w:adjustRightInd w:val="0"/>
        <w:snapToGrid w:val="0"/>
        <w:spacing w:line="288" w:lineRule="auto"/>
        <w:rPr>
          <w:color w:val="auto"/>
          <w:sz w:val="24"/>
          <w:szCs w:val="24"/>
        </w:rPr>
      </w:pPr>
      <w:r>
        <w:rPr>
          <w:rFonts w:hint="eastAsia"/>
          <w:color w:val="auto"/>
          <w:sz w:val="24"/>
          <w:szCs w:val="24"/>
        </w:rPr>
        <w:t>1.供应商须提供上述业绩合同扫描件；</w:t>
      </w:r>
    </w:p>
    <w:p w14:paraId="66F3473C">
      <w:pPr>
        <w:adjustRightInd w:val="0"/>
        <w:snapToGrid w:val="0"/>
        <w:spacing w:line="288" w:lineRule="auto"/>
        <w:rPr>
          <w:color w:val="auto"/>
          <w:sz w:val="24"/>
          <w:szCs w:val="24"/>
        </w:rPr>
      </w:pPr>
      <w:r>
        <w:rPr>
          <w:rFonts w:hint="eastAsia"/>
          <w:color w:val="auto"/>
          <w:sz w:val="24"/>
          <w:szCs w:val="24"/>
        </w:rPr>
        <w:t>2.所有合同扫描件应清晰，应能体现合同签订时间、双方签名盖章等内容；</w:t>
      </w:r>
    </w:p>
    <w:p w14:paraId="71224CD7">
      <w:pPr>
        <w:adjustRightInd w:val="0"/>
        <w:snapToGrid w:val="0"/>
        <w:spacing w:line="288" w:lineRule="auto"/>
        <w:rPr>
          <w:color w:val="auto"/>
          <w:sz w:val="24"/>
          <w:szCs w:val="24"/>
        </w:rPr>
      </w:pPr>
      <w:r>
        <w:rPr>
          <w:rFonts w:hint="eastAsia"/>
          <w:color w:val="auto"/>
          <w:sz w:val="24"/>
          <w:szCs w:val="24"/>
        </w:rPr>
        <w:t>3.供应商应在不涉及商业秘密的前提下尽可能提供详细的合同扫描件内容。</w:t>
      </w:r>
    </w:p>
    <w:p w14:paraId="445969EC">
      <w:pPr>
        <w:pStyle w:val="27"/>
        <w:spacing w:line="360" w:lineRule="auto"/>
        <w:ind w:left="-27" w:firstLine="424"/>
        <w:rPr>
          <w:rFonts w:ascii="Times New Roman" w:hAnsi="Times New Roman"/>
          <w:b/>
          <w:bCs/>
          <w:color w:val="auto"/>
          <w:sz w:val="24"/>
          <w:szCs w:val="24"/>
        </w:rPr>
      </w:pPr>
    </w:p>
    <w:p w14:paraId="19E69A98">
      <w:pPr>
        <w:pStyle w:val="27"/>
        <w:spacing w:line="360" w:lineRule="auto"/>
        <w:rPr>
          <w:rFonts w:hAnsi="宋体" w:cs="宋体"/>
          <w:b/>
          <w:bCs/>
          <w:color w:val="auto"/>
          <w:sz w:val="24"/>
        </w:rPr>
      </w:pPr>
      <w:r>
        <w:rPr>
          <w:rFonts w:hint="eastAsia" w:hAnsi="宋体" w:cs="宋体"/>
          <w:b/>
          <w:bCs/>
          <w:color w:val="auto"/>
          <w:sz w:val="24"/>
        </w:rPr>
        <w:t>响应方</w:t>
      </w:r>
      <w:r>
        <w:rPr>
          <w:rFonts w:hint="eastAsia" w:hAnsi="宋体" w:cs="宋体"/>
          <w:b/>
          <w:bCs/>
          <w:color w:val="auto"/>
          <w:sz w:val="24"/>
          <w:lang w:val="en-US" w:eastAsia="zh-CN"/>
        </w:rPr>
        <w:t>名称</w:t>
      </w:r>
      <w:r>
        <w:rPr>
          <w:rFonts w:hint="eastAsia" w:hAnsi="宋体" w:cs="宋体"/>
          <w:b/>
          <w:bCs/>
          <w:color w:val="auto"/>
          <w:sz w:val="24"/>
        </w:rPr>
        <w:t xml:space="preserve">（盖章）：            </w:t>
      </w:r>
    </w:p>
    <w:p w14:paraId="0A257CC3">
      <w:pPr>
        <w:spacing w:line="480" w:lineRule="auto"/>
        <w:rPr>
          <w:rFonts w:ascii="宋体" w:hAnsi="宋体" w:cs="宋体"/>
          <w:b/>
          <w:bCs/>
          <w:color w:val="auto"/>
          <w:sz w:val="24"/>
          <w:u w:val="single"/>
        </w:rPr>
      </w:pPr>
      <w:r>
        <w:rPr>
          <w:rFonts w:hint="eastAsia" w:hAnsi="宋体" w:cs="宋体"/>
          <w:b/>
          <w:bCs/>
          <w:color w:val="auto"/>
          <w:sz w:val="24"/>
          <w:lang w:eastAsia="zh-CN"/>
        </w:rPr>
        <w:t>授权代表（签字或法人代表章）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48339129">
      <w:pPr>
        <w:spacing w:line="360" w:lineRule="auto"/>
        <w:rPr>
          <w:color w:val="auto"/>
          <w:sz w:val="24"/>
          <w:szCs w:val="24"/>
        </w:rPr>
      </w:pPr>
      <w:r>
        <w:rPr>
          <w:rFonts w:hint="eastAsia" w:ascii="宋体" w:hAnsi="宋体" w:cs="宋体"/>
          <w:color w:val="auto"/>
          <w:sz w:val="24"/>
        </w:rPr>
        <w:t>日期：      年   月   日</w:t>
      </w:r>
    </w:p>
    <w:p w14:paraId="399C0229">
      <w:pPr>
        <w:rPr>
          <w:rFonts w:ascii="黑体" w:hAnsi="黑体" w:eastAsia="黑体" w:cs="黑体"/>
          <w:color w:val="auto"/>
          <w:sz w:val="28"/>
          <w:szCs w:val="28"/>
        </w:rPr>
      </w:pPr>
      <w:bookmarkStart w:id="833" w:name="_Toc12743"/>
      <w:bookmarkStart w:id="834" w:name="_Toc27754"/>
      <w:bookmarkStart w:id="835" w:name="_Toc9100"/>
      <w:bookmarkStart w:id="836" w:name="_Toc16499"/>
      <w:bookmarkStart w:id="837" w:name="_Toc21474"/>
      <w:bookmarkStart w:id="838" w:name="_Toc25395"/>
      <w:bookmarkStart w:id="839" w:name="_Toc27736"/>
      <w:bookmarkStart w:id="840" w:name="_Toc9428"/>
      <w:bookmarkStart w:id="841" w:name="_Toc20235"/>
      <w:bookmarkStart w:id="842" w:name="_Toc28010"/>
      <w:bookmarkStart w:id="843" w:name="_Toc29974"/>
      <w:bookmarkStart w:id="844" w:name="_Toc27924"/>
      <w:bookmarkStart w:id="845" w:name="_Toc31965"/>
      <w:bookmarkStart w:id="846" w:name="_Toc26175"/>
      <w:bookmarkStart w:id="847" w:name="_Toc18122"/>
      <w:bookmarkStart w:id="848" w:name="_Toc29300"/>
      <w:bookmarkStart w:id="849" w:name="_Toc3809"/>
      <w:bookmarkStart w:id="850" w:name="_Toc1352"/>
      <w:bookmarkStart w:id="851" w:name="_Toc32660"/>
      <w:bookmarkStart w:id="852" w:name="_Toc6410"/>
      <w:bookmarkStart w:id="853" w:name="_Toc22005"/>
      <w:bookmarkStart w:id="854" w:name="_Toc30618"/>
      <w:bookmarkStart w:id="855" w:name="_Toc23972"/>
      <w:bookmarkStart w:id="856" w:name="_Toc25847"/>
      <w:bookmarkStart w:id="857" w:name="_Toc20421"/>
      <w:bookmarkStart w:id="858" w:name="_Toc9650"/>
      <w:bookmarkStart w:id="859" w:name="_Toc5640"/>
      <w:bookmarkStart w:id="860" w:name="_Toc24884"/>
      <w:bookmarkStart w:id="861" w:name="_Toc11435"/>
      <w:bookmarkStart w:id="862" w:name="_Toc21901"/>
      <w:bookmarkStart w:id="863" w:name="_Toc8383"/>
      <w:r>
        <w:rPr>
          <w:rFonts w:hint="eastAsia" w:ascii="黑体" w:hAnsi="黑体" w:eastAsia="黑体" w:cs="黑体"/>
          <w:color w:val="auto"/>
          <w:sz w:val="28"/>
          <w:szCs w:val="28"/>
        </w:rPr>
        <w:br w:type="page"/>
      </w:r>
    </w:p>
    <w:p w14:paraId="3859849F">
      <w:pPr>
        <w:pStyle w:val="6"/>
        <w:ind w:left="0" w:firstLine="0"/>
        <w:outlineLvl w:val="0"/>
        <w:rPr>
          <w:color w:val="auto"/>
        </w:rPr>
      </w:pPr>
      <w:bookmarkStart w:id="864" w:name="_Toc4403_WPSOffice_Level2"/>
      <w:bookmarkStart w:id="865" w:name="_Toc5976"/>
      <w:r>
        <w:rPr>
          <w:rFonts w:hint="eastAsia"/>
          <w:color w:val="auto"/>
        </w:rPr>
        <w:t>（8）</w:t>
      </w:r>
      <w:bookmarkEnd w:id="833"/>
      <w:bookmarkEnd w:id="834"/>
      <w:bookmarkEnd w:id="835"/>
      <w:r>
        <w:rPr>
          <w:rFonts w:hint="eastAsia"/>
          <w:color w:val="auto"/>
        </w:rPr>
        <w:t>详细技术和服务方案</w:t>
      </w:r>
      <w:bookmarkEnd w:id="836"/>
      <w:bookmarkEnd w:id="837"/>
      <w:bookmarkEnd w:id="838"/>
      <w:bookmarkEnd w:id="839"/>
      <w:bookmarkEnd w:id="840"/>
      <w:bookmarkEnd w:id="841"/>
      <w:bookmarkEnd w:id="842"/>
      <w:bookmarkEnd w:id="864"/>
      <w:bookmarkEnd w:id="865"/>
    </w:p>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14:paraId="6ACA0501">
      <w:pPr>
        <w:spacing w:line="420" w:lineRule="exact"/>
        <w:rPr>
          <w:color w:val="auto"/>
          <w:sz w:val="24"/>
        </w:rPr>
      </w:pPr>
      <w:r>
        <w:rPr>
          <w:rFonts w:hint="eastAsia"/>
          <w:color w:val="auto"/>
          <w:sz w:val="24"/>
        </w:rPr>
        <w:t>（根据采购需求及评分标准要求编制</w:t>
      </w:r>
      <w:r>
        <w:rPr>
          <w:rFonts w:hint="eastAsia"/>
          <w:color w:val="auto"/>
          <w:sz w:val="24"/>
          <w:lang w:eastAsia="zh-CN"/>
        </w:rPr>
        <w:t>，</w:t>
      </w:r>
      <w:r>
        <w:rPr>
          <w:rFonts w:hint="eastAsia"/>
          <w:color w:val="auto"/>
          <w:sz w:val="24"/>
          <w:lang w:val="en-US" w:eastAsia="zh-CN"/>
        </w:rPr>
        <w:t>含现状需求分析、服务实施方案、培训计划、应急预案、作业设备等</w:t>
      </w:r>
      <w:r>
        <w:rPr>
          <w:rFonts w:hint="eastAsia"/>
          <w:color w:val="auto"/>
          <w:sz w:val="24"/>
        </w:rPr>
        <w:t>）</w:t>
      </w:r>
    </w:p>
    <w:p w14:paraId="0190A570">
      <w:pPr>
        <w:pStyle w:val="27"/>
        <w:snapToGrid w:val="0"/>
        <w:spacing w:line="440" w:lineRule="exact"/>
        <w:ind w:left="-27" w:firstLine="422"/>
        <w:rPr>
          <w:rFonts w:asciiTheme="majorEastAsia" w:hAnsiTheme="majorEastAsia" w:eastAsiaTheme="majorEastAsia" w:cstheme="majorEastAsia"/>
          <w:color w:val="auto"/>
          <w:sz w:val="24"/>
          <w:szCs w:val="24"/>
        </w:rPr>
      </w:pPr>
    </w:p>
    <w:p w14:paraId="175E7030">
      <w:pPr>
        <w:spacing w:before="312" w:beforeLines="100" w:after="312" w:afterLines="100"/>
        <w:jc w:val="left"/>
        <w:rPr>
          <w:rFonts w:hint="default"/>
          <w:b/>
          <w:bCs/>
          <w:color w:val="auto"/>
          <w:sz w:val="24"/>
          <w:szCs w:val="24"/>
          <w:lang w:val="en-US"/>
        </w:rPr>
      </w:pPr>
      <w:r>
        <w:rPr>
          <w:rFonts w:hint="eastAsia"/>
          <w:b/>
          <w:bCs/>
          <w:color w:val="auto"/>
          <w:sz w:val="24"/>
          <w:szCs w:val="24"/>
          <w:u w:val="none"/>
          <w:lang w:val="en-US" w:eastAsia="zh-CN"/>
        </w:rPr>
        <w:t>附：</w:t>
      </w:r>
      <w:r>
        <w:rPr>
          <w:rFonts w:hint="default"/>
          <w:b/>
          <w:bCs/>
          <w:color w:val="auto"/>
          <w:sz w:val="24"/>
          <w:szCs w:val="24"/>
          <w:u w:val="none"/>
          <w:lang w:val="en-US" w:eastAsia="zh-CN"/>
        </w:rPr>
        <w:t>超低容量喷雾器或背负式机动喷雾器</w:t>
      </w:r>
      <w:r>
        <w:rPr>
          <w:rFonts w:hint="eastAsia"/>
          <w:b/>
          <w:bCs/>
          <w:color w:val="auto"/>
          <w:sz w:val="24"/>
          <w:szCs w:val="24"/>
          <w:u w:val="none"/>
          <w:lang w:val="en-US" w:eastAsia="zh-CN"/>
        </w:rPr>
        <w:t>、</w:t>
      </w:r>
      <w:r>
        <w:rPr>
          <w:rFonts w:hint="default"/>
          <w:b/>
          <w:bCs/>
          <w:color w:val="auto"/>
          <w:sz w:val="24"/>
          <w:szCs w:val="24"/>
          <w:u w:val="none"/>
          <w:lang w:val="en-US" w:eastAsia="zh-CN"/>
        </w:rPr>
        <w:t>车载式机动超低容量喷雾机</w:t>
      </w:r>
      <w:r>
        <w:rPr>
          <w:rFonts w:hint="eastAsia"/>
          <w:b/>
          <w:bCs/>
          <w:color w:val="auto"/>
          <w:sz w:val="24"/>
          <w:szCs w:val="24"/>
          <w:u w:val="none"/>
          <w:lang w:val="en-US" w:eastAsia="zh-CN"/>
        </w:rPr>
        <w:t>、</w:t>
      </w:r>
      <w:r>
        <w:rPr>
          <w:rFonts w:hint="default"/>
          <w:b/>
          <w:bCs/>
          <w:color w:val="auto"/>
          <w:sz w:val="24"/>
          <w:szCs w:val="24"/>
          <w:u w:val="none"/>
          <w:lang w:val="en-US" w:eastAsia="zh-CN"/>
        </w:rPr>
        <w:t>工程作业机动车辆</w:t>
      </w:r>
      <w:r>
        <w:rPr>
          <w:rFonts w:hint="eastAsia"/>
          <w:b/>
          <w:bCs/>
          <w:color w:val="auto"/>
          <w:sz w:val="24"/>
          <w:szCs w:val="24"/>
          <w:u w:val="none"/>
          <w:lang w:val="en-US" w:eastAsia="zh-CN"/>
        </w:rPr>
        <w:t>的</w:t>
      </w:r>
      <w:r>
        <w:rPr>
          <w:rFonts w:hint="default"/>
          <w:b/>
          <w:bCs/>
          <w:color w:val="auto"/>
          <w:sz w:val="24"/>
          <w:szCs w:val="24"/>
          <w:u w:val="none"/>
          <w:lang w:val="en-US" w:eastAsia="zh-CN"/>
        </w:rPr>
        <w:t>发票或设备购买（或租赁）合同</w:t>
      </w:r>
      <w:r>
        <w:rPr>
          <w:rFonts w:hint="eastAsia"/>
          <w:b/>
          <w:bCs/>
          <w:color w:val="auto"/>
          <w:sz w:val="24"/>
          <w:szCs w:val="24"/>
          <w:u w:val="none"/>
          <w:lang w:val="en-US" w:eastAsia="zh-CN"/>
        </w:rPr>
        <w:t>、</w:t>
      </w:r>
      <w:r>
        <w:rPr>
          <w:rFonts w:hint="default"/>
          <w:b/>
          <w:bCs/>
          <w:color w:val="auto"/>
          <w:sz w:val="24"/>
          <w:szCs w:val="24"/>
          <w:u w:val="none"/>
          <w:lang w:val="en-US" w:eastAsia="zh-CN"/>
        </w:rPr>
        <w:t>行驶证或车辆租赁合同</w:t>
      </w:r>
      <w:r>
        <w:rPr>
          <w:rFonts w:hint="eastAsia"/>
          <w:b/>
          <w:bCs/>
          <w:color w:val="auto"/>
          <w:sz w:val="24"/>
          <w:szCs w:val="24"/>
          <w:u w:val="none"/>
          <w:lang w:val="en-US" w:eastAsia="zh-CN"/>
        </w:rPr>
        <w:t>，各材料提供复印件加盖公章。</w:t>
      </w:r>
    </w:p>
    <w:p w14:paraId="319544D0">
      <w:pPr>
        <w:rPr>
          <w:color w:val="auto"/>
        </w:rPr>
      </w:pPr>
    </w:p>
    <w:p w14:paraId="30B48EA1">
      <w:pPr>
        <w:pStyle w:val="6"/>
        <w:ind w:left="0" w:firstLine="0"/>
        <w:outlineLvl w:val="0"/>
        <w:rPr>
          <w:color w:val="auto"/>
        </w:rPr>
      </w:pPr>
      <w:bookmarkStart w:id="866" w:name="_Toc23685"/>
      <w:bookmarkStart w:id="867" w:name="_Toc21572"/>
      <w:bookmarkStart w:id="868" w:name="_Toc25492"/>
      <w:bookmarkStart w:id="869" w:name="_Toc29712_WPSOffice_Level2"/>
      <w:bookmarkStart w:id="870" w:name="_Toc19068"/>
      <w:bookmarkStart w:id="871" w:name="_Toc21017"/>
      <w:bookmarkStart w:id="872" w:name="_Toc14897"/>
      <w:bookmarkStart w:id="873" w:name="_Toc13211"/>
      <w:bookmarkStart w:id="874" w:name="_Toc3089"/>
      <w:bookmarkStart w:id="875" w:name="_Toc10148"/>
      <w:bookmarkStart w:id="876" w:name="_Toc1378"/>
      <w:bookmarkStart w:id="877" w:name="_Toc1664"/>
      <w:r>
        <w:rPr>
          <w:rFonts w:hint="eastAsia"/>
          <w:color w:val="auto"/>
        </w:rPr>
        <w:t>（9）</w:t>
      </w:r>
      <w:bookmarkEnd w:id="866"/>
      <w:r>
        <w:rPr>
          <w:rFonts w:hint="eastAsia"/>
          <w:color w:val="auto"/>
        </w:rPr>
        <w:t>项目组成员一览表</w:t>
      </w:r>
      <w:bookmarkEnd w:id="867"/>
      <w:bookmarkEnd w:id="868"/>
      <w:bookmarkEnd w:id="869"/>
      <w:bookmarkEnd w:id="870"/>
      <w:bookmarkEnd w:id="871"/>
      <w:bookmarkEnd w:id="872"/>
      <w:bookmarkEnd w:id="873"/>
      <w:bookmarkEnd w:id="874"/>
      <w:bookmarkEnd w:id="875"/>
    </w:p>
    <w:bookmarkEnd w:id="876"/>
    <w:bookmarkEnd w:id="877"/>
    <w:tbl>
      <w:tblPr>
        <w:tblStyle w:val="45"/>
        <w:tblW w:w="8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326"/>
        <w:gridCol w:w="1327"/>
        <w:gridCol w:w="1327"/>
        <w:gridCol w:w="1327"/>
        <w:gridCol w:w="1648"/>
      </w:tblGrid>
      <w:tr w14:paraId="1130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vAlign w:val="top"/>
          </w:tcPr>
          <w:p w14:paraId="7792D3CA">
            <w:pPr>
              <w:pStyle w:val="27"/>
              <w:snapToGrid w:val="0"/>
              <w:spacing w:line="440" w:lineRule="exact"/>
              <w:jc w:val="center"/>
              <w:rPr>
                <w:color w:val="auto"/>
                <w:sz w:val="21"/>
                <w:szCs w:val="21"/>
              </w:rPr>
            </w:pPr>
            <w:r>
              <w:rPr>
                <w:rFonts w:hint="eastAsia"/>
                <w:color w:val="auto"/>
                <w:sz w:val="21"/>
                <w:szCs w:val="21"/>
              </w:rPr>
              <w:t>姓名</w:t>
            </w:r>
          </w:p>
        </w:tc>
        <w:tc>
          <w:tcPr>
            <w:tcW w:w="1326" w:type="dxa"/>
            <w:vAlign w:val="top"/>
          </w:tcPr>
          <w:p w14:paraId="2F914917">
            <w:pPr>
              <w:pStyle w:val="27"/>
              <w:snapToGrid w:val="0"/>
              <w:spacing w:line="440" w:lineRule="exact"/>
              <w:jc w:val="center"/>
              <w:rPr>
                <w:color w:val="auto"/>
                <w:sz w:val="21"/>
                <w:szCs w:val="21"/>
              </w:rPr>
            </w:pPr>
            <w:r>
              <w:rPr>
                <w:rFonts w:hint="eastAsia"/>
                <w:color w:val="auto"/>
                <w:sz w:val="21"/>
                <w:szCs w:val="21"/>
              </w:rPr>
              <w:t>学历</w:t>
            </w:r>
          </w:p>
        </w:tc>
        <w:tc>
          <w:tcPr>
            <w:tcW w:w="1327" w:type="dxa"/>
            <w:vAlign w:val="top"/>
          </w:tcPr>
          <w:p w14:paraId="7F5E3D35">
            <w:pPr>
              <w:pStyle w:val="27"/>
              <w:snapToGrid w:val="0"/>
              <w:spacing w:line="440" w:lineRule="exact"/>
              <w:jc w:val="center"/>
              <w:rPr>
                <w:rFonts w:hint="default" w:eastAsia="宋体"/>
                <w:color w:val="auto"/>
                <w:sz w:val="21"/>
                <w:szCs w:val="21"/>
                <w:lang w:val="en-US" w:eastAsia="zh-CN"/>
              </w:rPr>
            </w:pPr>
            <w:r>
              <w:rPr>
                <w:rFonts w:hint="eastAsia"/>
                <w:color w:val="auto"/>
                <w:sz w:val="21"/>
                <w:szCs w:val="21"/>
              </w:rPr>
              <w:t>职称</w:t>
            </w:r>
            <w:r>
              <w:rPr>
                <w:rFonts w:hint="eastAsia"/>
                <w:color w:val="auto"/>
                <w:sz w:val="21"/>
                <w:szCs w:val="21"/>
                <w:lang w:val="en-US" w:eastAsia="zh-CN"/>
              </w:rPr>
              <w:t>或证书名称</w:t>
            </w:r>
          </w:p>
        </w:tc>
        <w:tc>
          <w:tcPr>
            <w:tcW w:w="1327" w:type="dxa"/>
            <w:vAlign w:val="top"/>
          </w:tcPr>
          <w:p w14:paraId="2A58F936">
            <w:pPr>
              <w:pStyle w:val="27"/>
              <w:snapToGrid w:val="0"/>
              <w:spacing w:line="440" w:lineRule="exact"/>
              <w:jc w:val="center"/>
              <w:rPr>
                <w:color w:val="auto"/>
                <w:sz w:val="21"/>
                <w:szCs w:val="21"/>
              </w:rPr>
            </w:pPr>
            <w:r>
              <w:rPr>
                <w:rFonts w:hint="eastAsia"/>
                <w:color w:val="auto"/>
                <w:sz w:val="21"/>
                <w:szCs w:val="21"/>
              </w:rPr>
              <w:t>证书编号</w:t>
            </w:r>
          </w:p>
        </w:tc>
        <w:tc>
          <w:tcPr>
            <w:tcW w:w="1327" w:type="dxa"/>
            <w:vAlign w:val="top"/>
          </w:tcPr>
          <w:p w14:paraId="5B421028">
            <w:pPr>
              <w:pStyle w:val="27"/>
              <w:snapToGrid w:val="0"/>
              <w:spacing w:line="440" w:lineRule="exact"/>
              <w:jc w:val="center"/>
              <w:rPr>
                <w:color w:val="auto"/>
                <w:sz w:val="21"/>
                <w:szCs w:val="21"/>
              </w:rPr>
            </w:pPr>
            <w:r>
              <w:rPr>
                <w:rFonts w:hint="eastAsia"/>
                <w:color w:val="auto"/>
                <w:sz w:val="21"/>
                <w:szCs w:val="21"/>
              </w:rPr>
              <w:t>发证部门</w:t>
            </w:r>
          </w:p>
        </w:tc>
        <w:tc>
          <w:tcPr>
            <w:tcW w:w="1648" w:type="dxa"/>
            <w:vAlign w:val="top"/>
          </w:tcPr>
          <w:p w14:paraId="1DAB16C0">
            <w:pPr>
              <w:pStyle w:val="27"/>
              <w:snapToGrid w:val="0"/>
              <w:spacing w:line="440" w:lineRule="exact"/>
              <w:jc w:val="center"/>
              <w:rPr>
                <w:color w:val="auto"/>
                <w:sz w:val="21"/>
                <w:szCs w:val="21"/>
              </w:rPr>
            </w:pPr>
            <w:r>
              <w:rPr>
                <w:rFonts w:hint="eastAsia"/>
                <w:color w:val="auto"/>
                <w:sz w:val="21"/>
                <w:szCs w:val="21"/>
              </w:rPr>
              <w:t>持证有效期</w:t>
            </w:r>
          </w:p>
        </w:tc>
      </w:tr>
      <w:tr w14:paraId="14F3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58A7250B">
            <w:pPr>
              <w:pStyle w:val="27"/>
              <w:snapToGrid w:val="0"/>
              <w:spacing w:line="440" w:lineRule="exact"/>
              <w:ind w:left="-27" w:firstLine="370"/>
              <w:rPr>
                <w:color w:val="auto"/>
                <w:sz w:val="21"/>
                <w:szCs w:val="21"/>
              </w:rPr>
            </w:pPr>
          </w:p>
        </w:tc>
        <w:tc>
          <w:tcPr>
            <w:tcW w:w="1326" w:type="dxa"/>
          </w:tcPr>
          <w:p w14:paraId="40050DDC">
            <w:pPr>
              <w:pStyle w:val="27"/>
              <w:snapToGrid w:val="0"/>
              <w:spacing w:line="440" w:lineRule="exact"/>
              <w:ind w:left="-27" w:firstLine="370"/>
              <w:rPr>
                <w:color w:val="auto"/>
                <w:sz w:val="21"/>
                <w:szCs w:val="21"/>
              </w:rPr>
            </w:pPr>
          </w:p>
        </w:tc>
        <w:tc>
          <w:tcPr>
            <w:tcW w:w="1327" w:type="dxa"/>
          </w:tcPr>
          <w:p w14:paraId="144C9714">
            <w:pPr>
              <w:pStyle w:val="27"/>
              <w:snapToGrid w:val="0"/>
              <w:spacing w:line="440" w:lineRule="exact"/>
              <w:ind w:left="-27" w:firstLine="370"/>
              <w:rPr>
                <w:color w:val="auto"/>
                <w:sz w:val="21"/>
                <w:szCs w:val="21"/>
              </w:rPr>
            </w:pPr>
          </w:p>
        </w:tc>
        <w:tc>
          <w:tcPr>
            <w:tcW w:w="1327" w:type="dxa"/>
          </w:tcPr>
          <w:p w14:paraId="4EC4792C">
            <w:pPr>
              <w:pStyle w:val="27"/>
              <w:snapToGrid w:val="0"/>
              <w:spacing w:line="440" w:lineRule="exact"/>
              <w:ind w:left="-27" w:firstLine="370"/>
              <w:rPr>
                <w:color w:val="auto"/>
                <w:sz w:val="21"/>
                <w:szCs w:val="21"/>
              </w:rPr>
            </w:pPr>
          </w:p>
        </w:tc>
        <w:tc>
          <w:tcPr>
            <w:tcW w:w="1327" w:type="dxa"/>
          </w:tcPr>
          <w:p w14:paraId="15B09A71">
            <w:pPr>
              <w:pStyle w:val="27"/>
              <w:snapToGrid w:val="0"/>
              <w:spacing w:line="440" w:lineRule="exact"/>
              <w:ind w:left="-27" w:firstLine="370"/>
              <w:rPr>
                <w:color w:val="auto"/>
                <w:sz w:val="21"/>
                <w:szCs w:val="21"/>
              </w:rPr>
            </w:pPr>
          </w:p>
        </w:tc>
        <w:tc>
          <w:tcPr>
            <w:tcW w:w="1648" w:type="dxa"/>
          </w:tcPr>
          <w:p w14:paraId="0D089418">
            <w:pPr>
              <w:pStyle w:val="27"/>
              <w:snapToGrid w:val="0"/>
              <w:spacing w:line="440" w:lineRule="exact"/>
              <w:ind w:left="-27" w:firstLine="370"/>
              <w:rPr>
                <w:color w:val="auto"/>
                <w:sz w:val="21"/>
                <w:szCs w:val="21"/>
              </w:rPr>
            </w:pPr>
          </w:p>
        </w:tc>
      </w:tr>
      <w:tr w14:paraId="03BD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55C5A269">
            <w:pPr>
              <w:pStyle w:val="27"/>
              <w:snapToGrid w:val="0"/>
              <w:spacing w:line="440" w:lineRule="exact"/>
              <w:ind w:left="-27" w:firstLine="370"/>
              <w:rPr>
                <w:color w:val="auto"/>
                <w:sz w:val="21"/>
                <w:szCs w:val="21"/>
              </w:rPr>
            </w:pPr>
          </w:p>
        </w:tc>
        <w:tc>
          <w:tcPr>
            <w:tcW w:w="1326" w:type="dxa"/>
          </w:tcPr>
          <w:p w14:paraId="457D32EE">
            <w:pPr>
              <w:pStyle w:val="27"/>
              <w:snapToGrid w:val="0"/>
              <w:spacing w:line="440" w:lineRule="exact"/>
              <w:ind w:left="-27" w:firstLine="370"/>
              <w:rPr>
                <w:color w:val="auto"/>
                <w:sz w:val="21"/>
                <w:szCs w:val="21"/>
              </w:rPr>
            </w:pPr>
          </w:p>
        </w:tc>
        <w:tc>
          <w:tcPr>
            <w:tcW w:w="1327" w:type="dxa"/>
          </w:tcPr>
          <w:p w14:paraId="11FC14D8">
            <w:pPr>
              <w:pStyle w:val="27"/>
              <w:snapToGrid w:val="0"/>
              <w:spacing w:line="440" w:lineRule="exact"/>
              <w:ind w:left="-27" w:firstLine="370"/>
              <w:rPr>
                <w:color w:val="auto"/>
                <w:sz w:val="21"/>
                <w:szCs w:val="21"/>
              </w:rPr>
            </w:pPr>
          </w:p>
        </w:tc>
        <w:tc>
          <w:tcPr>
            <w:tcW w:w="1327" w:type="dxa"/>
          </w:tcPr>
          <w:p w14:paraId="0C7F0A67">
            <w:pPr>
              <w:pStyle w:val="27"/>
              <w:snapToGrid w:val="0"/>
              <w:spacing w:line="440" w:lineRule="exact"/>
              <w:ind w:left="-27" w:firstLine="370"/>
              <w:rPr>
                <w:color w:val="auto"/>
                <w:sz w:val="21"/>
                <w:szCs w:val="21"/>
              </w:rPr>
            </w:pPr>
          </w:p>
        </w:tc>
        <w:tc>
          <w:tcPr>
            <w:tcW w:w="1327" w:type="dxa"/>
          </w:tcPr>
          <w:p w14:paraId="0925E65B">
            <w:pPr>
              <w:pStyle w:val="27"/>
              <w:snapToGrid w:val="0"/>
              <w:spacing w:line="440" w:lineRule="exact"/>
              <w:ind w:left="-27" w:firstLine="370"/>
              <w:rPr>
                <w:color w:val="auto"/>
                <w:sz w:val="21"/>
                <w:szCs w:val="21"/>
              </w:rPr>
            </w:pPr>
          </w:p>
        </w:tc>
        <w:tc>
          <w:tcPr>
            <w:tcW w:w="1648" w:type="dxa"/>
          </w:tcPr>
          <w:p w14:paraId="3FD25575">
            <w:pPr>
              <w:pStyle w:val="27"/>
              <w:snapToGrid w:val="0"/>
              <w:spacing w:line="440" w:lineRule="exact"/>
              <w:ind w:left="-27" w:firstLine="370"/>
              <w:rPr>
                <w:color w:val="auto"/>
                <w:sz w:val="21"/>
                <w:szCs w:val="21"/>
              </w:rPr>
            </w:pPr>
          </w:p>
        </w:tc>
      </w:tr>
      <w:tr w14:paraId="70B3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26" w:type="dxa"/>
          </w:tcPr>
          <w:p w14:paraId="312137B6">
            <w:pPr>
              <w:pStyle w:val="27"/>
              <w:snapToGrid w:val="0"/>
              <w:spacing w:line="440" w:lineRule="exact"/>
              <w:ind w:left="-27" w:firstLine="370"/>
              <w:rPr>
                <w:color w:val="auto"/>
                <w:sz w:val="21"/>
                <w:szCs w:val="21"/>
              </w:rPr>
            </w:pPr>
          </w:p>
        </w:tc>
        <w:tc>
          <w:tcPr>
            <w:tcW w:w="1326" w:type="dxa"/>
          </w:tcPr>
          <w:p w14:paraId="47D3FF4F">
            <w:pPr>
              <w:pStyle w:val="27"/>
              <w:snapToGrid w:val="0"/>
              <w:spacing w:line="440" w:lineRule="exact"/>
              <w:ind w:left="-27" w:firstLine="370"/>
              <w:rPr>
                <w:color w:val="auto"/>
                <w:sz w:val="21"/>
                <w:szCs w:val="21"/>
              </w:rPr>
            </w:pPr>
          </w:p>
        </w:tc>
        <w:tc>
          <w:tcPr>
            <w:tcW w:w="1327" w:type="dxa"/>
          </w:tcPr>
          <w:p w14:paraId="528F12A8">
            <w:pPr>
              <w:pStyle w:val="27"/>
              <w:snapToGrid w:val="0"/>
              <w:spacing w:line="440" w:lineRule="exact"/>
              <w:ind w:left="-27" w:firstLine="370"/>
              <w:rPr>
                <w:color w:val="auto"/>
                <w:sz w:val="21"/>
                <w:szCs w:val="21"/>
              </w:rPr>
            </w:pPr>
          </w:p>
        </w:tc>
        <w:tc>
          <w:tcPr>
            <w:tcW w:w="1327" w:type="dxa"/>
          </w:tcPr>
          <w:p w14:paraId="035F88FA">
            <w:pPr>
              <w:pStyle w:val="27"/>
              <w:snapToGrid w:val="0"/>
              <w:spacing w:line="440" w:lineRule="exact"/>
              <w:ind w:left="-27" w:firstLine="370"/>
              <w:rPr>
                <w:color w:val="auto"/>
                <w:sz w:val="21"/>
                <w:szCs w:val="21"/>
              </w:rPr>
            </w:pPr>
          </w:p>
        </w:tc>
        <w:tc>
          <w:tcPr>
            <w:tcW w:w="1327" w:type="dxa"/>
          </w:tcPr>
          <w:p w14:paraId="0552B0A1">
            <w:pPr>
              <w:pStyle w:val="27"/>
              <w:snapToGrid w:val="0"/>
              <w:spacing w:line="440" w:lineRule="exact"/>
              <w:ind w:left="-27" w:firstLine="370"/>
              <w:rPr>
                <w:color w:val="auto"/>
                <w:sz w:val="21"/>
                <w:szCs w:val="21"/>
              </w:rPr>
            </w:pPr>
          </w:p>
        </w:tc>
        <w:tc>
          <w:tcPr>
            <w:tcW w:w="1648" w:type="dxa"/>
          </w:tcPr>
          <w:p w14:paraId="0E222CFC">
            <w:pPr>
              <w:pStyle w:val="27"/>
              <w:snapToGrid w:val="0"/>
              <w:spacing w:line="440" w:lineRule="exact"/>
              <w:ind w:left="-27" w:firstLine="370"/>
              <w:rPr>
                <w:color w:val="auto"/>
                <w:sz w:val="21"/>
                <w:szCs w:val="21"/>
              </w:rPr>
            </w:pPr>
          </w:p>
        </w:tc>
      </w:tr>
      <w:tr w14:paraId="1EBE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0E65FD2D">
            <w:pPr>
              <w:pStyle w:val="27"/>
              <w:snapToGrid w:val="0"/>
              <w:spacing w:line="440" w:lineRule="exact"/>
              <w:ind w:left="-27" w:firstLine="370"/>
              <w:rPr>
                <w:color w:val="auto"/>
                <w:sz w:val="21"/>
                <w:szCs w:val="21"/>
              </w:rPr>
            </w:pPr>
          </w:p>
        </w:tc>
        <w:tc>
          <w:tcPr>
            <w:tcW w:w="1326" w:type="dxa"/>
          </w:tcPr>
          <w:p w14:paraId="45E7429A">
            <w:pPr>
              <w:pStyle w:val="27"/>
              <w:snapToGrid w:val="0"/>
              <w:spacing w:line="440" w:lineRule="exact"/>
              <w:ind w:left="-27" w:firstLine="370"/>
              <w:rPr>
                <w:color w:val="auto"/>
                <w:sz w:val="21"/>
                <w:szCs w:val="21"/>
              </w:rPr>
            </w:pPr>
          </w:p>
        </w:tc>
        <w:tc>
          <w:tcPr>
            <w:tcW w:w="1327" w:type="dxa"/>
          </w:tcPr>
          <w:p w14:paraId="62F3BA7E">
            <w:pPr>
              <w:pStyle w:val="27"/>
              <w:snapToGrid w:val="0"/>
              <w:spacing w:line="440" w:lineRule="exact"/>
              <w:ind w:left="-27" w:firstLine="370"/>
              <w:rPr>
                <w:color w:val="auto"/>
                <w:sz w:val="21"/>
                <w:szCs w:val="21"/>
              </w:rPr>
            </w:pPr>
          </w:p>
        </w:tc>
        <w:tc>
          <w:tcPr>
            <w:tcW w:w="1327" w:type="dxa"/>
          </w:tcPr>
          <w:p w14:paraId="62A2A8B1">
            <w:pPr>
              <w:pStyle w:val="27"/>
              <w:snapToGrid w:val="0"/>
              <w:spacing w:line="440" w:lineRule="exact"/>
              <w:ind w:left="-27" w:firstLine="370"/>
              <w:rPr>
                <w:color w:val="auto"/>
                <w:sz w:val="21"/>
                <w:szCs w:val="21"/>
              </w:rPr>
            </w:pPr>
          </w:p>
        </w:tc>
        <w:tc>
          <w:tcPr>
            <w:tcW w:w="1327" w:type="dxa"/>
          </w:tcPr>
          <w:p w14:paraId="60DE2520">
            <w:pPr>
              <w:pStyle w:val="27"/>
              <w:snapToGrid w:val="0"/>
              <w:spacing w:line="440" w:lineRule="exact"/>
              <w:ind w:left="-27" w:firstLine="370"/>
              <w:rPr>
                <w:color w:val="auto"/>
                <w:sz w:val="21"/>
                <w:szCs w:val="21"/>
              </w:rPr>
            </w:pPr>
          </w:p>
        </w:tc>
        <w:tc>
          <w:tcPr>
            <w:tcW w:w="1648" w:type="dxa"/>
          </w:tcPr>
          <w:p w14:paraId="50958EE5">
            <w:pPr>
              <w:pStyle w:val="27"/>
              <w:snapToGrid w:val="0"/>
              <w:spacing w:line="440" w:lineRule="exact"/>
              <w:ind w:left="-27" w:firstLine="370"/>
              <w:rPr>
                <w:color w:val="auto"/>
                <w:sz w:val="21"/>
                <w:szCs w:val="21"/>
              </w:rPr>
            </w:pPr>
          </w:p>
        </w:tc>
      </w:tr>
      <w:tr w14:paraId="19B7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51769013">
            <w:pPr>
              <w:pStyle w:val="27"/>
              <w:snapToGrid w:val="0"/>
              <w:spacing w:line="440" w:lineRule="exact"/>
              <w:ind w:left="-27" w:firstLine="370"/>
              <w:rPr>
                <w:color w:val="auto"/>
                <w:sz w:val="21"/>
                <w:szCs w:val="21"/>
              </w:rPr>
            </w:pPr>
          </w:p>
        </w:tc>
        <w:tc>
          <w:tcPr>
            <w:tcW w:w="1326" w:type="dxa"/>
          </w:tcPr>
          <w:p w14:paraId="0B7C8619">
            <w:pPr>
              <w:pStyle w:val="27"/>
              <w:snapToGrid w:val="0"/>
              <w:spacing w:line="440" w:lineRule="exact"/>
              <w:ind w:left="-27" w:firstLine="370"/>
              <w:rPr>
                <w:color w:val="auto"/>
                <w:sz w:val="21"/>
                <w:szCs w:val="21"/>
              </w:rPr>
            </w:pPr>
          </w:p>
        </w:tc>
        <w:tc>
          <w:tcPr>
            <w:tcW w:w="1327" w:type="dxa"/>
          </w:tcPr>
          <w:p w14:paraId="601D6918">
            <w:pPr>
              <w:pStyle w:val="27"/>
              <w:snapToGrid w:val="0"/>
              <w:spacing w:line="440" w:lineRule="exact"/>
              <w:ind w:left="-27" w:firstLine="370"/>
              <w:rPr>
                <w:color w:val="auto"/>
                <w:sz w:val="21"/>
                <w:szCs w:val="21"/>
              </w:rPr>
            </w:pPr>
          </w:p>
        </w:tc>
        <w:tc>
          <w:tcPr>
            <w:tcW w:w="1327" w:type="dxa"/>
          </w:tcPr>
          <w:p w14:paraId="329980C1">
            <w:pPr>
              <w:pStyle w:val="27"/>
              <w:snapToGrid w:val="0"/>
              <w:spacing w:line="440" w:lineRule="exact"/>
              <w:ind w:left="-27" w:firstLine="370"/>
              <w:rPr>
                <w:color w:val="auto"/>
                <w:sz w:val="21"/>
                <w:szCs w:val="21"/>
              </w:rPr>
            </w:pPr>
          </w:p>
        </w:tc>
        <w:tc>
          <w:tcPr>
            <w:tcW w:w="1327" w:type="dxa"/>
          </w:tcPr>
          <w:p w14:paraId="0E80E0F9">
            <w:pPr>
              <w:pStyle w:val="27"/>
              <w:snapToGrid w:val="0"/>
              <w:spacing w:line="440" w:lineRule="exact"/>
              <w:ind w:left="-27" w:firstLine="370"/>
              <w:rPr>
                <w:color w:val="auto"/>
                <w:sz w:val="21"/>
                <w:szCs w:val="21"/>
              </w:rPr>
            </w:pPr>
          </w:p>
        </w:tc>
        <w:tc>
          <w:tcPr>
            <w:tcW w:w="1648" w:type="dxa"/>
          </w:tcPr>
          <w:p w14:paraId="4FE66855">
            <w:pPr>
              <w:pStyle w:val="27"/>
              <w:snapToGrid w:val="0"/>
              <w:spacing w:line="440" w:lineRule="exact"/>
              <w:ind w:left="-27" w:firstLine="370"/>
              <w:rPr>
                <w:color w:val="auto"/>
                <w:sz w:val="21"/>
                <w:szCs w:val="21"/>
              </w:rPr>
            </w:pPr>
          </w:p>
        </w:tc>
      </w:tr>
    </w:tbl>
    <w:p w14:paraId="40B3B8ED">
      <w:pPr>
        <w:pStyle w:val="27"/>
        <w:snapToGrid w:val="0"/>
        <w:spacing w:line="440" w:lineRule="exact"/>
        <w:ind w:left="-27" w:firstLine="370"/>
        <w:rPr>
          <w:color w:val="auto"/>
          <w:sz w:val="21"/>
          <w:szCs w:val="21"/>
        </w:rPr>
      </w:pPr>
      <w:r>
        <w:rPr>
          <w:rFonts w:hint="eastAsia"/>
          <w:color w:val="auto"/>
          <w:sz w:val="21"/>
          <w:szCs w:val="21"/>
        </w:rPr>
        <w:t>注：附学历职称证书复印件、</w:t>
      </w:r>
      <w:r>
        <w:rPr>
          <w:rFonts w:hint="eastAsia"/>
          <w:color w:val="auto"/>
          <w:sz w:val="21"/>
          <w:szCs w:val="21"/>
          <w:lang w:val="en-US" w:eastAsia="zh-CN"/>
        </w:rPr>
        <w:t>培训合格证书复印件、社保证明材料等</w:t>
      </w:r>
      <w:r>
        <w:rPr>
          <w:rFonts w:hint="eastAsia"/>
          <w:color w:val="auto"/>
          <w:sz w:val="21"/>
          <w:szCs w:val="21"/>
        </w:rPr>
        <w:t>。</w:t>
      </w:r>
    </w:p>
    <w:p w14:paraId="64FDED64">
      <w:pPr>
        <w:pStyle w:val="27"/>
        <w:spacing w:line="360" w:lineRule="auto"/>
        <w:ind w:left="-27" w:firstLine="422"/>
        <w:rPr>
          <w:rFonts w:ascii="Times New Roman" w:hAnsi="Times New Roman"/>
          <w:color w:val="auto"/>
          <w:sz w:val="24"/>
          <w:szCs w:val="24"/>
        </w:rPr>
      </w:pPr>
    </w:p>
    <w:p w14:paraId="562B5C3A">
      <w:pPr>
        <w:pStyle w:val="27"/>
        <w:spacing w:line="360" w:lineRule="auto"/>
        <w:rPr>
          <w:rFonts w:hAnsi="宋体" w:cs="宋体"/>
          <w:b/>
          <w:bCs/>
          <w:color w:val="auto"/>
          <w:sz w:val="24"/>
        </w:rPr>
      </w:pPr>
      <w:r>
        <w:rPr>
          <w:rFonts w:hint="eastAsia" w:hAnsi="宋体" w:cs="宋体"/>
          <w:b/>
          <w:bCs/>
          <w:color w:val="auto"/>
          <w:sz w:val="24"/>
        </w:rPr>
        <w:t>响应方</w:t>
      </w:r>
      <w:r>
        <w:rPr>
          <w:rFonts w:hint="eastAsia" w:hAnsi="宋体" w:cs="宋体"/>
          <w:b/>
          <w:bCs/>
          <w:color w:val="auto"/>
          <w:sz w:val="24"/>
          <w:lang w:val="en-US" w:eastAsia="zh-CN"/>
        </w:rPr>
        <w:t>名称</w:t>
      </w:r>
      <w:r>
        <w:rPr>
          <w:rFonts w:hint="eastAsia" w:hAnsi="宋体" w:cs="宋体"/>
          <w:b/>
          <w:bCs/>
          <w:color w:val="auto"/>
          <w:sz w:val="24"/>
        </w:rPr>
        <w:t xml:space="preserve">（盖章）：            </w:t>
      </w:r>
    </w:p>
    <w:p w14:paraId="2AF0F92D">
      <w:pPr>
        <w:spacing w:line="480" w:lineRule="auto"/>
        <w:rPr>
          <w:rFonts w:ascii="宋体" w:hAnsi="宋体" w:cs="宋体"/>
          <w:b/>
          <w:bCs/>
          <w:color w:val="auto"/>
          <w:sz w:val="24"/>
          <w:u w:val="single"/>
        </w:rPr>
      </w:pPr>
      <w:r>
        <w:rPr>
          <w:rFonts w:hint="eastAsia" w:hAnsi="宋体" w:cs="宋体"/>
          <w:b/>
          <w:bCs/>
          <w:color w:val="auto"/>
          <w:sz w:val="24"/>
          <w:lang w:eastAsia="zh-CN"/>
        </w:rPr>
        <w:t>授权代表（签字或法人代表章）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666D3F54">
      <w:pPr>
        <w:spacing w:before="312" w:beforeLines="100" w:after="312" w:afterLines="100"/>
        <w:jc w:val="left"/>
        <w:rPr>
          <w:rFonts w:ascii="宋体" w:hAnsi="宋体" w:cs="宋体"/>
          <w:color w:val="auto"/>
          <w:sz w:val="24"/>
        </w:rPr>
      </w:pPr>
      <w:r>
        <w:rPr>
          <w:rFonts w:hint="eastAsia" w:ascii="宋体" w:hAnsi="宋体" w:cs="宋体"/>
          <w:color w:val="auto"/>
          <w:sz w:val="24"/>
        </w:rPr>
        <w:t>日期：      年   月   日</w:t>
      </w:r>
    </w:p>
    <w:p w14:paraId="6167E381">
      <w:pPr>
        <w:pStyle w:val="6"/>
        <w:ind w:left="0" w:firstLine="0"/>
        <w:jc w:val="left"/>
        <w:outlineLvl w:val="9"/>
        <w:rPr>
          <w:rFonts w:ascii="黑体" w:hAnsi="黑体" w:eastAsia="黑体" w:cs="黑体"/>
          <w:color w:val="auto"/>
          <w:sz w:val="24"/>
          <w:szCs w:val="24"/>
        </w:rPr>
      </w:pPr>
    </w:p>
    <w:p w14:paraId="27AF0598">
      <w:pPr>
        <w:pStyle w:val="6"/>
        <w:ind w:left="0" w:firstLine="0"/>
        <w:outlineLvl w:val="0"/>
        <w:rPr>
          <w:color w:val="auto"/>
        </w:rPr>
      </w:pPr>
      <w:bookmarkStart w:id="878" w:name="_Toc30223"/>
      <w:bookmarkStart w:id="879" w:name="_Toc21717"/>
      <w:bookmarkStart w:id="880" w:name="_Toc31661"/>
      <w:bookmarkStart w:id="881" w:name="_Toc10021"/>
      <w:bookmarkStart w:id="882" w:name="_Toc3296"/>
      <w:bookmarkStart w:id="883" w:name="_Toc14194"/>
      <w:bookmarkStart w:id="884" w:name="_Toc13735"/>
      <w:bookmarkStart w:id="885" w:name="_Toc20288"/>
      <w:bookmarkStart w:id="886" w:name="_Toc2271"/>
      <w:bookmarkStart w:id="887" w:name="_Toc15835"/>
      <w:bookmarkStart w:id="888" w:name="_Toc29121"/>
      <w:bookmarkStart w:id="889" w:name="_Toc29574_WPSOffice_Level2"/>
      <w:r>
        <w:rPr>
          <w:rFonts w:hint="eastAsia"/>
          <w:color w:val="auto"/>
        </w:rPr>
        <w:t>（10）关于对磋商文件中有关条款的拒绝声明</w:t>
      </w:r>
      <w:bookmarkEnd w:id="832"/>
      <w:r>
        <w:rPr>
          <w:rFonts w:hint="eastAsia"/>
          <w:color w:val="auto"/>
        </w:rPr>
        <w:t>(如有)</w:t>
      </w:r>
      <w:bookmarkEnd w:id="878"/>
      <w:bookmarkEnd w:id="879"/>
      <w:bookmarkEnd w:id="880"/>
      <w:bookmarkEnd w:id="881"/>
      <w:bookmarkEnd w:id="882"/>
      <w:bookmarkEnd w:id="883"/>
      <w:bookmarkEnd w:id="884"/>
      <w:bookmarkEnd w:id="885"/>
      <w:bookmarkEnd w:id="886"/>
      <w:bookmarkEnd w:id="887"/>
      <w:bookmarkEnd w:id="888"/>
      <w:bookmarkEnd w:id="889"/>
      <w:r>
        <w:rPr>
          <w:rFonts w:hint="eastAsia"/>
          <w:color w:val="auto"/>
        </w:rPr>
        <w:t xml:space="preserve"> </w:t>
      </w:r>
    </w:p>
    <w:bookmarkEnd w:id="271"/>
    <w:bookmarkEnd w:id="664"/>
    <w:p w14:paraId="479CB938">
      <w:pPr>
        <w:pStyle w:val="27"/>
        <w:spacing w:line="360" w:lineRule="auto"/>
        <w:rPr>
          <w:rFonts w:hAnsi="宋体" w:cs="宋体"/>
          <w:b/>
          <w:bCs/>
          <w:color w:val="auto"/>
          <w:sz w:val="24"/>
        </w:rPr>
      </w:pPr>
      <w:r>
        <w:rPr>
          <w:rFonts w:hint="eastAsia" w:hAnsi="宋体" w:cs="宋体"/>
          <w:b/>
          <w:bCs/>
          <w:color w:val="auto"/>
          <w:sz w:val="24"/>
        </w:rPr>
        <w:t>响应方</w:t>
      </w:r>
      <w:r>
        <w:rPr>
          <w:rFonts w:hint="eastAsia" w:hAnsi="宋体" w:cs="宋体"/>
          <w:b/>
          <w:bCs/>
          <w:color w:val="auto"/>
          <w:sz w:val="24"/>
          <w:lang w:val="en-US" w:eastAsia="zh-CN"/>
        </w:rPr>
        <w:t>名称</w:t>
      </w:r>
      <w:r>
        <w:rPr>
          <w:rFonts w:hint="eastAsia" w:hAnsi="宋体" w:cs="宋体"/>
          <w:b/>
          <w:bCs/>
          <w:color w:val="auto"/>
          <w:sz w:val="24"/>
        </w:rPr>
        <w:t xml:space="preserve">（盖章）：            </w:t>
      </w:r>
    </w:p>
    <w:p w14:paraId="64FAD213">
      <w:pPr>
        <w:spacing w:line="480" w:lineRule="auto"/>
        <w:rPr>
          <w:rFonts w:ascii="宋体" w:hAnsi="宋体" w:cs="宋体"/>
          <w:b/>
          <w:bCs/>
          <w:color w:val="auto"/>
          <w:sz w:val="24"/>
          <w:u w:val="single"/>
        </w:rPr>
      </w:pPr>
      <w:r>
        <w:rPr>
          <w:rFonts w:hint="eastAsia" w:hAnsi="宋体" w:cs="宋体"/>
          <w:b/>
          <w:bCs/>
          <w:color w:val="auto"/>
          <w:sz w:val="24"/>
          <w:lang w:eastAsia="zh-CN"/>
        </w:rPr>
        <w:t>授权代表（签字或法人代表章）</w:t>
      </w:r>
      <w:r>
        <w:rPr>
          <w:rFonts w:hint="eastAsia" w:ascii="宋体" w:hAnsi="宋体" w:cs="宋体"/>
          <w:b/>
          <w:bCs/>
          <w:color w:val="auto"/>
          <w:sz w:val="24"/>
        </w:rPr>
        <w:t>：</w:t>
      </w:r>
      <w:r>
        <w:rPr>
          <w:rFonts w:hint="eastAsia" w:ascii="宋体" w:hAnsi="宋体" w:cs="宋体"/>
          <w:b/>
          <w:bCs/>
          <w:color w:val="auto"/>
          <w:sz w:val="24"/>
          <w:u w:val="single"/>
        </w:rPr>
        <w:t xml:space="preserve">                 </w:t>
      </w:r>
    </w:p>
    <w:p w14:paraId="3D59785E">
      <w:pPr>
        <w:spacing w:before="312" w:beforeLines="100" w:after="312" w:afterLines="100"/>
        <w:jc w:val="left"/>
        <w:rPr>
          <w:color w:val="auto"/>
          <w:sz w:val="24"/>
        </w:rPr>
      </w:pPr>
      <w:r>
        <w:rPr>
          <w:rFonts w:hint="eastAsia" w:ascii="宋体" w:hAnsi="宋体" w:cs="宋体"/>
          <w:color w:val="auto"/>
          <w:sz w:val="24"/>
        </w:rPr>
        <w:t>日期：      年   月   日</w:t>
      </w:r>
    </w:p>
    <w:p w14:paraId="42A0D911">
      <w:pPr>
        <w:pStyle w:val="6"/>
        <w:ind w:left="0" w:firstLine="0"/>
        <w:jc w:val="left"/>
        <w:outlineLvl w:val="0"/>
        <w:rPr>
          <w:color w:val="auto"/>
        </w:rPr>
      </w:pPr>
      <w:bookmarkStart w:id="890" w:name="_Toc25655_WPSOffice_Level1"/>
      <w:bookmarkStart w:id="891" w:name="_Toc29667"/>
      <w:bookmarkStart w:id="892" w:name="_Toc9225_WPSOffice_Level1"/>
      <w:r>
        <w:rPr>
          <w:rFonts w:hint="eastAsia"/>
          <w:color w:val="auto"/>
        </w:rPr>
        <w:t>评分标准索引表</w:t>
      </w:r>
      <w:bookmarkEnd w:id="890"/>
      <w:bookmarkEnd w:id="891"/>
      <w:bookmarkEnd w:id="892"/>
    </w:p>
    <w:p w14:paraId="37FE00C7">
      <w:pPr>
        <w:jc w:val="center"/>
        <w:outlineLvl w:val="0"/>
        <w:rPr>
          <w:color w:val="auto"/>
          <w:sz w:val="36"/>
          <w:szCs w:val="36"/>
        </w:rPr>
      </w:pPr>
      <w:bookmarkStart w:id="893" w:name="_Toc27424_WPSOffice_Level1"/>
      <w:bookmarkStart w:id="894" w:name="_Toc8785_WPSOffice_Level1"/>
      <w:bookmarkStart w:id="895" w:name="_Toc5171_WPSOffice_Level1"/>
      <w:r>
        <w:rPr>
          <w:rFonts w:hint="eastAsia"/>
          <w:color w:val="auto"/>
          <w:sz w:val="36"/>
          <w:szCs w:val="36"/>
        </w:rPr>
        <w:t>评分标准索引表</w:t>
      </w:r>
      <w:bookmarkEnd w:id="893"/>
      <w:bookmarkEnd w:id="894"/>
      <w:bookmarkEnd w:id="895"/>
    </w:p>
    <w:tbl>
      <w:tblPr>
        <w:tblStyle w:val="45"/>
        <w:tblW w:w="85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1276"/>
        <w:gridCol w:w="5103"/>
        <w:gridCol w:w="1080"/>
      </w:tblGrid>
      <w:tr w14:paraId="6DAFB1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47A8E2DD">
            <w:pPr>
              <w:spacing w:line="320" w:lineRule="exact"/>
              <w:jc w:val="center"/>
              <w:rPr>
                <w:rFonts w:ascii="黑体" w:hAnsi="宋体" w:eastAsia="黑体"/>
                <w:color w:val="auto"/>
                <w:sz w:val="24"/>
                <w:szCs w:val="24"/>
              </w:rPr>
            </w:pPr>
            <w:r>
              <w:rPr>
                <w:rFonts w:hint="eastAsia" w:ascii="黑体" w:hAnsi="宋体" w:eastAsia="黑体"/>
                <w:color w:val="auto"/>
                <w:sz w:val="24"/>
                <w:szCs w:val="24"/>
              </w:rPr>
              <w:t>评分项目</w:t>
            </w:r>
          </w:p>
        </w:tc>
        <w:tc>
          <w:tcPr>
            <w:tcW w:w="6379" w:type="dxa"/>
            <w:gridSpan w:val="2"/>
            <w:tcBorders>
              <w:top w:val="single" w:color="auto" w:sz="4" w:space="0"/>
              <w:left w:val="single" w:color="auto" w:sz="4" w:space="0"/>
              <w:bottom w:val="single" w:color="auto" w:sz="4" w:space="0"/>
              <w:right w:val="single" w:color="auto" w:sz="4" w:space="0"/>
            </w:tcBorders>
            <w:vAlign w:val="center"/>
          </w:tcPr>
          <w:p w14:paraId="16F879FD">
            <w:pPr>
              <w:spacing w:line="320" w:lineRule="exact"/>
              <w:jc w:val="center"/>
              <w:rPr>
                <w:rFonts w:ascii="黑体" w:hAnsi="宋体" w:eastAsia="黑体"/>
                <w:color w:val="auto"/>
                <w:sz w:val="24"/>
                <w:szCs w:val="24"/>
              </w:rPr>
            </w:pPr>
            <w:r>
              <w:rPr>
                <w:rFonts w:hint="eastAsia" w:ascii="黑体" w:hAnsi="仿宋" w:eastAsia="黑体" w:cs="黑体"/>
                <w:color w:val="auto"/>
                <w:sz w:val="24"/>
                <w:szCs w:val="24"/>
              </w:rPr>
              <w:t>评分要点及说明</w:t>
            </w:r>
          </w:p>
        </w:tc>
        <w:tc>
          <w:tcPr>
            <w:tcW w:w="1080" w:type="dxa"/>
            <w:tcBorders>
              <w:top w:val="single" w:color="auto" w:sz="4" w:space="0"/>
              <w:left w:val="single" w:color="auto" w:sz="4" w:space="0"/>
              <w:bottom w:val="single" w:color="auto" w:sz="4" w:space="0"/>
              <w:right w:val="single" w:color="auto" w:sz="4" w:space="0"/>
            </w:tcBorders>
            <w:vAlign w:val="center"/>
          </w:tcPr>
          <w:p w14:paraId="0976E1F3">
            <w:pPr>
              <w:spacing w:line="320" w:lineRule="exact"/>
              <w:jc w:val="center"/>
              <w:rPr>
                <w:rFonts w:ascii="黑体" w:hAnsi="宋体" w:eastAsia="黑体"/>
                <w:color w:val="auto"/>
                <w:sz w:val="24"/>
                <w:szCs w:val="24"/>
              </w:rPr>
            </w:pPr>
            <w:r>
              <w:rPr>
                <w:rFonts w:hint="eastAsia" w:ascii="黑体" w:hAnsi="仿宋" w:eastAsia="黑体" w:cs="黑体"/>
                <w:b/>
                <w:color w:val="auto"/>
                <w:sz w:val="24"/>
                <w:szCs w:val="24"/>
              </w:rPr>
              <w:t>响应文件所在页码</w:t>
            </w:r>
          </w:p>
        </w:tc>
      </w:tr>
      <w:tr w14:paraId="13C677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9" w:hRule="atLeast"/>
          <w:jc w:val="center"/>
        </w:trPr>
        <w:tc>
          <w:tcPr>
            <w:tcW w:w="1134" w:type="dxa"/>
            <w:vMerge w:val="restart"/>
            <w:tcBorders>
              <w:top w:val="single" w:color="auto" w:sz="4" w:space="0"/>
              <w:left w:val="single" w:color="auto" w:sz="4" w:space="0"/>
              <w:right w:val="single" w:color="auto" w:sz="4" w:space="0"/>
            </w:tcBorders>
            <w:vAlign w:val="center"/>
          </w:tcPr>
          <w:p w14:paraId="27D71BA0">
            <w:pPr>
              <w:spacing w:line="360" w:lineRule="exact"/>
              <w:jc w:val="center"/>
              <w:rPr>
                <w:rFonts w:ascii="楷体_GB2312" w:hAnsi="宋体" w:eastAsia="楷体_GB2312"/>
                <w:color w:val="auto"/>
                <w:sz w:val="24"/>
                <w:szCs w:val="24"/>
              </w:rPr>
            </w:pPr>
            <w:r>
              <w:rPr>
                <w:rFonts w:hint="eastAsia" w:ascii="楷体_GB2312" w:hAnsi="宋体" w:eastAsia="楷体_GB2312"/>
                <w:color w:val="auto"/>
                <w:sz w:val="24"/>
                <w:szCs w:val="24"/>
              </w:rPr>
              <w:t>商务分</w:t>
            </w:r>
          </w:p>
          <w:p w14:paraId="4F2B117C">
            <w:pPr>
              <w:spacing w:line="360" w:lineRule="auto"/>
              <w:jc w:val="center"/>
              <w:rPr>
                <w:rFonts w:ascii="楷体_GB2312" w:hAnsi="宋体" w:eastAsia="楷体_GB2312"/>
                <w:color w:val="auto"/>
                <w:sz w:val="24"/>
                <w:szCs w:val="24"/>
              </w:rPr>
            </w:pPr>
            <w:r>
              <w:rPr>
                <w:rFonts w:hint="eastAsia" w:ascii="楷体_GB2312" w:hAnsi="宋体" w:eastAsia="楷体_GB2312"/>
                <w:color w:val="auto"/>
                <w:sz w:val="24"/>
                <w:szCs w:val="24"/>
              </w:rPr>
              <w:t xml:space="preserve">  </w:t>
            </w:r>
          </w:p>
        </w:tc>
        <w:tc>
          <w:tcPr>
            <w:tcW w:w="1276" w:type="dxa"/>
            <w:tcBorders>
              <w:top w:val="single" w:color="auto" w:sz="4" w:space="0"/>
              <w:left w:val="single" w:color="auto" w:sz="4" w:space="0"/>
              <w:bottom w:val="single" w:color="auto" w:sz="4" w:space="0"/>
              <w:right w:val="single" w:color="auto" w:sz="4" w:space="0"/>
            </w:tcBorders>
            <w:vAlign w:val="center"/>
          </w:tcPr>
          <w:p w14:paraId="70171EC4">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3EFA2485">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7D613383">
            <w:pPr>
              <w:jc w:val="left"/>
              <w:rPr>
                <w:rFonts w:ascii="楷体_GB2312" w:hAnsi="宋体" w:eastAsia="楷体_GB2312"/>
                <w:color w:val="auto"/>
                <w:sz w:val="24"/>
                <w:szCs w:val="24"/>
              </w:rPr>
            </w:pPr>
            <w:r>
              <w:rPr>
                <w:rFonts w:hint="eastAsia" w:ascii="仿宋_GB2312" w:eastAsia="仿宋_GB2312"/>
                <w:color w:val="auto"/>
                <w:sz w:val="24"/>
                <w:szCs w:val="24"/>
              </w:rPr>
              <w:t>第XX-XX页</w:t>
            </w:r>
          </w:p>
        </w:tc>
      </w:tr>
      <w:tr w14:paraId="73EB83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8" w:hRule="atLeast"/>
          <w:jc w:val="center"/>
        </w:trPr>
        <w:tc>
          <w:tcPr>
            <w:tcW w:w="1134" w:type="dxa"/>
            <w:vMerge w:val="continue"/>
            <w:tcBorders>
              <w:left w:val="single" w:color="auto" w:sz="4" w:space="0"/>
              <w:right w:val="single" w:color="auto" w:sz="4" w:space="0"/>
            </w:tcBorders>
            <w:vAlign w:val="center"/>
          </w:tcPr>
          <w:p w14:paraId="3FBE6CE5">
            <w:pPr>
              <w:widowControl/>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EBBF888">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02D1E040">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5A92464C">
            <w:pPr>
              <w:jc w:val="left"/>
              <w:rPr>
                <w:rFonts w:ascii="楷体_GB2312" w:hAnsi="宋体" w:eastAsia="楷体_GB2312"/>
                <w:color w:val="auto"/>
                <w:sz w:val="24"/>
                <w:szCs w:val="24"/>
              </w:rPr>
            </w:pPr>
            <w:r>
              <w:rPr>
                <w:rFonts w:hint="eastAsia" w:ascii="仿宋_GB2312" w:eastAsia="仿宋_GB2312"/>
                <w:color w:val="auto"/>
                <w:sz w:val="24"/>
                <w:szCs w:val="24"/>
              </w:rPr>
              <w:t>……</w:t>
            </w:r>
          </w:p>
        </w:tc>
      </w:tr>
      <w:tr w14:paraId="19ADE3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jc w:val="center"/>
        </w:trPr>
        <w:tc>
          <w:tcPr>
            <w:tcW w:w="1134" w:type="dxa"/>
            <w:vMerge w:val="continue"/>
            <w:tcBorders>
              <w:left w:val="single" w:color="auto" w:sz="4" w:space="0"/>
              <w:right w:val="single" w:color="auto" w:sz="4" w:space="0"/>
            </w:tcBorders>
            <w:vAlign w:val="center"/>
          </w:tcPr>
          <w:p w14:paraId="485A055B">
            <w:pPr>
              <w:widowControl/>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188D9C5">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0CE066DB">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0C9F372B">
            <w:pPr>
              <w:jc w:val="left"/>
              <w:rPr>
                <w:rFonts w:ascii="楷体_GB2312" w:hAnsi="宋体" w:eastAsia="楷体_GB2312"/>
                <w:color w:val="auto"/>
                <w:sz w:val="24"/>
                <w:szCs w:val="24"/>
              </w:rPr>
            </w:pPr>
            <w:r>
              <w:rPr>
                <w:rFonts w:hint="eastAsia" w:ascii="仿宋_GB2312" w:eastAsia="仿宋_GB2312"/>
                <w:color w:val="auto"/>
                <w:sz w:val="24"/>
                <w:szCs w:val="24"/>
              </w:rPr>
              <w:t>……</w:t>
            </w:r>
          </w:p>
        </w:tc>
      </w:tr>
      <w:tr w14:paraId="7E0EDE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jc w:val="center"/>
        </w:trPr>
        <w:tc>
          <w:tcPr>
            <w:tcW w:w="1134" w:type="dxa"/>
            <w:vMerge w:val="continue"/>
            <w:tcBorders>
              <w:left w:val="single" w:color="auto" w:sz="4" w:space="0"/>
              <w:right w:val="single" w:color="auto" w:sz="4" w:space="0"/>
            </w:tcBorders>
            <w:vAlign w:val="center"/>
          </w:tcPr>
          <w:p w14:paraId="726F9F43">
            <w:pPr>
              <w:widowControl/>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277357C6">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0A0431CE">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2A2783F1">
            <w:pPr>
              <w:jc w:val="left"/>
              <w:rPr>
                <w:rFonts w:ascii="楷体_GB2312" w:hAnsi="宋体" w:eastAsia="楷体_GB2312"/>
                <w:color w:val="auto"/>
                <w:sz w:val="24"/>
                <w:szCs w:val="24"/>
              </w:rPr>
            </w:pPr>
            <w:r>
              <w:rPr>
                <w:rFonts w:hint="eastAsia" w:ascii="仿宋_GB2312" w:eastAsia="仿宋_GB2312"/>
                <w:color w:val="auto"/>
                <w:sz w:val="24"/>
                <w:szCs w:val="24"/>
              </w:rPr>
              <w:t>……</w:t>
            </w:r>
          </w:p>
        </w:tc>
      </w:tr>
      <w:tr w14:paraId="11FC60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jc w:val="center"/>
        </w:trPr>
        <w:tc>
          <w:tcPr>
            <w:tcW w:w="1134" w:type="dxa"/>
            <w:vMerge w:val="continue"/>
            <w:tcBorders>
              <w:left w:val="single" w:color="auto" w:sz="4" w:space="0"/>
              <w:right w:val="single" w:color="auto" w:sz="4" w:space="0"/>
            </w:tcBorders>
            <w:vAlign w:val="center"/>
          </w:tcPr>
          <w:p w14:paraId="36BBBF38">
            <w:pPr>
              <w:widowControl/>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36AF54F">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715DDA46">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66B7F037">
            <w:pPr>
              <w:jc w:val="left"/>
              <w:rPr>
                <w:rFonts w:ascii="楷体_GB2312" w:hAnsi="宋体" w:eastAsia="楷体_GB2312"/>
                <w:color w:val="auto"/>
                <w:sz w:val="24"/>
                <w:szCs w:val="24"/>
              </w:rPr>
            </w:pPr>
            <w:r>
              <w:rPr>
                <w:rFonts w:hint="eastAsia" w:ascii="仿宋_GB2312" w:eastAsia="仿宋_GB2312"/>
                <w:color w:val="auto"/>
                <w:sz w:val="24"/>
                <w:szCs w:val="24"/>
              </w:rPr>
              <w:t>……</w:t>
            </w:r>
          </w:p>
        </w:tc>
      </w:tr>
      <w:tr w14:paraId="4C8BFE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jc w:val="center"/>
        </w:trPr>
        <w:tc>
          <w:tcPr>
            <w:tcW w:w="1134" w:type="dxa"/>
            <w:vMerge w:val="continue"/>
            <w:tcBorders>
              <w:left w:val="single" w:color="auto" w:sz="4" w:space="0"/>
              <w:right w:val="single" w:color="auto" w:sz="4" w:space="0"/>
            </w:tcBorders>
            <w:vAlign w:val="center"/>
          </w:tcPr>
          <w:p w14:paraId="5046AD63">
            <w:pPr>
              <w:widowControl/>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952338A">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5B456EF4">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757398B4">
            <w:pPr>
              <w:jc w:val="left"/>
              <w:rPr>
                <w:rFonts w:ascii="楷体_GB2312" w:hAnsi="宋体" w:eastAsia="楷体_GB2312"/>
                <w:color w:val="auto"/>
                <w:sz w:val="24"/>
                <w:szCs w:val="24"/>
              </w:rPr>
            </w:pPr>
            <w:r>
              <w:rPr>
                <w:rFonts w:hint="eastAsia" w:ascii="仿宋_GB2312" w:eastAsia="仿宋_GB2312"/>
                <w:color w:val="auto"/>
                <w:sz w:val="24"/>
                <w:szCs w:val="24"/>
              </w:rPr>
              <w:t>……</w:t>
            </w:r>
          </w:p>
        </w:tc>
      </w:tr>
      <w:tr w14:paraId="60EFD8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2" w:hRule="atLeast"/>
          <w:jc w:val="center"/>
        </w:trPr>
        <w:tc>
          <w:tcPr>
            <w:tcW w:w="1134" w:type="dxa"/>
            <w:vMerge w:val="continue"/>
            <w:tcBorders>
              <w:left w:val="single" w:color="auto" w:sz="4" w:space="0"/>
              <w:bottom w:val="single" w:color="auto" w:sz="4" w:space="0"/>
              <w:right w:val="single" w:color="auto" w:sz="4" w:space="0"/>
            </w:tcBorders>
            <w:vAlign w:val="center"/>
          </w:tcPr>
          <w:p w14:paraId="2F70318C">
            <w:pPr>
              <w:widowControl/>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66F5E862">
            <w:pPr>
              <w:jc w:val="center"/>
              <w:rPr>
                <w:rFonts w:ascii="楷体_GB2312" w:hAnsi="宋体"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6696552C">
            <w:pPr>
              <w:jc w:val="left"/>
              <w:rPr>
                <w:rFonts w:ascii="楷体_GB2312" w:hAnsi="宋体"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69746615">
            <w:pPr>
              <w:jc w:val="left"/>
              <w:rPr>
                <w:rFonts w:ascii="楷体_GB2312" w:hAnsi="宋体" w:eastAsia="楷体_GB2312"/>
                <w:color w:val="auto"/>
                <w:sz w:val="24"/>
                <w:szCs w:val="24"/>
              </w:rPr>
            </w:pPr>
            <w:r>
              <w:rPr>
                <w:rFonts w:hint="eastAsia" w:ascii="仿宋_GB2312" w:eastAsia="仿宋_GB2312"/>
                <w:color w:val="auto"/>
                <w:sz w:val="24"/>
                <w:szCs w:val="24"/>
              </w:rPr>
              <w:t>……</w:t>
            </w:r>
          </w:p>
        </w:tc>
      </w:tr>
      <w:tr w14:paraId="6BE40C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4" w:hRule="atLeast"/>
          <w:jc w:val="center"/>
        </w:trPr>
        <w:tc>
          <w:tcPr>
            <w:tcW w:w="1134" w:type="dxa"/>
            <w:vMerge w:val="restart"/>
            <w:tcBorders>
              <w:top w:val="single" w:color="auto" w:sz="4" w:space="0"/>
              <w:left w:val="single" w:color="auto" w:sz="4" w:space="0"/>
              <w:right w:val="single" w:color="auto" w:sz="4" w:space="0"/>
            </w:tcBorders>
            <w:vAlign w:val="center"/>
          </w:tcPr>
          <w:p w14:paraId="1BDAEC73">
            <w:pPr>
              <w:spacing w:line="360" w:lineRule="auto"/>
              <w:jc w:val="center"/>
              <w:rPr>
                <w:rFonts w:ascii="楷体_GB2312" w:hAnsi="宋体" w:eastAsia="楷体_GB2312"/>
                <w:color w:val="auto"/>
                <w:sz w:val="24"/>
                <w:szCs w:val="24"/>
              </w:rPr>
            </w:pPr>
            <w:r>
              <w:rPr>
                <w:rFonts w:hint="eastAsia" w:ascii="楷体_GB2312" w:hAnsi="宋体" w:eastAsia="楷体_GB2312"/>
                <w:color w:val="auto"/>
                <w:sz w:val="24"/>
                <w:szCs w:val="24"/>
              </w:rPr>
              <w:t>技术分</w:t>
            </w:r>
          </w:p>
        </w:tc>
        <w:tc>
          <w:tcPr>
            <w:tcW w:w="1276" w:type="dxa"/>
            <w:tcBorders>
              <w:top w:val="single" w:color="auto" w:sz="4" w:space="0"/>
              <w:left w:val="single" w:color="auto" w:sz="4" w:space="0"/>
              <w:right w:val="single" w:color="auto" w:sz="4" w:space="0"/>
            </w:tcBorders>
            <w:vAlign w:val="center"/>
          </w:tcPr>
          <w:p w14:paraId="1C5CFFE5">
            <w:pPr>
              <w:jc w:val="center"/>
              <w:rPr>
                <w:rFonts w:ascii="楷体_GB2312" w:eastAsia="楷体_GB2312"/>
                <w:color w:val="auto"/>
                <w:sz w:val="24"/>
                <w:szCs w:val="24"/>
              </w:rPr>
            </w:pPr>
          </w:p>
        </w:tc>
        <w:tc>
          <w:tcPr>
            <w:tcW w:w="5103" w:type="dxa"/>
            <w:tcBorders>
              <w:top w:val="single" w:color="auto" w:sz="4" w:space="0"/>
              <w:left w:val="single" w:color="auto" w:sz="4" w:space="0"/>
              <w:right w:val="single" w:color="auto" w:sz="4" w:space="0"/>
            </w:tcBorders>
            <w:vAlign w:val="center"/>
          </w:tcPr>
          <w:p w14:paraId="381A96EE">
            <w:pPr>
              <w:jc w:val="left"/>
              <w:rPr>
                <w:rFonts w:ascii="楷体_GB2312" w:eastAsia="楷体_GB2312"/>
                <w:color w:val="auto"/>
                <w:sz w:val="24"/>
                <w:szCs w:val="24"/>
              </w:rPr>
            </w:pPr>
          </w:p>
        </w:tc>
        <w:tc>
          <w:tcPr>
            <w:tcW w:w="1080" w:type="dxa"/>
            <w:tcBorders>
              <w:top w:val="single" w:color="auto" w:sz="4" w:space="0"/>
              <w:left w:val="single" w:color="auto" w:sz="4" w:space="0"/>
              <w:right w:val="single" w:color="auto" w:sz="4" w:space="0"/>
            </w:tcBorders>
            <w:vAlign w:val="center"/>
          </w:tcPr>
          <w:p w14:paraId="6E12803D">
            <w:pPr>
              <w:jc w:val="left"/>
              <w:rPr>
                <w:rFonts w:ascii="楷体_GB2312" w:eastAsia="楷体_GB2312"/>
                <w:color w:val="auto"/>
                <w:sz w:val="24"/>
                <w:szCs w:val="24"/>
              </w:rPr>
            </w:pPr>
            <w:r>
              <w:rPr>
                <w:rFonts w:hint="eastAsia" w:ascii="仿宋_GB2312" w:eastAsia="仿宋_GB2312"/>
                <w:color w:val="auto"/>
                <w:sz w:val="24"/>
                <w:szCs w:val="24"/>
              </w:rPr>
              <w:t>第XX-XX页</w:t>
            </w:r>
          </w:p>
        </w:tc>
      </w:tr>
      <w:tr w14:paraId="6966AA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4" w:hRule="atLeast"/>
          <w:jc w:val="center"/>
        </w:trPr>
        <w:tc>
          <w:tcPr>
            <w:tcW w:w="1134" w:type="dxa"/>
            <w:vMerge w:val="continue"/>
            <w:tcBorders>
              <w:left w:val="single" w:color="auto" w:sz="4" w:space="0"/>
              <w:right w:val="single" w:color="auto" w:sz="4" w:space="0"/>
            </w:tcBorders>
            <w:vAlign w:val="center"/>
          </w:tcPr>
          <w:p w14:paraId="79C3BF92">
            <w:pPr>
              <w:spacing w:line="360" w:lineRule="auto"/>
              <w:jc w:val="center"/>
              <w:rPr>
                <w:rFonts w:ascii="楷体_GB2312" w:hAnsi="宋体" w:eastAsia="楷体_GB2312"/>
                <w:color w:val="auto"/>
                <w:sz w:val="24"/>
                <w:szCs w:val="24"/>
              </w:rPr>
            </w:pPr>
          </w:p>
        </w:tc>
        <w:tc>
          <w:tcPr>
            <w:tcW w:w="1276" w:type="dxa"/>
            <w:tcBorders>
              <w:top w:val="single" w:color="auto" w:sz="4" w:space="0"/>
              <w:left w:val="single" w:color="auto" w:sz="4" w:space="0"/>
              <w:right w:val="single" w:color="auto" w:sz="4" w:space="0"/>
            </w:tcBorders>
            <w:vAlign w:val="center"/>
          </w:tcPr>
          <w:p w14:paraId="658F17C9">
            <w:pPr>
              <w:rPr>
                <w:color w:val="auto"/>
                <w:sz w:val="24"/>
                <w:szCs w:val="24"/>
              </w:rPr>
            </w:pPr>
          </w:p>
          <w:p w14:paraId="43B09049">
            <w:pPr>
              <w:jc w:val="center"/>
              <w:rPr>
                <w:rFonts w:ascii="楷体_GB2312" w:eastAsia="楷体_GB2312"/>
                <w:color w:val="auto"/>
                <w:sz w:val="24"/>
                <w:szCs w:val="24"/>
              </w:rPr>
            </w:pPr>
          </w:p>
        </w:tc>
        <w:tc>
          <w:tcPr>
            <w:tcW w:w="5103" w:type="dxa"/>
            <w:tcBorders>
              <w:top w:val="single" w:color="auto" w:sz="4" w:space="0"/>
              <w:left w:val="single" w:color="auto" w:sz="4" w:space="0"/>
              <w:right w:val="single" w:color="auto" w:sz="4" w:space="0"/>
            </w:tcBorders>
            <w:vAlign w:val="center"/>
          </w:tcPr>
          <w:p w14:paraId="4700D01B">
            <w:pPr>
              <w:jc w:val="left"/>
              <w:rPr>
                <w:rFonts w:ascii="楷体_GB2312" w:eastAsia="楷体_GB2312"/>
                <w:color w:val="auto"/>
                <w:sz w:val="24"/>
                <w:szCs w:val="24"/>
              </w:rPr>
            </w:pPr>
          </w:p>
        </w:tc>
        <w:tc>
          <w:tcPr>
            <w:tcW w:w="1080" w:type="dxa"/>
            <w:tcBorders>
              <w:top w:val="single" w:color="auto" w:sz="4" w:space="0"/>
              <w:left w:val="single" w:color="auto" w:sz="4" w:space="0"/>
              <w:right w:val="single" w:color="auto" w:sz="4" w:space="0"/>
            </w:tcBorders>
            <w:vAlign w:val="center"/>
          </w:tcPr>
          <w:p w14:paraId="1EF5C34C">
            <w:pPr>
              <w:jc w:val="left"/>
              <w:rPr>
                <w:rFonts w:ascii="楷体_GB2312" w:eastAsia="楷体_GB2312"/>
                <w:color w:val="auto"/>
                <w:sz w:val="24"/>
                <w:szCs w:val="24"/>
              </w:rPr>
            </w:pPr>
            <w:r>
              <w:rPr>
                <w:rFonts w:hint="eastAsia" w:ascii="仿宋_GB2312" w:eastAsia="仿宋_GB2312"/>
                <w:color w:val="auto"/>
                <w:sz w:val="24"/>
                <w:szCs w:val="24"/>
              </w:rPr>
              <w:t>……</w:t>
            </w:r>
          </w:p>
        </w:tc>
      </w:tr>
      <w:tr w14:paraId="346EFD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jc w:val="center"/>
        </w:trPr>
        <w:tc>
          <w:tcPr>
            <w:tcW w:w="1134" w:type="dxa"/>
            <w:vMerge w:val="continue"/>
            <w:tcBorders>
              <w:left w:val="single" w:color="auto" w:sz="4" w:space="0"/>
              <w:right w:val="single" w:color="auto" w:sz="4" w:space="0"/>
            </w:tcBorders>
            <w:vAlign w:val="center"/>
          </w:tcPr>
          <w:p w14:paraId="66D8D05C">
            <w:pPr>
              <w:spacing w:line="360" w:lineRule="auto"/>
              <w:jc w:val="center"/>
              <w:rPr>
                <w:rFonts w:ascii="楷体_GB2312" w:hAnsi="宋体" w:eastAsia="楷体_GB2312"/>
                <w:color w:val="auto"/>
                <w:sz w:val="24"/>
                <w:szCs w:val="24"/>
              </w:rPr>
            </w:pPr>
          </w:p>
        </w:tc>
        <w:tc>
          <w:tcPr>
            <w:tcW w:w="1276" w:type="dxa"/>
            <w:tcBorders>
              <w:top w:val="single" w:color="auto" w:sz="4" w:space="0"/>
              <w:left w:val="single" w:color="auto" w:sz="4" w:space="0"/>
              <w:right w:val="single" w:color="auto" w:sz="4" w:space="0"/>
            </w:tcBorders>
            <w:vAlign w:val="center"/>
          </w:tcPr>
          <w:p w14:paraId="30FDEA2C">
            <w:pPr>
              <w:jc w:val="center"/>
              <w:rPr>
                <w:rFonts w:ascii="楷体_GB2312" w:eastAsia="楷体_GB2312"/>
                <w:color w:val="auto"/>
                <w:sz w:val="24"/>
                <w:szCs w:val="24"/>
              </w:rPr>
            </w:pPr>
          </w:p>
        </w:tc>
        <w:tc>
          <w:tcPr>
            <w:tcW w:w="5103" w:type="dxa"/>
            <w:tcBorders>
              <w:top w:val="single" w:color="auto" w:sz="4" w:space="0"/>
              <w:left w:val="single" w:color="auto" w:sz="4" w:space="0"/>
              <w:right w:val="single" w:color="auto" w:sz="4" w:space="0"/>
            </w:tcBorders>
            <w:vAlign w:val="center"/>
          </w:tcPr>
          <w:p w14:paraId="342D9F50">
            <w:pPr>
              <w:jc w:val="left"/>
              <w:rPr>
                <w:rFonts w:ascii="楷体_GB2312" w:eastAsia="楷体_GB2312"/>
                <w:color w:val="auto"/>
                <w:sz w:val="24"/>
                <w:szCs w:val="24"/>
              </w:rPr>
            </w:pPr>
          </w:p>
        </w:tc>
        <w:tc>
          <w:tcPr>
            <w:tcW w:w="1080" w:type="dxa"/>
            <w:tcBorders>
              <w:top w:val="single" w:color="auto" w:sz="4" w:space="0"/>
              <w:left w:val="single" w:color="auto" w:sz="4" w:space="0"/>
              <w:right w:val="single" w:color="auto" w:sz="4" w:space="0"/>
            </w:tcBorders>
            <w:vAlign w:val="center"/>
          </w:tcPr>
          <w:p w14:paraId="2234E893">
            <w:pPr>
              <w:jc w:val="left"/>
              <w:rPr>
                <w:rFonts w:ascii="楷体_GB2312" w:eastAsia="楷体_GB2312"/>
                <w:color w:val="auto"/>
                <w:sz w:val="24"/>
                <w:szCs w:val="24"/>
              </w:rPr>
            </w:pPr>
          </w:p>
        </w:tc>
      </w:tr>
      <w:tr w14:paraId="329320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jc w:val="center"/>
        </w:trPr>
        <w:tc>
          <w:tcPr>
            <w:tcW w:w="1134" w:type="dxa"/>
            <w:vMerge w:val="continue"/>
            <w:tcBorders>
              <w:left w:val="single" w:color="auto" w:sz="4" w:space="0"/>
              <w:right w:val="single" w:color="auto" w:sz="4" w:space="0"/>
            </w:tcBorders>
            <w:vAlign w:val="center"/>
          </w:tcPr>
          <w:p w14:paraId="7E51744B">
            <w:pPr>
              <w:spacing w:line="360" w:lineRule="auto"/>
              <w:jc w:val="center"/>
              <w:rPr>
                <w:rFonts w:ascii="楷体_GB2312" w:hAnsi="宋体" w:eastAsia="楷体_GB2312"/>
                <w:color w:val="auto"/>
                <w:sz w:val="24"/>
                <w:szCs w:val="24"/>
              </w:rPr>
            </w:pPr>
          </w:p>
        </w:tc>
        <w:tc>
          <w:tcPr>
            <w:tcW w:w="1276" w:type="dxa"/>
            <w:tcBorders>
              <w:top w:val="single" w:color="auto" w:sz="4" w:space="0"/>
              <w:left w:val="single" w:color="auto" w:sz="4" w:space="0"/>
              <w:right w:val="single" w:color="auto" w:sz="4" w:space="0"/>
            </w:tcBorders>
            <w:vAlign w:val="center"/>
          </w:tcPr>
          <w:p w14:paraId="1A39520E">
            <w:pPr>
              <w:rPr>
                <w:rFonts w:ascii="楷体_GB2312" w:eastAsia="楷体_GB2312"/>
                <w:color w:val="auto"/>
                <w:sz w:val="24"/>
                <w:szCs w:val="24"/>
              </w:rPr>
            </w:pPr>
          </w:p>
        </w:tc>
        <w:tc>
          <w:tcPr>
            <w:tcW w:w="5103" w:type="dxa"/>
            <w:tcBorders>
              <w:top w:val="single" w:color="auto" w:sz="4" w:space="0"/>
              <w:left w:val="single" w:color="auto" w:sz="4" w:space="0"/>
              <w:right w:val="single" w:color="auto" w:sz="4" w:space="0"/>
            </w:tcBorders>
            <w:vAlign w:val="center"/>
          </w:tcPr>
          <w:p w14:paraId="06152AF1">
            <w:pPr>
              <w:jc w:val="left"/>
              <w:rPr>
                <w:rFonts w:ascii="楷体_GB2312" w:eastAsia="楷体_GB2312"/>
                <w:color w:val="auto"/>
                <w:sz w:val="24"/>
                <w:szCs w:val="24"/>
              </w:rPr>
            </w:pPr>
          </w:p>
        </w:tc>
        <w:tc>
          <w:tcPr>
            <w:tcW w:w="1080" w:type="dxa"/>
            <w:tcBorders>
              <w:top w:val="single" w:color="auto" w:sz="4" w:space="0"/>
              <w:left w:val="single" w:color="auto" w:sz="4" w:space="0"/>
              <w:right w:val="single" w:color="auto" w:sz="4" w:space="0"/>
            </w:tcBorders>
            <w:vAlign w:val="center"/>
          </w:tcPr>
          <w:p w14:paraId="7248DD99">
            <w:pPr>
              <w:jc w:val="left"/>
              <w:rPr>
                <w:rFonts w:ascii="楷体_GB2312" w:eastAsia="楷体_GB2312"/>
                <w:color w:val="auto"/>
                <w:sz w:val="24"/>
                <w:szCs w:val="24"/>
              </w:rPr>
            </w:pPr>
          </w:p>
        </w:tc>
      </w:tr>
      <w:tr w14:paraId="6025AD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1" w:hRule="atLeast"/>
          <w:jc w:val="center"/>
        </w:trPr>
        <w:tc>
          <w:tcPr>
            <w:tcW w:w="1134" w:type="dxa"/>
            <w:vMerge w:val="continue"/>
            <w:tcBorders>
              <w:left w:val="single" w:color="auto" w:sz="4" w:space="0"/>
              <w:right w:val="single" w:color="auto" w:sz="4" w:space="0"/>
            </w:tcBorders>
            <w:vAlign w:val="center"/>
          </w:tcPr>
          <w:p w14:paraId="615FA683">
            <w:pPr>
              <w:spacing w:line="360" w:lineRule="auto"/>
              <w:jc w:val="center"/>
              <w:rPr>
                <w:rFonts w:ascii="楷体_GB2312" w:hAnsi="宋体" w:eastAsia="楷体_GB2312"/>
                <w:color w:val="auto"/>
                <w:sz w:val="24"/>
                <w:szCs w:val="24"/>
              </w:rPr>
            </w:pPr>
          </w:p>
        </w:tc>
        <w:tc>
          <w:tcPr>
            <w:tcW w:w="1276" w:type="dxa"/>
            <w:tcBorders>
              <w:top w:val="single" w:color="auto" w:sz="4" w:space="0"/>
              <w:left w:val="single" w:color="auto" w:sz="4" w:space="0"/>
              <w:right w:val="single" w:color="auto" w:sz="4" w:space="0"/>
            </w:tcBorders>
            <w:vAlign w:val="center"/>
          </w:tcPr>
          <w:p w14:paraId="756A0C1C">
            <w:pPr>
              <w:rPr>
                <w:rFonts w:ascii="楷体_GB2312" w:eastAsia="楷体_GB2312"/>
                <w:color w:val="auto"/>
                <w:sz w:val="24"/>
                <w:szCs w:val="24"/>
              </w:rPr>
            </w:pPr>
          </w:p>
        </w:tc>
        <w:tc>
          <w:tcPr>
            <w:tcW w:w="5103" w:type="dxa"/>
            <w:tcBorders>
              <w:top w:val="single" w:color="auto" w:sz="4" w:space="0"/>
              <w:left w:val="single" w:color="auto" w:sz="4" w:space="0"/>
              <w:right w:val="single" w:color="auto" w:sz="4" w:space="0"/>
            </w:tcBorders>
            <w:vAlign w:val="center"/>
          </w:tcPr>
          <w:p w14:paraId="6CA02231">
            <w:pPr>
              <w:jc w:val="left"/>
              <w:rPr>
                <w:rFonts w:ascii="楷体_GB2312" w:eastAsia="楷体_GB2312"/>
                <w:color w:val="auto"/>
                <w:sz w:val="24"/>
                <w:szCs w:val="24"/>
              </w:rPr>
            </w:pPr>
          </w:p>
        </w:tc>
        <w:tc>
          <w:tcPr>
            <w:tcW w:w="1080" w:type="dxa"/>
            <w:tcBorders>
              <w:top w:val="single" w:color="auto" w:sz="4" w:space="0"/>
              <w:left w:val="single" w:color="auto" w:sz="4" w:space="0"/>
              <w:right w:val="single" w:color="auto" w:sz="4" w:space="0"/>
            </w:tcBorders>
            <w:vAlign w:val="center"/>
          </w:tcPr>
          <w:p w14:paraId="5116B1DC">
            <w:pPr>
              <w:jc w:val="left"/>
              <w:rPr>
                <w:rFonts w:ascii="楷体_GB2312" w:eastAsia="楷体_GB2312"/>
                <w:color w:val="auto"/>
                <w:sz w:val="24"/>
                <w:szCs w:val="24"/>
              </w:rPr>
            </w:pPr>
          </w:p>
        </w:tc>
      </w:tr>
      <w:tr w14:paraId="34B39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jc w:val="center"/>
        </w:trPr>
        <w:tc>
          <w:tcPr>
            <w:tcW w:w="1134" w:type="dxa"/>
            <w:vMerge w:val="continue"/>
            <w:tcBorders>
              <w:left w:val="single" w:color="auto" w:sz="4" w:space="0"/>
              <w:right w:val="single" w:color="auto" w:sz="4" w:space="0"/>
            </w:tcBorders>
            <w:vAlign w:val="center"/>
          </w:tcPr>
          <w:p w14:paraId="3341ED01">
            <w:pPr>
              <w:spacing w:line="360" w:lineRule="auto"/>
              <w:jc w:val="center"/>
              <w:rPr>
                <w:rFonts w:ascii="楷体_GB2312" w:hAnsi="宋体" w:eastAsia="楷体_GB2312"/>
                <w:color w:val="auto"/>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473F84D">
            <w:pPr>
              <w:rPr>
                <w:rFonts w:ascii="楷体_GB2312" w:eastAsia="楷体_GB2312"/>
                <w:color w:val="auto"/>
                <w:sz w:val="24"/>
                <w:szCs w:val="24"/>
              </w:rPr>
            </w:pPr>
          </w:p>
        </w:tc>
        <w:tc>
          <w:tcPr>
            <w:tcW w:w="5103" w:type="dxa"/>
            <w:tcBorders>
              <w:top w:val="single" w:color="auto" w:sz="4" w:space="0"/>
              <w:left w:val="single" w:color="auto" w:sz="4" w:space="0"/>
              <w:bottom w:val="single" w:color="auto" w:sz="4" w:space="0"/>
              <w:right w:val="single" w:color="auto" w:sz="4" w:space="0"/>
            </w:tcBorders>
            <w:vAlign w:val="center"/>
          </w:tcPr>
          <w:p w14:paraId="35C90391">
            <w:pPr>
              <w:jc w:val="left"/>
              <w:rPr>
                <w:rFonts w:ascii="楷体_GB2312" w:eastAsia="楷体_GB2312"/>
                <w:color w:val="auto"/>
                <w:sz w:val="24"/>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115C3A79">
            <w:pPr>
              <w:jc w:val="left"/>
              <w:rPr>
                <w:rFonts w:ascii="楷体_GB2312" w:eastAsia="楷体_GB2312"/>
                <w:color w:val="auto"/>
                <w:sz w:val="24"/>
                <w:szCs w:val="24"/>
              </w:rPr>
            </w:pPr>
          </w:p>
        </w:tc>
      </w:tr>
      <w:tr w14:paraId="1DC95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jc w:val="center"/>
        </w:trPr>
        <w:tc>
          <w:tcPr>
            <w:tcW w:w="1134" w:type="dxa"/>
            <w:vMerge w:val="continue"/>
            <w:tcBorders>
              <w:left w:val="single" w:color="auto" w:sz="4" w:space="0"/>
              <w:right w:val="single" w:color="auto" w:sz="4" w:space="0"/>
            </w:tcBorders>
            <w:vAlign w:val="center"/>
          </w:tcPr>
          <w:p w14:paraId="6E464C72">
            <w:pPr>
              <w:spacing w:line="360" w:lineRule="auto"/>
              <w:jc w:val="center"/>
              <w:rPr>
                <w:rFonts w:ascii="楷体_GB2312" w:hAnsi="宋体" w:eastAsia="楷体_GB2312"/>
                <w:color w:val="auto"/>
                <w:sz w:val="24"/>
                <w:szCs w:val="24"/>
              </w:rPr>
            </w:pPr>
          </w:p>
        </w:tc>
        <w:tc>
          <w:tcPr>
            <w:tcW w:w="1276" w:type="dxa"/>
            <w:tcBorders>
              <w:top w:val="single" w:color="auto" w:sz="4" w:space="0"/>
              <w:left w:val="single" w:color="auto" w:sz="4" w:space="0"/>
              <w:right w:val="single" w:color="auto" w:sz="4" w:space="0"/>
            </w:tcBorders>
            <w:vAlign w:val="center"/>
          </w:tcPr>
          <w:p w14:paraId="4B15D987">
            <w:pPr>
              <w:jc w:val="center"/>
              <w:rPr>
                <w:rFonts w:ascii="楷体_GB2312" w:eastAsia="楷体_GB2312"/>
                <w:color w:val="auto"/>
                <w:sz w:val="24"/>
                <w:szCs w:val="24"/>
              </w:rPr>
            </w:pPr>
          </w:p>
        </w:tc>
        <w:tc>
          <w:tcPr>
            <w:tcW w:w="5103" w:type="dxa"/>
            <w:tcBorders>
              <w:top w:val="single" w:color="auto" w:sz="4" w:space="0"/>
              <w:left w:val="single" w:color="auto" w:sz="4" w:space="0"/>
              <w:right w:val="single" w:color="auto" w:sz="4" w:space="0"/>
            </w:tcBorders>
            <w:vAlign w:val="center"/>
          </w:tcPr>
          <w:p w14:paraId="47AAB4A8">
            <w:pPr>
              <w:jc w:val="left"/>
              <w:rPr>
                <w:rFonts w:ascii="楷体_GB2312" w:eastAsia="楷体_GB2312"/>
                <w:color w:val="auto"/>
                <w:sz w:val="24"/>
                <w:szCs w:val="24"/>
              </w:rPr>
            </w:pPr>
          </w:p>
        </w:tc>
        <w:tc>
          <w:tcPr>
            <w:tcW w:w="1080" w:type="dxa"/>
            <w:tcBorders>
              <w:top w:val="single" w:color="auto" w:sz="4" w:space="0"/>
              <w:left w:val="single" w:color="auto" w:sz="4" w:space="0"/>
              <w:right w:val="single" w:color="auto" w:sz="4" w:space="0"/>
            </w:tcBorders>
            <w:vAlign w:val="center"/>
          </w:tcPr>
          <w:p w14:paraId="726472F3">
            <w:pPr>
              <w:jc w:val="left"/>
              <w:rPr>
                <w:rFonts w:ascii="楷体_GB2312" w:eastAsia="楷体_GB2312"/>
                <w:color w:val="auto"/>
                <w:sz w:val="24"/>
                <w:szCs w:val="24"/>
              </w:rPr>
            </w:pPr>
          </w:p>
        </w:tc>
      </w:tr>
    </w:tbl>
    <w:p w14:paraId="4AFA3B4E">
      <w:pPr>
        <w:pStyle w:val="8"/>
        <w:ind w:firstLine="0"/>
        <w:rPr>
          <w:color w:val="auto"/>
        </w:rPr>
      </w:pPr>
      <w:r>
        <w:rPr>
          <w:rFonts w:hint="eastAsia" w:eastAsia="仿宋_GB2312"/>
          <w:b/>
          <w:color w:val="auto"/>
          <w:sz w:val="30"/>
          <w:szCs w:val="30"/>
        </w:rPr>
        <w:t>说明：本评分标准索引表须附在商务技术文件正文第1页，并标注相应“评分内容和标准”所在页码。</w:t>
      </w:r>
    </w:p>
    <w:bookmarkEnd w:id="896"/>
    <w:sectPr>
      <w:headerReference r:id="rId8" w:type="default"/>
      <w:footerReference r:id="rId9" w:type="default"/>
      <w:pgSz w:w="11906" w:h="16838"/>
      <w:pgMar w:top="1134" w:right="1247" w:bottom="1247" w:left="124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ntury Gothic">
    <w:altName w:val="Noto Naskh Arabic"/>
    <w:panose1 w:val="020B0502020202020204"/>
    <w:charset w:val="00"/>
    <w:family w:val="swiss"/>
    <w:pitch w:val="default"/>
    <w:sig w:usb0="00000000" w:usb1="00000000" w:usb2="00000000" w:usb3="00000000" w:csb0="2000009F" w:csb1="DFD70000"/>
  </w:font>
  <w:font w:name="Noto Naskh Arabic">
    <w:panose1 w:val="020B0502040504020204"/>
    <w:charset w:val="00"/>
    <w:family w:val="auto"/>
    <w:pitch w:val="default"/>
    <w:sig w:usb0="80002003" w:usb1="80002000" w:usb2="00000008" w:usb3="00000000" w:csb0="00000041" w:csb1="00080000"/>
  </w:font>
  <w:font w:name="楷体_GB2312">
    <w:altName w:val="方正楷体_GBK"/>
    <w:panose1 w:val="00000000000000000000"/>
    <w:charset w:val="86"/>
    <w:family w:val="modern"/>
    <w:pitch w:val="default"/>
    <w:sig w:usb0="00000000" w:usb1="00000000" w:usb2="00000000" w:usb3="00000000" w:csb0="00040000" w:csb1="00000000"/>
  </w:font>
  <w:font w:name="??">
    <w:altName w:val="汉仪叶叶相思体简"/>
    <w:panose1 w:val="00000000000000000000"/>
    <w:charset w:val="00"/>
    <w:family w:val="roman"/>
    <w:pitch w:val="default"/>
    <w:sig w:usb0="00000000" w:usb1="00000000" w:usb2="00000000" w:usb3="00000000" w:csb0="00000001" w:csb1="00000000"/>
  </w:font>
  <w:font w:name="汉仪叶叶相思体简">
    <w:panose1 w:val="0201050906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8" w:usb3="00000000" w:csb0="000001FF" w:csb1="00000000"/>
  </w:font>
  <w:font w:name="Arial Narrow">
    <w:altName w:val="DejaVu Sans"/>
    <w:panose1 w:val="020B0606020202030204"/>
    <w:charset w:val="00"/>
    <w:family w:val="swiss"/>
    <w:pitch w:val="default"/>
    <w:sig w:usb0="00000000" w:usb1="00000000" w:usb2="00000000" w:usb3="00000000" w:csb0="2000009F" w:csb1="DFD70000"/>
  </w:font>
  <w:font w:name="Tahoma">
    <w:altName w:val="DejaVu Sans"/>
    <w:panose1 w:val="020B0604030504040204"/>
    <w:charset w:val="00"/>
    <w:family w:val="swiss"/>
    <w:pitch w:val="default"/>
    <w:sig w:usb0="00000000" w:usb1="00000000" w:usb2="00000029" w:usb3="00000000" w:csb0="200101FF" w:csb1="20280000"/>
  </w:font>
  <w:font w:name="Verdana">
    <w:altName w:val="DejaVu Sans"/>
    <w:panose1 w:val="020B0604030504040204"/>
    <w:charset w:val="00"/>
    <w:family w:val="swiss"/>
    <w:pitch w:val="default"/>
    <w:sig w:usb0="00000000" w:usb1="00000000" w:usb2="00000010" w:usb3="00000000" w:csb0="2000019F" w:csb1="00000000"/>
  </w:font>
  <w:font w:name="Arial Unicode MS">
    <w:altName w:val="DejaVu Sans"/>
    <w:panose1 w:val="020B0604020202020204"/>
    <w:charset w:val="86"/>
    <w:family w:val="auto"/>
    <w:pitch w:val="default"/>
    <w:sig w:usb0="00000000" w:usb1="00000000" w:usb2="0000003F" w:usb3="00000000" w:csb0="603F01FF" w:csb1="FFFF0000"/>
  </w:font>
  <w:font w:name="MS Mincho">
    <w:altName w:val="方正书宋_GBK"/>
    <w:panose1 w:val="02020609040205080304"/>
    <w:charset w:val="80"/>
    <w:family w:val="modern"/>
    <w:pitch w:val="default"/>
    <w:sig w:usb0="00000000" w:usb1="00000000" w:usb2="08000012" w:usb3="00000000" w:csb0="0002009F" w:csb1="00000000"/>
  </w:font>
  <w:font w:name="仿宋">
    <w:altName w:val="方正仿宋_GBK"/>
    <w:panose1 w:val="02010609060101010101"/>
    <w:charset w:val="86"/>
    <w:family w:val="modern"/>
    <w:pitch w:val="default"/>
    <w:sig w:usb0="00000000" w:usb1="00000000" w:usb2="00000016" w:usb3="00000000" w:csb0="00040001" w:csb1="00000000"/>
  </w:font>
  <w:font w:name="GWZT-EN">
    <w:panose1 w:val="02020400000000000000"/>
    <w:charset w:val="86"/>
    <w:family w:val="auto"/>
    <w:pitch w:val="default"/>
    <w:sig w:usb0="A00002BF" w:usb1="38CF7CFA" w:usb2="00082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E1E1F">
    <w:pPr>
      <w:pStyle w:val="32"/>
      <w:framePr w:wrap="around" w:vAnchor="text" w:hAnchor="margin" w:xAlign="center" w:y="1"/>
      <w:rPr>
        <w:rStyle w:val="49"/>
      </w:rPr>
    </w:pPr>
    <w:r>
      <w:rPr>
        <w:rStyle w:val="49"/>
      </w:rPr>
      <w:fldChar w:fldCharType="begin"/>
    </w:r>
    <w:r>
      <w:rPr>
        <w:rStyle w:val="49"/>
      </w:rPr>
      <w:instrText xml:space="preserve">PAGE  </w:instrText>
    </w:r>
    <w:r>
      <w:rPr>
        <w:rStyle w:val="49"/>
      </w:rPr>
      <w:fldChar w:fldCharType="end"/>
    </w:r>
  </w:p>
  <w:p w14:paraId="54E2AF10">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0145245">
        <w:pPr>
          <w:pStyle w:val="32"/>
          <w:ind w:left="2100" w:hanging="420"/>
          <w:jc w:val="center"/>
        </w:pPr>
        <w:r>
          <w:fldChar w:fldCharType="begin"/>
        </w:r>
        <w:r>
          <w:instrText xml:space="preserve">PAGE   \* MERGEFORMAT</w:instrText>
        </w:r>
        <w:r>
          <w:fldChar w:fldCharType="separate"/>
        </w:r>
        <w:r>
          <w:rPr>
            <w:lang w:val="zh-CN"/>
          </w:rPr>
          <w:t>2</w:t>
        </w:r>
        <w:r>
          <w:fldChar w:fldCharType="end"/>
        </w:r>
      </w:p>
    </w:sdtContent>
  </w:sdt>
  <w:p w14:paraId="1DC212D7">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8501561"/>
    </w:sdtPr>
    <w:sdtContent>
      <w:p w14:paraId="0AC6D707">
        <w:pPr>
          <w:pStyle w:val="32"/>
          <w:ind w:left="2100" w:hanging="420"/>
          <w:jc w:val="center"/>
        </w:pPr>
        <w:r>
          <w:fldChar w:fldCharType="begin"/>
        </w:r>
        <w:r>
          <w:instrText xml:space="preserve">PAGE   \* MERGEFORMAT</w:instrText>
        </w:r>
        <w:r>
          <w:fldChar w:fldCharType="separate"/>
        </w:r>
        <w:r>
          <w:rPr>
            <w:lang w:val="zh-CN"/>
          </w:rPr>
          <w:t>2</w:t>
        </w:r>
        <w:r>
          <w:fldChar w:fldCharType="end"/>
        </w:r>
      </w:p>
    </w:sdtContent>
  </w:sdt>
  <w:p w14:paraId="2E47FFD4">
    <w:pPr>
      <w:pStyle w:val="3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8745"/>
    </w:sdtPr>
    <w:sdtContent>
      <w:p w14:paraId="1F3F1BB1">
        <w:pPr>
          <w:pStyle w:val="32"/>
          <w:ind w:left="2100" w:hanging="420"/>
          <w:jc w:val="center"/>
        </w:pPr>
        <w:r>
          <w:fldChar w:fldCharType="begin"/>
        </w:r>
        <w:r>
          <w:instrText xml:space="preserve">PAGE   \* MERGEFORMAT</w:instrText>
        </w:r>
        <w:r>
          <w:fldChar w:fldCharType="separate"/>
        </w:r>
        <w:r>
          <w:rPr>
            <w:lang w:val="zh-CN"/>
          </w:rPr>
          <w:t>2</w:t>
        </w:r>
        <w:r>
          <w:fldChar w:fldCharType="end"/>
        </w:r>
      </w:p>
    </w:sdtContent>
  </w:sdt>
  <w:p w14:paraId="36F746D8">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7155823"/>
    </w:sdtPr>
    <w:sdtContent>
      <w:p w14:paraId="0B41FB5E">
        <w:pPr>
          <w:pStyle w:val="32"/>
          <w:ind w:left="2100" w:hanging="420"/>
          <w:jc w:val="center"/>
        </w:pPr>
        <w:r>
          <w:fldChar w:fldCharType="begin"/>
        </w:r>
        <w:r>
          <w:instrText xml:space="preserve">PAGE   \* MERGEFORMAT</w:instrText>
        </w:r>
        <w:r>
          <w:fldChar w:fldCharType="separate"/>
        </w:r>
        <w:r>
          <w:rPr>
            <w:lang w:val="zh-CN"/>
          </w:rPr>
          <w:t>2</w:t>
        </w:r>
        <w:r>
          <w:fldChar w:fldCharType="end"/>
        </w:r>
      </w:p>
    </w:sdtContent>
  </w:sdt>
  <w:p w14:paraId="51BBEA91">
    <w:pPr>
      <w:pStyle w:val="32"/>
      <w:ind w:right="7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2D57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D353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32F2B"/>
    <w:multiLevelType w:val="singleLevel"/>
    <w:tmpl w:val="58232F2B"/>
    <w:lvl w:ilvl="0" w:tentative="0">
      <w:start w:val="1"/>
      <w:numFmt w:val="decimal"/>
      <w:suff w:val="nothing"/>
      <w:lvlText w:val="%1、"/>
      <w:lvlJc w:val="left"/>
      <w:rPr>
        <w:rFonts w:cs="Times New Roman"/>
      </w:rPr>
    </w:lvl>
  </w:abstractNum>
  <w:abstractNum w:abstractNumId="1">
    <w:nsid w:val="58233165"/>
    <w:multiLevelType w:val="singleLevel"/>
    <w:tmpl w:val="58233165"/>
    <w:lvl w:ilvl="0" w:tentative="0">
      <w:start w:val="1"/>
      <w:numFmt w:val="decimal"/>
      <w:suff w:val="nothing"/>
      <w:lvlText w:val="%1、"/>
      <w:lvlJc w:val="left"/>
      <w:rPr>
        <w:rFonts w:cs="Times New Roman"/>
      </w:rPr>
    </w:lvl>
  </w:abstractNum>
  <w:abstractNum w:abstractNumId="2">
    <w:nsid w:val="58302A53"/>
    <w:multiLevelType w:val="singleLevel"/>
    <w:tmpl w:val="58302A53"/>
    <w:lvl w:ilvl="0" w:tentative="0">
      <w:start w:val="1"/>
      <w:numFmt w:val="decimal"/>
      <w:suff w:val="nothing"/>
      <w:lvlText w:val="%1、"/>
      <w:lvlJc w:val="left"/>
      <w:rPr>
        <w:rFonts w:cs="Times New Roman"/>
      </w:rPr>
    </w:lvl>
  </w:abstractNum>
  <w:abstractNum w:abstractNumId="3">
    <w:nsid w:val="58303257"/>
    <w:multiLevelType w:val="singleLevel"/>
    <w:tmpl w:val="58303257"/>
    <w:lvl w:ilvl="0" w:tentative="0">
      <w:start w:val="4"/>
      <w:numFmt w:val="decimal"/>
      <w:suff w:val="nothing"/>
      <w:lvlText w:val="%1、"/>
      <w:lvlJc w:val="left"/>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3OGZlOWRlMDg5YTczYTE1NDkxNWZiZjA3Mjg0NjIifQ=="/>
  </w:docVars>
  <w:rsids>
    <w:rsidRoot w:val="00172A27"/>
    <w:rsid w:val="00000F1E"/>
    <w:rsid w:val="000014CD"/>
    <w:rsid w:val="00001D2F"/>
    <w:rsid w:val="000056DA"/>
    <w:rsid w:val="00010E44"/>
    <w:rsid w:val="000117CF"/>
    <w:rsid w:val="000124AE"/>
    <w:rsid w:val="000168D9"/>
    <w:rsid w:val="00022F29"/>
    <w:rsid w:val="0002398A"/>
    <w:rsid w:val="00025003"/>
    <w:rsid w:val="00032688"/>
    <w:rsid w:val="0003441C"/>
    <w:rsid w:val="00036C54"/>
    <w:rsid w:val="00042B1A"/>
    <w:rsid w:val="0004369B"/>
    <w:rsid w:val="00044BE8"/>
    <w:rsid w:val="00045361"/>
    <w:rsid w:val="00046383"/>
    <w:rsid w:val="0004754C"/>
    <w:rsid w:val="00050E03"/>
    <w:rsid w:val="0005595E"/>
    <w:rsid w:val="00055F34"/>
    <w:rsid w:val="00056BEC"/>
    <w:rsid w:val="00060026"/>
    <w:rsid w:val="0006102C"/>
    <w:rsid w:val="00065CF4"/>
    <w:rsid w:val="000669CA"/>
    <w:rsid w:val="00067516"/>
    <w:rsid w:val="0007401F"/>
    <w:rsid w:val="00077EAA"/>
    <w:rsid w:val="00082619"/>
    <w:rsid w:val="00084C70"/>
    <w:rsid w:val="000850CB"/>
    <w:rsid w:val="00087E8A"/>
    <w:rsid w:val="0009108E"/>
    <w:rsid w:val="000950A2"/>
    <w:rsid w:val="00095233"/>
    <w:rsid w:val="00095745"/>
    <w:rsid w:val="000A0F9F"/>
    <w:rsid w:val="000A3746"/>
    <w:rsid w:val="000A5FAB"/>
    <w:rsid w:val="000A6370"/>
    <w:rsid w:val="000B008E"/>
    <w:rsid w:val="000B082A"/>
    <w:rsid w:val="000B0FD1"/>
    <w:rsid w:val="000B1F11"/>
    <w:rsid w:val="000B4797"/>
    <w:rsid w:val="000B542B"/>
    <w:rsid w:val="000B554A"/>
    <w:rsid w:val="000B6D01"/>
    <w:rsid w:val="000B6DE3"/>
    <w:rsid w:val="000B7947"/>
    <w:rsid w:val="000C305D"/>
    <w:rsid w:val="000C4CE5"/>
    <w:rsid w:val="000C743F"/>
    <w:rsid w:val="000D1088"/>
    <w:rsid w:val="000D16F4"/>
    <w:rsid w:val="000D35FE"/>
    <w:rsid w:val="000D4005"/>
    <w:rsid w:val="000D6628"/>
    <w:rsid w:val="000D6721"/>
    <w:rsid w:val="000E06DB"/>
    <w:rsid w:val="000E3D72"/>
    <w:rsid w:val="000E495F"/>
    <w:rsid w:val="00100A17"/>
    <w:rsid w:val="001018D7"/>
    <w:rsid w:val="00101F5E"/>
    <w:rsid w:val="0011009E"/>
    <w:rsid w:val="00110A91"/>
    <w:rsid w:val="00114105"/>
    <w:rsid w:val="001164DB"/>
    <w:rsid w:val="00116F23"/>
    <w:rsid w:val="00123D99"/>
    <w:rsid w:val="0012445C"/>
    <w:rsid w:val="001245F6"/>
    <w:rsid w:val="00124AC4"/>
    <w:rsid w:val="00125DC4"/>
    <w:rsid w:val="00125F89"/>
    <w:rsid w:val="00136AFA"/>
    <w:rsid w:val="00137871"/>
    <w:rsid w:val="001420BF"/>
    <w:rsid w:val="001433C9"/>
    <w:rsid w:val="00144BEC"/>
    <w:rsid w:val="00146810"/>
    <w:rsid w:val="001508B4"/>
    <w:rsid w:val="00151224"/>
    <w:rsid w:val="00152D65"/>
    <w:rsid w:val="00152F11"/>
    <w:rsid w:val="00154108"/>
    <w:rsid w:val="00154E35"/>
    <w:rsid w:val="00160D06"/>
    <w:rsid w:val="00160F72"/>
    <w:rsid w:val="00172A27"/>
    <w:rsid w:val="00172E84"/>
    <w:rsid w:val="00173832"/>
    <w:rsid w:val="00174F15"/>
    <w:rsid w:val="00186A79"/>
    <w:rsid w:val="00193CC1"/>
    <w:rsid w:val="001945E5"/>
    <w:rsid w:val="0019683D"/>
    <w:rsid w:val="001A1D05"/>
    <w:rsid w:val="001A2F30"/>
    <w:rsid w:val="001A75C4"/>
    <w:rsid w:val="001B5773"/>
    <w:rsid w:val="001B57D0"/>
    <w:rsid w:val="001B6F14"/>
    <w:rsid w:val="001C0214"/>
    <w:rsid w:val="001C4D38"/>
    <w:rsid w:val="001C5300"/>
    <w:rsid w:val="001C612A"/>
    <w:rsid w:val="001C620A"/>
    <w:rsid w:val="001C743B"/>
    <w:rsid w:val="001D03C9"/>
    <w:rsid w:val="001D0FA7"/>
    <w:rsid w:val="001D3326"/>
    <w:rsid w:val="001D3503"/>
    <w:rsid w:val="001D3C5A"/>
    <w:rsid w:val="001D6C0D"/>
    <w:rsid w:val="001D770C"/>
    <w:rsid w:val="001E0F17"/>
    <w:rsid w:val="001E22A5"/>
    <w:rsid w:val="001E5C5F"/>
    <w:rsid w:val="001E6AAD"/>
    <w:rsid w:val="001E7E7A"/>
    <w:rsid w:val="001F0D4B"/>
    <w:rsid w:val="001F1CCB"/>
    <w:rsid w:val="001F5085"/>
    <w:rsid w:val="001F7B0D"/>
    <w:rsid w:val="002000AC"/>
    <w:rsid w:val="0020047C"/>
    <w:rsid w:val="0020230E"/>
    <w:rsid w:val="00203FF4"/>
    <w:rsid w:val="00204DD3"/>
    <w:rsid w:val="00210314"/>
    <w:rsid w:val="0021122F"/>
    <w:rsid w:val="002118BF"/>
    <w:rsid w:val="00215301"/>
    <w:rsid w:val="00227CBB"/>
    <w:rsid w:val="00232F4F"/>
    <w:rsid w:val="00235F03"/>
    <w:rsid w:val="002371E2"/>
    <w:rsid w:val="00240E4D"/>
    <w:rsid w:val="00241268"/>
    <w:rsid w:val="00241BBE"/>
    <w:rsid w:val="0024232D"/>
    <w:rsid w:val="0024322F"/>
    <w:rsid w:val="0024452C"/>
    <w:rsid w:val="00247B91"/>
    <w:rsid w:val="0025108F"/>
    <w:rsid w:val="002518AC"/>
    <w:rsid w:val="00255446"/>
    <w:rsid w:val="002572ED"/>
    <w:rsid w:val="002579F3"/>
    <w:rsid w:val="002603B5"/>
    <w:rsid w:val="00261A43"/>
    <w:rsid w:val="0026428F"/>
    <w:rsid w:val="002730B3"/>
    <w:rsid w:val="00276159"/>
    <w:rsid w:val="0027797F"/>
    <w:rsid w:val="00277DBE"/>
    <w:rsid w:val="00277F8F"/>
    <w:rsid w:val="00280C51"/>
    <w:rsid w:val="00281C17"/>
    <w:rsid w:val="0028254C"/>
    <w:rsid w:val="00282789"/>
    <w:rsid w:val="00287FC9"/>
    <w:rsid w:val="00294E0F"/>
    <w:rsid w:val="00295405"/>
    <w:rsid w:val="002A0CC3"/>
    <w:rsid w:val="002A2E77"/>
    <w:rsid w:val="002A341D"/>
    <w:rsid w:val="002A38D6"/>
    <w:rsid w:val="002A3FA1"/>
    <w:rsid w:val="002A75E6"/>
    <w:rsid w:val="002B2AD1"/>
    <w:rsid w:val="002B35B1"/>
    <w:rsid w:val="002B4E61"/>
    <w:rsid w:val="002B57A5"/>
    <w:rsid w:val="002B664E"/>
    <w:rsid w:val="002C00FB"/>
    <w:rsid w:val="002C1531"/>
    <w:rsid w:val="002C2A9B"/>
    <w:rsid w:val="002C426C"/>
    <w:rsid w:val="002C4734"/>
    <w:rsid w:val="002C4ED7"/>
    <w:rsid w:val="002C5BF6"/>
    <w:rsid w:val="002D5CE5"/>
    <w:rsid w:val="002D637B"/>
    <w:rsid w:val="002E09E2"/>
    <w:rsid w:val="002E2648"/>
    <w:rsid w:val="002E2AA6"/>
    <w:rsid w:val="002E37C3"/>
    <w:rsid w:val="002E78CC"/>
    <w:rsid w:val="002F62B4"/>
    <w:rsid w:val="002F64D1"/>
    <w:rsid w:val="002F66BA"/>
    <w:rsid w:val="0030102E"/>
    <w:rsid w:val="0030186F"/>
    <w:rsid w:val="00305B6A"/>
    <w:rsid w:val="00307161"/>
    <w:rsid w:val="00310E68"/>
    <w:rsid w:val="00311E44"/>
    <w:rsid w:val="00313F75"/>
    <w:rsid w:val="00314C4E"/>
    <w:rsid w:val="00317E50"/>
    <w:rsid w:val="00326410"/>
    <w:rsid w:val="00331AB1"/>
    <w:rsid w:val="00334CDF"/>
    <w:rsid w:val="00341FE2"/>
    <w:rsid w:val="00346388"/>
    <w:rsid w:val="0035018F"/>
    <w:rsid w:val="00350681"/>
    <w:rsid w:val="003536F4"/>
    <w:rsid w:val="00362A0B"/>
    <w:rsid w:val="00363A8B"/>
    <w:rsid w:val="00364B79"/>
    <w:rsid w:val="00365034"/>
    <w:rsid w:val="00366013"/>
    <w:rsid w:val="00372859"/>
    <w:rsid w:val="00374048"/>
    <w:rsid w:val="00382FA1"/>
    <w:rsid w:val="0038381C"/>
    <w:rsid w:val="00385D41"/>
    <w:rsid w:val="00390F0E"/>
    <w:rsid w:val="00392F5A"/>
    <w:rsid w:val="003A3C3A"/>
    <w:rsid w:val="003A5192"/>
    <w:rsid w:val="003B0902"/>
    <w:rsid w:val="003B1173"/>
    <w:rsid w:val="003B183B"/>
    <w:rsid w:val="003B1C55"/>
    <w:rsid w:val="003B2F7A"/>
    <w:rsid w:val="003B59B5"/>
    <w:rsid w:val="003C0F16"/>
    <w:rsid w:val="003C34F6"/>
    <w:rsid w:val="003C3B3F"/>
    <w:rsid w:val="003C5E14"/>
    <w:rsid w:val="003D3810"/>
    <w:rsid w:val="003D408E"/>
    <w:rsid w:val="003D6280"/>
    <w:rsid w:val="003D6446"/>
    <w:rsid w:val="003D74F5"/>
    <w:rsid w:val="003D7E4A"/>
    <w:rsid w:val="003E09DC"/>
    <w:rsid w:val="003E110B"/>
    <w:rsid w:val="003E1855"/>
    <w:rsid w:val="003E211D"/>
    <w:rsid w:val="003E45AE"/>
    <w:rsid w:val="003E47C1"/>
    <w:rsid w:val="003E654E"/>
    <w:rsid w:val="003E682C"/>
    <w:rsid w:val="003E6B02"/>
    <w:rsid w:val="00401116"/>
    <w:rsid w:val="00401EB9"/>
    <w:rsid w:val="00403156"/>
    <w:rsid w:val="004034F0"/>
    <w:rsid w:val="00406E23"/>
    <w:rsid w:val="00410D38"/>
    <w:rsid w:val="00412747"/>
    <w:rsid w:val="004139AA"/>
    <w:rsid w:val="00415BD0"/>
    <w:rsid w:val="004160B5"/>
    <w:rsid w:val="004165BF"/>
    <w:rsid w:val="00420837"/>
    <w:rsid w:val="004227C4"/>
    <w:rsid w:val="004237A0"/>
    <w:rsid w:val="004331A6"/>
    <w:rsid w:val="00434122"/>
    <w:rsid w:val="004342A7"/>
    <w:rsid w:val="00436181"/>
    <w:rsid w:val="00440404"/>
    <w:rsid w:val="00441108"/>
    <w:rsid w:val="00442A77"/>
    <w:rsid w:val="00443230"/>
    <w:rsid w:val="004465A5"/>
    <w:rsid w:val="00447BD3"/>
    <w:rsid w:val="00460B69"/>
    <w:rsid w:val="0046130C"/>
    <w:rsid w:val="004624AD"/>
    <w:rsid w:val="004642C4"/>
    <w:rsid w:val="00465A88"/>
    <w:rsid w:val="00480273"/>
    <w:rsid w:val="00484205"/>
    <w:rsid w:val="00485737"/>
    <w:rsid w:val="00492A05"/>
    <w:rsid w:val="00494575"/>
    <w:rsid w:val="00497A60"/>
    <w:rsid w:val="004A1014"/>
    <w:rsid w:val="004A7157"/>
    <w:rsid w:val="004B0DE6"/>
    <w:rsid w:val="004B2B75"/>
    <w:rsid w:val="004B383F"/>
    <w:rsid w:val="004B547C"/>
    <w:rsid w:val="004B5AAC"/>
    <w:rsid w:val="004B723B"/>
    <w:rsid w:val="004B7EFA"/>
    <w:rsid w:val="004C242F"/>
    <w:rsid w:val="004C3017"/>
    <w:rsid w:val="004C50B5"/>
    <w:rsid w:val="004C6293"/>
    <w:rsid w:val="004C712E"/>
    <w:rsid w:val="004C717E"/>
    <w:rsid w:val="004D02FB"/>
    <w:rsid w:val="004D1A0C"/>
    <w:rsid w:val="004D2F5A"/>
    <w:rsid w:val="004D7FFB"/>
    <w:rsid w:val="004E0BF0"/>
    <w:rsid w:val="004E646F"/>
    <w:rsid w:val="004E7F90"/>
    <w:rsid w:val="004F4C01"/>
    <w:rsid w:val="004F6243"/>
    <w:rsid w:val="00500A90"/>
    <w:rsid w:val="00501354"/>
    <w:rsid w:val="00510A93"/>
    <w:rsid w:val="005132F5"/>
    <w:rsid w:val="00513BF8"/>
    <w:rsid w:val="00516CCD"/>
    <w:rsid w:val="00521A28"/>
    <w:rsid w:val="00522DFA"/>
    <w:rsid w:val="005231FF"/>
    <w:rsid w:val="0052412F"/>
    <w:rsid w:val="00530696"/>
    <w:rsid w:val="005307E7"/>
    <w:rsid w:val="005409F8"/>
    <w:rsid w:val="00544876"/>
    <w:rsid w:val="0054659C"/>
    <w:rsid w:val="00547F22"/>
    <w:rsid w:val="0055125A"/>
    <w:rsid w:val="005536FA"/>
    <w:rsid w:val="005565AA"/>
    <w:rsid w:val="00556BDF"/>
    <w:rsid w:val="0056469F"/>
    <w:rsid w:val="005669EC"/>
    <w:rsid w:val="00566FD1"/>
    <w:rsid w:val="00567637"/>
    <w:rsid w:val="00572DDC"/>
    <w:rsid w:val="00572F0A"/>
    <w:rsid w:val="00573497"/>
    <w:rsid w:val="00582BD5"/>
    <w:rsid w:val="005A3053"/>
    <w:rsid w:val="005A4842"/>
    <w:rsid w:val="005A7F88"/>
    <w:rsid w:val="005B0AD7"/>
    <w:rsid w:val="005B1EA6"/>
    <w:rsid w:val="005B2B9F"/>
    <w:rsid w:val="005B74FA"/>
    <w:rsid w:val="005C19FE"/>
    <w:rsid w:val="005C1B74"/>
    <w:rsid w:val="005C1BA5"/>
    <w:rsid w:val="005C2947"/>
    <w:rsid w:val="005C2F50"/>
    <w:rsid w:val="005C3495"/>
    <w:rsid w:val="005C39E2"/>
    <w:rsid w:val="005C4C5D"/>
    <w:rsid w:val="005C5394"/>
    <w:rsid w:val="005D4A68"/>
    <w:rsid w:val="005E56E9"/>
    <w:rsid w:val="005F00A9"/>
    <w:rsid w:val="005F4023"/>
    <w:rsid w:val="005F6326"/>
    <w:rsid w:val="00600353"/>
    <w:rsid w:val="00602F5D"/>
    <w:rsid w:val="00604DAC"/>
    <w:rsid w:val="00613631"/>
    <w:rsid w:val="0061607A"/>
    <w:rsid w:val="006160F0"/>
    <w:rsid w:val="00620E7C"/>
    <w:rsid w:val="006221D3"/>
    <w:rsid w:val="006244DA"/>
    <w:rsid w:val="006246AE"/>
    <w:rsid w:val="0063255E"/>
    <w:rsid w:val="00632C95"/>
    <w:rsid w:val="00633E49"/>
    <w:rsid w:val="0063411E"/>
    <w:rsid w:val="006351B5"/>
    <w:rsid w:val="00637434"/>
    <w:rsid w:val="0064254B"/>
    <w:rsid w:val="0065081C"/>
    <w:rsid w:val="00652571"/>
    <w:rsid w:val="006527ED"/>
    <w:rsid w:val="00652BD3"/>
    <w:rsid w:val="00652D1D"/>
    <w:rsid w:val="006534D3"/>
    <w:rsid w:val="0065372D"/>
    <w:rsid w:val="00655BB7"/>
    <w:rsid w:val="006618C5"/>
    <w:rsid w:val="00665D22"/>
    <w:rsid w:val="00666A60"/>
    <w:rsid w:val="00667ED7"/>
    <w:rsid w:val="006705BB"/>
    <w:rsid w:val="00673F4F"/>
    <w:rsid w:val="00675CA3"/>
    <w:rsid w:val="00680AFA"/>
    <w:rsid w:val="00683059"/>
    <w:rsid w:val="00693954"/>
    <w:rsid w:val="00696028"/>
    <w:rsid w:val="00697B66"/>
    <w:rsid w:val="006B0073"/>
    <w:rsid w:val="006B29F6"/>
    <w:rsid w:val="006B4986"/>
    <w:rsid w:val="006B4DEA"/>
    <w:rsid w:val="006C16EE"/>
    <w:rsid w:val="006C256F"/>
    <w:rsid w:val="006C316F"/>
    <w:rsid w:val="006C3F1B"/>
    <w:rsid w:val="006D0A5C"/>
    <w:rsid w:val="006D0B17"/>
    <w:rsid w:val="006D1292"/>
    <w:rsid w:val="006D1BF2"/>
    <w:rsid w:val="006D22D9"/>
    <w:rsid w:val="006D344D"/>
    <w:rsid w:val="006D668E"/>
    <w:rsid w:val="006E0B48"/>
    <w:rsid w:val="006E23DF"/>
    <w:rsid w:val="006E39E6"/>
    <w:rsid w:val="006E6437"/>
    <w:rsid w:val="006E644A"/>
    <w:rsid w:val="006E691A"/>
    <w:rsid w:val="006E7B70"/>
    <w:rsid w:val="006F0044"/>
    <w:rsid w:val="006F1870"/>
    <w:rsid w:val="006F2442"/>
    <w:rsid w:val="006F61F5"/>
    <w:rsid w:val="006F7012"/>
    <w:rsid w:val="0070682F"/>
    <w:rsid w:val="0071186D"/>
    <w:rsid w:val="0071316B"/>
    <w:rsid w:val="00713243"/>
    <w:rsid w:val="00713D7F"/>
    <w:rsid w:val="00714AB7"/>
    <w:rsid w:val="00724027"/>
    <w:rsid w:val="00724CDA"/>
    <w:rsid w:val="0072593E"/>
    <w:rsid w:val="007264D6"/>
    <w:rsid w:val="00731775"/>
    <w:rsid w:val="007331FB"/>
    <w:rsid w:val="00734D62"/>
    <w:rsid w:val="00741202"/>
    <w:rsid w:val="00741865"/>
    <w:rsid w:val="007447A5"/>
    <w:rsid w:val="00746FE6"/>
    <w:rsid w:val="00751C17"/>
    <w:rsid w:val="00753219"/>
    <w:rsid w:val="00757677"/>
    <w:rsid w:val="00761549"/>
    <w:rsid w:val="00762C0E"/>
    <w:rsid w:val="007676A0"/>
    <w:rsid w:val="00767FBB"/>
    <w:rsid w:val="007714D7"/>
    <w:rsid w:val="00773B34"/>
    <w:rsid w:val="00777465"/>
    <w:rsid w:val="00780D0F"/>
    <w:rsid w:val="007829CE"/>
    <w:rsid w:val="00785904"/>
    <w:rsid w:val="00794855"/>
    <w:rsid w:val="0079586B"/>
    <w:rsid w:val="00797CF1"/>
    <w:rsid w:val="007A0030"/>
    <w:rsid w:val="007A0188"/>
    <w:rsid w:val="007A4877"/>
    <w:rsid w:val="007B1F99"/>
    <w:rsid w:val="007B46C0"/>
    <w:rsid w:val="007B6DD2"/>
    <w:rsid w:val="007B704D"/>
    <w:rsid w:val="007C20E5"/>
    <w:rsid w:val="007C45C3"/>
    <w:rsid w:val="007C49CC"/>
    <w:rsid w:val="007C568E"/>
    <w:rsid w:val="007C574F"/>
    <w:rsid w:val="007C7689"/>
    <w:rsid w:val="007D5F3B"/>
    <w:rsid w:val="007D6998"/>
    <w:rsid w:val="007E3491"/>
    <w:rsid w:val="007E49E3"/>
    <w:rsid w:val="007F1D97"/>
    <w:rsid w:val="007F28E2"/>
    <w:rsid w:val="007F37BE"/>
    <w:rsid w:val="007F58D3"/>
    <w:rsid w:val="007F5980"/>
    <w:rsid w:val="007F623A"/>
    <w:rsid w:val="008002C3"/>
    <w:rsid w:val="008024F9"/>
    <w:rsid w:val="00802C8F"/>
    <w:rsid w:val="00804FE7"/>
    <w:rsid w:val="008068DE"/>
    <w:rsid w:val="00807803"/>
    <w:rsid w:val="00807F0D"/>
    <w:rsid w:val="00807F7E"/>
    <w:rsid w:val="0081045B"/>
    <w:rsid w:val="00811797"/>
    <w:rsid w:val="00811FA1"/>
    <w:rsid w:val="00814080"/>
    <w:rsid w:val="008202CD"/>
    <w:rsid w:val="00820BF6"/>
    <w:rsid w:val="008220E8"/>
    <w:rsid w:val="008222C4"/>
    <w:rsid w:val="0082400C"/>
    <w:rsid w:val="00824C2F"/>
    <w:rsid w:val="00825279"/>
    <w:rsid w:val="00834A3A"/>
    <w:rsid w:val="00835794"/>
    <w:rsid w:val="00840057"/>
    <w:rsid w:val="0084073B"/>
    <w:rsid w:val="008412D1"/>
    <w:rsid w:val="008465F3"/>
    <w:rsid w:val="00847489"/>
    <w:rsid w:val="00851F52"/>
    <w:rsid w:val="0085386A"/>
    <w:rsid w:val="00854302"/>
    <w:rsid w:val="00855A7A"/>
    <w:rsid w:val="0085695A"/>
    <w:rsid w:val="00857939"/>
    <w:rsid w:val="008620CF"/>
    <w:rsid w:val="00863345"/>
    <w:rsid w:val="00864B31"/>
    <w:rsid w:val="00864F92"/>
    <w:rsid w:val="00870BA5"/>
    <w:rsid w:val="00871358"/>
    <w:rsid w:val="00873793"/>
    <w:rsid w:val="00873960"/>
    <w:rsid w:val="00874E0E"/>
    <w:rsid w:val="008806D0"/>
    <w:rsid w:val="00882AB8"/>
    <w:rsid w:val="008855DB"/>
    <w:rsid w:val="00886614"/>
    <w:rsid w:val="00886A12"/>
    <w:rsid w:val="00887916"/>
    <w:rsid w:val="00895104"/>
    <w:rsid w:val="0089763D"/>
    <w:rsid w:val="0089771E"/>
    <w:rsid w:val="008A0162"/>
    <w:rsid w:val="008A182E"/>
    <w:rsid w:val="008A37FF"/>
    <w:rsid w:val="008A3F24"/>
    <w:rsid w:val="008A5D02"/>
    <w:rsid w:val="008B5304"/>
    <w:rsid w:val="008B6A2C"/>
    <w:rsid w:val="008C04C8"/>
    <w:rsid w:val="008C31CF"/>
    <w:rsid w:val="008C49F1"/>
    <w:rsid w:val="008D18BB"/>
    <w:rsid w:val="008D33DB"/>
    <w:rsid w:val="008D3B14"/>
    <w:rsid w:val="008D433C"/>
    <w:rsid w:val="008D51C0"/>
    <w:rsid w:val="008D5B30"/>
    <w:rsid w:val="008D5FB7"/>
    <w:rsid w:val="008E043B"/>
    <w:rsid w:val="008E07B9"/>
    <w:rsid w:val="008F0C4B"/>
    <w:rsid w:val="008F0ED0"/>
    <w:rsid w:val="008F270F"/>
    <w:rsid w:val="008F6EC3"/>
    <w:rsid w:val="008F7E29"/>
    <w:rsid w:val="00900EF5"/>
    <w:rsid w:val="00902462"/>
    <w:rsid w:val="00906455"/>
    <w:rsid w:val="00911E49"/>
    <w:rsid w:val="009123DF"/>
    <w:rsid w:val="00914629"/>
    <w:rsid w:val="00917E1A"/>
    <w:rsid w:val="009217D7"/>
    <w:rsid w:val="009234A1"/>
    <w:rsid w:val="009335F7"/>
    <w:rsid w:val="009337C9"/>
    <w:rsid w:val="00934D31"/>
    <w:rsid w:val="00934E50"/>
    <w:rsid w:val="00935705"/>
    <w:rsid w:val="00935A8C"/>
    <w:rsid w:val="00936C27"/>
    <w:rsid w:val="00937060"/>
    <w:rsid w:val="00940F90"/>
    <w:rsid w:val="00944C31"/>
    <w:rsid w:val="00944F10"/>
    <w:rsid w:val="00946138"/>
    <w:rsid w:val="00946395"/>
    <w:rsid w:val="009464DB"/>
    <w:rsid w:val="00952C07"/>
    <w:rsid w:val="009554AA"/>
    <w:rsid w:val="009560D9"/>
    <w:rsid w:val="00956404"/>
    <w:rsid w:val="00957212"/>
    <w:rsid w:val="00957926"/>
    <w:rsid w:val="00957B1D"/>
    <w:rsid w:val="00964731"/>
    <w:rsid w:val="00967298"/>
    <w:rsid w:val="00973CBE"/>
    <w:rsid w:val="009749AB"/>
    <w:rsid w:val="009778A7"/>
    <w:rsid w:val="00980D35"/>
    <w:rsid w:val="00991B21"/>
    <w:rsid w:val="009925D6"/>
    <w:rsid w:val="009951A6"/>
    <w:rsid w:val="009966DF"/>
    <w:rsid w:val="00996DA6"/>
    <w:rsid w:val="009A0D49"/>
    <w:rsid w:val="009A0FCE"/>
    <w:rsid w:val="009A0FE6"/>
    <w:rsid w:val="009A683C"/>
    <w:rsid w:val="009A6D59"/>
    <w:rsid w:val="009A700C"/>
    <w:rsid w:val="009B50D5"/>
    <w:rsid w:val="009B54C6"/>
    <w:rsid w:val="009C14AA"/>
    <w:rsid w:val="009C1BC2"/>
    <w:rsid w:val="009C50A6"/>
    <w:rsid w:val="009C5609"/>
    <w:rsid w:val="009C6D34"/>
    <w:rsid w:val="009C7C62"/>
    <w:rsid w:val="009D2AB8"/>
    <w:rsid w:val="009D3709"/>
    <w:rsid w:val="009D4373"/>
    <w:rsid w:val="009E0128"/>
    <w:rsid w:val="009E07F4"/>
    <w:rsid w:val="009E2491"/>
    <w:rsid w:val="009E64F6"/>
    <w:rsid w:val="009F09A9"/>
    <w:rsid w:val="009F0CB7"/>
    <w:rsid w:val="009F4E28"/>
    <w:rsid w:val="00A02F27"/>
    <w:rsid w:val="00A041C4"/>
    <w:rsid w:val="00A10BAE"/>
    <w:rsid w:val="00A10FF4"/>
    <w:rsid w:val="00A15707"/>
    <w:rsid w:val="00A15F1B"/>
    <w:rsid w:val="00A2166F"/>
    <w:rsid w:val="00A216C1"/>
    <w:rsid w:val="00A218DA"/>
    <w:rsid w:val="00A22A62"/>
    <w:rsid w:val="00A23BF0"/>
    <w:rsid w:val="00A30219"/>
    <w:rsid w:val="00A3358C"/>
    <w:rsid w:val="00A40ADC"/>
    <w:rsid w:val="00A42665"/>
    <w:rsid w:val="00A4444C"/>
    <w:rsid w:val="00A44A17"/>
    <w:rsid w:val="00A503A2"/>
    <w:rsid w:val="00A506B7"/>
    <w:rsid w:val="00A50F27"/>
    <w:rsid w:val="00A5193D"/>
    <w:rsid w:val="00A51C6F"/>
    <w:rsid w:val="00A550FC"/>
    <w:rsid w:val="00A572C9"/>
    <w:rsid w:val="00A5743E"/>
    <w:rsid w:val="00A61AB5"/>
    <w:rsid w:val="00A75B22"/>
    <w:rsid w:val="00A75C0A"/>
    <w:rsid w:val="00A766D6"/>
    <w:rsid w:val="00A8332B"/>
    <w:rsid w:val="00A837C8"/>
    <w:rsid w:val="00A85496"/>
    <w:rsid w:val="00A8581D"/>
    <w:rsid w:val="00A9031B"/>
    <w:rsid w:val="00A92DFE"/>
    <w:rsid w:val="00A9327D"/>
    <w:rsid w:val="00A979F4"/>
    <w:rsid w:val="00A97A57"/>
    <w:rsid w:val="00A97C78"/>
    <w:rsid w:val="00AB0B1A"/>
    <w:rsid w:val="00AC3745"/>
    <w:rsid w:val="00AC3816"/>
    <w:rsid w:val="00AC4AD1"/>
    <w:rsid w:val="00AC554E"/>
    <w:rsid w:val="00AD25D3"/>
    <w:rsid w:val="00AD3466"/>
    <w:rsid w:val="00AD3B13"/>
    <w:rsid w:val="00AD5DC6"/>
    <w:rsid w:val="00AD6CFA"/>
    <w:rsid w:val="00AD75E4"/>
    <w:rsid w:val="00AE268F"/>
    <w:rsid w:val="00AE60F5"/>
    <w:rsid w:val="00AE64C4"/>
    <w:rsid w:val="00AE6E79"/>
    <w:rsid w:val="00AF4B8C"/>
    <w:rsid w:val="00AF5903"/>
    <w:rsid w:val="00AF5F94"/>
    <w:rsid w:val="00AF68F7"/>
    <w:rsid w:val="00B0009C"/>
    <w:rsid w:val="00B00142"/>
    <w:rsid w:val="00B018D3"/>
    <w:rsid w:val="00B01B21"/>
    <w:rsid w:val="00B01CE0"/>
    <w:rsid w:val="00B02C20"/>
    <w:rsid w:val="00B05D0E"/>
    <w:rsid w:val="00B05FBC"/>
    <w:rsid w:val="00B06AB9"/>
    <w:rsid w:val="00B10FCD"/>
    <w:rsid w:val="00B116B0"/>
    <w:rsid w:val="00B1235A"/>
    <w:rsid w:val="00B16224"/>
    <w:rsid w:val="00B23F8F"/>
    <w:rsid w:val="00B258D7"/>
    <w:rsid w:val="00B277CC"/>
    <w:rsid w:val="00B34550"/>
    <w:rsid w:val="00B346BF"/>
    <w:rsid w:val="00B3559C"/>
    <w:rsid w:val="00B405C7"/>
    <w:rsid w:val="00B4094C"/>
    <w:rsid w:val="00B41957"/>
    <w:rsid w:val="00B4265D"/>
    <w:rsid w:val="00B448FE"/>
    <w:rsid w:val="00B46E95"/>
    <w:rsid w:val="00B47826"/>
    <w:rsid w:val="00B509AA"/>
    <w:rsid w:val="00B528F8"/>
    <w:rsid w:val="00B54065"/>
    <w:rsid w:val="00B54AB6"/>
    <w:rsid w:val="00B55709"/>
    <w:rsid w:val="00B57CA8"/>
    <w:rsid w:val="00B64E73"/>
    <w:rsid w:val="00B65CC2"/>
    <w:rsid w:val="00B71CCC"/>
    <w:rsid w:val="00B75598"/>
    <w:rsid w:val="00B76616"/>
    <w:rsid w:val="00B76A88"/>
    <w:rsid w:val="00B8056B"/>
    <w:rsid w:val="00B81D5C"/>
    <w:rsid w:val="00B82A9E"/>
    <w:rsid w:val="00B832D9"/>
    <w:rsid w:val="00B83CBD"/>
    <w:rsid w:val="00B84495"/>
    <w:rsid w:val="00B916EC"/>
    <w:rsid w:val="00B91748"/>
    <w:rsid w:val="00B922BF"/>
    <w:rsid w:val="00B93296"/>
    <w:rsid w:val="00B935B3"/>
    <w:rsid w:val="00B975CC"/>
    <w:rsid w:val="00B97A65"/>
    <w:rsid w:val="00BA0BA2"/>
    <w:rsid w:val="00BA0C79"/>
    <w:rsid w:val="00BA2665"/>
    <w:rsid w:val="00BB5CE2"/>
    <w:rsid w:val="00BB65DA"/>
    <w:rsid w:val="00BB6CB0"/>
    <w:rsid w:val="00BC5504"/>
    <w:rsid w:val="00BD0FA6"/>
    <w:rsid w:val="00BD41DB"/>
    <w:rsid w:val="00BD6A54"/>
    <w:rsid w:val="00BD6D44"/>
    <w:rsid w:val="00BE1495"/>
    <w:rsid w:val="00BE226A"/>
    <w:rsid w:val="00BF065A"/>
    <w:rsid w:val="00BF22BA"/>
    <w:rsid w:val="00BF6458"/>
    <w:rsid w:val="00C02714"/>
    <w:rsid w:val="00C02F3B"/>
    <w:rsid w:val="00C0306F"/>
    <w:rsid w:val="00C04ACE"/>
    <w:rsid w:val="00C11101"/>
    <w:rsid w:val="00C2237E"/>
    <w:rsid w:val="00C23050"/>
    <w:rsid w:val="00C232CE"/>
    <w:rsid w:val="00C23BA5"/>
    <w:rsid w:val="00C25E9C"/>
    <w:rsid w:val="00C26815"/>
    <w:rsid w:val="00C302D4"/>
    <w:rsid w:val="00C3091E"/>
    <w:rsid w:val="00C40FBF"/>
    <w:rsid w:val="00C42C2B"/>
    <w:rsid w:val="00C44440"/>
    <w:rsid w:val="00C50AFF"/>
    <w:rsid w:val="00C52433"/>
    <w:rsid w:val="00C54B32"/>
    <w:rsid w:val="00C5515E"/>
    <w:rsid w:val="00C5563B"/>
    <w:rsid w:val="00C60C3B"/>
    <w:rsid w:val="00C61495"/>
    <w:rsid w:val="00C614D3"/>
    <w:rsid w:val="00C65AAB"/>
    <w:rsid w:val="00C67527"/>
    <w:rsid w:val="00C714C0"/>
    <w:rsid w:val="00C7190D"/>
    <w:rsid w:val="00C72504"/>
    <w:rsid w:val="00C74D03"/>
    <w:rsid w:val="00C75BE1"/>
    <w:rsid w:val="00C76014"/>
    <w:rsid w:val="00C83989"/>
    <w:rsid w:val="00C874E2"/>
    <w:rsid w:val="00C9199E"/>
    <w:rsid w:val="00C92753"/>
    <w:rsid w:val="00C96BDA"/>
    <w:rsid w:val="00CA26A6"/>
    <w:rsid w:val="00CA372C"/>
    <w:rsid w:val="00CA5AEC"/>
    <w:rsid w:val="00CB0AF1"/>
    <w:rsid w:val="00CB0E52"/>
    <w:rsid w:val="00CB41F6"/>
    <w:rsid w:val="00CB468C"/>
    <w:rsid w:val="00CB4951"/>
    <w:rsid w:val="00CB4D3A"/>
    <w:rsid w:val="00CC0269"/>
    <w:rsid w:val="00CC1C0A"/>
    <w:rsid w:val="00CC2C06"/>
    <w:rsid w:val="00CC448E"/>
    <w:rsid w:val="00CC5BB7"/>
    <w:rsid w:val="00CC77EE"/>
    <w:rsid w:val="00CC7E88"/>
    <w:rsid w:val="00CD01E1"/>
    <w:rsid w:val="00CD1F43"/>
    <w:rsid w:val="00CD30F9"/>
    <w:rsid w:val="00CD34B1"/>
    <w:rsid w:val="00CD55E9"/>
    <w:rsid w:val="00CE4734"/>
    <w:rsid w:val="00CE6C11"/>
    <w:rsid w:val="00CF03E9"/>
    <w:rsid w:val="00CF25A7"/>
    <w:rsid w:val="00CF4512"/>
    <w:rsid w:val="00CF62AD"/>
    <w:rsid w:val="00CF6A8B"/>
    <w:rsid w:val="00CF708D"/>
    <w:rsid w:val="00D0798A"/>
    <w:rsid w:val="00D07BC6"/>
    <w:rsid w:val="00D10D81"/>
    <w:rsid w:val="00D10E60"/>
    <w:rsid w:val="00D15932"/>
    <w:rsid w:val="00D15C90"/>
    <w:rsid w:val="00D1601D"/>
    <w:rsid w:val="00D160FD"/>
    <w:rsid w:val="00D16614"/>
    <w:rsid w:val="00D23EF1"/>
    <w:rsid w:val="00D2443C"/>
    <w:rsid w:val="00D314FA"/>
    <w:rsid w:val="00D3150B"/>
    <w:rsid w:val="00D333FC"/>
    <w:rsid w:val="00D41022"/>
    <w:rsid w:val="00D44886"/>
    <w:rsid w:val="00D47598"/>
    <w:rsid w:val="00D513B1"/>
    <w:rsid w:val="00D62189"/>
    <w:rsid w:val="00D64387"/>
    <w:rsid w:val="00D6497E"/>
    <w:rsid w:val="00D73971"/>
    <w:rsid w:val="00D73E29"/>
    <w:rsid w:val="00D7488A"/>
    <w:rsid w:val="00D75EAD"/>
    <w:rsid w:val="00D81A8A"/>
    <w:rsid w:val="00D82FD7"/>
    <w:rsid w:val="00D83EA8"/>
    <w:rsid w:val="00D860B6"/>
    <w:rsid w:val="00D877AB"/>
    <w:rsid w:val="00D916A4"/>
    <w:rsid w:val="00D91AFF"/>
    <w:rsid w:val="00D927DF"/>
    <w:rsid w:val="00D94859"/>
    <w:rsid w:val="00D95F6C"/>
    <w:rsid w:val="00DA017C"/>
    <w:rsid w:val="00DA76CC"/>
    <w:rsid w:val="00DB268F"/>
    <w:rsid w:val="00DB42A3"/>
    <w:rsid w:val="00DC0482"/>
    <w:rsid w:val="00DC228D"/>
    <w:rsid w:val="00DC28DF"/>
    <w:rsid w:val="00DD1557"/>
    <w:rsid w:val="00DD1741"/>
    <w:rsid w:val="00DD4D88"/>
    <w:rsid w:val="00DD7DA6"/>
    <w:rsid w:val="00DE0B10"/>
    <w:rsid w:val="00DE0B2F"/>
    <w:rsid w:val="00DE12E2"/>
    <w:rsid w:val="00DE3AAD"/>
    <w:rsid w:val="00DE4FD0"/>
    <w:rsid w:val="00DE56AB"/>
    <w:rsid w:val="00DE6528"/>
    <w:rsid w:val="00DF3767"/>
    <w:rsid w:val="00DF4310"/>
    <w:rsid w:val="00DF67A7"/>
    <w:rsid w:val="00DF7DB6"/>
    <w:rsid w:val="00E02A2D"/>
    <w:rsid w:val="00E031F3"/>
    <w:rsid w:val="00E0454B"/>
    <w:rsid w:val="00E06788"/>
    <w:rsid w:val="00E06FA2"/>
    <w:rsid w:val="00E105E4"/>
    <w:rsid w:val="00E10811"/>
    <w:rsid w:val="00E11A01"/>
    <w:rsid w:val="00E1239C"/>
    <w:rsid w:val="00E13EEE"/>
    <w:rsid w:val="00E14E8E"/>
    <w:rsid w:val="00E17642"/>
    <w:rsid w:val="00E211A4"/>
    <w:rsid w:val="00E232B7"/>
    <w:rsid w:val="00E35F7A"/>
    <w:rsid w:val="00E36D3E"/>
    <w:rsid w:val="00E42719"/>
    <w:rsid w:val="00E42D30"/>
    <w:rsid w:val="00E42F1F"/>
    <w:rsid w:val="00E4459D"/>
    <w:rsid w:val="00E50DEF"/>
    <w:rsid w:val="00E51165"/>
    <w:rsid w:val="00E52629"/>
    <w:rsid w:val="00E52D10"/>
    <w:rsid w:val="00E567BE"/>
    <w:rsid w:val="00E57DBC"/>
    <w:rsid w:val="00E61C84"/>
    <w:rsid w:val="00E61E44"/>
    <w:rsid w:val="00E63496"/>
    <w:rsid w:val="00E63F8E"/>
    <w:rsid w:val="00E642F8"/>
    <w:rsid w:val="00E644F4"/>
    <w:rsid w:val="00E649A8"/>
    <w:rsid w:val="00E64EFC"/>
    <w:rsid w:val="00E72391"/>
    <w:rsid w:val="00E72E46"/>
    <w:rsid w:val="00E747C8"/>
    <w:rsid w:val="00E75AF9"/>
    <w:rsid w:val="00E76896"/>
    <w:rsid w:val="00E773F5"/>
    <w:rsid w:val="00E77551"/>
    <w:rsid w:val="00E814E7"/>
    <w:rsid w:val="00E82082"/>
    <w:rsid w:val="00E832BF"/>
    <w:rsid w:val="00E92CAA"/>
    <w:rsid w:val="00E94780"/>
    <w:rsid w:val="00E94E02"/>
    <w:rsid w:val="00E95F12"/>
    <w:rsid w:val="00EA00A4"/>
    <w:rsid w:val="00EA070F"/>
    <w:rsid w:val="00EA0994"/>
    <w:rsid w:val="00EA0FF9"/>
    <w:rsid w:val="00EA537D"/>
    <w:rsid w:val="00EA646E"/>
    <w:rsid w:val="00EA764D"/>
    <w:rsid w:val="00EB02AB"/>
    <w:rsid w:val="00EB1B25"/>
    <w:rsid w:val="00EB1DBA"/>
    <w:rsid w:val="00EB2DBF"/>
    <w:rsid w:val="00EB6AE2"/>
    <w:rsid w:val="00EC0A84"/>
    <w:rsid w:val="00EC385F"/>
    <w:rsid w:val="00EC6C77"/>
    <w:rsid w:val="00EC7FBA"/>
    <w:rsid w:val="00ED1DC0"/>
    <w:rsid w:val="00ED3241"/>
    <w:rsid w:val="00ED34F7"/>
    <w:rsid w:val="00ED3929"/>
    <w:rsid w:val="00ED3AAC"/>
    <w:rsid w:val="00ED3C20"/>
    <w:rsid w:val="00ED5F39"/>
    <w:rsid w:val="00ED6AFB"/>
    <w:rsid w:val="00EE1727"/>
    <w:rsid w:val="00EE38FD"/>
    <w:rsid w:val="00EE3E0C"/>
    <w:rsid w:val="00EE4466"/>
    <w:rsid w:val="00EE5150"/>
    <w:rsid w:val="00EE5408"/>
    <w:rsid w:val="00EE6AC8"/>
    <w:rsid w:val="00EF0690"/>
    <w:rsid w:val="00EF3DAF"/>
    <w:rsid w:val="00EF4924"/>
    <w:rsid w:val="00EF5186"/>
    <w:rsid w:val="00EF6184"/>
    <w:rsid w:val="00F00130"/>
    <w:rsid w:val="00F002EF"/>
    <w:rsid w:val="00F02BC0"/>
    <w:rsid w:val="00F0324B"/>
    <w:rsid w:val="00F03ECD"/>
    <w:rsid w:val="00F049FD"/>
    <w:rsid w:val="00F0638C"/>
    <w:rsid w:val="00F1034E"/>
    <w:rsid w:val="00F13ECA"/>
    <w:rsid w:val="00F15AE1"/>
    <w:rsid w:val="00F20532"/>
    <w:rsid w:val="00F21FC5"/>
    <w:rsid w:val="00F22551"/>
    <w:rsid w:val="00F23C18"/>
    <w:rsid w:val="00F26406"/>
    <w:rsid w:val="00F2758E"/>
    <w:rsid w:val="00F279EC"/>
    <w:rsid w:val="00F27B51"/>
    <w:rsid w:val="00F30CE2"/>
    <w:rsid w:val="00F31969"/>
    <w:rsid w:val="00F32A4E"/>
    <w:rsid w:val="00F3305A"/>
    <w:rsid w:val="00F34632"/>
    <w:rsid w:val="00F34CA0"/>
    <w:rsid w:val="00F36D1D"/>
    <w:rsid w:val="00F37D5E"/>
    <w:rsid w:val="00F52471"/>
    <w:rsid w:val="00F54096"/>
    <w:rsid w:val="00F54A24"/>
    <w:rsid w:val="00F54F0A"/>
    <w:rsid w:val="00F56851"/>
    <w:rsid w:val="00F60E1A"/>
    <w:rsid w:val="00F63C1A"/>
    <w:rsid w:val="00F70418"/>
    <w:rsid w:val="00F76EA1"/>
    <w:rsid w:val="00F825BE"/>
    <w:rsid w:val="00F825C3"/>
    <w:rsid w:val="00F82C10"/>
    <w:rsid w:val="00F8515D"/>
    <w:rsid w:val="00F859F2"/>
    <w:rsid w:val="00F874BC"/>
    <w:rsid w:val="00F90FC4"/>
    <w:rsid w:val="00F910F5"/>
    <w:rsid w:val="00F91D18"/>
    <w:rsid w:val="00F92458"/>
    <w:rsid w:val="00FA05B5"/>
    <w:rsid w:val="00FA0E34"/>
    <w:rsid w:val="00FA14B9"/>
    <w:rsid w:val="00FA1C35"/>
    <w:rsid w:val="00FA4186"/>
    <w:rsid w:val="00FA4960"/>
    <w:rsid w:val="00FA657B"/>
    <w:rsid w:val="00FA6901"/>
    <w:rsid w:val="00FA7B06"/>
    <w:rsid w:val="00FB4850"/>
    <w:rsid w:val="00FB4A2D"/>
    <w:rsid w:val="00FB7A6E"/>
    <w:rsid w:val="00FC4903"/>
    <w:rsid w:val="00FC5915"/>
    <w:rsid w:val="00FC68DD"/>
    <w:rsid w:val="00FD2B6D"/>
    <w:rsid w:val="00FE0DD9"/>
    <w:rsid w:val="00FE5E5A"/>
    <w:rsid w:val="00FF3DE8"/>
    <w:rsid w:val="00FF6D5C"/>
    <w:rsid w:val="010B5D53"/>
    <w:rsid w:val="015D7E2E"/>
    <w:rsid w:val="01B46827"/>
    <w:rsid w:val="01DA7C98"/>
    <w:rsid w:val="0240069E"/>
    <w:rsid w:val="025F6B08"/>
    <w:rsid w:val="026A341E"/>
    <w:rsid w:val="02964D1B"/>
    <w:rsid w:val="029730A3"/>
    <w:rsid w:val="02A47215"/>
    <w:rsid w:val="02D12D2D"/>
    <w:rsid w:val="030335B6"/>
    <w:rsid w:val="031962A8"/>
    <w:rsid w:val="03252D18"/>
    <w:rsid w:val="0336576B"/>
    <w:rsid w:val="034A65A2"/>
    <w:rsid w:val="03985896"/>
    <w:rsid w:val="03C22421"/>
    <w:rsid w:val="04092495"/>
    <w:rsid w:val="04093D75"/>
    <w:rsid w:val="0474102A"/>
    <w:rsid w:val="04880273"/>
    <w:rsid w:val="04C87066"/>
    <w:rsid w:val="04EC1F69"/>
    <w:rsid w:val="05517763"/>
    <w:rsid w:val="05CB71F4"/>
    <w:rsid w:val="06065BB1"/>
    <w:rsid w:val="0612539D"/>
    <w:rsid w:val="06187C8D"/>
    <w:rsid w:val="06800FCE"/>
    <w:rsid w:val="068F69D2"/>
    <w:rsid w:val="06B04356"/>
    <w:rsid w:val="073C3A03"/>
    <w:rsid w:val="075423A9"/>
    <w:rsid w:val="07594B25"/>
    <w:rsid w:val="07915CA7"/>
    <w:rsid w:val="07C015E8"/>
    <w:rsid w:val="07DC233E"/>
    <w:rsid w:val="07EB75E9"/>
    <w:rsid w:val="08636FB6"/>
    <w:rsid w:val="086F0074"/>
    <w:rsid w:val="086F4C94"/>
    <w:rsid w:val="08DF2201"/>
    <w:rsid w:val="09525282"/>
    <w:rsid w:val="0983625D"/>
    <w:rsid w:val="099224C2"/>
    <w:rsid w:val="09B404F8"/>
    <w:rsid w:val="09DE593C"/>
    <w:rsid w:val="09E7063B"/>
    <w:rsid w:val="09ED5D8A"/>
    <w:rsid w:val="0A4A4B6E"/>
    <w:rsid w:val="0B2473D6"/>
    <w:rsid w:val="0B286E35"/>
    <w:rsid w:val="0B3174AC"/>
    <w:rsid w:val="0B7847D7"/>
    <w:rsid w:val="0BBC36C6"/>
    <w:rsid w:val="0BE10289"/>
    <w:rsid w:val="0BEE0DBC"/>
    <w:rsid w:val="0C174C18"/>
    <w:rsid w:val="0C211ED5"/>
    <w:rsid w:val="0C2E6932"/>
    <w:rsid w:val="0CBF7754"/>
    <w:rsid w:val="0CC528B5"/>
    <w:rsid w:val="0CDA3CA2"/>
    <w:rsid w:val="0CEE45DA"/>
    <w:rsid w:val="0D4E7977"/>
    <w:rsid w:val="0D532037"/>
    <w:rsid w:val="0D6E3A97"/>
    <w:rsid w:val="0D8D05A5"/>
    <w:rsid w:val="0E1C650B"/>
    <w:rsid w:val="0E6D27A8"/>
    <w:rsid w:val="0E795F8B"/>
    <w:rsid w:val="0ECA1B00"/>
    <w:rsid w:val="0ECF7F21"/>
    <w:rsid w:val="0EDE2DED"/>
    <w:rsid w:val="0F4F4A45"/>
    <w:rsid w:val="0F8A2BF1"/>
    <w:rsid w:val="0F996CAE"/>
    <w:rsid w:val="0FE11F6D"/>
    <w:rsid w:val="100D436D"/>
    <w:rsid w:val="10125DF6"/>
    <w:rsid w:val="10585C66"/>
    <w:rsid w:val="10655CF3"/>
    <w:rsid w:val="106A25F5"/>
    <w:rsid w:val="107D4D34"/>
    <w:rsid w:val="10E2258A"/>
    <w:rsid w:val="112F4308"/>
    <w:rsid w:val="113C7040"/>
    <w:rsid w:val="11566119"/>
    <w:rsid w:val="11662F70"/>
    <w:rsid w:val="11D70154"/>
    <w:rsid w:val="12160F3D"/>
    <w:rsid w:val="124F3295"/>
    <w:rsid w:val="129271C8"/>
    <w:rsid w:val="12942E23"/>
    <w:rsid w:val="12FB36A7"/>
    <w:rsid w:val="132B1A23"/>
    <w:rsid w:val="132C05DC"/>
    <w:rsid w:val="134276A3"/>
    <w:rsid w:val="134452EC"/>
    <w:rsid w:val="1348702C"/>
    <w:rsid w:val="135358EB"/>
    <w:rsid w:val="13A84B48"/>
    <w:rsid w:val="13F817FF"/>
    <w:rsid w:val="1443726E"/>
    <w:rsid w:val="144C002E"/>
    <w:rsid w:val="144D0E93"/>
    <w:rsid w:val="14576DE3"/>
    <w:rsid w:val="147B3BEE"/>
    <w:rsid w:val="148003C6"/>
    <w:rsid w:val="148E7F8B"/>
    <w:rsid w:val="149D0920"/>
    <w:rsid w:val="14BA1458"/>
    <w:rsid w:val="1562432C"/>
    <w:rsid w:val="15971EE1"/>
    <w:rsid w:val="15B74962"/>
    <w:rsid w:val="15BA18AE"/>
    <w:rsid w:val="15E43C30"/>
    <w:rsid w:val="161A214A"/>
    <w:rsid w:val="168A05EF"/>
    <w:rsid w:val="16A17D2C"/>
    <w:rsid w:val="16AC42F9"/>
    <w:rsid w:val="172D34D6"/>
    <w:rsid w:val="178B4155"/>
    <w:rsid w:val="17AE5109"/>
    <w:rsid w:val="17E94F29"/>
    <w:rsid w:val="17F32EFF"/>
    <w:rsid w:val="17FF4C44"/>
    <w:rsid w:val="180363A3"/>
    <w:rsid w:val="181E35B9"/>
    <w:rsid w:val="18223644"/>
    <w:rsid w:val="1881601B"/>
    <w:rsid w:val="18E657D1"/>
    <w:rsid w:val="18EE3FF4"/>
    <w:rsid w:val="18EF5870"/>
    <w:rsid w:val="18F9736D"/>
    <w:rsid w:val="190562F2"/>
    <w:rsid w:val="191F7377"/>
    <w:rsid w:val="196A07E8"/>
    <w:rsid w:val="199D06A2"/>
    <w:rsid w:val="19AC4D36"/>
    <w:rsid w:val="19F46637"/>
    <w:rsid w:val="1A132B0D"/>
    <w:rsid w:val="1A391F9C"/>
    <w:rsid w:val="1A48253B"/>
    <w:rsid w:val="1A9C7638"/>
    <w:rsid w:val="1AD71F73"/>
    <w:rsid w:val="1ADC630F"/>
    <w:rsid w:val="1B0B2A6F"/>
    <w:rsid w:val="1B243D9B"/>
    <w:rsid w:val="1B724A2E"/>
    <w:rsid w:val="1B872A27"/>
    <w:rsid w:val="1BE50EE4"/>
    <w:rsid w:val="1BF62A92"/>
    <w:rsid w:val="1C147238"/>
    <w:rsid w:val="1C387BAF"/>
    <w:rsid w:val="1C656C23"/>
    <w:rsid w:val="1C830DC2"/>
    <w:rsid w:val="1CCB4DC5"/>
    <w:rsid w:val="1CCD7468"/>
    <w:rsid w:val="1CE11AAA"/>
    <w:rsid w:val="1CE722BA"/>
    <w:rsid w:val="1D787921"/>
    <w:rsid w:val="1D9C79B2"/>
    <w:rsid w:val="1E040B49"/>
    <w:rsid w:val="1E4D11E1"/>
    <w:rsid w:val="1E4E6DD0"/>
    <w:rsid w:val="1E846C1E"/>
    <w:rsid w:val="1EAD0322"/>
    <w:rsid w:val="1EC52D37"/>
    <w:rsid w:val="1EE559BD"/>
    <w:rsid w:val="202B3AD6"/>
    <w:rsid w:val="20667D7A"/>
    <w:rsid w:val="20D81670"/>
    <w:rsid w:val="20D81F1B"/>
    <w:rsid w:val="2134234B"/>
    <w:rsid w:val="21452182"/>
    <w:rsid w:val="214D6A34"/>
    <w:rsid w:val="218D1CD2"/>
    <w:rsid w:val="21BD09EA"/>
    <w:rsid w:val="21EB729B"/>
    <w:rsid w:val="22044051"/>
    <w:rsid w:val="22892AA6"/>
    <w:rsid w:val="22D812F5"/>
    <w:rsid w:val="22DD3099"/>
    <w:rsid w:val="230463DC"/>
    <w:rsid w:val="233050BD"/>
    <w:rsid w:val="23395957"/>
    <w:rsid w:val="23607914"/>
    <w:rsid w:val="23EB2BDC"/>
    <w:rsid w:val="242E2776"/>
    <w:rsid w:val="243A7591"/>
    <w:rsid w:val="24583E8C"/>
    <w:rsid w:val="248064B3"/>
    <w:rsid w:val="24923600"/>
    <w:rsid w:val="249609EF"/>
    <w:rsid w:val="249D3873"/>
    <w:rsid w:val="249E2CA0"/>
    <w:rsid w:val="24B01E41"/>
    <w:rsid w:val="250716C5"/>
    <w:rsid w:val="250E667B"/>
    <w:rsid w:val="251C4DAA"/>
    <w:rsid w:val="2537376A"/>
    <w:rsid w:val="255958E8"/>
    <w:rsid w:val="257847ED"/>
    <w:rsid w:val="258E2AB0"/>
    <w:rsid w:val="259D5474"/>
    <w:rsid w:val="25DB4EBE"/>
    <w:rsid w:val="267E6FB9"/>
    <w:rsid w:val="26804E34"/>
    <w:rsid w:val="26AA5D19"/>
    <w:rsid w:val="26BA509C"/>
    <w:rsid w:val="26CA1627"/>
    <w:rsid w:val="27056576"/>
    <w:rsid w:val="270A5318"/>
    <w:rsid w:val="2716314E"/>
    <w:rsid w:val="272E643D"/>
    <w:rsid w:val="27355263"/>
    <w:rsid w:val="2768115F"/>
    <w:rsid w:val="279E3AA4"/>
    <w:rsid w:val="27C24AC7"/>
    <w:rsid w:val="27F75337"/>
    <w:rsid w:val="289F1376"/>
    <w:rsid w:val="28A45687"/>
    <w:rsid w:val="28BD0AC4"/>
    <w:rsid w:val="28D10507"/>
    <w:rsid w:val="28E067DC"/>
    <w:rsid w:val="28FC7D11"/>
    <w:rsid w:val="292F3A03"/>
    <w:rsid w:val="294A2728"/>
    <w:rsid w:val="299F2D1F"/>
    <w:rsid w:val="29AD1484"/>
    <w:rsid w:val="29C5768F"/>
    <w:rsid w:val="29CF6A5C"/>
    <w:rsid w:val="29E14AC1"/>
    <w:rsid w:val="29F56AA3"/>
    <w:rsid w:val="29F64BF1"/>
    <w:rsid w:val="2A9968AF"/>
    <w:rsid w:val="2AA0764D"/>
    <w:rsid w:val="2ADD277D"/>
    <w:rsid w:val="2B8A312A"/>
    <w:rsid w:val="2BBA7E25"/>
    <w:rsid w:val="2BE50DC7"/>
    <w:rsid w:val="2C0626B2"/>
    <w:rsid w:val="2C0E3CCB"/>
    <w:rsid w:val="2C35262E"/>
    <w:rsid w:val="2C3E2062"/>
    <w:rsid w:val="2C552502"/>
    <w:rsid w:val="2C661887"/>
    <w:rsid w:val="2CDE209F"/>
    <w:rsid w:val="2CFE239F"/>
    <w:rsid w:val="2D3A3B2C"/>
    <w:rsid w:val="2D3F44B8"/>
    <w:rsid w:val="2D5759CC"/>
    <w:rsid w:val="2D583FD1"/>
    <w:rsid w:val="2DC2506A"/>
    <w:rsid w:val="2DC9042A"/>
    <w:rsid w:val="2DCE736A"/>
    <w:rsid w:val="2DD17E36"/>
    <w:rsid w:val="2DF24891"/>
    <w:rsid w:val="2E1065CE"/>
    <w:rsid w:val="2E292EFC"/>
    <w:rsid w:val="2E7C4872"/>
    <w:rsid w:val="2F0033F9"/>
    <w:rsid w:val="2F2A117B"/>
    <w:rsid w:val="2FB34C91"/>
    <w:rsid w:val="2FB63DA8"/>
    <w:rsid w:val="301A49A1"/>
    <w:rsid w:val="301B2171"/>
    <w:rsid w:val="304523EE"/>
    <w:rsid w:val="304D2AB8"/>
    <w:rsid w:val="306B617F"/>
    <w:rsid w:val="3070365B"/>
    <w:rsid w:val="308041F0"/>
    <w:rsid w:val="30953C19"/>
    <w:rsid w:val="30A30BDF"/>
    <w:rsid w:val="30F55827"/>
    <w:rsid w:val="30F82BCC"/>
    <w:rsid w:val="311163C5"/>
    <w:rsid w:val="31267A28"/>
    <w:rsid w:val="31350C4C"/>
    <w:rsid w:val="32362647"/>
    <w:rsid w:val="32606407"/>
    <w:rsid w:val="32647F70"/>
    <w:rsid w:val="32B834E1"/>
    <w:rsid w:val="32C527D2"/>
    <w:rsid w:val="331F01E6"/>
    <w:rsid w:val="33541A32"/>
    <w:rsid w:val="33620C1E"/>
    <w:rsid w:val="33B404B6"/>
    <w:rsid w:val="34175A29"/>
    <w:rsid w:val="348C752F"/>
    <w:rsid w:val="34C635D4"/>
    <w:rsid w:val="34E77027"/>
    <w:rsid w:val="351B138D"/>
    <w:rsid w:val="35281E46"/>
    <w:rsid w:val="356B0399"/>
    <w:rsid w:val="35B0027F"/>
    <w:rsid w:val="362C0AB4"/>
    <w:rsid w:val="363A027A"/>
    <w:rsid w:val="365F5EB5"/>
    <w:rsid w:val="366A6AF9"/>
    <w:rsid w:val="36B12ED9"/>
    <w:rsid w:val="36CF347B"/>
    <w:rsid w:val="36F26518"/>
    <w:rsid w:val="36F96BCC"/>
    <w:rsid w:val="37020A28"/>
    <w:rsid w:val="371A6FD6"/>
    <w:rsid w:val="37B347B6"/>
    <w:rsid w:val="38203594"/>
    <w:rsid w:val="386D6DD1"/>
    <w:rsid w:val="38767D48"/>
    <w:rsid w:val="38774730"/>
    <w:rsid w:val="38857AA9"/>
    <w:rsid w:val="388A1E5F"/>
    <w:rsid w:val="38AC7189"/>
    <w:rsid w:val="38D80705"/>
    <w:rsid w:val="394B6871"/>
    <w:rsid w:val="395249E2"/>
    <w:rsid w:val="396C31F2"/>
    <w:rsid w:val="396D7233"/>
    <w:rsid w:val="399333CD"/>
    <w:rsid w:val="39A66375"/>
    <w:rsid w:val="39C845F6"/>
    <w:rsid w:val="39F63344"/>
    <w:rsid w:val="3A2727A3"/>
    <w:rsid w:val="3A754CE5"/>
    <w:rsid w:val="3A926CC8"/>
    <w:rsid w:val="3B19339C"/>
    <w:rsid w:val="3B397CB5"/>
    <w:rsid w:val="3B3F12E2"/>
    <w:rsid w:val="3BB0774F"/>
    <w:rsid w:val="3BC5739B"/>
    <w:rsid w:val="3C033A4B"/>
    <w:rsid w:val="3C1424D2"/>
    <w:rsid w:val="3C711292"/>
    <w:rsid w:val="3C7543D5"/>
    <w:rsid w:val="3C8E02AC"/>
    <w:rsid w:val="3CAD6580"/>
    <w:rsid w:val="3CB2229B"/>
    <w:rsid w:val="3CCF6C31"/>
    <w:rsid w:val="3D1D778F"/>
    <w:rsid w:val="3D501530"/>
    <w:rsid w:val="3DE06960"/>
    <w:rsid w:val="3E4F09D2"/>
    <w:rsid w:val="3E95517E"/>
    <w:rsid w:val="3EA67927"/>
    <w:rsid w:val="3EAC7DCE"/>
    <w:rsid w:val="3ECD4BCD"/>
    <w:rsid w:val="3EDA25FF"/>
    <w:rsid w:val="3F495F7F"/>
    <w:rsid w:val="3FBFABEC"/>
    <w:rsid w:val="3FEC27DE"/>
    <w:rsid w:val="403A7CC0"/>
    <w:rsid w:val="4068172D"/>
    <w:rsid w:val="40DB4E75"/>
    <w:rsid w:val="41043FD2"/>
    <w:rsid w:val="41D50910"/>
    <w:rsid w:val="42311557"/>
    <w:rsid w:val="42466D08"/>
    <w:rsid w:val="42655CCD"/>
    <w:rsid w:val="42801AE4"/>
    <w:rsid w:val="42C53929"/>
    <w:rsid w:val="42CF43AB"/>
    <w:rsid w:val="42FD37A7"/>
    <w:rsid w:val="43042F99"/>
    <w:rsid w:val="43213292"/>
    <w:rsid w:val="433576D8"/>
    <w:rsid w:val="43CB0A25"/>
    <w:rsid w:val="43E05414"/>
    <w:rsid w:val="43EE26C4"/>
    <w:rsid w:val="44124F75"/>
    <w:rsid w:val="44A31987"/>
    <w:rsid w:val="45C10DFD"/>
    <w:rsid w:val="45F474E3"/>
    <w:rsid w:val="460556DC"/>
    <w:rsid w:val="463140E3"/>
    <w:rsid w:val="46B3132C"/>
    <w:rsid w:val="46E82BCE"/>
    <w:rsid w:val="471D773C"/>
    <w:rsid w:val="476E0228"/>
    <w:rsid w:val="476E2EB4"/>
    <w:rsid w:val="477705F4"/>
    <w:rsid w:val="478E5BF3"/>
    <w:rsid w:val="47993F84"/>
    <w:rsid w:val="47D01EDF"/>
    <w:rsid w:val="47D55F11"/>
    <w:rsid w:val="47E56601"/>
    <w:rsid w:val="47FD2A57"/>
    <w:rsid w:val="48240E5D"/>
    <w:rsid w:val="484A18EE"/>
    <w:rsid w:val="485770B6"/>
    <w:rsid w:val="48B74E1F"/>
    <w:rsid w:val="48C23C7D"/>
    <w:rsid w:val="48D97977"/>
    <w:rsid w:val="4913165A"/>
    <w:rsid w:val="494641C6"/>
    <w:rsid w:val="4961356F"/>
    <w:rsid w:val="499C4463"/>
    <w:rsid w:val="499D3BCB"/>
    <w:rsid w:val="49AD5AB1"/>
    <w:rsid w:val="4A060C4B"/>
    <w:rsid w:val="4A1F0E82"/>
    <w:rsid w:val="4A5C6148"/>
    <w:rsid w:val="4AA62FC5"/>
    <w:rsid w:val="4B3E37C1"/>
    <w:rsid w:val="4B655C97"/>
    <w:rsid w:val="4B9A2DE0"/>
    <w:rsid w:val="4BC22315"/>
    <w:rsid w:val="4C045EBD"/>
    <w:rsid w:val="4C2175A7"/>
    <w:rsid w:val="4C9757E6"/>
    <w:rsid w:val="4D1B4B29"/>
    <w:rsid w:val="4D2937D5"/>
    <w:rsid w:val="4D7160D6"/>
    <w:rsid w:val="4DA954F8"/>
    <w:rsid w:val="4DB33889"/>
    <w:rsid w:val="4DCC232E"/>
    <w:rsid w:val="4DD63F3C"/>
    <w:rsid w:val="4DD70114"/>
    <w:rsid w:val="4DFE4BB5"/>
    <w:rsid w:val="4E022998"/>
    <w:rsid w:val="4E08249B"/>
    <w:rsid w:val="4E2C4362"/>
    <w:rsid w:val="4EA22C5A"/>
    <w:rsid w:val="4EBD615B"/>
    <w:rsid w:val="4EE7316A"/>
    <w:rsid w:val="4F25345A"/>
    <w:rsid w:val="4F2F66DD"/>
    <w:rsid w:val="4F465A7A"/>
    <w:rsid w:val="4FC02E49"/>
    <w:rsid w:val="4FE52FC3"/>
    <w:rsid w:val="4FF173F4"/>
    <w:rsid w:val="501A714D"/>
    <w:rsid w:val="5060696B"/>
    <w:rsid w:val="50644F35"/>
    <w:rsid w:val="5096012D"/>
    <w:rsid w:val="50E9544D"/>
    <w:rsid w:val="512055AA"/>
    <w:rsid w:val="512C77F1"/>
    <w:rsid w:val="51B758F6"/>
    <w:rsid w:val="51BB3DE3"/>
    <w:rsid w:val="52A53840"/>
    <w:rsid w:val="52BF2FD2"/>
    <w:rsid w:val="52EE5303"/>
    <w:rsid w:val="53077241"/>
    <w:rsid w:val="53297807"/>
    <w:rsid w:val="533E567A"/>
    <w:rsid w:val="538B395A"/>
    <w:rsid w:val="53C06387"/>
    <w:rsid w:val="53E71754"/>
    <w:rsid w:val="53F01145"/>
    <w:rsid w:val="53F16860"/>
    <w:rsid w:val="54187D72"/>
    <w:rsid w:val="547066EF"/>
    <w:rsid w:val="5471068D"/>
    <w:rsid w:val="54837CB4"/>
    <w:rsid w:val="548E4B42"/>
    <w:rsid w:val="54B87EE0"/>
    <w:rsid w:val="55364622"/>
    <w:rsid w:val="55545EA4"/>
    <w:rsid w:val="55A27C5F"/>
    <w:rsid w:val="55E03E57"/>
    <w:rsid w:val="562F16E6"/>
    <w:rsid w:val="563474CA"/>
    <w:rsid w:val="56C50BAB"/>
    <w:rsid w:val="56D62A5C"/>
    <w:rsid w:val="56ED6E80"/>
    <w:rsid w:val="56FC0F2C"/>
    <w:rsid w:val="573E3DB0"/>
    <w:rsid w:val="577416AB"/>
    <w:rsid w:val="578909FF"/>
    <w:rsid w:val="57B60CD6"/>
    <w:rsid w:val="57F421B8"/>
    <w:rsid w:val="580C0DD4"/>
    <w:rsid w:val="58406AD2"/>
    <w:rsid w:val="5863030F"/>
    <w:rsid w:val="587347A5"/>
    <w:rsid w:val="58A42191"/>
    <w:rsid w:val="58DC6E10"/>
    <w:rsid w:val="593122DC"/>
    <w:rsid w:val="595D4F93"/>
    <w:rsid w:val="59714A77"/>
    <w:rsid w:val="59933DC0"/>
    <w:rsid w:val="59DB5516"/>
    <w:rsid w:val="59F976BD"/>
    <w:rsid w:val="5A07181E"/>
    <w:rsid w:val="5A3C597F"/>
    <w:rsid w:val="5A412DEA"/>
    <w:rsid w:val="5A881B78"/>
    <w:rsid w:val="5AB0041A"/>
    <w:rsid w:val="5AD119B2"/>
    <w:rsid w:val="5AD13F62"/>
    <w:rsid w:val="5B755625"/>
    <w:rsid w:val="5B9A486E"/>
    <w:rsid w:val="5BA7046C"/>
    <w:rsid w:val="5BAA781B"/>
    <w:rsid w:val="5BEE6473"/>
    <w:rsid w:val="5BEF765A"/>
    <w:rsid w:val="5BFD04EB"/>
    <w:rsid w:val="5D131909"/>
    <w:rsid w:val="5D134136"/>
    <w:rsid w:val="5D230C5E"/>
    <w:rsid w:val="5D6E1F11"/>
    <w:rsid w:val="5D9620F2"/>
    <w:rsid w:val="5D965620"/>
    <w:rsid w:val="5DCF45EA"/>
    <w:rsid w:val="5DDD1D32"/>
    <w:rsid w:val="5DE979FF"/>
    <w:rsid w:val="5DF04B2E"/>
    <w:rsid w:val="5E313E73"/>
    <w:rsid w:val="5E357545"/>
    <w:rsid w:val="5E44155F"/>
    <w:rsid w:val="5E723BE7"/>
    <w:rsid w:val="5E872B7D"/>
    <w:rsid w:val="5EA97330"/>
    <w:rsid w:val="5EE80260"/>
    <w:rsid w:val="5EF722AB"/>
    <w:rsid w:val="5F1140AB"/>
    <w:rsid w:val="5F1E69A0"/>
    <w:rsid w:val="5F38083D"/>
    <w:rsid w:val="5F921998"/>
    <w:rsid w:val="5FDC7177"/>
    <w:rsid w:val="5FE810A9"/>
    <w:rsid w:val="601C2B39"/>
    <w:rsid w:val="6056681E"/>
    <w:rsid w:val="606D4A0A"/>
    <w:rsid w:val="60A125B7"/>
    <w:rsid w:val="613E2503"/>
    <w:rsid w:val="61600F39"/>
    <w:rsid w:val="620879CF"/>
    <w:rsid w:val="625369BB"/>
    <w:rsid w:val="627F3A77"/>
    <w:rsid w:val="630E1CFC"/>
    <w:rsid w:val="63302D32"/>
    <w:rsid w:val="63396263"/>
    <w:rsid w:val="63497C01"/>
    <w:rsid w:val="635151C8"/>
    <w:rsid w:val="63564E2D"/>
    <w:rsid w:val="6377241E"/>
    <w:rsid w:val="63AC078B"/>
    <w:rsid w:val="63CE1327"/>
    <w:rsid w:val="63E17D6C"/>
    <w:rsid w:val="63FA54D4"/>
    <w:rsid w:val="640C0830"/>
    <w:rsid w:val="6431535E"/>
    <w:rsid w:val="64346ED9"/>
    <w:rsid w:val="64477A45"/>
    <w:rsid w:val="644E4B1D"/>
    <w:rsid w:val="64644126"/>
    <w:rsid w:val="64860D8D"/>
    <w:rsid w:val="64EE128C"/>
    <w:rsid w:val="65302B18"/>
    <w:rsid w:val="65387BCC"/>
    <w:rsid w:val="66010763"/>
    <w:rsid w:val="66236AEB"/>
    <w:rsid w:val="66717484"/>
    <w:rsid w:val="669A4710"/>
    <w:rsid w:val="66B27242"/>
    <w:rsid w:val="66B972FF"/>
    <w:rsid w:val="66F62F65"/>
    <w:rsid w:val="671A40F9"/>
    <w:rsid w:val="671D0CB1"/>
    <w:rsid w:val="67204193"/>
    <w:rsid w:val="67377E27"/>
    <w:rsid w:val="673C7CA8"/>
    <w:rsid w:val="67436696"/>
    <w:rsid w:val="67456D79"/>
    <w:rsid w:val="67492A53"/>
    <w:rsid w:val="679B2806"/>
    <w:rsid w:val="683948AD"/>
    <w:rsid w:val="685427BA"/>
    <w:rsid w:val="68C47CB8"/>
    <w:rsid w:val="68E52595"/>
    <w:rsid w:val="68F02513"/>
    <w:rsid w:val="68FB0812"/>
    <w:rsid w:val="697C79C1"/>
    <w:rsid w:val="698E1729"/>
    <w:rsid w:val="69B0599A"/>
    <w:rsid w:val="6A120191"/>
    <w:rsid w:val="6A1E7BCA"/>
    <w:rsid w:val="6A2E0E5B"/>
    <w:rsid w:val="6A355C33"/>
    <w:rsid w:val="6A3802AD"/>
    <w:rsid w:val="6AAD768D"/>
    <w:rsid w:val="6AD36B5A"/>
    <w:rsid w:val="6ADA28CE"/>
    <w:rsid w:val="6AF3718C"/>
    <w:rsid w:val="6B02433A"/>
    <w:rsid w:val="6B0A2093"/>
    <w:rsid w:val="6B1204A8"/>
    <w:rsid w:val="6B152CD2"/>
    <w:rsid w:val="6B295339"/>
    <w:rsid w:val="6B34474A"/>
    <w:rsid w:val="6B5C6196"/>
    <w:rsid w:val="6B9A5242"/>
    <w:rsid w:val="6BA65738"/>
    <w:rsid w:val="6BFE62B7"/>
    <w:rsid w:val="6C210B77"/>
    <w:rsid w:val="6C3C550E"/>
    <w:rsid w:val="6C6945F1"/>
    <w:rsid w:val="6C75253F"/>
    <w:rsid w:val="6C76084C"/>
    <w:rsid w:val="6CD22F7E"/>
    <w:rsid w:val="6CF1659A"/>
    <w:rsid w:val="6D485105"/>
    <w:rsid w:val="6D85714F"/>
    <w:rsid w:val="6DB02AF0"/>
    <w:rsid w:val="6DED1766"/>
    <w:rsid w:val="6DEF2B06"/>
    <w:rsid w:val="6DF46045"/>
    <w:rsid w:val="6E0F357D"/>
    <w:rsid w:val="6E5F5FF7"/>
    <w:rsid w:val="6E6606E4"/>
    <w:rsid w:val="6E6D065C"/>
    <w:rsid w:val="6E883736"/>
    <w:rsid w:val="6EC46137"/>
    <w:rsid w:val="6F1473A9"/>
    <w:rsid w:val="6F3661D2"/>
    <w:rsid w:val="6F4657D7"/>
    <w:rsid w:val="6F4C0E5E"/>
    <w:rsid w:val="6F4C4447"/>
    <w:rsid w:val="6F7750F0"/>
    <w:rsid w:val="6FAD528A"/>
    <w:rsid w:val="6FBD6ECB"/>
    <w:rsid w:val="6FCA1077"/>
    <w:rsid w:val="6FF173EA"/>
    <w:rsid w:val="6FF22FB7"/>
    <w:rsid w:val="705C02A8"/>
    <w:rsid w:val="705F7BC1"/>
    <w:rsid w:val="7149776C"/>
    <w:rsid w:val="717A589F"/>
    <w:rsid w:val="71B74803"/>
    <w:rsid w:val="71D344DF"/>
    <w:rsid w:val="71EA2681"/>
    <w:rsid w:val="72565E22"/>
    <w:rsid w:val="72605C7C"/>
    <w:rsid w:val="72773DA9"/>
    <w:rsid w:val="72DA1F17"/>
    <w:rsid w:val="730C4B46"/>
    <w:rsid w:val="731821F0"/>
    <w:rsid w:val="739A7608"/>
    <w:rsid w:val="73A60546"/>
    <w:rsid w:val="73C21E59"/>
    <w:rsid w:val="73E75B0C"/>
    <w:rsid w:val="73EE1EF1"/>
    <w:rsid w:val="73F02BC4"/>
    <w:rsid w:val="746E6A90"/>
    <w:rsid w:val="74863E77"/>
    <w:rsid w:val="74C0081A"/>
    <w:rsid w:val="751500ED"/>
    <w:rsid w:val="7519058A"/>
    <w:rsid w:val="75243706"/>
    <w:rsid w:val="75291C1C"/>
    <w:rsid w:val="752D32CB"/>
    <w:rsid w:val="756C780D"/>
    <w:rsid w:val="757C704B"/>
    <w:rsid w:val="75901B4C"/>
    <w:rsid w:val="75AC0ADB"/>
    <w:rsid w:val="75C0317E"/>
    <w:rsid w:val="76083C1D"/>
    <w:rsid w:val="76866775"/>
    <w:rsid w:val="768C5B5D"/>
    <w:rsid w:val="769E7DAB"/>
    <w:rsid w:val="76AE283F"/>
    <w:rsid w:val="76B42471"/>
    <w:rsid w:val="76DA2CF4"/>
    <w:rsid w:val="76DC22F4"/>
    <w:rsid w:val="770472F5"/>
    <w:rsid w:val="775C0AB5"/>
    <w:rsid w:val="7797212E"/>
    <w:rsid w:val="77AE407D"/>
    <w:rsid w:val="785173F2"/>
    <w:rsid w:val="785D2EF0"/>
    <w:rsid w:val="78913A5E"/>
    <w:rsid w:val="78E40A8A"/>
    <w:rsid w:val="790A76C0"/>
    <w:rsid w:val="791D4BC5"/>
    <w:rsid w:val="792A2563"/>
    <w:rsid w:val="79352EE7"/>
    <w:rsid w:val="79787732"/>
    <w:rsid w:val="797D0282"/>
    <w:rsid w:val="79866985"/>
    <w:rsid w:val="798D7B3C"/>
    <w:rsid w:val="79950701"/>
    <w:rsid w:val="7A2A74A2"/>
    <w:rsid w:val="7A4F73D6"/>
    <w:rsid w:val="7AA2699A"/>
    <w:rsid w:val="7B140310"/>
    <w:rsid w:val="7B5E1D50"/>
    <w:rsid w:val="7B636AFA"/>
    <w:rsid w:val="7B7760C9"/>
    <w:rsid w:val="7B8414B2"/>
    <w:rsid w:val="7C376D58"/>
    <w:rsid w:val="7C4B1C8A"/>
    <w:rsid w:val="7C6F730C"/>
    <w:rsid w:val="7C9020F0"/>
    <w:rsid w:val="7CCB17EF"/>
    <w:rsid w:val="7CD82E9A"/>
    <w:rsid w:val="7CFE1F0F"/>
    <w:rsid w:val="7D00550F"/>
    <w:rsid w:val="7D344D95"/>
    <w:rsid w:val="7D450117"/>
    <w:rsid w:val="7D485DF1"/>
    <w:rsid w:val="7D5052A6"/>
    <w:rsid w:val="7D9E0F23"/>
    <w:rsid w:val="7DA169B6"/>
    <w:rsid w:val="7E2824B1"/>
    <w:rsid w:val="7E4F670F"/>
    <w:rsid w:val="7E71281E"/>
    <w:rsid w:val="7E765088"/>
    <w:rsid w:val="7E795837"/>
    <w:rsid w:val="7E846B6E"/>
    <w:rsid w:val="7E923D2B"/>
    <w:rsid w:val="7EA64304"/>
    <w:rsid w:val="7ECE74C9"/>
    <w:rsid w:val="7ED747C2"/>
    <w:rsid w:val="7EE221B9"/>
    <w:rsid w:val="7F1C3CE3"/>
    <w:rsid w:val="7F383916"/>
    <w:rsid w:val="7F836F34"/>
    <w:rsid w:val="7FB57991"/>
    <w:rsid w:val="7FC46688"/>
    <w:rsid w:val="7FC65CAF"/>
    <w:rsid w:val="B5B73D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qFormat="1" w:unhideWhenUsed="0" w:uiPriority="99" w:semiHidden="0" w:name="List Number"/>
    <w:lsdException w:uiPriority="99" w:name="List 2" w:locked="1"/>
    <w:lsdException w:uiPriority="99" w:name="List 3" w:locked="1"/>
    <w:lsdException w:uiPriority="99" w:name="List 4" w:locked="1"/>
    <w:lsdException w:qFormat="1" w:unhideWhenUsed="0" w:uiPriority="99" w:semiHidden="0" w:name="List 5"/>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qFormat="1" w:unhideWhenUsed="0" w:uiPriority="99" w:semiHidden="0" w:name="List Number 3"/>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ocked="1"/>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lang w:val="en-US" w:eastAsia="zh-CN" w:bidi="ar-SA"/>
    </w:rPr>
  </w:style>
  <w:style w:type="paragraph" w:styleId="4">
    <w:name w:val="heading 1"/>
    <w:basedOn w:val="1"/>
    <w:next w:val="1"/>
    <w:link w:val="55"/>
    <w:qFormat/>
    <w:uiPriority w:val="99"/>
    <w:pPr>
      <w:keepNext/>
      <w:keepLines/>
      <w:adjustRightInd w:val="0"/>
      <w:spacing w:before="340" w:after="330" w:line="360" w:lineRule="auto"/>
      <w:jc w:val="center"/>
      <w:outlineLvl w:val="0"/>
    </w:pPr>
    <w:rPr>
      <w:rFonts w:eastAsia="黑体"/>
      <w:b/>
      <w:kern w:val="44"/>
      <w:sz w:val="36"/>
    </w:rPr>
  </w:style>
  <w:style w:type="paragraph" w:styleId="5">
    <w:name w:val="heading 2"/>
    <w:basedOn w:val="1"/>
    <w:next w:val="1"/>
    <w:link w:val="56"/>
    <w:qFormat/>
    <w:uiPriority w:val="99"/>
    <w:pPr>
      <w:keepNext/>
      <w:keepLines/>
      <w:spacing w:before="260" w:after="260" w:line="413" w:lineRule="auto"/>
      <w:outlineLvl w:val="1"/>
    </w:pPr>
    <w:rPr>
      <w:rFonts w:ascii="Arial" w:hAnsi="Arial" w:eastAsia="黑体"/>
      <w:b/>
      <w:kern w:val="44"/>
      <w:sz w:val="28"/>
    </w:rPr>
  </w:style>
  <w:style w:type="paragraph" w:styleId="6">
    <w:name w:val="heading 3"/>
    <w:basedOn w:val="1"/>
    <w:next w:val="1"/>
    <w:link w:val="57"/>
    <w:qFormat/>
    <w:uiPriority w:val="99"/>
    <w:pPr>
      <w:keepNext/>
      <w:tabs>
        <w:tab w:val="left" w:pos="1275"/>
      </w:tabs>
      <w:spacing w:line="216" w:lineRule="auto"/>
      <w:ind w:left="1275" w:hanging="720"/>
      <w:outlineLvl w:val="2"/>
    </w:pPr>
    <w:rPr>
      <w:rFonts w:ascii="宋体"/>
      <w:b/>
      <w:kern w:val="2"/>
      <w:sz w:val="28"/>
    </w:rPr>
  </w:style>
  <w:style w:type="paragraph" w:styleId="7">
    <w:name w:val="heading 4"/>
    <w:basedOn w:val="1"/>
    <w:next w:val="8"/>
    <w:link w:val="58"/>
    <w:qFormat/>
    <w:uiPriority w:val="99"/>
    <w:pPr>
      <w:keepNext/>
      <w:tabs>
        <w:tab w:val="left" w:pos="1035"/>
      </w:tabs>
      <w:spacing w:line="216" w:lineRule="auto"/>
      <w:ind w:left="1035" w:hanging="420"/>
      <w:outlineLvl w:val="3"/>
    </w:pPr>
    <w:rPr>
      <w:rFonts w:ascii="黑体" w:eastAsia="黑体"/>
      <w:b/>
      <w:kern w:val="2"/>
      <w:sz w:val="24"/>
    </w:rPr>
  </w:style>
  <w:style w:type="paragraph" w:styleId="9">
    <w:name w:val="heading 5"/>
    <w:basedOn w:val="1"/>
    <w:next w:val="1"/>
    <w:link w:val="59"/>
    <w:qFormat/>
    <w:uiPriority w:val="99"/>
    <w:pPr>
      <w:keepNext/>
      <w:keepLines/>
      <w:spacing w:before="280" w:after="290" w:line="376" w:lineRule="auto"/>
      <w:outlineLvl w:val="4"/>
    </w:pPr>
    <w:rPr>
      <w:b/>
      <w:bCs/>
      <w:sz w:val="28"/>
      <w:szCs w:val="28"/>
    </w:rPr>
  </w:style>
  <w:style w:type="paragraph" w:styleId="10">
    <w:name w:val="heading 6"/>
    <w:basedOn w:val="1"/>
    <w:next w:val="1"/>
    <w:link w:val="60"/>
    <w:qFormat/>
    <w:uiPriority w:val="99"/>
    <w:pPr>
      <w:keepNext/>
      <w:keepLines/>
      <w:spacing w:before="240" w:after="64" w:line="320" w:lineRule="auto"/>
      <w:outlineLvl w:val="5"/>
    </w:pPr>
    <w:rPr>
      <w:rFonts w:ascii="黑体" w:hAnsi="黑体" w:eastAsia="楷体"/>
      <w:b/>
      <w:kern w:val="2"/>
      <w:sz w:val="24"/>
    </w:rPr>
  </w:style>
  <w:style w:type="paragraph" w:styleId="11">
    <w:name w:val="heading 7"/>
    <w:basedOn w:val="1"/>
    <w:next w:val="8"/>
    <w:link w:val="61"/>
    <w:qFormat/>
    <w:uiPriority w:val="99"/>
    <w:pPr>
      <w:keepNext/>
      <w:keepLines/>
      <w:spacing w:before="240" w:after="64" w:line="320" w:lineRule="auto"/>
      <w:outlineLvl w:val="6"/>
    </w:pPr>
    <w:rPr>
      <w:rFonts w:ascii="Arial" w:hAnsi="Arial"/>
      <w:b/>
      <w:kern w:val="2"/>
      <w:sz w:val="24"/>
    </w:rPr>
  </w:style>
  <w:style w:type="paragraph" w:styleId="12">
    <w:name w:val="heading 8"/>
    <w:basedOn w:val="1"/>
    <w:next w:val="8"/>
    <w:link w:val="62"/>
    <w:qFormat/>
    <w:uiPriority w:val="99"/>
    <w:pPr>
      <w:keepNext/>
      <w:keepLines/>
      <w:spacing w:before="240" w:after="64" w:line="320" w:lineRule="auto"/>
      <w:outlineLvl w:val="7"/>
    </w:pPr>
    <w:rPr>
      <w:rFonts w:ascii="黑体" w:hAnsi="黑体" w:eastAsia="楷体"/>
      <w:kern w:val="2"/>
      <w:sz w:val="24"/>
    </w:rPr>
  </w:style>
  <w:style w:type="paragraph" w:styleId="13">
    <w:name w:val="heading 9"/>
    <w:basedOn w:val="1"/>
    <w:next w:val="8"/>
    <w:link w:val="63"/>
    <w:qFormat/>
    <w:uiPriority w:val="99"/>
    <w:pPr>
      <w:keepNext/>
      <w:keepLines/>
      <w:spacing w:before="240" w:after="64" w:line="320" w:lineRule="auto"/>
      <w:outlineLvl w:val="8"/>
    </w:pPr>
    <w:rPr>
      <w:rFonts w:ascii="黑体" w:hAnsi="黑体" w:eastAsia="楷体"/>
      <w:kern w:val="2"/>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76"/>
    <w:qFormat/>
    <w:uiPriority w:val="99"/>
    <w:pPr>
      <w:adjustRightInd/>
      <w:spacing w:after="120" w:line="240" w:lineRule="auto"/>
      <w:ind w:left="420" w:leftChars="200" w:firstLine="420" w:firstLineChars="200"/>
      <w:jc w:val="both"/>
    </w:pPr>
    <w:rPr>
      <w:rFonts w:hAnsi="Times New Roman"/>
      <w:kern w:val="2"/>
      <w:sz w:val="21"/>
      <w:szCs w:val="24"/>
    </w:rPr>
  </w:style>
  <w:style w:type="paragraph" w:styleId="3">
    <w:name w:val="Body Text Indent"/>
    <w:basedOn w:val="1"/>
    <w:next w:val="2"/>
    <w:link w:val="70"/>
    <w:qFormat/>
    <w:uiPriority w:val="99"/>
    <w:pPr>
      <w:adjustRightInd w:val="0"/>
      <w:spacing w:line="360" w:lineRule="auto"/>
      <w:ind w:firstLine="490"/>
      <w:jc w:val="left"/>
    </w:pPr>
    <w:rPr>
      <w:rFonts w:ascii="宋体" w:hAnsi="宋体"/>
      <w:sz w:val="24"/>
    </w:rPr>
  </w:style>
  <w:style w:type="paragraph" w:styleId="8">
    <w:name w:val="Normal Indent"/>
    <w:basedOn w:val="1"/>
    <w:next w:val="1"/>
    <w:link w:val="94"/>
    <w:qFormat/>
    <w:uiPriority w:val="99"/>
    <w:pPr>
      <w:ind w:firstLine="420"/>
    </w:pPr>
    <w:rPr>
      <w:kern w:val="2"/>
    </w:rPr>
  </w:style>
  <w:style w:type="paragraph" w:styleId="14">
    <w:name w:val="toc 7"/>
    <w:basedOn w:val="1"/>
    <w:next w:val="1"/>
    <w:qFormat/>
    <w:uiPriority w:val="99"/>
    <w:pPr>
      <w:ind w:left="1260"/>
      <w:jc w:val="left"/>
    </w:pPr>
    <w:rPr>
      <w:rFonts w:ascii="Arial" w:hAnsi="Arial" w:cs="Arial"/>
      <w:kern w:val="2"/>
      <w:sz w:val="18"/>
      <w:szCs w:val="18"/>
    </w:rPr>
  </w:style>
  <w:style w:type="paragraph" w:styleId="15">
    <w:name w:val="List Number"/>
    <w:basedOn w:val="1"/>
    <w:qFormat/>
    <w:uiPriority w:val="99"/>
    <w:pPr>
      <w:widowControl/>
      <w:tabs>
        <w:tab w:val="left" w:pos="420"/>
        <w:tab w:val="left" w:pos="454"/>
      </w:tabs>
      <w:spacing w:afterLines="50"/>
      <w:ind w:left="454" w:hanging="284"/>
      <w:jc w:val="left"/>
    </w:pPr>
    <w:rPr>
      <w:rFonts w:ascii="Arial" w:hAnsi="Arial" w:cs="Arial"/>
      <w:sz w:val="24"/>
    </w:rPr>
  </w:style>
  <w:style w:type="paragraph" w:styleId="16">
    <w:name w:val="caption"/>
    <w:basedOn w:val="1"/>
    <w:next w:val="1"/>
    <w:qFormat/>
    <w:uiPriority w:val="99"/>
    <w:rPr>
      <w:rFonts w:ascii="黑体" w:hAnsi="黑体" w:eastAsia="楷体" w:cs="黑体"/>
      <w:kern w:val="2"/>
      <w:sz w:val="20"/>
    </w:rPr>
  </w:style>
  <w:style w:type="paragraph" w:styleId="17">
    <w:name w:val="Document Map"/>
    <w:basedOn w:val="1"/>
    <w:link w:val="68"/>
    <w:qFormat/>
    <w:uiPriority w:val="99"/>
    <w:pPr>
      <w:shd w:val="clear" w:color="auto" w:fill="000080"/>
    </w:pPr>
  </w:style>
  <w:style w:type="paragraph" w:styleId="18">
    <w:name w:val="annotation text"/>
    <w:basedOn w:val="1"/>
    <w:link w:val="64"/>
    <w:qFormat/>
    <w:uiPriority w:val="99"/>
    <w:pPr>
      <w:jc w:val="left"/>
    </w:pPr>
    <w:rPr>
      <w:kern w:val="2"/>
    </w:rPr>
  </w:style>
  <w:style w:type="paragraph" w:styleId="19">
    <w:name w:val="Body Text 3"/>
    <w:basedOn w:val="1"/>
    <w:link w:val="69"/>
    <w:qFormat/>
    <w:uiPriority w:val="99"/>
    <w:pPr>
      <w:spacing w:after="120" w:line="480" w:lineRule="exact"/>
    </w:pPr>
    <w:rPr>
      <w:kern w:val="2"/>
      <w:sz w:val="16"/>
    </w:rPr>
  </w:style>
  <w:style w:type="paragraph" w:styleId="20">
    <w:name w:val="Body Text"/>
    <w:basedOn w:val="1"/>
    <w:next w:val="21"/>
    <w:link w:val="66"/>
    <w:qFormat/>
    <w:uiPriority w:val="99"/>
    <w:pPr>
      <w:spacing w:after="120"/>
    </w:pPr>
  </w:style>
  <w:style w:type="paragraph" w:styleId="21">
    <w:name w:val="Body Text First Indent"/>
    <w:basedOn w:val="20"/>
    <w:next w:val="22"/>
    <w:link w:val="67"/>
    <w:qFormat/>
    <w:uiPriority w:val="99"/>
    <w:pPr>
      <w:ind w:firstLine="420" w:firstLineChars="100"/>
    </w:pPr>
  </w:style>
  <w:style w:type="paragraph" w:styleId="22">
    <w:name w:val="toc 6"/>
    <w:basedOn w:val="1"/>
    <w:next w:val="1"/>
    <w:qFormat/>
    <w:uiPriority w:val="99"/>
    <w:pPr>
      <w:ind w:left="1050"/>
      <w:jc w:val="left"/>
    </w:pPr>
    <w:rPr>
      <w:rFonts w:ascii="Arial" w:hAnsi="Arial" w:cs="Arial"/>
      <w:kern w:val="2"/>
      <w:sz w:val="18"/>
      <w:szCs w:val="18"/>
    </w:rPr>
  </w:style>
  <w:style w:type="paragraph" w:styleId="23">
    <w:name w:val="List Number 3"/>
    <w:basedOn w:val="1"/>
    <w:qFormat/>
    <w:uiPriority w:val="99"/>
    <w:pPr>
      <w:widowControl/>
      <w:tabs>
        <w:tab w:val="left" w:pos="482"/>
        <w:tab w:val="left" w:pos="1157"/>
      </w:tabs>
      <w:spacing w:afterLines="50"/>
      <w:ind w:left="482" w:hanging="340"/>
      <w:jc w:val="left"/>
    </w:pPr>
    <w:rPr>
      <w:rFonts w:ascii="Arial" w:hAnsi="Arial" w:cs="Arial"/>
      <w:sz w:val="24"/>
    </w:rPr>
  </w:style>
  <w:style w:type="paragraph" w:styleId="24">
    <w:name w:val="Block Text"/>
    <w:basedOn w:val="1"/>
    <w:qFormat/>
    <w:uiPriority w:val="99"/>
    <w:pPr>
      <w:adjustRightInd w:val="0"/>
      <w:snapToGrid w:val="0"/>
      <w:spacing w:line="300" w:lineRule="auto"/>
      <w:ind w:left="958" w:right="-120" w:rightChars="-120"/>
      <w:jc w:val="left"/>
    </w:pPr>
    <w:rPr>
      <w:rFonts w:ascii="宋体" w:hAnsi="宋体"/>
      <w:kern w:val="2"/>
      <w:sz w:val="28"/>
    </w:rPr>
  </w:style>
  <w:style w:type="paragraph" w:styleId="25">
    <w:name w:val="toc 5"/>
    <w:basedOn w:val="1"/>
    <w:next w:val="1"/>
    <w:qFormat/>
    <w:uiPriority w:val="99"/>
    <w:pPr>
      <w:ind w:left="840"/>
      <w:jc w:val="left"/>
    </w:pPr>
    <w:rPr>
      <w:rFonts w:ascii="Arial" w:hAnsi="Arial" w:cs="Arial"/>
      <w:kern w:val="2"/>
      <w:sz w:val="18"/>
      <w:szCs w:val="18"/>
    </w:rPr>
  </w:style>
  <w:style w:type="paragraph" w:styleId="26">
    <w:name w:val="toc 3"/>
    <w:basedOn w:val="1"/>
    <w:next w:val="1"/>
    <w:semiHidden/>
    <w:qFormat/>
    <w:uiPriority w:val="99"/>
    <w:pPr>
      <w:ind w:left="840" w:leftChars="400"/>
    </w:pPr>
  </w:style>
  <w:style w:type="paragraph" w:styleId="27">
    <w:name w:val="Plain Text"/>
    <w:basedOn w:val="1"/>
    <w:next w:val="28"/>
    <w:link w:val="71"/>
    <w:qFormat/>
    <w:uiPriority w:val="99"/>
    <w:rPr>
      <w:rFonts w:ascii="宋体" w:hAnsi="Courier New"/>
      <w:sz w:val="18"/>
    </w:rPr>
  </w:style>
  <w:style w:type="paragraph" w:styleId="28">
    <w:name w:val="Date"/>
    <w:basedOn w:val="1"/>
    <w:next w:val="1"/>
    <w:link w:val="72"/>
    <w:qFormat/>
    <w:uiPriority w:val="99"/>
    <w:pPr>
      <w:ind w:left="2500" w:leftChars="2500"/>
    </w:pPr>
    <w:rPr>
      <w:rFonts w:ascii="宋体" w:hAnsi="宋体"/>
      <w:kern w:val="2"/>
      <w:sz w:val="24"/>
    </w:rPr>
  </w:style>
  <w:style w:type="paragraph" w:styleId="29">
    <w:name w:val="toc 8"/>
    <w:basedOn w:val="1"/>
    <w:next w:val="1"/>
    <w:qFormat/>
    <w:uiPriority w:val="99"/>
    <w:pPr>
      <w:ind w:left="1470"/>
      <w:jc w:val="left"/>
    </w:pPr>
    <w:rPr>
      <w:rFonts w:ascii="Arial" w:hAnsi="Arial" w:cs="Arial"/>
      <w:kern w:val="2"/>
      <w:sz w:val="18"/>
      <w:szCs w:val="18"/>
    </w:rPr>
  </w:style>
  <w:style w:type="paragraph" w:styleId="30">
    <w:name w:val="Body Text Indent 2"/>
    <w:basedOn w:val="1"/>
    <w:link w:val="73"/>
    <w:qFormat/>
    <w:uiPriority w:val="99"/>
    <w:pPr>
      <w:spacing w:after="120" w:line="480" w:lineRule="auto"/>
      <w:ind w:left="420" w:leftChars="200"/>
    </w:pPr>
    <w:rPr>
      <w:kern w:val="2"/>
    </w:rPr>
  </w:style>
  <w:style w:type="paragraph" w:styleId="31">
    <w:name w:val="Balloon Text"/>
    <w:basedOn w:val="1"/>
    <w:link w:val="74"/>
    <w:qFormat/>
    <w:uiPriority w:val="99"/>
    <w:rPr>
      <w:sz w:val="18"/>
    </w:rPr>
  </w:style>
  <w:style w:type="paragraph" w:styleId="32">
    <w:name w:val="footer"/>
    <w:basedOn w:val="1"/>
    <w:link w:val="75"/>
    <w:qFormat/>
    <w:uiPriority w:val="99"/>
    <w:pPr>
      <w:tabs>
        <w:tab w:val="center" w:pos="4153"/>
        <w:tab w:val="right" w:pos="8306"/>
      </w:tabs>
      <w:snapToGrid w:val="0"/>
      <w:jc w:val="left"/>
    </w:pPr>
    <w:rPr>
      <w:sz w:val="18"/>
    </w:rPr>
  </w:style>
  <w:style w:type="paragraph" w:styleId="33">
    <w:name w:val="header"/>
    <w:basedOn w:val="1"/>
    <w:link w:val="77"/>
    <w:qFormat/>
    <w:uiPriority w:val="99"/>
    <w:pPr>
      <w:pBdr>
        <w:bottom w:val="single" w:color="auto" w:sz="6" w:space="1"/>
      </w:pBdr>
      <w:tabs>
        <w:tab w:val="center" w:pos="4153"/>
        <w:tab w:val="right" w:pos="8306"/>
      </w:tabs>
      <w:snapToGrid w:val="0"/>
      <w:jc w:val="center"/>
    </w:pPr>
    <w:rPr>
      <w:sz w:val="18"/>
    </w:rPr>
  </w:style>
  <w:style w:type="paragraph" w:styleId="34">
    <w:name w:val="toc 1"/>
    <w:basedOn w:val="1"/>
    <w:next w:val="1"/>
    <w:qFormat/>
    <w:uiPriority w:val="99"/>
    <w:pPr>
      <w:spacing w:before="120" w:after="120" w:line="360" w:lineRule="atLeast"/>
      <w:ind w:firstLine="100" w:firstLineChars="50"/>
      <w:jc w:val="center"/>
    </w:pPr>
    <w:rPr>
      <w:rFonts w:ascii="宋体" w:hAnsi="宋体"/>
      <w:caps/>
      <w:sz w:val="20"/>
    </w:rPr>
  </w:style>
  <w:style w:type="paragraph" w:styleId="35">
    <w:name w:val="toc 4"/>
    <w:basedOn w:val="1"/>
    <w:next w:val="1"/>
    <w:qFormat/>
    <w:uiPriority w:val="99"/>
    <w:pPr>
      <w:ind w:left="630"/>
      <w:jc w:val="left"/>
    </w:pPr>
    <w:rPr>
      <w:rFonts w:ascii="Arial" w:hAnsi="Arial" w:cs="Arial"/>
      <w:kern w:val="2"/>
      <w:sz w:val="18"/>
      <w:szCs w:val="18"/>
    </w:rPr>
  </w:style>
  <w:style w:type="paragraph" w:styleId="36">
    <w:name w:val="Subtitle"/>
    <w:basedOn w:val="1"/>
    <w:next w:val="1"/>
    <w:link w:val="78"/>
    <w:qFormat/>
    <w:uiPriority w:val="99"/>
    <w:pPr>
      <w:spacing w:before="240" w:after="60" w:line="312" w:lineRule="auto"/>
      <w:jc w:val="center"/>
      <w:outlineLvl w:val="1"/>
    </w:pPr>
    <w:rPr>
      <w:rFonts w:ascii="Cambria" w:hAnsi="Cambria"/>
      <w:b/>
      <w:bCs/>
      <w:kern w:val="28"/>
      <w:sz w:val="32"/>
      <w:szCs w:val="32"/>
    </w:rPr>
  </w:style>
  <w:style w:type="paragraph" w:styleId="37">
    <w:name w:val="List 5"/>
    <w:basedOn w:val="1"/>
    <w:qFormat/>
    <w:uiPriority w:val="99"/>
    <w:pPr>
      <w:ind w:left="100" w:leftChars="800" w:hanging="200" w:hangingChars="200"/>
    </w:pPr>
    <w:rPr>
      <w:rFonts w:ascii="Arial" w:hAnsi="Arial" w:cs="Arial"/>
      <w:kern w:val="2"/>
    </w:rPr>
  </w:style>
  <w:style w:type="paragraph" w:styleId="38">
    <w:name w:val="Body Text Indent 3"/>
    <w:basedOn w:val="1"/>
    <w:link w:val="79"/>
    <w:qFormat/>
    <w:uiPriority w:val="99"/>
    <w:pPr>
      <w:spacing w:after="120"/>
      <w:ind w:left="420" w:leftChars="200"/>
    </w:pPr>
    <w:rPr>
      <w:sz w:val="16"/>
    </w:rPr>
  </w:style>
  <w:style w:type="paragraph" w:styleId="39">
    <w:name w:val="toc 2"/>
    <w:basedOn w:val="1"/>
    <w:next w:val="1"/>
    <w:qFormat/>
    <w:uiPriority w:val="99"/>
    <w:pPr>
      <w:ind w:left="420" w:leftChars="200"/>
    </w:pPr>
  </w:style>
  <w:style w:type="paragraph" w:styleId="40">
    <w:name w:val="toc 9"/>
    <w:basedOn w:val="1"/>
    <w:next w:val="1"/>
    <w:qFormat/>
    <w:uiPriority w:val="99"/>
    <w:pPr>
      <w:ind w:left="1680"/>
      <w:jc w:val="left"/>
    </w:pPr>
    <w:rPr>
      <w:rFonts w:ascii="Arial" w:hAnsi="Arial" w:cs="Arial"/>
      <w:kern w:val="2"/>
      <w:sz w:val="18"/>
      <w:szCs w:val="18"/>
    </w:rPr>
  </w:style>
  <w:style w:type="paragraph" w:styleId="41">
    <w:name w:val="Body Text 2"/>
    <w:basedOn w:val="1"/>
    <w:link w:val="80"/>
    <w:qFormat/>
    <w:uiPriority w:val="99"/>
    <w:pPr>
      <w:spacing w:line="120" w:lineRule="atLeast"/>
    </w:pPr>
    <w:rPr>
      <w:kern w:val="2"/>
      <w:sz w:val="24"/>
    </w:rPr>
  </w:style>
  <w:style w:type="paragraph" w:styleId="42">
    <w:name w:val="Normal (Web)"/>
    <w:basedOn w:val="1"/>
    <w:qFormat/>
    <w:uiPriority w:val="99"/>
    <w:pPr>
      <w:widowControl/>
      <w:spacing w:before="100" w:beforeAutospacing="1" w:after="100" w:afterAutospacing="1"/>
      <w:jc w:val="left"/>
    </w:pPr>
    <w:rPr>
      <w:rFonts w:ascii="宋体" w:hAnsi="宋体"/>
      <w:sz w:val="24"/>
    </w:rPr>
  </w:style>
  <w:style w:type="paragraph" w:styleId="43">
    <w:name w:val="Title"/>
    <w:basedOn w:val="1"/>
    <w:link w:val="81"/>
    <w:qFormat/>
    <w:uiPriority w:val="99"/>
    <w:pPr>
      <w:tabs>
        <w:tab w:val="left" w:pos="1200"/>
      </w:tabs>
      <w:spacing w:afterLines="200"/>
      <w:ind w:left="1440" w:hanging="720"/>
      <w:jc w:val="center"/>
    </w:pPr>
    <w:rPr>
      <w:rFonts w:ascii="Arial" w:hAnsi="Arial"/>
      <w:b/>
      <w:bCs/>
      <w:spacing w:val="60"/>
      <w:kern w:val="2"/>
      <w:sz w:val="32"/>
      <w:szCs w:val="24"/>
    </w:rPr>
  </w:style>
  <w:style w:type="paragraph" w:styleId="44">
    <w:name w:val="annotation subject"/>
    <w:basedOn w:val="18"/>
    <w:next w:val="18"/>
    <w:link w:val="65"/>
    <w:qFormat/>
    <w:uiPriority w:val="99"/>
    <w:rPr>
      <w:b/>
      <w:bCs/>
    </w:rPr>
  </w:style>
  <w:style w:type="table" w:styleId="46">
    <w:name w:val="Table Grid"/>
    <w:basedOn w:val="4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99"/>
    <w:rPr>
      <w:rFonts w:cs="Times New Roman"/>
      <w:b/>
    </w:rPr>
  </w:style>
  <w:style w:type="character" w:styleId="49">
    <w:name w:val="page number"/>
    <w:basedOn w:val="47"/>
    <w:qFormat/>
    <w:uiPriority w:val="99"/>
    <w:rPr>
      <w:rFonts w:cs="Times New Roman"/>
    </w:rPr>
  </w:style>
  <w:style w:type="character" w:styleId="50">
    <w:name w:val="FollowedHyperlink"/>
    <w:basedOn w:val="47"/>
    <w:qFormat/>
    <w:uiPriority w:val="99"/>
    <w:rPr>
      <w:rFonts w:eastAsia="仿宋_GB2312" w:cs="Times New Roman"/>
      <w:color w:val="800080"/>
      <w:sz w:val="28"/>
      <w:u w:val="single"/>
    </w:rPr>
  </w:style>
  <w:style w:type="character" w:styleId="51">
    <w:name w:val="Hyperlink"/>
    <w:basedOn w:val="47"/>
    <w:qFormat/>
    <w:uiPriority w:val="99"/>
    <w:rPr>
      <w:rFonts w:cs="Times New Roman"/>
      <w:color w:val="0000FF"/>
      <w:u w:val="single"/>
    </w:rPr>
  </w:style>
  <w:style w:type="character" w:styleId="52">
    <w:name w:val="annotation reference"/>
    <w:basedOn w:val="47"/>
    <w:qFormat/>
    <w:uiPriority w:val="99"/>
    <w:rPr>
      <w:rFonts w:cs="Times New Roman"/>
      <w:sz w:val="21"/>
    </w:rPr>
  </w:style>
  <w:style w:type="paragraph" w:customStyle="1" w:styleId="53">
    <w:name w:val="Default"/>
    <w:next w:val="54"/>
    <w:qFormat/>
    <w:uiPriority w:val="99"/>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54">
    <w:name w:val="toc 71"/>
    <w:next w:val="1"/>
    <w:qFormat/>
    <w:uiPriority w:val="0"/>
    <w:pPr>
      <w:wordWrap w:val="0"/>
      <w:ind w:left="2550"/>
      <w:jc w:val="both"/>
    </w:pPr>
    <w:rPr>
      <w:rFonts w:ascii="Calibri" w:hAnsi="Calibri" w:eastAsia="宋体" w:cs="Times New Roman"/>
      <w:sz w:val="21"/>
      <w:szCs w:val="22"/>
      <w:lang w:val="en-US" w:eastAsia="zh-CN" w:bidi="ar-SA"/>
    </w:rPr>
  </w:style>
  <w:style w:type="character" w:customStyle="1" w:styleId="55">
    <w:name w:val="标题 1 字符"/>
    <w:basedOn w:val="47"/>
    <w:link w:val="4"/>
    <w:qFormat/>
    <w:locked/>
    <w:uiPriority w:val="99"/>
    <w:rPr>
      <w:rFonts w:eastAsia="黑体" w:cs="Times New Roman"/>
      <w:b/>
      <w:kern w:val="44"/>
      <w:sz w:val="36"/>
    </w:rPr>
  </w:style>
  <w:style w:type="character" w:customStyle="1" w:styleId="56">
    <w:name w:val="标题 2 字符"/>
    <w:basedOn w:val="47"/>
    <w:link w:val="5"/>
    <w:qFormat/>
    <w:locked/>
    <w:uiPriority w:val="99"/>
    <w:rPr>
      <w:rFonts w:ascii="Arial" w:hAnsi="Arial" w:eastAsia="黑体" w:cs="Times New Roman"/>
      <w:b/>
      <w:snapToGrid w:val="0"/>
      <w:kern w:val="44"/>
      <w:sz w:val="28"/>
    </w:rPr>
  </w:style>
  <w:style w:type="character" w:customStyle="1" w:styleId="57">
    <w:name w:val="标题 3 字符"/>
    <w:basedOn w:val="47"/>
    <w:link w:val="6"/>
    <w:qFormat/>
    <w:locked/>
    <w:uiPriority w:val="99"/>
    <w:rPr>
      <w:rFonts w:ascii="宋体" w:cs="Times New Roman"/>
      <w:b/>
      <w:kern w:val="2"/>
      <w:sz w:val="28"/>
    </w:rPr>
  </w:style>
  <w:style w:type="character" w:customStyle="1" w:styleId="58">
    <w:name w:val="标题 4 字符"/>
    <w:basedOn w:val="47"/>
    <w:link w:val="7"/>
    <w:qFormat/>
    <w:locked/>
    <w:uiPriority w:val="99"/>
    <w:rPr>
      <w:rFonts w:ascii="黑体" w:eastAsia="黑体" w:cs="Times New Roman"/>
      <w:b/>
      <w:kern w:val="2"/>
      <w:sz w:val="24"/>
    </w:rPr>
  </w:style>
  <w:style w:type="character" w:customStyle="1" w:styleId="59">
    <w:name w:val="标题 5 字符"/>
    <w:basedOn w:val="47"/>
    <w:link w:val="9"/>
    <w:qFormat/>
    <w:locked/>
    <w:uiPriority w:val="99"/>
    <w:rPr>
      <w:rFonts w:cs="Times New Roman"/>
      <w:b/>
      <w:snapToGrid w:val="0"/>
      <w:sz w:val="28"/>
    </w:rPr>
  </w:style>
  <w:style w:type="character" w:customStyle="1" w:styleId="60">
    <w:name w:val="标题 6 字符"/>
    <w:basedOn w:val="47"/>
    <w:link w:val="10"/>
    <w:qFormat/>
    <w:locked/>
    <w:uiPriority w:val="99"/>
    <w:rPr>
      <w:rFonts w:ascii="黑体" w:hAnsi="黑体" w:eastAsia="楷体" w:cs="Times New Roman"/>
      <w:b/>
      <w:kern w:val="2"/>
      <w:sz w:val="24"/>
    </w:rPr>
  </w:style>
  <w:style w:type="character" w:customStyle="1" w:styleId="61">
    <w:name w:val="标题 7 字符"/>
    <w:basedOn w:val="47"/>
    <w:link w:val="11"/>
    <w:qFormat/>
    <w:locked/>
    <w:uiPriority w:val="99"/>
    <w:rPr>
      <w:rFonts w:ascii="Arial" w:hAnsi="Arial" w:cs="Times New Roman"/>
      <w:b/>
      <w:kern w:val="2"/>
      <w:sz w:val="24"/>
    </w:rPr>
  </w:style>
  <w:style w:type="character" w:customStyle="1" w:styleId="62">
    <w:name w:val="标题 8 字符"/>
    <w:basedOn w:val="47"/>
    <w:link w:val="12"/>
    <w:qFormat/>
    <w:locked/>
    <w:uiPriority w:val="99"/>
    <w:rPr>
      <w:rFonts w:ascii="黑体" w:hAnsi="黑体" w:eastAsia="楷体" w:cs="Times New Roman"/>
      <w:kern w:val="2"/>
      <w:sz w:val="24"/>
    </w:rPr>
  </w:style>
  <w:style w:type="character" w:customStyle="1" w:styleId="63">
    <w:name w:val="标题 9 字符"/>
    <w:basedOn w:val="47"/>
    <w:link w:val="13"/>
    <w:qFormat/>
    <w:locked/>
    <w:uiPriority w:val="99"/>
    <w:rPr>
      <w:rFonts w:ascii="黑体" w:hAnsi="黑体" w:eastAsia="楷体" w:cs="Times New Roman"/>
      <w:kern w:val="2"/>
      <w:sz w:val="21"/>
    </w:rPr>
  </w:style>
  <w:style w:type="character" w:customStyle="1" w:styleId="64">
    <w:name w:val="批注文字 字符"/>
    <w:basedOn w:val="47"/>
    <w:link w:val="18"/>
    <w:qFormat/>
    <w:locked/>
    <w:uiPriority w:val="99"/>
    <w:rPr>
      <w:rFonts w:cs="Times New Roman"/>
      <w:kern w:val="2"/>
      <w:sz w:val="21"/>
    </w:rPr>
  </w:style>
  <w:style w:type="character" w:customStyle="1" w:styleId="65">
    <w:name w:val="批注主题 字符"/>
    <w:basedOn w:val="64"/>
    <w:link w:val="44"/>
    <w:qFormat/>
    <w:locked/>
    <w:uiPriority w:val="99"/>
    <w:rPr>
      <w:rFonts w:cs="Times New Roman"/>
      <w:b/>
      <w:kern w:val="2"/>
      <w:sz w:val="21"/>
    </w:rPr>
  </w:style>
  <w:style w:type="character" w:customStyle="1" w:styleId="66">
    <w:name w:val="正文文本 字符"/>
    <w:basedOn w:val="47"/>
    <w:link w:val="20"/>
    <w:qFormat/>
    <w:locked/>
    <w:uiPriority w:val="99"/>
    <w:rPr>
      <w:rFonts w:cs="Times New Roman"/>
      <w:snapToGrid w:val="0"/>
      <w:sz w:val="21"/>
    </w:rPr>
  </w:style>
  <w:style w:type="character" w:customStyle="1" w:styleId="67">
    <w:name w:val="正文文本首行缩进 字符"/>
    <w:basedOn w:val="66"/>
    <w:link w:val="21"/>
    <w:qFormat/>
    <w:locked/>
    <w:uiPriority w:val="99"/>
    <w:rPr>
      <w:rFonts w:cs="Times New Roman"/>
      <w:snapToGrid w:val="0"/>
      <w:sz w:val="21"/>
    </w:rPr>
  </w:style>
  <w:style w:type="character" w:customStyle="1" w:styleId="68">
    <w:name w:val="文档结构图 字符"/>
    <w:basedOn w:val="47"/>
    <w:link w:val="17"/>
    <w:qFormat/>
    <w:locked/>
    <w:uiPriority w:val="99"/>
    <w:rPr>
      <w:rFonts w:cs="Times New Roman"/>
      <w:snapToGrid w:val="0"/>
      <w:sz w:val="21"/>
      <w:shd w:val="clear" w:color="auto" w:fill="000080"/>
    </w:rPr>
  </w:style>
  <w:style w:type="character" w:customStyle="1" w:styleId="69">
    <w:name w:val="正文文本 3 字符"/>
    <w:basedOn w:val="47"/>
    <w:link w:val="19"/>
    <w:semiHidden/>
    <w:qFormat/>
    <w:locked/>
    <w:uiPriority w:val="99"/>
    <w:rPr>
      <w:rFonts w:cs="Times New Roman"/>
      <w:kern w:val="0"/>
      <w:sz w:val="16"/>
      <w:szCs w:val="16"/>
    </w:rPr>
  </w:style>
  <w:style w:type="character" w:customStyle="1" w:styleId="70">
    <w:name w:val="正文文本缩进 字符"/>
    <w:basedOn w:val="47"/>
    <w:link w:val="3"/>
    <w:qFormat/>
    <w:locked/>
    <w:uiPriority w:val="99"/>
    <w:rPr>
      <w:rFonts w:ascii="宋体" w:eastAsia="宋体" w:cs="Times New Roman"/>
      <w:snapToGrid w:val="0"/>
      <w:sz w:val="24"/>
    </w:rPr>
  </w:style>
  <w:style w:type="character" w:customStyle="1" w:styleId="71">
    <w:name w:val="纯文本 字符"/>
    <w:basedOn w:val="47"/>
    <w:link w:val="27"/>
    <w:qFormat/>
    <w:locked/>
    <w:uiPriority w:val="99"/>
    <w:rPr>
      <w:rFonts w:ascii="宋体" w:hAnsi="Courier New" w:cs="Times New Roman"/>
      <w:sz w:val="18"/>
    </w:rPr>
  </w:style>
  <w:style w:type="character" w:customStyle="1" w:styleId="72">
    <w:name w:val="日期 字符"/>
    <w:basedOn w:val="47"/>
    <w:link w:val="28"/>
    <w:qFormat/>
    <w:locked/>
    <w:uiPriority w:val="99"/>
    <w:rPr>
      <w:rFonts w:ascii="宋体" w:eastAsia="宋体" w:cs="Times New Roman"/>
      <w:kern w:val="2"/>
      <w:sz w:val="24"/>
    </w:rPr>
  </w:style>
  <w:style w:type="character" w:customStyle="1" w:styleId="73">
    <w:name w:val="正文文本缩进 2 字符"/>
    <w:basedOn w:val="47"/>
    <w:link w:val="30"/>
    <w:qFormat/>
    <w:locked/>
    <w:uiPriority w:val="99"/>
    <w:rPr>
      <w:rFonts w:cs="Times New Roman"/>
      <w:kern w:val="2"/>
      <w:sz w:val="21"/>
    </w:rPr>
  </w:style>
  <w:style w:type="character" w:customStyle="1" w:styleId="74">
    <w:name w:val="批注框文本 字符"/>
    <w:basedOn w:val="47"/>
    <w:link w:val="31"/>
    <w:qFormat/>
    <w:locked/>
    <w:uiPriority w:val="99"/>
    <w:rPr>
      <w:rFonts w:cs="Times New Roman"/>
      <w:snapToGrid w:val="0"/>
      <w:sz w:val="18"/>
    </w:rPr>
  </w:style>
  <w:style w:type="character" w:customStyle="1" w:styleId="75">
    <w:name w:val="页脚 字符"/>
    <w:basedOn w:val="47"/>
    <w:link w:val="32"/>
    <w:qFormat/>
    <w:locked/>
    <w:uiPriority w:val="99"/>
    <w:rPr>
      <w:rFonts w:eastAsia="宋体" w:cs="Times New Roman"/>
      <w:snapToGrid w:val="0"/>
      <w:sz w:val="18"/>
      <w:lang w:val="en-US" w:eastAsia="zh-CN"/>
    </w:rPr>
  </w:style>
  <w:style w:type="character" w:customStyle="1" w:styleId="76">
    <w:name w:val="正文文本首行缩进 2 字符"/>
    <w:basedOn w:val="70"/>
    <w:link w:val="2"/>
    <w:qFormat/>
    <w:locked/>
    <w:uiPriority w:val="99"/>
    <w:rPr>
      <w:rFonts w:ascii="宋体" w:eastAsia="宋体" w:cs="Times New Roman"/>
      <w:snapToGrid w:val="0"/>
      <w:kern w:val="2"/>
      <w:sz w:val="24"/>
    </w:rPr>
  </w:style>
  <w:style w:type="character" w:customStyle="1" w:styleId="77">
    <w:name w:val="页眉 字符"/>
    <w:basedOn w:val="47"/>
    <w:link w:val="33"/>
    <w:qFormat/>
    <w:locked/>
    <w:uiPriority w:val="99"/>
    <w:rPr>
      <w:rFonts w:eastAsia="宋体" w:cs="Times New Roman"/>
      <w:snapToGrid w:val="0"/>
      <w:sz w:val="18"/>
      <w:lang w:val="en-US" w:eastAsia="zh-CN"/>
    </w:rPr>
  </w:style>
  <w:style w:type="character" w:customStyle="1" w:styleId="78">
    <w:name w:val="副标题 字符"/>
    <w:basedOn w:val="47"/>
    <w:link w:val="36"/>
    <w:qFormat/>
    <w:locked/>
    <w:uiPriority w:val="99"/>
    <w:rPr>
      <w:rFonts w:ascii="Cambria" w:hAnsi="Cambria" w:cs="Times New Roman"/>
      <w:b/>
      <w:snapToGrid w:val="0"/>
      <w:kern w:val="28"/>
      <w:sz w:val="32"/>
    </w:rPr>
  </w:style>
  <w:style w:type="character" w:customStyle="1" w:styleId="79">
    <w:name w:val="正文文本缩进 3 字符"/>
    <w:basedOn w:val="47"/>
    <w:link w:val="38"/>
    <w:qFormat/>
    <w:locked/>
    <w:uiPriority w:val="99"/>
    <w:rPr>
      <w:rFonts w:cs="Times New Roman"/>
      <w:snapToGrid w:val="0"/>
      <w:sz w:val="16"/>
    </w:rPr>
  </w:style>
  <w:style w:type="character" w:customStyle="1" w:styleId="80">
    <w:name w:val="正文文本 2 字符"/>
    <w:basedOn w:val="47"/>
    <w:link w:val="41"/>
    <w:qFormat/>
    <w:locked/>
    <w:uiPriority w:val="99"/>
    <w:rPr>
      <w:rFonts w:eastAsia="宋体" w:cs="Times New Roman"/>
      <w:kern w:val="2"/>
      <w:sz w:val="24"/>
      <w:lang w:val="en-US" w:eastAsia="zh-CN"/>
    </w:rPr>
  </w:style>
  <w:style w:type="character" w:customStyle="1" w:styleId="81">
    <w:name w:val="标题 字符"/>
    <w:basedOn w:val="47"/>
    <w:link w:val="43"/>
    <w:qFormat/>
    <w:locked/>
    <w:uiPriority w:val="99"/>
    <w:rPr>
      <w:rFonts w:ascii="Arial" w:hAnsi="Arial" w:cs="Times New Roman"/>
      <w:b/>
      <w:spacing w:val="60"/>
      <w:kern w:val="2"/>
      <w:sz w:val="24"/>
    </w:rPr>
  </w:style>
  <w:style w:type="character" w:customStyle="1" w:styleId="82">
    <w:name w:val="页眉 Char1"/>
    <w:semiHidden/>
    <w:qFormat/>
    <w:uiPriority w:val="99"/>
    <w:rPr>
      <w:kern w:val="2"/>
      <w:sz w:val="18"/>
    </w:rPr>
  </w:style>
  <w:style w:type="character" w:customStyle="1" w:styleId="83">
    <w:name w:val="font11"/>
    <w:basedOn w:val="47"/>
    <w:qFormat/>
    <w:uiPriority w:val="99"/>
    <w:rPr>
      <w:rFonts w:ascii="宋体" w:hAnsi="宋体" w:eastAsia="宋体"/>
      <w:b/>
      <w:color w:val="000000"/>
      <w:sz w:val="24"/>
      <w:u w:val="none"/>
    </w:rPr>
  </w:style>
  <w:style w:type="character" w:customStyle="1" w:styleId="84">
    <w:name w:val="正文标准 Char"/>
    <w:link w:val="85"/>
    <w:qFormat/>
    <w:locked/>
    <w:uiPriority w:val="99"/>
    <w:rPr>
      <w:kern w:val="2"/>
      <w:sz w:val="21"/>
    </w:rPr>
  </w:style>
  <w:style w:type="paragraph" w:customStyle="1" w:styleId="85">
    <w:name w:val="正文标准"/>
    <w:basedOn w:val="1"/>
    <w:link w:val="84"/>
    <w:qFormat/>
    <w:uiPriority w:val="99"/>
    <w:pPr>
      <w:spacing w:beforeLines="50"/>
      <w:ind w:firstLine="200" w:firstLineChars="200"/>
    </w:pPr>
    <w:rPr>
      <w:kern w:val="2"/>
    </w:rPr>
  </w:style>
  <w:style w:type="character" w:customStyle="1" w:styleId="86">
    <w:name w:val="font01"/>
    <w:basedOn w:val="47"/>
    <w:qFormat/>
    <w:uiPriority w:val="99"/>
    <w:rPr>
      <w:rFonts w:ascii="Calibri" w:hAnsi="Calibri"/>
      <w:b/>
      <w:color w:val="000000"/>
      <w:sz w:val="24"/>
      <w:u w:val="none"/>
    </w:rPr>
  </w:style>
  <w:style w:type="character" w:customStyle="1" w:styleId="87">
    <w:name w:val="font31"/>
    <w:basedOn w:val="47"/>
    <w:qFormat/>
    <w:uiPriority w:val="99"/>
    <w:rPr>
      <w:rFonts w:ascii="Calibri" w:hAnsi="Calibri"/>
      <w:color w:val="000000"/>
      <w:sz w:val="24"/>
      <w:u w:val="none"/>
    </w:rPr>
  </w:style>
  <w:style w:type="character" w:customStyle="1" w:styleId="88">
    <w:name w:val="表正文 Char"/>
    <w:qFormat/>
    <w:uiPriority w:val="99"/>
    <w:rPr>
      <w:rFonts w:ascii="Arial" w:hAnsi="Arial" w:eastAsia="宋体"/>
      <w:lang w:val="en-US" w:eastAsia="zh-CN"/>
    </w:rPr>
  </w:style>
  <w:style w:type="character" w:customStyle="1" w:styleId="89">
    <w:name w:val="zbggmain style9"/>
    <w:qFormat/>
    <w:uiPriority w:val="99"/>
    <w:rPr>
      <w:rFonts w:ascii="Courier New" w:eastAsia="Times New Roman"/>
      <w:b/>
      <w:kern w:val="2"/>
      <w:sz w:val="32"/>
      <w:lang w:val="en-US" w:eastAsia="zh-CN"/>
    </w:rPr>
  </w:style>
  <w:style w:type="character" w:customStyle="1" w:styleId="90">
    <w:name w:val="apple-converted-space"/>
    <w:qFormat/>
    <w:uiPriority w:val="99"/>
    <w:rPr>
      <w:rFonts w:eastAsia="仿宋_GB2312"/>
      <w:sz w:val="28"/>
    </w:rPr>
  </w:style>
  <w:style w:type="character" w:customStyle="1" w:styleId="91">
    <w:name w:val="zbggtop11 style5"/>
    <w:qFormat/>
    <w:uiPriority w:val="99"/>
    <w:rPr>
      <w:rFonts w:eastAsia="仿宋_GB2312"/>
      <w:sz w:val="28"/>
    </w:rPr>
  </w:style>
  <w:style w:type="character" w:customStyle="1" w:styleId="92">
    <w:name w:val="标题 1 Char"/>
    <w:qFormat/>
    <w:uiPriority w:val="99"/>
    <w:rPr>
      <w:rFonts w:eastAsia="黑体"/>
      <w:b/>
      <w:snapToGrid w:val="0"/>
      <w:kern w:val="44"/>
      <w:sz w:val="36"/>
      <w:lang w:val="en-US" w:eastAsia="zh-CN"/>
    </w:rPr>
  </w:style>
  <w:style w:type="character" w:customStyle="1" w:styleId="93">
    <w:name w:val="正文文本缩进 3 Char1"/>
    <w:semiHidden/>
    <w:qFormat/>
    <w:uiPriority w:val="99"/>
    <w:rPr>
      <w:kern w:val="2"/>
      <w:sz w:val="16"/>
    </w:rPr>
  </w:style>
  <w:style w:type="character" w:customStyle="1" w:styleId="94">
    <w:name w:val="正文缩进 字符"/>
    <w:link w:val="8"/>
    <w:qFormat/>
    <w:locked/>
    <w:uiPriority w:val="99"/>
    <w:rPr>
      <w:rFonts w:eastAsia="宋体"/>
      <w:kern w:val="2"/>
      <w:sz w:val="21"/>
      <w:lang w:val="en-US" w:eastAsia="zh-CN"/>
    </w:rPr>
  </w:style>
  <w:style w:type="character" w:customStyle="1" w:styleId="95">
    <w:name w:val="bulletintext1"/>
    <w:qFormat/>
    <w:uiPriority w:val="99"/>
    <w:rPr>
      <w:rFonts w:eastAsia="仿宋_GB2312"/>
      <w:color w:val="000000"/>
      <w:sz w:val="18"/>
    </w:rPr>
  </w:style>
  <w:style w:type="character" w:customStyle="1" w:styleId="96">
    <w:name w:val="font21"/>
    <w:qFormat/>
    <w:uiPriority w:val="99"/>
    <w:rPr>
      <w:rFonts w:ascii="Calibri" w:hAnsi="Calibri"/>
      <w:color w:val="000000"/>
      <w:sz w:val="24"/>
      <w:u w:val="none"/>
    </w:rPr>
  </w:style>
  <w:style w:type="character" w:customStyle="1" w:styleId="97">
    <w:name w:val="Char Char"/>
    <w:qFormat/>
    <w:uiPriority w:val="99"/>
    <w:rPr>
      <w:rFonts w:ascii="Courier New" w:eastAsia="Times New Roman"/>
      <w:color w:val="FF0000"/>
      <w:kern w:val="2"/>
      <w:sz w:val="24"/>
      <w:u w:val="single"/>
      <w:lang w:val="en-US" w:eastAsia="zh-CN"/>
    </w:rPr>
  </w:style>
  <w:style w:type="character" w:customStyle="1" w:styleId="98">
    <w:name w:val="页脚 Char1"/>
    <w:semiHidden/>
    <w:qFormat/>
    <w:uiPriority w:val="99"/>
    <w:rPr>
      <w:kern w:val="2"/>
      <w:sz w:val="18"/>
    </w:rPr>
  </w:style>
  <w:style w:type="character" w:customStyle="1" w:styleId="99">
    <w:name w:val="纯文本 Char"/>
    <w:link w:val="100"/>
    <w:qFormat/>
    <w:locked/>
    <w:uiPriority w:val="99"/>
    <w:rPr>
      <w:rFonts w:ascii="Century Gothic" w:hAnsi="楷体_GB2312" w:eastAsia="Times New Roman"/>
      <w:kern w:val="2"/>
      <w:sz w:val="21"/>
    </w:rPr>
  </w:style>
  <w:style w:type="paragraph" w:customStyle="1" w:styleId="100">
    <w:name w:val="纯文本1"/>
    <w:basedOn w:val="1"/>
    <w:link w:val="99"/>
    <w:qFormat/>
    <w:uiPriority w:val="99"/>
    <w:pPr>
      <w:snapToGrid w:val="0"/>
      <w:jc w:val="left"/>
    </w:pPr>
    <w:rPr>
      <w:rFonts w:ascii="Century Gothic" w:hAnsi="楷体_GB2312" w:eastAsia="Times New Roman"/>
      <w:kern w:val="2"/>
    </w:rPr>
  </w:style>
  <w:style w:type="character" w:customStyle="1" w:styleId="101">
    <w:name w:val="正文文本 Char"/>
    <w:qFormat/>
    <w:uiPriority w:val="99"/>
    <w:rPr>
      <w:kern w:val="2"/>
      <w:sz w:val="24"/>
    </w:rPr>
  </w:style>
  <w:style w:type="character" w:customStyle="1" w:styleId="102">
    <w:name w:val="批注框文本 Char1"/>
    <w:semiHidden/>
    <w:qFormat/>
    <w:uiPriority w:val="99"/>
    <w:rPr>
      <w:kern w:val="2"/>
      <w:sz w:val="18"/>
    </w:rPr>
  </w:style>
  <w:style w:type="character" w:customStyle="1" w:styleId="103">
    <w:name w:val="ziti11"/>
    <w:qFormat/>
    <w:uiPriority w:val="99"/>
    <w:rPr>
      <w:rFonts w:ascii="??" w:hAnsi="??"/>
      <w:color w:val="000000"/>
      <w:sz w:val="18"/>
    </w:rPr>
  </w:style>
  <w:style w:type="character" w:customStyle="1" w:styleId="104">
    <w:name w:val="纯文本 Char1"/>
    <w:semiHidden/>
    <w:qFormat/>
    <w:uiPriority w:val="99"/>
    <w:rPr>
      <w:rFonts w:ascii="宋体" w:hAnsi="Courier New"/>
      <w:kern w:val="2"/>
      <w:sz w:val="21"/>
    </w:rPr>
  </w:style>
  <w:style w:type="character" w:customStyle="1" w:styleId="105">
    <w:name w:val="正文文本缩进 Char1"/>
    <w:semiHidden/>
    <w:qFormat/>
    <w:uiPriority w:val="99"/>
    <w:rPr>
      <w:kern w:val="2"/>
      <w:sz w:val="24"/>
    </w:rPr>
  </w:style>
  <w:style w:type="character" w:customStyle="1" w:styleId="106">
    <w:name w:val="font51"/>
    <w:qFormat/>
    <w:uiPriority w:val="99"/>
    <w:rPr>
      <w:rFonts w:ascii="宋体" w:hAnsi="宋体" w:eastAsia="宋体"/>
      <w:color w:val="000000"/>
      <w:sz w:val="24"/>
      <w:u w:val="none"/>
    </w:rPr>
  </w:style>
  <w:style w:type="character" w:customStyle="1" w:styleId="107">
    <w:name w:val="普通文字 Char Char1"/>
    <w:qFormat/>
    <w:uiPriority w:val="99"/>
    <w:rPr>
      <w:rFonts w:ascii="Century Gothic" w:hAnsi="楷体_GB2312" w:eastAsia="Times New Roman"/>
      <w:kern w:val="2"/>
      <w:sz w:val="21"/>
      <w:lang w:val="en-US" w:eastAsia="zh-CN"/>
    </w:rPr>
  </w:style>
  <w:style w:type="character" w:customStyle="1" w:styleId="108">
    <w:name w:val="htd0"/>
    <w:basedOn w:val="47"/>
    <w:qFormat/>
    <w:uiPriority w:val="99"/>
    <w:rPr>
      <w:rFonts w:cs="Times New Roman"/>
    </w:rPr>
  </w:style>
  <w:style w:type="character" w:customStyle="1" w:styleId="109">
    <w:name w:val="Char Char21"/>
    <w:qFormat/>
    <w:uiPriority w:val="99"/>
    <w:rPr>
      <w:rFonts w:eastAsia="Times New Roman"/>
      <w:b/>
      <w:kern w:val="44"/>
      <w:sz w:val="44"/>
      <w:lang w:val="en-US" w:eastAsia="zh-CN"/>
    </w:rPr>
  </w:style>
  <w:style w:type="character" w:customStyle="1" w:styleId="110">
    <w:name w:val="正文文本缩进 Char"/>
    <w:qFormat/>
    <w:uiPriority w:val="99"/>
    <w:rPr>
      <w:rFonts w:ascii="Century Gothic" w:hAnsi="Century Gothic"/>
      <w:kern w:val="2"/>
      <w:sz w:val="24"/>
    </w:rPr>
  </w:style>
  <w:style w:type="character" w:customStyle="1" w:styleId="111">
    <w:name w:val="标题 1 Char2"/>
    <w:qFormat/>
    <w:uiPriority w:val="99"/>
    <w:rPr>
      <w:rFonts w:eastAsia="黑体"/>
      <w:b/>
      <w:snapToGrid w:val="0"/>
      <w:kern w:val="44"/>
      <w:sz w:val="36"/>
      <w:lang w:val="en-US" w:eastAsia="zh-CN"/>
    </w:rPr>
  </w:style>
  <w:style w:type="character" w:customStyle="1" w:styleId="112">
    <w:name w:val="tpc_content1"/>
    <w:qFormat/>
    <w:uiPriority w:val="99"/>
    <w:rPr>
      <w:rFonts w:eastAsia="仿宋_GB2312"/>
      <w:sz w:val="20"/>
    </w:rPr>
  </w:style>
  <w:style w:type="character" w:customStyle="1" w:styleId="113">
    <w:name w:val="标准文本 Char"/>
    <w:link w:val="114"/>
    <w:qFormat/>
    <w:locked/>
    <w:uiPriority w:val="99"/>
    <w:rPr>
      <w:kern w:val="2"/>
      <w:sz w:val="24"/>
    </w:rPr>
  </w:style>
  <w:style w:type="paragraph" w:customStyle="1" w:styleId="114">
    <w:name w:val="标准文本"/>
    <w:basedOn w:val="1"/>
    <w:link w:val="113"/>
    <w:qFormat/>
    <w:uiPriority w:val="99"/>
    <w:pPr>
      <w:spacing w:line="360" w:lineRule="auto"/>
      <w:ind w:firstLine="480" w:firstLineChars="200"/>
    </w:pPr>
    <w:rPr>
      <w:kern w:val="2"/>
      <w:sz w:val="24"/>
    </w:rPr>
  </w:style>
  <w:style w:type="character" w:customStyle="1" w:styleId="115">
    <w:name w:val="font41"/>
    <w:basedOn w:val="47"/>
    <w:qFormat/>
    <w:uiPriority w:val="99"/>
    <w:rPr>
      <w:rFonts w:ascii="宋体" w:hAnsi="宋体" w:eastAsia="宋体"/>
      <w:color w:val="000000"/>
      <w:sz w:val="24"/>
      <w:u w:val="none"/>
    </w:rPr>
  </w:style>
  <w:style w:type="character" w:customStyle="1" w:styleId="116">
    <w:name w:val="纯文本 Char Char Char Char Char Char Char Char Char Char Char Char Char Char1"/>
    <w:qFormat/>
    <w:uiPriority w:val="99"/>
    <w:rPr>
      <w:rFonts w:ascii="Century Gothic" w:hAnsi="楷体_GB2312" w:eastAsia="宋体"/>
      <w:kern w:val="2"/>
      <w:sz w:val="21"/>
      <w:lang w:val="en-US" w:eastAsia="zh-CN"/>
    </w:rPr>
  </w:style>
  <w:style w:type="character" w:customStyle="1" w:styleId="117">
    <w:name w:val="样式1 Char"/>
    <w:link w:val="118"/>
    <w:qFormat/>
    <w:locked/>
    <w:uiPriority w:val="99"/>
    <w:rPr>
      <w:kern w:val="2"/>
      <w:sz w:val="24"/>
    </w:rPr>
  </w:style>
  <w:style w:type="paragraph" w:customStyle="1" w:styleId="118">
    <w:name w:val="样式1"/>
    <w:basedOn w:val="1"/>
    <w:link w:val="117"/>
    <w:qFormat/>
    <w:uiPriority w:val="99"/>
    <w:pPr>
      <w:spacing w:line="360" w:lineRule="exact"/>
      <w:ind w:firstLine="200" w:firstLineChars="200"/>
    </w:pPr>
    <w:rPr>
      <w:kern w:val="2"/>
      <w:sz w:val="24"/>
    </w:rPr>
  </w:style>
  <w:style w:type="character" w:customStyle="1" w:styleId="119">
    <w:name w:val="纯文本 Char Char Char Char Char Char Char Char Char Char Char Char Char Char2"/>
    <w:qFormat/>
    <w:uiPriority w:val="99"/>
    <w:rPr>
      <w:rFonts w:ascii="Century Gothic" w:hAnsi="楷体_GB2312" w:eastAsia="Times New Roman"/>
      <w:kern w:val="2"/>
      <w:sz w:val="21"/>
      <w:lang w:val="en-US" w:eastAsia="zh-CN"/>
    </w:rPr>
  </w:style>
  <w:style w:type="character" w:customStyle="1" w:styleId="120">
    <w:name w:val="正文段 Char Char"/>
    <w:link w:val="121"/>
    <w:qFormat/>
    <w:locked/>
    <w:uiPriority w:val="99"/>
    <w:rPr>
      <w:sz w:val="24"/>
    </w:rPr>
  </w:style>
  <w:style w:type="paragraph" w:customStyle="1" w:styleId="121">
    <w:name w:val="正文段"/>
    <w:basedOn w:val="1"/>
    <w:link w:val="120"/>
    <w:qFormat/>
    <w:uiPriority w:val="99"/>
    <w:pPr>
      <w:widowControl/>
      <w:snapToGrid w:val="0"/>
      <w:spacing w:afterLines="50"/>
      <w:ind w:firstLine="200" w:firstLineChars="200"/>
    </w:pPr>
    <w:rPr>
      <w:sz w:val="24"/>
    </w:rPr>
  </w:style>
  <w:style w:type="character" w:customStyle="1" w:styleId="122">
    <w:name w:val="text5"/>
    <w:qFormat/>
    <w:uiPriority w:val="99"/>
    <w:rPr>
      <w:color w:val="000066"/>
      <w:spacing w:val="0"/>
      <w:sz w:val="18"/>
    </w:rPr>
  </w:style>
  <w:style w:type="character" w:customStyle="1" w:styleId="123">
    <w:name w:val="ft1110"/>
    <w:qFormat/>
    <w:uiPriority w:val="99"/>
    <w:rPr>
      <w:rFonts w:ascii="Times" w:hAnsi="Times" w:eastAsia="仿宋_GB2312"/>
      <w:color w:val="000000"/>
      <w:spacing w:val="10"/>
      <w:sz w:val="33"/>
    </w:rPr>
  </w:style>
  <w:style w:type="character" w:customStyle="1" w:styleId="124">
    <w:name w:val="Char Char12"/>
    <w:qFormat/>
    <w:uiPriority w:val="99"/>
    <w:rPr>
      <w:rFonts w:ascii="Century Gothic" w:hAnsi="楷体_GB2312" w:eastAsia="Times New Roman"/>
      <w:kern w:val="2"/>
      <w:sz w:val="21"/>
      <w:lang w:val="en-US" w:eastAsia="zh-CN"/>
    </w:rPr>
  </w:style>
  <w:style w:type="paragraph" w:customStyle="1" w:styleId="125">
    <w:name w:val="af17cgridlangnp1033langf"/>
    <w:qFormat/>
    <w:uiPriority w:val="99"/>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26">
    <w:name w:val="默认段落字体 Para Char Char Char Char Char Char Char"/>
    <w:basedOn w:val="1"/>
    <w:qFormat/>
    <w:uiPriority w:val="99"/>
    <w:rPr>
      <w:kern w:val="2"/>
    </w:rPr>
  </w:style>
  <w:style w:type="paragraph" w:customStyle="1" w:styleId="127">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28">
    <w:name w:val="Char Char2 Char"/>
    <w:basedOn w:val="1"/>
    <w:qFormat/>
    <w:uiPriority w:val="99"/>
    <w:pPr>
      <w:keepNext/>
      <w:keepLines/>
      <w:pageBreakBefore/>
      <w:tabs>
        <w:tab w:val="left" w:pos="845"/>
      </w:tabs>
      <w:ind w:left="845" w:hanging="420"/>
    </w:pPr>
    <w:rPr>
      <w:rFonts w:ascii="Tahoma" w:hAnsi="Tahoma"/>
      <w:kern w:val="2"/>
      <w:sz w:val="24"/>
    </w:rPr>
  </w:style>
  <w:style w:type="paragraph" w:customStyle="1" w:styleId="129">
    <w:name w:val="xl34"/>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30">
    <w:name w:val="xl30"/>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31">
    <w:name w:val="xl31"/>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32">
    <w:name w:val="正文－恩普"/>
    <w:basedOn w:val="8"/>
    <w:qFormat/>
    <w:uiPriority w:val="99"/>
    <w:pPr>
      <w:widowControl/>
      <w:spacing w:afterLines="50" w:line="360" w:lineRule="auto"/>
      <w:ind w:firstLine="480" w:firstLineChars="200"/>
      <w:jc w:val="left"/>
    </w:pPr>
    <w:rPr>
      <w:kern w:val="0"/>
      <w:sz w:val="24"/>
    </w:rPr>
  </w:style>
  <w:style w:type="paragraph" w:customStyle="1" w:styleId="133">
    <w:name w:val="font1"/>
    <w:basedOn w:val="1"/>
    <w:qFormat/>
    <w:uiPriority w:val="99"/>
    <w:pPr>
      <w:widowControl/>
      <w:spacing w:before="100" w:beforeAutospacing="1" w:after="100" w:afterAutospacing="1"/>
      <w:jc w:val="left"/>
    </w:pPr>
    <w:rPr>
      <w:rFonts w:ascii="Century Gothic" w:hAnsi="Century Gothic" w:cs="Arial"/>
      <w:sz w:val="24"/>
    </w:rPr>
  </w:style>
  <w:style w:type="paragraph" w:customStyle="1" w:styleId="134">
    <w:name w:val="xl29"/>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35">
    <w:name w:val="正文文字格式"/>
    <w:basedOn w:val="1"/>
    <w:qFormat/>
    <w:uiPriority w:val="99"/>
    <w:pPr>
      <w:spacing w:line="460" w:lineRule="exact"/>
      <w:ind w:firstLine="505"/>
      <w:jc w:val="left"/>
    </w:pPr>
    <w:rPr>
      <w:rFonts w:ascii="Century Gothic" w:hAnsi="Arial" w:cs="Arial"/>
      <w:kern w:val="24"/>
      <w:sz w:val="24"/>
    </w:rPr>
  </w:style>
  <w:style w:type="paragraph" w:customStyle="1" w:styleId="136">
    <w:name w:val="[无段落样式]"/>
    <w:qFormat/>
    <w:uiPriority w:val="99"/>
    <w:pPr>
      <w:widowControl w:val="0"/>
      <w:autoSpaceDE w:val="0"/>
      <w:autoSpaceDN w:val="0"/>
      <w:adjustRightInd w:val="0"/>
      <w:spacing w:line="288" w:lineRule="auto"/>
      <w:jc w:val="both"/>
      <w:textAlignment w:val="center"/>
    </w:pPr>
    <w:rPr>
      <w:rFonts w:ascii="宋体" w:hAnsi="Times New Roman" w:eastAsia="宋体" w:cs="宋体"/>
      <w:color w:val="000000"/>
      <w:sz w:val="24"/>
      <w:szCs w:val="24"/>
      <w:lang w:val="zh-CN" w:eastAsia="zh-CN" w:bidi="ar-SA"/>
    </w:rPr>
  </w:style>
  <w:style w:type="paragraph" w:customStyle="1" w:styleId="137">
    <w:name w:val="Char Char Char Char Char Char Char"/>
    <w:basedOn w:val="1"/>
    <w:qFormat/>
    <w:uiPriority w:val="99"/>
    <w:pPr>
      <w:tabs>
        <w:tab w:val="left" w:pos="432"/>
      </w:tabs>
      <w:ind w:left="432" w:hanging="432"/>
    </w:pPr>
    <w:rPr>
      <w:rFonts w:ascii="Tahoma" w:hAnsi="Tahoma"/>
      <w:kern w:val="2"/>
      <w:sz w:val="24"/>
    </w:rPr>
  </w:style>
  <w:style w:type="paragraph" w:customStyle="1" w:styleId="138">
    <w:name w:val="样式5"/>
    <w:basedOn w:val="7"/>
    <w:qFormat/>
    <w:uiPriority w:val="99"/>
    <w:pPr>
      <w:keepLines/>
      <w:tabs>
        <w:tab w:val="clear" w:pos="1035"/>
      </w:tabs>
      <w:spacing w:before="280" w:after="290" w:line="376" w:lineRule="auto"/>
      <w:ind w:left="0" w:firstLine="0"/>
      <w:jc w:val="center"/>
    </w:pPr>
    <w:rPr>
      <w:rFonts w:ascii="Century Gothic" w:hAnsi="Century Gothic" w:eastAsia="宋体" w:cs="Arial"/>
      <w:bCs/>
      <w:sz w:val="32"/>
      <w:szCs w:val="32"/>
    </w:rPr>
  </w:style>
  <w:style w:type="paragraph" w:customStyle="1" w:styleId="139">
    <w:name w:val="Char Char Char Char Char Char Char Char Char Char Char Char Char Char Char Char"/>
    <w:basedOn w:val="1"/>
    <w:qFormat/>
    <w:uiPriority w:val="99"/>
    <w:pPr>
      <w:tabs>
        <w:tab w:val="left" w:pos="885"/>
      </w:tabs>
      <w:ind w:left="885" w:hanging="360"/>
    </w:pPr>
    <w:rPr>
      <w:kern w:val="2"/>
      <w:sz w:val="24"/>
      <w:szCs w:val="24"/>
    </w:rPr>
  </w:style>
  <w:style w:type="paragraph" w:customStyle="1" w:styleId="140">
    <w:name w:val="默认段落字体 Para Char Char Char Char"/>
    <w:basedOn w:val="1"/>
    <w:qFormat/>
    <w:uiPriority w:val="99"/>
  </w:style>
  <w:style w:type="paragraph" w:customStyle="1" w:styleId="141">
    <w:name w:val="Plain Text1"/>
    <w:basedOn w:val="1"/>
    <w:qFormat/>
    <w:uiPriority w:val="99"/>
    <w:pPr>
      <w:adjustRightInd w:val="0"/>
    </w:pPr>
    <w:rPr>
      <w:rFonts w:ascii="宋体" w:hAnsi="Courier New" w:eastAsia="楷体_GB2312"/>
      <w:kern w:val="2"/>
      <w:sz w:val="28"/>
    </w:rPr>
  </w:style>
  <w:style w:type="paragraph" w:customStyle="1" w:styleId="142">
    <w:name w:val="Char Char Char"/>
    <w:basedOn w:val="1"/>
    <w:qFormat/>
    <w:uiPriority w:val="99"/>
    <w:rPr>
      <w:rFonts w:ascii="Tahoma" w:hAnsi="Tahoma"/>
      <w:kern w:val="2"/>
      <w:sz w:val="24"/>
    </w:rPr>
  </w:style>
  <w:style w:type="paragraph" w:customStyle="1" w:styleId="143">
    <w:name w:val="Char1"/>
    <w:basedOn w:val="1"/>
    <w:qFormat/>
    <w:uiPriority w:val="99"/>
    <w:pPr>
      <w:widowControl/>
      <w:spacing w:after="160" w:line="360" w:lineRule="auto"/>
      <w:ind w:firstLine="200" w:firstLineChars="200"/>
      <w:jc w:val="left"/>
    </w:pPr>
    <w:rPr>
      <w:rFonts w:ascii="Verdana" w:hAnsi="Verdana" w:eastAsia="黑体"/>
      <w:lang w:eastAsia="en-US"/>
    </w:rPr>
  </w:style>
  <w:style w:type="paragraph" w:customStyle="1" w:styleId="144">
    <w:name w:val="Blockquote"/>
    <w:basedOn w:val="1"/>
    <w:qFormat/>
    <w:uiPriority w:val="99"/>
    <w:pPr>
      <w:autoSpaceDE w:val="0"/>
      <w:autoSpaceDN w:val="0"/>
      <w:adjustRightInd w:val="0"/>
      <w:spacing w:before="100" w:after="100"/>
      <w:ind w:left="360" w:right="360"/>
      <w:jc w:val="left"/>
    </w:pPr>
    <w:rPr>
      <w:rFonts w:ascii="Arial" w:hAnsi="Arial" w:cs="Arial"/>
      <w:sz w:val="24"/>
    </w:rPr>
  </w:style>
  <w:style w:type="paragraph" w:customStyle="1" w:styleId="145">
    <w:name w:val="正文文字"/>
    <w:basedOn w:val="1"/>
    <w:qFormat/>
    <w:uiPriority w:val="99"/>
    <w:pPr>
      <w:widowControl/>
      <w:spacing w:line="952" w:lineRule="atLeast"/>
      <w:ind w:firstLine="419"/>
      <w:textAlignment w:val="baseline"/>
    </w:pPr>
    <w:rPr>
      <w:b/>
      <w:color w:val="000000"/>
      <w:sz w:val="44"/>
      <w:u w:color="000000"/>
    </w:rPr>
  </w:style>
  <w:style w:type="paragraph" w:customStyle="1" w:styleId="146">
    <w:name w:val="[基本段落]"/>
    <w:basedOn w:val="136"/>
    <w:qFormat/>
    <w:uiPriority w:val="99"/>
  </w:style>
  <w:style w:type="paragraph" w:customStyle="1" w:styleId="147">
    <w:name w:val="Char Char Char Char Char Char Char Char Char Char Char Char Char Char Char Char Char Char Char Char Char Char"/>
    <w:basedOn w:val="1"/>
    <w:qFormat/>
    <w:uiPriority w:val="99"/>
    <w:rPr>
      <w:rFonts w:ascii="Tahoma" w:hAnsi="Tahoma"/>
      <w:kern w:val="2"/>
      <w:sz w:val="24"/>
    </w:rPr>
  </w:style>
  <w:style w:type="paragraph" w:customStyle="1" w:styleId="148">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49">
    <w:name w:val="font5"/>
    <w:basedOn w:val="1"/>
    <w:qFormat/>
    <w:uiPriority w:val="99"/>
    <w:pPr>
      <w:widowControl/>
      <w:spacing w:before="100" w:beforeAutospacing="1" w:after="100" w:afterAutospacing="1"/>
      <w:jc w:val="left"/>
    </w:pPr>
    <w:rPr>
      <w:rFonts w:ascii="Century Gothic" w:hAnsi="Century Gothic" w:cs="Century Gothic"/>
      <w:sz w:val="18"/>
      <w:szCs w:val="18"/>
    </w:rPr>
  </w:style>
  <w:style w:type="paragraph" w:customStyle="1" w:styleId="150">
    <w:name w:val="列出段落1"/>
    <w:basedOn w:val="1"/>
    <w:qFormat/>
    <w:uiPriority w:val="99"/>
    <w:pPr>
      <w:ind w:firstLine="420" w:firstLineChars="200"/>
    </w:pPr>
    <w:rPr>
      <w:kern w:val="2"/>
      <w:szCs w:val="24"/>
    </w:rPr>
  </w:style>
  <w:style w:type="paragraph" w:customStyle="1" w:styleId="151">
    <w:name w:val="彩色底纹 - 强调文字颜色 11"/>
    <w:qFormat/>
    <w:uiPriority w:val="99"/>
    <w:rPr>
      <w:rFonts w:ascii="Arial" w:hAnsi="Arial" w:eastAsia="宋体" w:cs="Arial"/>
      <w:kern w:val="2"/>
      <w:sz w:val="21"/>
      <w:szCs w:val="24"/>
      <w:lang w:val="en-US" w:eastAsia="zh-CN" w:bidi="ar-SA"/>
    </w:rPr>
  </w:style>
  <w:style w:type="paragraph" w:customStyle="1" w:styleId="152">
    <w:name w:val="font6"/>
    <w:basedOn w:val="1"/>
    <w:qFormat/>
    <w:uiPriority w:val="99"/>
    <w:pPr>
      <w:widowControl/>
      <w:spacing w:before="100" w:beforeAutospacing="1" w:after="100" w:afterAutospacing="1"/>
      <w:jc w:val="left"/>
    </w:pPr>
    <w:rPr>
      <w:rFonts w:ascii="Arial" w:hAnsi="Arial" w:cs="Arial"/>
      <w:sz w:val="18"/>
      <w:szCs w:val="18"/>
    </w:rPr>
  </w:style>
  <w:style w:type="paragraph" w:customStyle="1" w:styleId="153">
    <w:name w:val="表内文字"/>
    <w:basedOn w:val="1"/>
    <w:qFormat/>
    <w:uiPriority w:val="99"/>
    <w:pPr>
      <w:tabs>
        <w:tab w:val="left" w:pos="1418"/>
      </w:tabs>
      <w:spacing w:line="360" w:lineRule="auto"/>
      <w:jc w:val="center"/>
    </w:pPr>
    <w:rPr>
      <w:rFonts w:ascii="仿宋_GB2312" w:eastAsia="仿宋_GB2312"/>
      <w:spacing w:val="-20"/>
      <w:sz w:val="24"/>
      <w:szCs w:val="24"/>
    </w:rPr>
  </w:style>
  <w:style w:type="paragraph" w:customStyle="1" w:styleId="154">
    <w:name w:val="xl27"/>
    <w:basedOn w:val="1"/>
    <w:qFormat/>
    <w:uiPriority w:val="99"/>
    <w:pPr>
      <w:widowControl/>
      <w:pBdr>
        <w:bottom w:val="single" w:color="auto" w:sz="4" w:space="0"/>
      </w:pBdr>
      <w:spacing w:before="100" w:beforeAutospacing="1" w:after="100" w:afterAutospacing="1"/>
      <w:jc w:val="center"/>
      <w:textAlignment w:val="center"/>
    </w:pPr>
    <w:rPr>
      <w:rFonts w:ascii="Arial Narrow" w:hAnsi="Century Gothic" w:eastAsia="Times New Roman" w:cs="Century Gothic"/>
      <w:sz w:val="36"/>
      <w:szCs w:val="36"/>
    </w:rPr>
  </w:style>
  <w:style w:type="paragraph" w:customStyle="1" w:styleId="155">
    <w:name w:val="xl33"/>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56">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24"/>
      <w:szCs w:val="24"/>
    </w:rPr>
  </w:style>
  <w:style w:type="paragraph" w:customStyle="1" w:styleId="157">
    <w:name w:val="Char"/>
    <w:basedOn w:val="1"/>
    <w:qFormat/>
    <w:uiPriority w:val="99"/>
    <w:pPr>
      <w:spacing w:line="360" w:lineRule="auto"/>
      <w:ind w:firstLine="420" w:firstLineChars="200"/>
    </w:pPr>
    <w:rPr>
      <w:rFonts w:ascii="宋体" w:hAnsi="宋体"/>
      <w:kern w:val="2"/>
    </w:rPr>
  </w:style>
  <w:style w:type="paragraph" w:customStyle="1" w:styleId="158">
    <w:name w:val="标书标题2"/>
    <w:basedOn w:val="5"/>
    <w:qFormat/>
    <w:uiPriority w:val="99"/>
    <w:pPr>
      <w:keepLines w:val="0"/>
      <w:widowControl/>
      <w:tabs>
        <w:tab w:val="left" w:pos="1320"/>
      </w:tabs>
      <w:snapToGrid w:val="0"/>
      <w:spacing w:beforeLines="50" w:after="60" w:line="300" w:lineRule="auto"/>
      <w:ind w:left="1320" w:hanging="420"/>
    </w:pPr>
    <w:rPr>
      <w:rFonts w:eastAsia="宋体" w:cs="Arial"/>
      <w:bCs/>
      <w:color w:val="000000"/>
      <w:kern w:val="0"/>
    </w:rPr>
  </w:style>
  <w:style w:type="paragraph" w:customStyle="1" w:styleId="159">
    <w:name w:val="xl22"/>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sz w:val="24"/>
    </w:rPr>
  </w:style>
  <w:style w:type="paragraph" w:customStyle="1" w:styleId="160">
    <w:name w:val="默认段落字体 Para Char Char Char Char Char Char Char Char Char1 Char Char Char Char"/>
    <w:basedOn w:val="1"/>
    <w:qFormat/>
    <w:uiPriority w:val="99"/>
    <w:rPr>
      <w:rFonts w:ascii="Tahoma" w:hAnsi="Tahoma"/>
      <w:kern w:val="2"/>
      <w:sz w:val="24"/>
    </w:rPr>
  </w:style>
  <w:style w:type="paragraph" w:customStyle="1" w:styleId="161">
    <w:name w:val="列出段落11"/>
    <w:qFormat/>
    <w:uiPriority w:val="99"/>
    <w:pPr>
      <w:ind w:firstLine="420" w:firstLineChars="200"/>
    </w:pPr>
    <w:rPr>
      <w:rFonts w:ascii="Times New Roman" w:hAnsi="Times New Roman" w:eastAsia="宋体" w:cs="Times New Roman"/>
      <w:lang w:val="en-US" w:eastAsia="zh-CN" w:bidi="ar-SA"/>
    </w:rPr>
  </w:style>
  <w:style w:type="paragraph" w:customStyle="1" w:styleId="162">
    <w:name w:val="Char Char1 Char Char Char Char Char Char"/>
    <w:basedOn w:val="1"/>
    <w:qFormat/>
    <w:uiPriority w:val="99"/>
    <w:pPr>
      <w:widowControl/>
      <w:spacing w:after="160" w:line="240" w:lineRule="exact"/>
      <w:jc w:val="left"/>
    </w:pPr>
  </w:style>
  <w:style w:type="paragraph" w:customStyle="1" w:styleId="163">
    <w:name w:val="彩色底纹1"/>
    <w:semiHidden/>
    <w:qFormat/>
    <w:uiPriority w:val="99"/>
    <w:rPr>
      <w:rFonts w:ascii="Times New Roman" w:hAnsi="Times New Roman" w:eastAsia="宋体" w:cs="Times New Roman"/>
      <w:sz w:val="21"/>
      <w:lang w:val="en-US" w:eastAsia="zh-CN" w:bidi="ar-SA"/>
    </w:rPr>
  </w:style>
  <w:style w:type="paragraph" w:customStyle="1" w:styleId="164">
    <w:name w:val="Char3 Char Char Char"/>
    <w:basedOn w:val="1"/>
    <w:qFormat/>
    <w:uiPriority w:val="99"/>
    <w:pPr>
      <w:widowControl/>
      <w:spacing w:after="160" w:line="240" w:lineRule="exact"/>
      <w:jc w:val="left"/>
    </w:pPr>
    <w:rPr>
      <w:kern w:val="2"/>
    </w:rPr>
  </w:style>
  <w:style w:type="paragraph" w:customStyle="1" w:styleId="165">
    <w:name w:val="Char2"/>
    <w:basedOn w:val="1"/>
    <w:qFormat/>
    <w:uiPriority w:val="99"/>
    <w:rPr>
      <w:sz w:val="18"/>
    </w:rPr>
  </w:style>
  <w:style w:type="paragraph" w:customStyle="1" w:styleId="166">
    <w:name w:val="xl3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67">
    <w:name w:val="样式 首行缩进:  0.77 厘米 行距: 1.5 倍行距"/>
    <w:basedOn w:val="1"/>
    <w:qFormat/>
    <w:uiPriority w:val="99"/>
    <w:pPr>
      <w:spacing w:line="360" w:lineRule="auto"/>
      <w:ind w:firstLine="420"/>
    </w:pPr>
    <w:rPr>
      <w:rFonts w:cs="宋体"/>
      <w:kern w:val="2"/>
    </w:rPr>
  </w:style>
  <w:style w:type="paragraph" w:styleId="168">
    <w:name w:val="List Paragraph"/>
    <w:basedOn w:val="1"/>
    <w:qFormat/>
    <w:uiPriority w:val="99"/>
    <w:pPr>
      <w:ind w:firstLine="420" w:firstLineChars="200"/>
    </w:pPr>
    <w:rPr>
      <w:rFonts w:ascii="Calibri" w:hAnsi="Calibri"/>
      <w:szCs w:val="22"/>
    </w:rPr>
  </w:style>
  <w:style w:type="paragraph" w:customStyle="1" w:styleId="169">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70">
    <w:name w:val="xl36"/>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71">
    <w:name w:val="Preformatted"/>
    <w:basedOn w:val="1"/>
    <w:qFormat/>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cs="Arial"/>
      <w:sz w:val="20"/>
    </w:rPr>
  </w:style>
  <w:style w:type="paragraph" w:customStyle="1" w:styleId="172">
    <w:name w:val="一级标题"/>
    <w:basedOn w:val="27"/>
    <w:qFormat/>
    <w:uiPriority w:val="99"/>
    <w:pPr>
      <w:tabs>
        <w:tab w:val="left" w:pos="1050"/>
      </w:tabs>
      <w:adjustRightInd w:val="0"/>
      <w:snapToGrid w:val="0"/>
      <w:spacing w:line="360" w:lineRule="auto"/>
      <w:jc w:val="center"/>
    </w:pPr>
    <w:rPr>
      <w:rFonts w:ascii="Arial" w:hAnsi="Arial" w:eastAsia="黑体" w:cs="Arial"/>
      <w:color w:val="000000"/>
      <w:w w:val="80"/>
      <w:kern w:val="2"/>
      <w:sz w:val="48"/>
      <w:szCs w:val="48"/>
    </w:rPr>
  </w:style>
  <w:style w:type="paragraph" w:customStyle="1" w:styleId="173">
    <w:name w:val="正文2"/>
    <w:basedOn w:val="1"/>
    <w:qFormat/>
    <w:uiPriority w:val="99"/>
    <w:pPr>
      <w:spacing w:before="156" w:line="360" w:lineRule="auto"/>
      <w:ind w:firstLine="510" w:firstLineChars="200"/>
    </w:pPr>
    <w:rPr>
      <w:kern w:val="2"/>
      <w:sz w:val="24"/>
    </w:rPr>
  </w:style>
  <w:style w:type="paragraph" w:customStyle="1" w:styleId="174">
    <w:name w:val="标书标题4"/>
    <w:basedOn w:val="7"/>
    <w:qFormat/>
    <w:uiPriority w:val="99"/>
    <w:pPr>
      <w:tabs>
        <w:tab w:val="clear" w:pos="1035"/>
      </w:tabs>
      <w:adjustRightInd w:val="0"/>
      <w:snapToGrid w:val="0"/>
      <w:spacing w:line="300" w:lineRule="auto"/>
      <w:ind w:left="0" w:firstLine="0"/>
    </w:pPr>
    <w:rPr>
      <w:rFonts w:eastAsia="Times New Roman" w:cs="Arial"/>
      <w:color w:val="000000"/>
      <w:kern w:val="0"/>
      <w:sz w:val="28"/>
      <w:szCs w:val="32"/>
    </w:rPr>
  </w:style>
  <w:style w:type="paragraph" w:customStyle="1" w:styleId="175">
    <w:name w:val="Bullets"/>
    <w:basedOn w:val="1"/>
    <w:qFormat/>
    <w:uiPriority w:val="99"/>
    <w:pPr>
      <w:widowControl/>
    </w:pPr>
    <w:rPr>
      <w:rFonts w:ascii="Arial" w:hAnsi="Arial" w:eastAsia="MS Mincho"/>
      <w:sz w:val="24"/>
      <w:lang w:eastAsia="de-DE"/>
    </w:rPr>
  </w:style>
  <w:style w:type="paragraph" w:customStyle="1" w:styleId="176">
    <w:name w:val="xl3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77">
    <w:name w:val="列出段落12"/>
    <w:basedOn w:val="1"/>
    <w:qFormat/>
    <w:uiPriority w:val="99"/>
    <w:pPr>
      <w:ind w:firstLine="420" w:firstLineChars="200"/>
    </w:pPr>
    <w:rPr>
      <w:rFonts w:ascii="Calibri" w:hAnsi="Calibri"/>
      <w:kern w:val="2"/>
      <w:szCs w:val="22"/>
    </w:rPr>
  </w:style>
  <w:style w:type="paragraph" w:customStyle="1" w:styleId="178">
    <w:name w:val="Char3 Char Char Char Char Char Char"/>
    <w:basedOn w:val="1"/>
    <w:qFormat/>
    <w:uiPriority w:val="99"/>
    <w:pPr>
      <w:widowControl/>
      <w:spacing w:after="160" w:line="240" w:lineRule="exact"/>
      <w:jc w:val="left"/>
    </w:pPr>
    <w:rPr>
      <w:rFonts w:ascii="Verdana" w:hAnsi="Verdana"/>
      <w:sz w:val="18"/>
      <w:lang w:eastAsia="en-US"/>
    </w:rPr>
  </w:style>
  <w:style w:type="paragraph" w:customStyle="1" w:styleId="179">
    <w:name w:val="表格"/>
    <w:basedOn w:val="1"/>
    <w:qFormat/>
    <w:uiPriority w:val="99"/>
    <w:pPr>
      <w:spacing w:line="400" w:lineRule="exact"/>
    </w:pPr>
    <w:rPr>
      <w:kern w:val="2"/>
      <w:sz w:val="24"/>
    </w:rPr>
  </w:style>
  <w:style w:type="paragraph" w:customStyle="1" w:styleId="180">
    <w:name w:val="xl38"/>
    <w:basedOn w:val="1"/>
    <w:qFormat/>
    <w:uiPriority w:val="99"/>
    <w:pPr>
      <w:widowControl/>
      <w:spacing w:before="100" w:beforeAutospacing="1" w:after="100" w:afterAutospacing="1"/>
      <w:jc w:val="left"/>
    </w:pPr>
    <w:rPr>
      <w:rFonts w:ascii="Century Gothic" w:hAnsi="Century Gothic" w:cs="Century Gothic"/>
      <w:sz w:val="18"/>
      <w:szCs w:val="18"/>
    </w:rPr>
  </w:style>
  <w:style w:type="paragraph" w:customStyle="1" w:styleId="181">
    <w:name w:val="正文文本 21"/>
    <w:basedOn w:val="1"/>
    <w:qFormat/>
    <w:uiPriority w:val="99"/>
    <w:pPr>
      <w:adjustRightInd w:val="0"/>
      <w:spacing w:line="300" w:lineRule="auto"/>
      <w:jc w:val="center"/>
    </w:pPr>
    <w:rPr>
      <w:rFonts w:ascii="宋体" w:hAnsi="宋体"/>
      <w:sz w:val="24"/>
    </w:rPr>
  </w:style>
  <w:style w:type="paragraph" w:customStyle="1" w:styleId="182">
    <w:name w:val="xl3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Narrow" w:hAnsi="Century Gothic" w:eastAsia="Times New Roman" w:cs="Century Gothic"/>
      <w:sz w:val="24"/>
      <w:szCs w:val="24"/>
    </w:rPr>
  </w:style>
  <w:style w:type="paragraph" w:customStyle="1" w:styleId="183">
    <w:name w:val="标书标题3"/>
    <w:basedOn w:val="6"/>
    <w:qFormat/>
    <w:uiPriority w:val="99"/>
    <w:pPr>
      <w:widowControl/>
      <w:tabs>
        <w:tab w:val="clear" w:pos="1275"/>
      </w:tabs>
      <w:adjustRightInd w:val="0"/>
      <w:snapToGrid w:val="0"/>
      <w:spacing w:before="120" w:after="60" w:line="300" w:lineRule="auto"/>
      <w:ind w:left="0" w:firstLine="0"/>
      <w:jc w:val="left"/>
    </w:pPr>
    <w:rPr>
      <w:rFonts w:eastAsia="Times New Roman" w:cs="Arial"/>
      <w:b w:val="0"/>
      <w:color w:val="000000"/>
      <w:kern w:val="0"/>
      <w:szCs w:val="32"/>
    </w:rPr>
  </w:style>
  <w:style w:type="paragraph" w:customStyle="1" w:styleId="184">
    <w:name w:val="style1"/>
    <w:basedOn w:val="1"/>
    <w:next w:val="1"/>
    <w:qFormat/>
    <w:uiPriority w:val="99"/>
    <w:pPr>
      <w:tabs>
        <w:tab w:val="left" w:pos="845"/>
      </w:tabs>
      <w:adjustRightInd w:val="0"/>
      <w:spacing w:before="120" w:line="264" w:lineRule="auto"/>
      <w:ind w:left="840" w:hanging="420"/>
      <w:textAlignment w:val="baseline"/>
      <w:outlineLvl w:val="1"/>
    </w:pPr>
    <w:rPr>
      <w:b/>
      <w:sz w:val="28"/>
    </w:rPr>
  </w:style>
  <w:style w:type="paragraph" w:customStyle="1" w:styleId="185">
    <w:name w:val="p0"/>
    <w:basedOn w:val="1"/>
    <w:qFormat/>
    <w:uiPriority w:val="99"/>
    <w:pPr>
      <w:widowControl/>
    </w:pPr>
    <w:rPr>
      <w:rFonts w:ascii="Calibri" w:hAnsi="Calibri" w:cs="宋体"/>
      <w:szCs w:val="21"/>
    </w:rPr>
  </w:style>
  <w:style w:type="paragraph" w:customStyle="1" w:styleId="186">
    <w:name w:val="彩色列表 - 强调文字颜色 11"/>
    <w:basedOn w:val="1"/>
    <w:qFormat/>
    <w:uiPriority w:val="99"/>
    <w:pPr>
      <w:ind w:firstLine="420" w:firstLineChars="200"/>
    </w:pPr>
    <w:rPr>
      <w:rFonts w:ascii="Calibri" w:hAnsi="Calibri"/>
      <w:kern w:val="2"/>
    </w:rPr>
  </w:style>
  <w:style w:type="paragraph" w:customStyle="1" w:styleId="187">
    <w:name w:val="节"/>
    <w:basedOn w:val="5"/>
    <w:qFormat/>
    <w:uiPriority w:val="99"/>
    <w:pPr>
      <w:spacing w:before="160" w:after="160" w:line="720" w:lineRule="exact"/>
    </w:pPr>
    <w:rPr>
      <w:rFonts w:eastAsia="楷体" w:cs="Arial"/>
      <w:b w:val="0"/>
      <w:bCs/>
      <w:color w:val="000000"/>
      <w:spacing w:val="14"/>
      <w:kern w:val="24"/>
    </w:rPr>
  </w:style>
  <w:style w:type="paragraph" w:customStyle="1" w:styleId="188">
    <w:name w:val="Char Char Char Char Char Char Char1"/>
    <w:basedOn w:val="1"/>
    <w:qFormat/>
    <w:uiPriority w:val="99"/>
    <w:pPr>
      <w:tabs>
        <w:tab w:val="left" w:pos="432"/>
      </w:tabs>
      <w:ind w:left="432" w:hanging="432"/>
    </w:pPr>
    <w:rPr>
      <w:rFonts w:ascii="Tahoma" w:hAnsi="Tahoma"/>
      <w:kern w:val="2"/>
      <w:sz w:val="24"/>
    </w:rPr>
  </w:style>
  <w:style w:type="paragraph" w:customStyle="1" w:styleId="189">
    <w:name w:val="样式 正文（首行缩进两字） + 首行缩进:  2 字符"/>
    <w:basedOn w:val="8"/>
    <w:qFormat/>
    <w:uiPriority w:val="99"/>
    <w:pPr>
      <w:spacing w:line="460" w:lineRule="exact"/>
      <w:ind w:firstLine="536" w:firstLineChars="200"/>
    </w:pPr>
    <w:rPr>
      <w:rFonts w:cs="宋体"/>
      <w:spacing w:val="6"/>
      <w:kern w:val="24"/>
      <w:sz w:val="24"/>
      <w:szCs w:val="24"/>
    </w:rPr>
  </w:style>
  <w:style w:type="paragraph" w:customStyle="1" w:styleId="190">
    <w:name w:val="小节"/>
    <w:basedOn w:val="6"/>
    <w:qFormat/>
    <w:uiPriority w:val="99"/>
    <w:pPr>
      <w:keepLines/>
      <w:tabs>
        <w:tab w:val="clear" w:pos="1275"/>
      </w:tabs>
      <w:spacing w:before="200" w:after="200" w:line="560" w:lineRule="exact"/>
      <w:ind w:left="0" w:firstLine="0"/>
      <w:jc w:val="left"/>
    </w:pPr>
    <w:rPr>
      <w:rFonts w:ascii="Century Gothic" w:hAnsi="Century Gothic" w:cs="Arial"/>
      <w:color w:val="000000"/>
      <w:spacing w:val="10"/>
      <w:kern w:val="24"/>
      <w:szCs w:val="32"/>
    </w:rPr>
  </w:style>
  <w:style w:type="paragraph" w:customStyle="1" w:styleId="191">
    <w:name w:val="Char1 Char Char Char Char Char1 Char Char Char Char Char Char1 Char"/>
    <w:basedOn w:val="1"/>
    <w:qFormat/>
    <w:uiPriority w:val="99"/>
    <w:pPr>
      <w:tabs>
        <w:tab w:val="left" w:pos="570"/>
      </w:tabs>
      <w:ind w:left="570" w:hanging="570"/>
    </w:pPr>
    <w:rPr>
      <w:kern w:val="2"/>
      <w:sz w:val="24"/>
      <w:szCs w:val="24"/>
    </w:rPr>
  </w:style>
  <w:style w:type="paragraph" w:customStyle="1" w:styleId="192">
    <w:name w:val="样式 表内正文 + 五号 行距: 单倍行距"/>
    <w:basedOn w:val="193"/>
    <w:qFormat/>
    <w:uiPriority w:val="0"/>
    <w:pPr>
      <w:spacing w:line="240" w:lineRule="auto"/>
      <w:ind w:firstLine="0" w:firstLineChars="0"/>
    </w:pPr>
    <w:rPr>
      <w:rFonts w:ascii="Arial" w:hAnsi="Arial" w:cs="宋体"/>
      <w:sz w:val="21"/>
    </w:rPr>
  </w:style>
  <w:style w:type="paragraph" w:customStyle="1" w:styleId="193">
    <w:name w:val="表内正文"/>
    <w:basedOn w:val="1"/>
    <w:qFormat/>
    <w:uiPriority w:val="0"/>
    <w:pPr>
      <w:adjustRightInd w:val="0"/>
      <w:snapToGrid w:val="0"/>
      <w:spacing w:line="288" w:lineRule="auto"/>
      <w:ind w:firstLine="200" w:firstLineChars="200"/>
    </w:pPr>
    <w:rPr>
      <w:rFonts w:ascii="宋体"/>
      <w:sz w:val="20"/>
    </w:rPr>
  </w:style>
  <w:style w:type="character" w:customStyle="1" w:styleId="194">
    <w:name w:val="NormalCharacter"/>
    <w:semiHidden/>
    <w:qFormat/>
    <w:uiPriority w:val="0"/>
    <w:rPr>
      <w:rFonts w:ascii="Times New Roman" w:hAnsi="Times New Roman" w:eastAsia="宋体" w:cs="Times New Roman"/>
      <w:kern w:val="0"/>
      <w:sz w:val="21"/>
      <w:szCs w:val="20"/>
      <w:lang w:val="en-US" w:eastAsia="zh-CN" w:bidi="ar-SA"/>
    </w:rPr>
  </w:style>
  <w:style w:type="paragraph" w:customStyle="1" w:styleId="195">
    <w:name w:val="WPSOffice手动目录 1"/>
    <w:qFormat/>
    <w:uiPriority w:val="0"/>
    <w:pPr>
      <w:ind w:leftChars="0"/>
    </w:pPr>
    <w:rPr>
      <w:rFonts w:ascii="Times New Roman" w:hAnsi="Times New Roman" w:eastAsia="宋体" w:cs="Times New Roman"/>
      <w:sz w:val="20"/>
      <w:szCs w:val="20"/>
    </w:rPr>
  </w:style>
  <w:style w:type="paragraph" w:customStyle="1" w:styleId="19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Lenovo</Company>
  <Pages>41</Pages>
  <Words>29336</Words>
  <Characters>30473</Characters>
  <Lines>257</Lines>
  <Paragraphs>72</Paragraphs>
  <TotalTime>41</TotalTime>
  <ScaleCrop>false</ScaleCrop>
  <LinksUpToDate>false</LinksUpToDate>
  <CharactersWithSpaces>32392</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2018-07-16T23:39:00Z</dcterms:created>
  <dc:creator>小周</dc:creator>
  <cp:lastModifiedBy>施翔</cp:lastModifiedBy>
  <cp:lastPrinted>2026-10-26T14:15:07Z</cp:lastPrinted>
  <dcterms:modified xsi:type="dcterms:W3CDTF">2026-10-26T14:48:01Z</dcterms:modified>
  <dc:title>aaa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8EDFB732A38A4CAC96E18AD3A56F0EB4</vt:lpwstr>
  </property>
  <property fmtid="{D5CDD505-2E9C-101B-9397-08002B2CF9AE}" pid="4" name="KSOTemplateDocerSaveRecord">
    <vt:lpwstr>eyJoZGlkIjoiNWNhZTI1NTViMGE5MjNhNmFmZjc2ZDJlYzlmZTQ3MGQiLCJ1c2VySWQiOiI0NTY5Mzg0ODAifQ==</vt:lpwstr>
  </property>
</Properties>
</file>