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bCs/>
          <w:sz w:val="32"/>
          <w:szCs w:val="32"/>
          <w:highlight w:val="none"/>
        </w:rPr>
      </w:pPr>
      <w:r>
        <w:rPr>
          <w:rFonts w:hint="eastAsia" w:ascii="仿宋" w:hAnsi="仿宋" w:eastAsia="仿宋" w:cs="仿宋"/>
          <w:b/>
          <w:bCs/>
          <w:sz w:val="32"/>
          <w:szCs w:val="32"/>
        </w:rPr>
        <w:t>附件1：</w:t>
      </w:r>
    </w:p>
    <w:p>
      <w:pPr>
        <w:pStyle w:val="3"/>
        <w:jc w:val="center"/>
        <w:rPr>
          <w:rFonts w:hint="eastAsia" w:ascii="宋体" w:hAnsi="宋体" w:eastAsia="宋体" w:cs="宋体"/>
          <w:b/>
          <w:bCs/>
          <w:color w:val="auto"/>
          <w:sz w:val="44"/>
          <w:szCs w:val="44"/>
          <w:highlight w:val="none"/>
        </w:rPr>
      </w:pPr>
      <w:r>
        <w:rPr>
          <w:rFonts w:hint="eastAsia" w:eastAsia="宋体" w:cs="宋体"/>
          <w:b/>
          <w:bCs/>
          <w:color w:val="auto"/>
          <w:sz w:val="44"/>
          <w:szCs w:val="44"/>
        </w:rPr>
        <w:t xml:space="preserve">   </w:t>
      </w:r>
      <w:bookmarkStart w:id="2" w:name="_GoBack"/>
      <w:bookmarkStart w:id="0" w:name="OLE_LINK8"/>
      <w:r>
        <w:rPr>
          <w:rFonts w:hint="eastAsia" w:eastAsia="宋体" w:cs="宋体"/>
          <w:b/>
          <w:bCs/>
          <w:color w:val="auto"/>
          <w:sz w:val="44"/>
          <w:szCs w:val="44"/>
        </w:rPr>
        <w:t>2027-2028年度广州白云山中一药业有限公司“除四害”</w:t>
      </w:r>
      <w:bookmarkEnd w:id="0"/>
      <w:r>
        <w:rPr>
          <w:rFonts w:hint="eastAsia" w:eastAsia="宋体" w:cs="宋体"/>
          <w:b/>
          <w:bCs/>
          <w:color w:val="auto"/>
          <w:sz w:val="44"/>
          <w:szCs w:val="44"/>
        </w:rPr>
        <w:t>报价表</w:t>
      </w:r>
      <w:bookmarkEnd w:id="2"/>
      <w:r>
        <w:rPr>
          <w:rFonts w:hint="eastAsia" w:eastAsia="宋体" w:cs="宋体"/>
          <w:b/>
          <w:bCs/>
          <w:color w:val="auto"/>
          <w:sz w:val="44"/>
          <w:szCs w:val="44"/>
        </w:rPr>
        <w:t xml:space="preserve"> </w:t>
      </w:r>
    </w:p>
    <w:tbl>
      <w:tblPr>
        <w:tblStyle w:val="5"/>
        <w:tblW w:w="1474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4969"/>
        <w:gridCol w:w="1001"/>
        <w:gridCol w:w="3315"/>
        <w:gridCol w:w="1200"/>
        <w:gridCol w:w="1305"/>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78"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服务项目</w:t>
            </w: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内容说明/服务内容</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面积㎡</w:t>
            </w:r>
          </w:p>
        </w:tc>
        <w:tc>
          <w:tcPr>
            <w:tcW w:w="3315"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数量</w:t>
            </w:r>
          </w:p>
        </w:tc>
        <w:tc>
          <w:tcPr>
            <w:tcW w:w="1200"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不含税单价（元）</w:t>
            </w:r>
          </w:p>
        </w:tc>
        <w:tc>
          <w:tcPr>
            <w:tcW w:w="1305"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不含税小计（元）</w:t>
            </w:r>
          </w:p>
        </w:tc>
        <w:tc>
          <w:tcPr>
            <w:tcW w:w="1680"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含税最高限价单价（元）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1278"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日常防治</w:t>
            </w:r>
          </w:p>
        </w:tc>
        <w:tc>
          <w:tcPr>
            <w:tcW w:w="4969" w:type="dxa"/>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val="en-US" w:eastAsia="zh-CN" w:bidi="ar"/>
              </w:rPr>
              <w:t>1、每年提供全厂区虫害风险评估（含报告）1次。</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2、每年提供防治方案一套，要求符合AIB/ISPE/GB50687/GB31712标准（含防虫防鼠措施规划、点位图、虫害控制平面图（布点图）设备选型、消杀剂使用方案、监控标准等）。</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3、云埔厂区总面积：104977㎡，涵盖营销楼、科研楼、研发办公楼、食堂、生活楼、垃圾房等。外围绿化带、下水道、垃圾站、办公室公共区域（过道、洗手间）等。</w:t>
            </w:r>
          </w:p>
        </w:tc>
        <w:tc>
          <w:tcPr>
            <w:tcW w:w="1001" w:type="dxa"/>
            <w:vAlign w:val="center"/>
          </w:tcPr>
          <w:p>
            <w:pPr>
              <w:snapToGrid w:val="0"/>
              <w:jc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104977</w:t>
            </w:r>
          </w:p>
        </w:tc>
        <w:tc>
          <w:tcPr>
            <w:tcW w:w="3315"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每月防治服务为每月不少于2次；食堂5-10月份每月增加服务1次，按月报价。</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lang w:val="en-US"/>
              </w:rPr>
            </w:pPr>
            <w:r>
              <w:rPr>
                <w:rFonts w:hint="eastAsia" w:ascii="仿宋" w:hAnsi="仿宋" w:eastAsia="仿宋" w:cs="仿宋"/>
                <w:i w:val="0"/>
                <w:iCs w:val="0"/>
                <w:color w:val="auto"/>
                <w:kern w:val="0"/>
                <w:sz w:val="24"/>
                <w:szCs w:val="24"/>
                <w:u w:val="none"/>
                <w:lang w:val="en-US" w:eastAsia="zh-CN" w:bidi="ar"/>
              </w:rPr>
              <w:t>2226/月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278"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紧急防治</w:t>
            </w: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营销楼、研发办公楼、生活楼、垃圾房等</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50926</w:t>
            </w:r>
          </w:p>
        </w:tc>
        <w:tc>
          <w:tcPr>
            <w:tcW w:w="3315" w:type="dxa"/>
            <w:vAlign w:val="center"/>
          </w:tcPr>
          <w:p>
            <w:pPr>
              <w:rPr>
                <w:rFonts w:hint="eastAsia" w:ascii="仿宋" w:hAnsi="仿宋" w:eastAsia="仿宋" w:cs="仿宋"/>
                <w:color w:val="auto"/>
                <w:sz w:val="24"/>
                <w:szCs w:val="24"/>
              </w:rPr>
            </w:pPr>
            <w:r>
              <w:rPr>
                <w:rFonts w:hint="eastAsia" w:ascii="仿宋" w:hAnsi="仿宋" w:eastAsia="仿宋" w:cs="仿宋"/>
                <w:color w:val="auto"/>
                <w:sz w:val="24"/>
                <w:szCs w:val="24"/>
              </w:rPr>
              <w:t>约</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次</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lang w:val="en-US"/>
              </w:rPr>
            </w:pPr>
            <w:r>
              <w:rPr>
                <w:rFonts w:hint="eastAsia" w:ascii="仿宋" w:hAnsi="仿宋" w:eastAsia="仿宋" w:cs="仿宋"/>
                <w:i w:val="0"/>
                <w:iCs w:val="0"/>
                <w:color w:val="auto"/>
                <w:kern w:val="0"/>
                <w:sz w:val="24"/>
                <w:szCs w:val="24"/>
                <w:u w:val="none"/>
                <w:lang w:val="en-US" w:eastAsia="zh-CN" w:bidi="ar"/>
              </w:rPr>
              <w:t>530</w:t>
            </w:r>
            <w:bookmarkStart w:id="1" w:name="OLE_LINK5"/>
            <w:r>
              <w:rPr>
                <w:rFonts w:hint="eastAsia" w:ascii="仿宋" w:hAnsi="仿宋" w:eastAsia="仿宋" w:cs="仿宋"/>
                <w:i w:val="0"/>
                <w:iCs w:val="0"/>
                <w:color w:val="auto"/>
                <w:kern w:val="0"/>
                <w:sz w:val="24"/>
                <w:szCs w:val="24"/>
                <w:u w:val="none"/>
                <w:lang w:val="en-US" w:eastAsia="zh-CN" w:bidi="ar"/>
              </w:rPr>
              <w:t>/次</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8" w:type="dxa"/>
            <w:vMerge w:val="continue"/>
            <w:vAlign w:val="center"/>
          </w:tcPr>
          <w:p>
            <w:pPr>
              <w:snapToGrid w:val="0"/>
              <w:jc w:val="center"/>
              <w:rPr>
                <w:rFonts w:hint="eastAsia" w:ascii="仿宋" w:hAnsi="仿宋" w:eastAsia="仿宋" w:cs="仿宋"/>
                <w:i w:val="0"/>
                <w:iCs w:val="0"/>
                <w:color w:val="auto"/>
                <w:sz w:val="24"/>
                <w:szCs w:val="24"/>
                <w:highlight w:val="none"/>
                <w:u w:val="none"/>
              </w:rPr>
            </w:pP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科研楼</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4777.1</w:t>
            </w:r>
          </w:p>
        </w:tc>
        <w:tc>
          <w:tcPr>
            <w:tcW w:w="3315" w:type="dxa"/>
            <w:vAlign w:val="center"/>
          </w:tcPr>
          <w:p>
            <w:pPr>
              <w:snapToGrid w:val="0"/>
              <w:jc w:val="left"/>
              <w:rPr>
                <w:rFonts w:hint="eastAsia" w:ascii="仿宋" w:hAnsi="仿宋" w:eastAsia="仿宋" w:cs="仿宋"/>
                <w:i w:val="0"/>
                <w:iCs w:val="0"/>
                <w:color w:val="auto"/>
                <w:sz w:val="24"/>
                <w:szCs w:val="24"/>
                <w:highlight w:val="none"/>
                <w:u w:val="none"/>
              </w:rPr>
            </w:pPr>
            <w:r>
              <w:rPr>
                <w:rFonts w:hint="eastAsia" w:ascii="仿宋" w:hAnsi="仿宋" w:eastAsia="仿宋" w:cs="仿宋"/>
                <w:color w:val="auto"/>
                <w:sz w:val="24"/>
                <w:szCs w:val="24"/>
              </w:rPr>
              <w:t>约</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次</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318/次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278" w:type="dxa"/>
            <w:vMerge w:val="continue"/>
            <w:vAlign w:val="center"/>
          </w:tcPr>
          <w:p>
            <w:pPr>
              <w:snapToGrid w:val="0"/>
              <w:jc w:val="center"/>
              <w:rPr>
                <w:rFonts w:hint="eastAsia" w:ascii="仿宋" w:hAnsi="仿宋" w:eastAsia="仿宋" w:cs="仿宋"/>
                <w:i w:val="0"/>
                <w:iCs w:val="0"/>
                <w:color w:val="auto"/>
                <w:sz w:val="24"/>
                <w:szCs w:val="24"/>
                <w:highlight w:val="none"/>
                <w:u w:val="none"/>
              </w:rPr>
            </w:pP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各制造部公共区域和功能间</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17114.31</w:t>
            </w:r>
          </w:p>
        </w:tc>
        <w:tc>
          <w:tcPr>
            <w:tcW w:w="3315" w:type="dxa"/>
            <w:vAlign w:val="center"/>
          </w:tcPr>
          <w:p>
            <w:pPr>
              <w:rPr>
                <w:rFonts w:hint="eastAsia" w:ascii="仿宋" w:hAnsi="仿宋" w:eastAsia="仿宋" w:cs="仿宋"/>
                <w:sz w:val="24"/>
                <w:szCs w:val="24"/>
              </w:rPr>
            </w:pPr>
            <w:r>
              <w:rPr>
                <w:rFonts w:hint="eastAsia" w:ascii="仿宋" w:hAnsi="仿宋" w:eastAsia="仿宋" w:cs="仿宋"/>
                <w:i w:val="0"/>
                <w:iCs w:val="0"/>
                <w:color w:val="auto"/>
                <w:kern w:val="0"/>
                <w:sz w:val="24"/>
                <w:szCs w:val="24"/>
                <w:u w:val="none"/>
                <w:lang w:val="en-US" w:eastAsia="zh-CN" w:bidi="ar"/>
              </w:rPr>
              <w:t>将该区域划分为若干片区轮转作业，每次处理约1个片区，全年累计约40次</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212/次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78" w:type="dxa"/>
            <w:vMerge w:val="continue"/>
            <w:vAlign w:val="center"/>
          </w:tcPr>
          <w:p>
            <w:pPr>
              <w:snapToGrid w:val="0"/>
              <w:jc w:val="center"/>
              <w:rPr>
                <w:rFonts w:hint="eastAsia" w:ascii="仿宋" w:hAnsi="仿宋" w:eastAsia="仿宋" w:cs="仿宋"/>
                <w:i w:val="0"/>
                <w:iCs w:val="0"/>
                <w:color w:val="auto"/>
                <w:sz w:val="24"/>
                <w:szCs w:val="24"/>
                <w:highlight w:val="none"/>
                <w:u w:val="none"/>
              </w:rPr>
            </w:pP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各制造部地下夹层和技术夹层</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46131</w:t>
            </w:r>
          </w:p>
        </w:tc>
        <w:tc>
          <w:tcPr>
            <w:tcW w:w="3315" w:type="dxa"/>
            <w:vAlign w:val="center"/>
          </w:tcPr>
          <w:p>
            <w:pPr>
              <w:rPr>
                <w:rFonts w:hint="eastAsia" w:ascii="仿宋" w:hAnsi="仿宋" w:eastAsia="仿宋" w:cs="仿宋"/>
                <w:sz w:val="24"/>
                <w:szCs w:val="24"/>
              </w:rPr>
            </w:pPr>
            <w:r>
              <w:rPr>
                <w:rFonts w:hint="eastAsia" w:ascii="仿宋" w:hAnsi="仿宋" w:eastAsia="仿宋" w:cs="仿宋"/>
                <w:sz w:val="24"/>
                <w:szCs w:val="24"/>
              </w:rPr>
              <w:t>约2次</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636/次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278" w:type="dxa"/>
            <w:vMerge w:val="continue"/>
            <w:vAlign w:val="center"/>
          </w:tcPr>
          <w:p>
            <w:pPr>
              <w:snapToGrid w:val="0"/>
              <w:jc w:val="center"/>
              <w:rPr>
                <w:rFonts w:hint="eastAsia" w:ascii="仿宋" w:hAnsi="仿宋" w:eastAsia="仿宋" w:cs="仿宋"/>
                <w:i w:val="0"/>
                <w:iCs w:val="0"/>
                <w:color w:val="auto"/>
                <w:sz w:val="24"/>
                <w:szCs w:val="24"/>
                <w:highlight w:val="none"/>
                <w:u w:val="none"/>
              </w:rPr>
            </w:pPr>
          </w:p>
        </w:tc>
        <w:tc>
          <w:tcPr>
            <w:tcW w:w="4969"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星珠仓库</w:t>
            </w:r>
          </w:p>
        </w:tc>
        <w:tc>
          <w:tcPr>
            <w:tcW w:w="1001" w:type="dxa"/>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8900</w:t>
            </w:r>
          </w:p>
        </w:tc>
        <w:tc>
          <w:tcPr>
            <w:tcW w:w="3315" w:type="dxa"/>
            <w:vAlign w:val="center"/>
          </w:tcPr>
          <w:p>
            <w:pPr>
              <w:rPr>
                <w:rFonts w:hint="eastAsia" w:ascii="仿宋" w:hAnsi="仿宋" w:eastAsia="仿宋" w:cs="仿宋"/>
                <w:sz w:val="24"/>
                <w:szCs w:val="24"/>
              </w:rPr>
            </w:pPr>
            <w:r>
              <w:rPr>
                <w:rFonts w:hint="eastAsia" w:ascii="仿宋" w:hAnsi="仿宋" w:eastAsia="仿宋" w:cs="仿宋"/>
                <w:sz w:val="24"/>
                <w:szCs w:val="24"/>
              </w:rPr>
              <w:t>约4次</w:t>
            </w:r>
          </w:p>
        </w:tc>
        <w:tc>
          <w:tcPr>
            <w:tcW w:w="1200"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305" w:type="dxa"/>
            <w:vAlign w:val="center"/>
          </w:tcPr>
          <w:p>
            <w:pPr>
              <w:snapToGrid w:val="0"/>
              <w:jc w:val="center"/>
              <w:rPr>
                <w:rFonts w:hint="eastAsia" w:ascii="仿宋" w:hAnsi="仿宋" w:eastAsia="仿宋" w:cs="仿宋"/>
                <w:i w:val="0"/>
                <w:iCs w:val="0"/>
                <w:color w:val="auto"/>
                <w:sz w:val="24"/>
                <w:szCs w:val="24"/>
                <w:highlight w:val="none"/>
                <w:u w:val="none"/>
              </w:rPr>
            </w:pPr>
          </w:p>
        </w:tc>
        <w:tc>
          <w:tcPr>
            <w:tcW w:w="1680" w:type="dxa"/>
            <w:vAlign w:val="center"/>
          </w:tcPr>
          <w:p>
            <w:pPr>
              <w:keepNext w:val="0"/>
              <w:keepLines w:val="0"/>
              <w:widowControl/>
              <w:suppressLineNumbers w:val="0"/>
              <w:jc w:val="center"/>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636/次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1763" w:type="dxa"/>
            <w:gridSpan w:val="5"/>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u w:val="none"/>
                <w:lang w:bidi="ar"/>
              </w:rPr>
              <w:t>不含税合计（元）</w:t>
            </w:r>
            <w:r>
              <w:rPr>
                <w:rFonts w:hint="eastAsia" w:ascii="仿宋" w:hAnsi="仿宋" w:eastAsia="仿宋" w:cs="仿宋"/>
                <w:i w:val="0"/>
                <w:iCs w:val="0"/>
                <w:color w:val="auto"/>
                <w:kern w:val="0"/>
                <w:sz w:val="24"/>
                <w:szCs w:val="24"/>
                <w:u w:val="none"/>
                <w:lang w:val="en-US" w:eastAsia="zh-CN" w:bidi="ar"/>
              </w:rPr>
              <w:t>=日常防治年度小计 + 五项紧急防治年度小计（单价乘以预计次数）之和</w:t>
            </w:r>
            <w:r>
              <w:rPr>
                <w:rFonts w:hint="eastAsia" w:ascii="仿宋" w:hAnsi="仿宋" w:eastAsia="仿宋" w:cs="仿宋"/>
                <w:i w:val="0"/>
                <w:iCs w:val="0"/>
                <w:color w:val="auto"/>
                <w:kern w:val="0"/>
                <w:sz w:val="24"/>
                <w:szCs w:val="24"/>
                <w:u w:val="none"/>
                <w:lang w:eastAsia="zh-CN" w:bidi="ar"/>
              </w:rPr>
              <w:t>：</w:t>
            </w:r>
          </w:p>
        </w:tc>
        <w:tc>
          <w:tcPr>
            <w:tcW w:w="2985" w:type="dxa"/>
            <w:gridSpan w:val="2"/>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24"/>
                <w:szCs w:val="24"/>
                <w:u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1763" w:type="dxa"/>
            <w:gridSpan w:val="5"/>
            <w:vAlign w:val="center"/>
          </w:tcPr>
          <w:p>
            <w:pPr>
              <w:keepNext w:val="0"/>
              <w:keepLines w:val="0"/>
              <w:widowControl/>
              <w:suppressLineNumbers w:val="0"/>
              <w:ind w:left="0" w:leftChars="0" w:right="0" w:rightChars="0" w:firstLine="3600" w:firstLineChars="1500"/>
              <w:jc w:val="left"/>
              <w:textAlignment w:val="center"/>
              <w:rPr>
                <w:rFonts w:hint="eastAsia" w:ascii="仿宋" w:hAnsi="仿宋" w:eastAsia="仿宋" w:cs="仿宋"/>
                <w:i w:val="0"/>
                <w:iCs w:val="0"/>
                <w:color w:val="auto"/>
                <w:kern w:val="0"/>
                <w:sz w:val="24"/>
                <w:szCs w:val="24"/>
                <w:u w:val="none"/>
                <w:lang w:bidi="ar"/>
              </w:rPr>
            </w:pPr>
            <w:r>
              <w:rPr>
                <w:rFonts w:hint="eastAsia" w:ascii="仿宋" w:hAnsi="仿宋" w:eastAsia="仿宋" w:cs="仿宋"/>
                <w:i w:val="0"/>
                <w:iCs w:val="0"/>
                <w:color w:val="auto"/>
                <w:kern w:val="0"/>
                <w:sz w:val="24"/>
                <w:szCs w:val="24"/>
                <w:u w:val="none"/>
                <w:lang w:bidi="ar"/>
              </w:rPr>
              <w:t>大写不含税合计（元）：</w:t>
            </w:r>
          </w:p>
        </w:tc>
        <w:tc>
          <w:tcPr>
            <w:tcW w:w="2985" w:type="dxa"/>
            <w:gridSpan w:val="2"/>
            <w:vAlign w:val="center"/>
          </w:tcPr>
          <w:p>
            <w:pPr>
              <w:keepNext w:val="0"/>
              <w:keepLines w:val="0"/>
              <w:widowControl/>
              <w:suppressLineNumbers w:val="0"/>
              <w:ind w:left="0" w:leftChars="0" w:right="0" w:rightChars="0" w:firstLine="3600" w:firstLineChars="1500"/>
              <w:jc w:val="left"/>
              <w:textAlignment w:val="center"/>
              <w:rPr>
                <w:rFonts w:hint="eastAsia" w:ascii="仿宋" w:hAnsi="仿宋" w:eastAsia="仿宋" w:cs="仿宋"/>
                <w:i w:val="0"/>
                <w:iCs w:val="0"/>
                <w:color w:val="auto"/>
                <w:kern w:val="0"/>
                <w:sz w:val="24"/>
                <w:szCs w:val="24"/>
                <w:u w:val="none"/>
                <w:lang w:bidi="ar"/>
              </w:rPr>
            </w:pPr>
          </w:p>
        </w:tc>
      </w:tr>
    </w:tbl>
    <w:p>
      <w:pPr>
        <w:pStyle w:val="4"/>
        <w:spacing w:line="240" w:lineRule="auto"/>
        <w:rPr>
          <w:rFonts w:hint="eastAsia" w:ascii="仿宋" w:hAnsi="仿宋" w:eastAsia="仿宋" w:cs="仿宋"/>
          <w:i w:val="0"/>
          <w:iCs w:val="0"/>
          <w:color w:val="auto"/>
          <w:kern w:val="0"/>
          <w:sz w:val="24"/>
          <w:szCs w:val="24"/>
          <w:u w:val="none"/>
          <w:lang w:bidi="ar"/>
        </w:rPr>
      </w:pPr>
    </w:p>
    <w:p>
      <w:pPr>
        <w:pStyle w:val="4"/>
        <w:spacing w:line="240" w:lineRule="auto"/>
        <w:rPr>
          <w:rFonts w:hint="eastAsia" w:ascii="仿宋" w:hAnsi="仿宋" w:eastAsia="仿宋" w:cs="仿宋"/>
          <w:i w:val="0"/>
          <w:iCs w:val="0"/>
          <w:color w:val="auto"/>
          <w:kern w:val="0"/>
          <w:sz w:val="24"/>
          <w:szCs w:val="24"/>
          <w:u w:val="none"/>
          <w:lang w:bidi="ar"/>
        </w:rPr>
      </w:pPr>
    </w:p>
    <w:p>
      <w:pPr>
        <w:pStyle w:val="4"/>
        <w:spacing w:line="240" w:lineRule="auto"/>
        <w:rPr>
          <w:rFonts w:hint="eastAsia" w:ascii="仿宋" w:hAnsi="仿宋" w:eastAsia="仿宋" w:cs="仿宋"/>
          <w:i w:val="0"/>
          <w:iCs w:val="0"/>
          <w:color w:val="auto"/>
          <w:kern w:val="0"/>
          <w:sz w:val="24"/>
          <w:szCs w:val="24"/>
          <w:highlight w:val="none"/>
          <w:u w:val="none"/>
          <w:lang w:bidi="ar"/>
        </w:rPr>
      </w:pPr>
      <w:r>
        <w:rPr>
          <w:rFonts w:hint="eastAsia" w:ascii="仿宋" w:hAnsi="仿宋" w:eastAsia="仿宋" w:cs="仿宋"/>
          <w:i w:val="0"/>
          <w:iCs w:val="0"/>
          <w:color w:val="auto"/>
          <w:kern w:val="0"/>
          <w:sz w:val="24"/>
          <w:szCs w:val="24"/>
          <w:u w:val="none"/>
          <w:lang w:bidi="ar"/>
        </w:rPr>
        <w:t>注：</w:t>
      </w:r>
    </w:p>
    <w:p>
      <w:pPr>
        <w:pStyle w:val="3"/>
        <w:spacing w:line="240" w:lineRule="auto"/>
        <w:ind w:left="0" w:leftChars="0" w:firstLine="240" w:firstLineChars="100"/>
        <w:jc w:val="left"/>
        <w:rPr>
          <w:rFonts w:hint="eastAsia"/>
          <w:color w:val="auto"/>
          <w:sz w:val="24"/>
          <w:szCs w:val="24"/>
          <w:highlight w:val="none"/>
        </w:rPr>
      </w:pPr>
      <w:r>
        <w:rPr>
          <w:rFonts w:hint="eastAsia" w:ascii="仿宋" w:hAnsi="仿宋" w:eastAsia="仿宋" w:cs="仿宋"/>
          <w:i w:val="0"/>
          <w:iCs w:val="0"/>
          <w:color w:val="auto"/>
          <w:kern w:val="0"/>
          <w:sz w:val="24"/>
          <w:szCs w:val="24"/>
          <w:u w:val="none"/>
          <w:lang w:bidi="ar"/>
        </w:rPr>
        <w:t>一、</w:t>
      </w:r>
      <w:r>
        <w:rPr>
          <w:rStyle w:val="7"/>
          <w:color w:val="auto"/>
          <w:sz w:val="24"/>
          <w:szCs w:val="24"/>
          <w:lang w:bidi="ar"/>
        </w:rPr>
        <w:t>付款方式：每月开具增值税专用发票（税率</w:t>
      </w:r>
      <w:r>
        <w:rPr>
          <w:rStyle w:val="9"/>
          <w:color w:val="auto"/>
          <w:sz w:val="24"/>
          <w:szCs w:val="24"/>
          <w:lang w:bidi="ar"/>
        </w:rPr>
        <w:t xml:space="preserve">    </w:t>
      </w:r>
      <w:r>
        <w:rPr>
          <w:rStyle w:val="7"/>
          <w:color w:val="auto"/>
          <w:sz w:val="24"/>
          <w:szCs w:val="24"/>
          <w:lang w:bidi="ar"/>
        </w:rPr>
        <w:t>%）</w:t>
      </w:r>
      <w:r>
        <w:rPr>
          <w:rStyle w:val="7"/>
          <w:rFonts w:eastAsia="仿宋"/>
          <w:color w:val="auto"/>
          <w:sz w:val="24"/>
          <w:szCs w:val="24"/>
          <w:lang w:eastAsia="zh-CN" w:bidi="ar"/>
        </w:rPr>
        <w:t>，</w:t>
      </w:r>
      <w:r>
        <w:rPr>
          <w:rStyle w:val="7"/>
          <w:rFonts w:hint="eastAsia" w:eastAsia="仿宋"/>
          <w:color w:val="auto"/>
          <w:sz w:val="24"/>
          <w:szCs w:val="24"/>
          <w:lang w:val="en-US" w:eastAsia="zh-CN" w:bidi="ar"/>
        </w:rPr>
        <w:t>按实结算</w:t>
      </w:r>
      <w:r>
        <w:rPr>
          <w:rStyle w:val="7"/>
          <w:color w:val="auto"/>
          <w:sz w:val="24"/>
          <w:szCs w:val="24"/>
          <w:lang w:bidi="ar"/>
        </w:rPr>
        <w:t>；</w:t>
      </w:r>
    </w:p>
    <w:p>
      <w:pPr>
        <w:pStyle w:val="2"/>
        <w:spacing w:line="240" w:lineRule="auto"/>
        <w:rPr>
          <w:rFonts w:hint="eastAsia"/>
          <w:highlight w:val="none"/>
        </w:rPr>
      </w:pPr>
    </w:p>
    <w:p>
      <w:pPr>
        <w:pStyle w:val="4"/>
        <w:rPr>
          <w:rFonts w:hint="eastAsia"/>
          <w:highlight w:val="none"/>
        </w:rPr>
      </w:pPr>
    </w:p>
    <w:p>
      <w:pPr>
        <w:pStyle w:val="4"/>
        <w:rPr>
          <w:rFonts w:hint="eastAsia"/>
          <w:highlight w:val="none"/>
        </w:rPr>
      </w:pPr>
    </w:p>
    <w:p>
      <w:pPr>
        <w:pStyle w:val="4"/>
        <w:rPr>
          <w:rFonts w:hint="eastAsia"/>
          <w:highlight w:val="none"/>
        </w:rPr>
      </w:pPr>
    </w:p>
    <w:p>
      <w:pPr>
        <w:pStyle w:val="3"/>
        <w:jc w:val="center"/>
        <w:rPr>
          <w:rFonts w:hint="eastAsia" w:ascii="仿宋" w:hAnsi="仿宋" w:eastAsia="仿宋" w:cs="仿宋"/>
          <w:b w:val="0"/>
          <w:bCs w:val="0"/>
          <w:color w:val="auto"/>
          <w:sz w:val="18"/>
          <w:szCs w:val="18"/>
          <w:highlight w:val="none"/>
        </w:rPr>
      </w:pPr>
      <w:r>
        <w:rPr>
          <w:rFonts w:hint="eastAsia" w:cs="宋体"/>
          <w:b/>
          <w:bCs/>
          <w:color w:val="auto"/>
          <w:sz w:val="44"/>
          <w:szCs w:val="44"/>
        </w:rPr>
        <w:t xml:space="preserve">                                                          </w:t>
      </w:r>
      <w:r>
        <w:rPr>
          <w:rFonts w:hint="eastAsia" w:eastAsia="宋体" w:cs="宋体"/>
          <w:b/>
          <w:bCs/>
          <w:color w:val="auto"/>
          <w:sz w:val="44"/>
          <w:szCs w:val="44"/>
        </w:rPr>
        <w:t xml:space="preserve">  </w:t>
      </w:r>
    </w:p>
    <w:p>
      <w:pPr>
        <w:pStyle w:val="2"/>
        <w:keepNext w:val="0"/>
        <w:keepLines w:val="0"/>
        <w:pageBreakBefore w:val="0"/>
        <w:kinsoku/>
        <w:overflowPunct/>
        <w:bidi w:val="0"/>
        <w:spacing w:line="240" w:lineRule="auto"/>
        <w:ind w:left="0" w:leftChars="0" w:right="0" w:rightChars="0"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sz w:val="24"/>
          <w:szCs w:val="24"/>
        </w:rPr>
        <w:t xml:space="preserve">  　　　　　　　　　　　　　　　　　　　　　　　　　　　　　　　　　　　　　　　　　　　　　</w:t>
      </w:r>
    </w:p>
    <w:p>
      <w:pPr>
        <w:pStyle w:val="2"/>
        <w:keepNext w:val="0"/>
        <w:keepLines w:val="0"/>
        <w:pageBreakBefore w:val="0"/>
        <w:kinsoku/>
        <w:overflowPunct/>
        <w:bidi w:val="0"/>
        <w:spacing w:line="240" w:lineRule="auto"/>
        <w:ind w:left="0" w:leftChars="0" w:right="0" w:rightChars="0" w:firstLine="0" w:firstLineChars="0"/>
        <w:jc w:val="left"/>
        <w:textAlignment w:val="auto"/>
        <w:rPr>
          <w:rFonts w:ascii="仿宋" w:hAnsi="仿宋" w:eastAsia="仿宋" w:cs="仿宋"/>
          <w:sz w:val="28"/>
          <w:szCs w:val="28"/>
          <w:highlight w:val="none"/>
        </w:rPr>
      </w:pPr>
      <w:r>
        <w:rPr>
          <w:rFonts w:hint="eastAsia" w:ascii="仿宋" w:hAnsi="仿宋" w:eastAsia="仿宋" w:cs="仿宋"/>
          <w:sz w:val="24"/>
          <w:szCs w:val="24"/>
        </w:rPr>
        <w:t>　　　　　　　　　　　　　　　　　　　　　　　　　　　　　　　　　　　　　　　　　　　</w:t>
      </w:r>
      <w:r>
        <w:rPr>
          <w:rFonts w:hint="eastAsia" w:ascii="仿宋" w:hAnsi="仿宋" w:eastAsia="仿宋" w:cs="仿宋"/>
          <w:sz w:val="28"/>
          <w:szCs w:val="28"/>
        </w:rPr>
        <w:t>　供应商：</w:t>
      </w:r>
    </w:p>
    <w:p>
      <w:pPr>
        <w:pStyle w:val="3"/>
        <w:keepNext w:val="0"/>
        <w:keepLines w:val="0"/>
        <w:pageBreakBefore w:val="0"/>
        <w:kinsoku/>
        <w:overflowPunct/>
        <w:bidi w:val="0"/>
        <w:spacing w:line="240" w:lineRule="auto"/>
        <w:ind w:left="0" w:leftChars="0" w:right="0" w:rightChars="0" w:firstLineChars="38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rPr>
        <w:t>联系人：</w:t>
      </w:r>
    </w:p>
    <w:p>
      <w:pPr>
        <w:pStyle w:val="3"/>
        <w:keepNext w:val="0"/>
        <w:keepLines w:val="0"/>
        <w:pageBreakBefore w:val="0"/>
        <w:kinsoku/>
        <w:overflowPunct/>
        <w:bidi w:val="0"/>
        <w:spacing w:line="240" w:lineRule="auto"/>
        <w:ind w:left="0" w:leftChars="0" w:right="0" w:rightChars="0" w:firstLineChars="38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rPr>
        <w:t>联系电话：</w:t>
      </w:r>
    </w:p>
    <w:p>
      <w:pPr>
        <w:pStyle w:val="3"/>
        <w:keepNext w:val="0"/>
        <w:keepLines w:val="0"/>
        <w:pageBreakBefore w:val="0"/>
        <w:kinsoku/>
        <w:overflowPunct/>
        <w:bidi w:val="0"/>
        <w:spacing w:line="240" w:lineRule="auto"/>
        <w:ind w:left="0" w:leftChars="0" w:right="0" w:rightChars="0" w:firstLineChars="3800"/>
        <w:jc w:val="both"/>
        <w:textAlignment w:val="auto"/>
        <w:rPr>
          <w:rFonts w:ascii="仿宋" w:hAnsi="仿宋" w:eastAsia="仿宋" w:cs="仿宋"/>
          <w:color w:val="auto"/>
          <w:sz w:val="28"/>
          <w:szCs w:val="28"/>
          <w:highlight w:val="none"/>
        </w:rPr>
        <w:sectPr>
          <w:pgSz w:w="16838" w:h="11906" w:orient="landscape"/>
          <w:pgMar w:top="1417" w:right="1134" w:bottom="1247" w:left="1134" w:header="0" w:footer="0" w:gutter="0"/>
          <w:pgNumType w:fmt="decimal"/>
          <w:cols w:space="720" w:num="1"/>
          <w:formProt w:val="0"/>
          <w:docGrid w:type="lines" w:linePitch="330" w:charSpace="0"/>
        </w:sectPr>
      </w:pPr>
      <w:r>
        <w:rPr>
          <w:rFonts w:hint="eastAsia" w:ascii="仿宋" w:hAnsi="仿宋" w:eastAsia="仿宋" w:cs="仿宋"/>
          <w:color w:val="auto"/>
          <w:sz w:val="28"/>
          <w:szCs w:val="28"/>
        </w:rPr>
        <w:t>日期：</w:t>
      </w:r>
      <w:r>
        <w:rPr>
          <w:rFonts w:ascii="仿宋" w:hAnsi="仿宋" w:eastAsia="仿宋" w:cs="仿宋"/>
          <w:color w:val="auto"/>
          <w:sz w:val="28"/>
          <w:szCs w:val="28"/>
        </w:rPr>
        <w:t xml:space="preserve">  </w:t>
      </w:r>
      <w:r>
        <w:rPr>
          <w:rFonts w:ascii="仿宋" w:hAnsi="仿宋" w:eastAsia="仿宋" w:cs="仿宋"/>
          <w:color w:val="auto"/>
          <w:sz w:val="24"/>
          <w:szCs w:val="24"/>
        </w:rPr>
        <w:t xml:space="preserve">          </w:t>
      </w:r>
    </w:p>
    <w:p>
      <w:pPr>
        <w:pStyle w:val="2"/>
        <w:ind w:left="0" w:leftChars="0" w:right="0" w:rightChars="0" w:firstLine="0" w:firstLineChars="0"/>
        <w:rPr>
          <w:rFonts w:hint="eastAsia" w:ascii="宋体" w:hAnsi="宋体" w:eastAsia="宋体" w:cs="宋体"/>
          <w:b/>
          <w:bCs/>
          <w:color w:val="auto"/>
          <w:sz w:val="36"/>
          <w:szCs w:val="36"/>
          <w:highlight w:val="none"/>
        </w:rPr>
      </w:pPr>
      <w:r>
        <w:rPr>
          <w:rFonts w:hint="eastAsia" w:ascii="仿宋" w:hAnsi="仿宋" w:eastAsia="仿宋" w:cs="仿宋"/>
          <w:b/>
          <w:bCs/>
          <w:sz w:val="36"/>
          <w:szCs w:val="36"/>
        </w:rPr>
        <w:t>附件2：</w:t>
      </w:r>
    </w:p>
    <w:p>
      <w:pPr>
        <w:keepNext w:val="0"/>
        <w:keepLines w:val="0"/>
        <w:pageBreakBefore w:val="0"/>
        <w:kinsoku/>
        <w:overflowPunct/>
        <w:bidi w:val="0"/>
        <w:snapToGrid/>
        <w:spacing w:line="240" w:lineRule="auto"/>
        <w:jc w:val="center"/>
        <w:rPr>
          <w:rFonts w:hint="eastAsia" w:ascii="宋体" w:hAnsi="宋体" w:eastAsia="宋体" w:cs="宋体"/>
          <w:b/>
          <w:bCs/>
          <w:color w:val="auto"/>
          <w:sz w:val="44"/>
          <w:szCs w:val="44"/>
          <w:highlight w:val="none"/>
        </w:rPr>
      </w:pPr>
      <w:r>
        <w:rPr>
          <w:rFonts w:hint="eastAsia" w:ascii="宋体" w:hAnsi="宋体" w:cs="宋体"/>
          <w:b/>
          <w:bCs/>
          <w:color w:val="auto"/>
          <w:sz w:val="44"/>
          <w:szCs w:val="44"/>
        </w:rPr>
        <w:t>广州白云山中一药业有限公司</w:t>
      </w:r>
    </w:p>
    <w:p>
      <w:pPr>
        <w:spacing w:line="240" w:lineRule="auto"/>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2027-2028年度“除四害”服务项目</w:t>
      </w:r>
    </w:p>
    <w:p>
      <w:pPr>
        <w:spacing w:line="240" w:lineRule="auto"/>
        <w:jc w:val="center"/>
        <w:rPr>
          <w:rFonts w:hint="eastAsia"/>
          <w:highlight w:val="none"/>
        </w:rPr>
      </w:pPr>
      <w:r>
        <w:rPr>
          <w:rFonts w:hint="eastAsia" w:ascii="宋体" w:hAnsi="宋体" w:eastAsia="宋体" w:cs="宋体"/>
          <w:b/>
          <w:bCs/>
          <w:color w:val="auto"/>
          <w:sz w:val="44"/>
          <w:szCs w:val="44"/>
        </w:rPr>
        <w:t>供应商承诺书</w:t>
      </w:r>
    </w:p>
    <w:p>
      <w:pPr>
        <w:keepNext w:val="0"/>
        <w:keepLines w:val="0"/>
        <w:pageBreakBefore w:val="0"/>
        <w:kinsoku/>
        <w:overflowPunct/>
        <w:bidi w:val="0"/>
        <w:snapToGrid/>
        <w:spacing w:line="240" w:lineRule="auto"/>
        <w:rPr>
          <w:rFonts w:hint="eastAsia" w:ascii="仿宋" w:hAnsi="仿宋" w:eastAsia="仿宋" w:cs="仿宋"/>
          <w:sz w:val="28"/>
          <w:szCs w:val="28"/>
          <w:highlight w:val="none"/>
        </w:rPr>
      </w:pPr>
      <w:r>
        <w:rPr>
          <w:rFonts w:hint="eastAsia" w:ascii="仿宋" w:hAnsi="仿宋" w:eastAsia="仿宋" w:cs="仿宋"/>
          <w:sz w:val="28"/>
          <w:szCs w:val="28"/>
        </w:rPr>
        <w:t>广州白云山中一药业有限公司：</w:t>
      </w:r>
    </w:p>
    <w:p>
      <w:pPr>
        <w:keepNext w:val="0"/>
        <w:keepLines w:val="0"/>
        <w:pageBreakBefore w:val="0"/>
        <w:kinsoku/>
        <w:overflowPunct/>
        <w:bidi w:val="0"/>
        <w:snapToGrid/>
        <w:spacing w:line="240" w:lineRule="auto"/>
        <w:ind w:left="0" w:leftChars="0" w:right="0" w:rightChars="0" w:firstLineChars="200"/>
        <w:rPr>
          <w:rFonts w:hint="eastAsia" w:ascii="仿宋" w:hAnsi="仿宋" w:eastAsia="仿宋" w:cs="仿宋"/>
          <w:color w:val="auto"/>
          <w:kern w:val="0"/>
          <w:sz w:val="28"/>
          <w:szCs w:val="28"/>
          <w:highlight w:val="none"/>
        </w:rPr>
      </w:pPr>
      <w:r>
        <w:rPr>
          <w:rFonts w:hint="eastAsia" w:ascii="仿宋" w:hAnsi="仿宋" w:eastAsia="仿宋" w:cs="仿宋"/>
          <w:b w:val="0"/>
          <w:kern w:val="2"/>
          <w:sz w:val="28"/>
          <w:szCs w:val="28"/>
        </w:rPr>
        <w:t>我已详细研读了贵司“2027-2028年度广州白云山中一药业有限公司“除四害”服务项目公开询价函”及相关要求，现有意参加贵司本次服务采购询价项目并作以下承诺：</w:t>
      </w:r>
    </w:p>
    <w:p>
      <w:pPr>
        <w:pStyle w:val="10"/>
        <w:keepNext w:val="0"/>
        <w:keepLines w:val="0"/>
        <w:pageBreakBefore w:val="0"/>
        <w:numPr>
          <w:ilvl w:val="0"/>
          <w:numId w:val="0"/>
        </w:numPr>
        <w:kinsoku/>
        <w:overflowPunct/>
        <w:bidi w:val="0"/>
        <w:snapToGrid/>
        <w:spacing w:line="240" w:lineRule="auto"/>
        <w:ind w:left="0" w:firstLine="0" w:firstLineChars="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rPr>
        <w:t>1、保证所提供资料的真实性、完整性，一旦发现所提供材料失实的，贵司有权取消评选资格。</w:t>
      </w:r>
    </w:p>
    <w:p>
      <w:pPr>
        <w:pStyle w:val="10"/>
        <w:keepNext w:val="0"/>
        <w:keepLines w:val="0"/>
        <w:pageBreakBefore w:val="0"/>
        <w:numPr>
          <w:ilvl w:val="0"/>
          <w:numId w:val="0"/>
        </w:numPr>
        <w:kinsoku/>
        <w:overflowPunct/>
        <w:bidi w:val="0"/>
        <w:snapToGrid/>
        <w:spacing w:line="240" w:lineRule="auto"/>
        <w:ind w:left="0" w:firstLine="0" w:firstLineChars="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rPr>
        <w:t>2、按照询价函中要求和贵司的要求完成本项目。</w:t>
      </w:r>
    </w:p>
    <w:p>
      <w:pPr>
        <w:pStyle w:val="11"/>
        <w:keepNext w:val="0"/>
        <w:keepLines w:val="0"/>
        <w:widowControl/>
        <w:suppressLineNumbers w:val="0"/>
        <w:spacing w:before="0" w:after="0" w:line="240" w:lineRule="auto"/>
        <w:ind w:right="0"/>
        <w:rPr>
          <w:rFonts w:hint="eastAsia" w:ascii="仿宋" w:hAnsi="仿宋" w:eastAsia="仿宋" w:cs="仿宋"/>
          <w:color w:val="auto"/>
          <w:kern w:val="2"/>
          <w:sz w:val="28"/>
          <w:szCs w:val="28"/>
          <w:highlight w:val="none"/>
          <w:lang w:bidi="ar-SA"/>
        </w:rPr>
      </w:pPr>
      <w:r>
        <w:rPr>
          <w:rFonts w:hint="eastAsia" w:ascii="仿宋" w:hAnsi="仿宋" w:eastAsia="仿宋" w:cs="仿宋"/>
          <w:color w:val="auto"/>
          <w:kern w:val="0"/>
          <w:sz w:val="28"/>
          <w:szCs w:val="28"/>
        </w:rPr>
        <w:t>3、服务方案：</w:t>
      </w:r>
      <w:r>
        <w:rPr>
          <w:rFonts w:hint="eastAsia" w:ascii="仿宋" w:hAnsi="仿宋" w:eastAsia="仿宋" w:cs="仿宋"/>
          <w:position w:val="0"/>
          <w:sz w:val="28"/>
          <w:szCs w:val="28"/>
          <w:vertAlign w:val="baseline"/>
        </w:rPr>
        <w:t>①</w:t>
      </w:r>
      <w:r>
        <w:rPr>
          <w:rFonts w:hint="eastAsia" w:ascii="仿宋" w:hAnsi="仿宋" w:eastAsia="仿宋" w:cs="仿宋"/>
          <w:color w:val="auto"/>
          <w:sz w:val="28"/>
          <w:szCs w:val="28"/>
        </w:rPr>
        <w:t>控制标准：虫害密度需持续达到或优于《国家标准病媒生物密度控制水平》C级；②</w:t>
      </w:r>
      <w:r>
        <w:rPr>
          <w:rFonts w:hint="eastAsia" w:ascii="仿宋" w:hAnsi="仿宋" w:eastAsia="仿宋" w:cs="仿宋"/>
          <w:position w:val="0"/>
          <w:sz w:val="28"/>
          <w:szCs w:val="28"/>
          <w:vertAlign w:val="baseline"/>
        </w:rPr>
        <w:t>我司使用</w:t>
      </w:r>
      <w:r>
        <w:rPr>
          <w:rFonts w:hint="eastAsia" w:ascii="仿宋" w:hAnsi="仿宋" w:eastAsia="仿宋" w:cs="仿宋"/>
          <w:color w:val="auto"/>
          <w:sz w:val="28"/>
          <w:szCs w:val="28"/>
        </w:rPr>
        <w:t>灭四害的用药必须符合相关规定，保证用药安全，严禁使用违禁药物，使用药剂必须具备合法的"三证"，使用前提交</w:t>
      </w:r>
      <w:r>
        <w:rPr>
          <w:rFonts w:hint="eastAsia" w:ascii="仿宋" w:hAnsi="仿宋" w:eastAsia="仿宋" w:cs="仿宋"/>
          <w:color w:val="auto"/>
          <w:sz w:val="28"/>
          <w:szCs w:val="28"/>
          <w:lang w:val="en-US" w:eastAsia="zh-CN"/>
        </w:rPr>
        <w:t>中一公司</w:t>
      </w:r>
      <w:r>
        <w:rPr>
          <w:rFonts w:hint="eastAsia" w:ascii="仿宋" w:hAnsi="仿宋" w:eastAsia="仿宋" w:cs="仿宋"/>
          <w:color w:val="auto"/>
          <w:sz w:val="28"/>
          <w:szCs w:val="28"/>
        </w:rPr>
        <w:t>检查，</w:t>
      </w:r>
      <w:r>
        <w:rPr>
          <w:rFonts w:hint="eastAsia" w:ascii="仿宋" w:hAnsi="仿宋" w:eastAsia="仿宋" w:cs="仿宋"/>
          <w:color w:val="auto"/>
          <w:sz w:val="28"/>
          <w:szCs w:val="28"/>
          <w:lang w:val="en-US" w:eastAsia="zh-CN"/>
        </w:rPr>
        <w:t>中一公司</w:t>
      </w:r>
      <w:r>
        <w:rPr>
          <w:rFonts w:hint="eastAsia" w:ascii="仿宋" w:hAnsi="仿宋" w:eastAsia="仿宋" w:cs="仿宋"/>
          <w:color w:val="auto"/>
          <w:sz w:val="28"/>
          <w:szCs w:val="28"/>
        </w:rPr>
        <w:t>同意后才能使用；③服务期内须形成并提交涵盖虫害平面控制图、单次服务施工记录及月度报告等资料、虫害控制服务报告、趋势分析报告交由中一公司存档；④使用具有毒害性、刺激性或其他潜在危险的物品，须在显著位置清晰标注危险性防护标识，以起到明确的安全警示作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⑤我方保证在服务期限内，因虫害危害需提供紧急服务，在2小时内到位并进行处理；</w:t>
      </w:r>
      <w:r>
        <w:rPr>
          <w:rFonts w:hint="eastAsia" w:ascii="仿宋" w:hAnsi="仿宋" w:eastAsia="仿宋" w:cs="仿宋"/>
          <w:color w:val="auto"/>
          <w:kern w:val="2"/>
          <w:sz w:val="28"/>
          <w:szCs w:val="28"/>
          <w:lang w:bidi="ar-SA"/>
        </w:rPr>
        <w:t>发现老鼠笼或老鼠贴有老鼠痕迹，48小时内安排服务人员上门服务。</w:t>
      </w:r>
    </w:p>
    <w:p>
      <w:pPr>
        <w:keepNext w:val="0"/>
        <w:keepLines w:val="0"/>
        <w:pageBreakBefore w:val="0"/>
        <w:widowControl w:val="0"/>
        <w:kinsoku/>
        <w:overflowPunct/>
        <w:autoSpaceDE/>
        <w:bidi w:val="0"/>
        <w:snapToGrid/>
        <w:spacing w:line="240" w:lineRule="auto"/>
        <w:textAlignment w:val="auto"/>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lang w:bidi="ar"/>
        </w:rPr>
        <w:t>4、我司严格按照中华人民共和国国家卫生健康委员会文和符合防虫防鼠的相关规定、指南（如AIB、ISPE和GB50687、GB31712等）等相关内容执行。</w:t>
      </w:r>
    </w:p>
    <w:p>
      <w:pPr>
        <w:pStyle w:val="11"/>
        <w:keepNext w:val="0"/>
        <w:keepLines w:val="0"/>
        <w:widowControl/>
        <w:suppressLineNumbers w:val="0"/>
        <w:spacing w:before="0" w:after="0" w:line="240" w:lineRule="auto"/>
        <w:ind w:right="0"/>
        <w:rPr>
          <w:rFonts w:hint="eastAsia" w:ascii="仿宋" w:hAnsi="仿宋" w:eastAsia="仿宋" w:cs="仿宋"/>
          <w:color w:val="auto"/>
          <w:position w:val="0"/>
          <w:sz w:val="28"/>
          <w:szCs w:val="28"/>
          <w:highlight w:val="none"/>
          <w:vertAlign w:val="baseline"/>
        </w:rPr>
      </w:pPr>
      <w:r>
        <w:rPr>
          <w:rFonts w:hint="eastAsia" w:ascii="仿宋" w:hAnsi="仿宋" w:eastAsia="仿宋" w:cs="仿宋"/>
          <w:color w:val="auto"/>
          <w:kern w:val="0"/>
          <w:sz w:val="28"/>
          <w:szCs w:val="28"/>
        </w:rPr>
        <w:t>5、</w:t>
      </w:r>
      <w:r>
        <w:rPr>
          <w:rFonts w:hint="eastAsia" w:ascii="仿宋" w:hAnsi="仿宋" w:eastAsia="仿宋" w:cs="仿宋"/>
          <w:bCs w:val="0"/>
          <w:color w:val="auto"/>
          <w:sz w:val="28"/>
          <w:szCs w:val="28"/>
        </w:rPr>
        <w:t>我司郑重承诺保证消杀服务的质量：确保消杀效果符合预期，达到贵司满意的要求；</w:t>
      </w:r>
      <w:r>
        <w:rPr>
          <w:rFonts w:hint="eastAsia" w:ascii="仿宋" w:hAnsi="仿宋" w:eastAsia="仿宋" w:cs="仿宋"/>
          <w:color w:val="auto"/>
          <w:position w:val="0"/>
          <w:sz w:val="28"/>
          <w:szCs w:val="28"/>
          <w:vertAlign w:val="baseline"/>
        </w:rPr>
        <w:t>对消杀服务不合格的部分，承担相应的责任并进行整改。</w:t>
      </w:r>
    </w:p>
    <w:p>
      <w:pPr>
        <w:pStyle w:val="11"/>
        <w:keepNext w:val="0"/>
        <w:keepLines w:val="0"/>
        <w:widowControl/>
        <w:suppressLineNumbers w:val="0"/>
        <w:spacing w:before="0" w:after="0" w:line="240" w:lineRule="auto"/>
        <w:ind w:right="0"/>
        <w:rPr>
          <w:rFonts w:hint="eastAsia" w:ascii="仿宋" w:hAnsi="仿宋" w:eastAsia="仿宋" w:cs="仿宋"/>
          <w:position w:val="0"/>
          <w:sz w:val="28"/>
          <w:szCs w:val="28"/>
          <w:highlight w:val="none"/>
          <w:vertAlign w:val="baseline"/>
        </w:rPr>
      </w:pPr>
    </w:p>
    <w:p>
      <w:pPr>
        <w:pStyle w:val="11"/>
        <w:keepNext w:val="0"/>
        <w:keepLines w:val="0"/>
        <w:widowControl/>
        <w:suppressLineNumbers w:val="0"/>
        <w:spacing w:before="0" w:after="0" w:line="240" w:lineRule="auto"/>
        <w:ind w:right="0"/>
        <w:rPr>
          <w:rFonts w:hint="eastAsia" w:ascii="仿宋" w:hAnsi="仿宋" w:eastAsia="仿宋" w:cs="仿宋"/>
          <w:position w:val="0"/>
          <w:sz w:val="28"/>
          <w:szCs w:val="28"/>
          <w:highlight w:val="none"/>
          <w:vertAlign w:val="baseline"/>
        </w:rPr>
      </w:pPr>
    </w:p>
    <w:p>
      <w:pPr>
        <w:keepNext w:val="0"/>
        <w:keepLines w:val="0"/>
        <w:pageBreakBefore w:val="0"/>
        <w:kinsoku/>
        <w:overflowPunct/>
        <w:bidi w:val="0"/>
        <w:snapToGrid/>
        <w:spacing w:line="240" w:lineRule="auto"/>
        <w:ind w:left="0" w:leftChars="0" w:right="0" w:rightChars="0" w:firstLineChars="1800"/>
        <w:jc w:val="both"/>
        <w:rPr>
          <w:rFonts w:hint="eastAsia" w:ascii="仿宋" w:hAnsi="仿宋" w:eastAsia="仿宋" w:cs="仿宋"/>
          <w:sz w:val="28"/>
          <w:szCs w:val="28"/>
          <w:highlight w:val="none"/>
        </w:rPr>
      </w:pPr>
      <w:r>
        <w:rPr>
          <w:rFonts w:hint="eastAsia" w:ascii="仿宋" w:hAnsi="仿宋" w:eastAsia="仿宋" w:cs="仿宋"/>
          <w:sz w:val="28"/>
          <w:szCs w:val="28"/>
        </w:rPr>
        <w:t>供应商（盖章）</w:t>
      </w:r>
    </w:p>
    <w:p>
      <w:pPr>
        <w:spacing w:line="240" w:lineRule="auto"/>
        <w:ind w:left="0" w:leftChars="0" w:right="0" w:rightChars="0" w:firstLineChars="1800"/>
        <w:rPr>
          <w:rFonts w:hint="eastAsia"/>
          <w:highlight w:val="none"/>
        </w:rPr>
      </w:pPr>
      <w:r>
        <w:rPr>
          <w:rFonts w:hint="eastAsia" w:ascii="仿宋" w:hAnsi="仿宋" w:eastAsia="仿宋" w:cs="仿宋"/>
          <w:sz w:val="28"/>
          <w:szCs w:val="28"/>
        </w:rPr>
        <w:t>日期：</w:t>
      </w:r>
    </w:p>
    <w:p>
      <w:pPr>
        <w:keepNext w:val="0"/>
        <w:keepLines w:val="0"/>
        <w:pageBreakBefore w:val="0"/>
        <w:kinsoku/>
        <w:overflowPunct/>
        <w:bidi w:val="0"/>
        <w:snapToGrid/>
        <w:spacing w:before="0" w:after="120" w:line="240" w:lineRule="auto"/>
        <w:textAlignment w:val="baseline"/>
        <w:rPr>
          <w:rFonts w:hint="eastAsia" w:ascii="仿宋" w:hAnsi="仿宋" w:eastAsia="仿宋" w:cs="仿宋"/>
          <w:sz w:val="28"/>
          <w:szCs w:val="28"/>
          <w:highlight w:val="none"/>
        </w:rPr>
      </w:pPr>
    </w:p>
    <w:p>
      <w:pPr>
        <w:keepNext w:val="0"/>
        <w:keepLines w:val="0"/>
        <w:pageBreakBefore w:val="0"/>
        <w:kinsoku/>
        <w:overflowPunct/>
        <w:bidi w:val="0"/>
        <w:snapToGrid/>
        <w:spacing w:before="0" w:after="120" w:line="240" w:lineRule="auto"/>
        <w:textAlignment w:val="baseline"/>
        <w:rPr>
          <w:rFonts w:hint="eastAsia" w:ascii="仿宋" w:hAnsi="仿宋" w:eastAsia="仿宋" w:cs="仿宋"/>
          <w:sz w:val="28"/>
          <w:szCs w:val="28"/>
          <w:highlight w:val="none"/>
        </w:rPr>
      </w:pPr>
    </w:p>
    <w:p>
      <w:pPr>
        <w:keepNext w:val="0"/>
        <w:keepLines w:val="0"/>
        <w:pageBreakBefore w:val="0"/>
        <w:kinsoku/>
        <w:overflowPunct/>
        <w:bidi w:val="0"/>
        <w:snapToGrid/>
        <w:spacing w:before="0" w:after="120" w:line="240" w:lineRule="auto"/>
        <w:textAlignment w:val="baseline"/>
        <w:rPr>
          <w:rFonts w:ascii="仿宋" w:hAnsi="仿宋" w:eastAsia="仿宋" w:cs="仿宋"/>
          <w:sz w:val="28"/>
          <w:szCs w:val="28"/>
          <w:highlight w:val="none"/>
        </w:rPr>
      </w:pPr>
      <w:r>
        <w:rPr>
          <w:rFonts w:hint="eastAsia" w:ascii="仿宋" w:hAnsi="仿宋" w:eastAsia="仿宋" w:cs="仿宋"/>
          <w:sz w:val="28"/>
          <w:szCs w:val="28"/>
        </w:rPr>
        <w:t>电子版文件密码：</w:t>
      </w:r>
      <w:r>
        <w:rPr>
          <w:rFonts w:hint="eastAsia" w:ascii="仿宋" w:hAnsi="仿宋" w:eastAsia="仿宋" w:cs="仿宋"/>
          <w:b/>
          <w:sz w:val="28"/>
          <w:szCs w:val="28"/>
        </w:rPr>
        <w:t>____________</w:t>
      </w:r>
      <w:r>
        <w:rPr>
          <w:rFonts w:ascii="仿宋" w:hAnsi="仿宋" w:eastAsia="仿宋" w:cs="仿宋"/>
          <w:sz w:val="28"/>
          <w:szCs w:val="28"/>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93C91"/>
    <w:rsid w:val="4F793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正文缩进1"/>
    <w:basedOn w:val="1"/>
    <w:next w:val="3"/>
    <w:qFormat/>
    <w:uiPriority w:val="0"/>
    <w:pPr>
      <w:widowControl/>
      <w:ind w:left="0" w:right="0" w:firstLine="420"/>
      <w:jc w:val="left"/>
    </w:pPr>
    <w:rPr>
      <w:kern w:val="0"/>
      <w:szCs w:val="20"/>
    </w:rPr>
  </w:style>
  <w:style w:type="paragraph" w:customStyle="1" w:styleId="3">
    <w:name w:val="Default"/>
    <w:basedOn w:val="2"/>
    <w:next w:val="4"/>
    <w:qFormat/>
    <w:uiPriority w:val="0"/>
    <w:pPr>
      <w:autoSpaceDE w:val="0"/>
    </w:pPr>
    <w:rPr>
      <w:rFonts w:ascii="宋体" w:hAnsi="宋体" w:cs="宋体"/>
      <w:color w:val="000000"/>
      <w:sz w:val="24"/>
      <w:szCs w:val="24"/>
    </w:rPr>
  </w:style>
  <w:style w:type="paragraph" w:styleId="4">
    <w:name w:val="List"/>
    <w:basedOn w:val="1"/>
    <w:next w:val="1"/>
    <w:uiPriority w:val="0"/>
    <w:pPr>
      <w:snapToGrid w:val="0"/>
    </w:pPr>
    <w:rPr>
      <w:szCs w:val="24"/>
    </w:rPr>
  </w:style>
  <w:style w:type="character" w:customStyle="1" w:styleId="7">
    <w:name w:val="font01"/>
    <w:basedOn w:val="8"/>
    <w:qFormat/>
    <w:uiPriority w:val="0"/>
    <w:rPr>
      <w:rFonts w:hint="eastAsia" w:ascii="仿宋" w:hAnsi="仿宋" w:eastAsia="仿宋" w:cs="仿宋"/>
      <w:color w:val="000000"/>
      <w:sz w:val="21"/>
      <w:szCs w:val="21"/>
      <w:u w:val="none"/>
    </w:rPr>
  </w:style>
  <w:style w:type="character" w:customStyle="1" w:styleId="8">
    <w:name w:val="默认段落字体1"/>
    <w:qFormat/>
    <w:uiPriority w:val="0"/>
  </w:style>
  <w:style w:type="character" w:customStyle="1" w:styleId="9">
    <w:name w:val="font51"/>
    <w:basedOn w:val="8"/>
    <w:qFormat/>
    <w:uiPriority w:val="0"/>
    <w:rPr>
      <w:rFonts w:hint="eastAsia" w:ascii="仿宋" w:hAnsi="仿宋" w:eastAsia="仿宋" w:cs="仿宋"/>
      <w:color w:val="000000"/>
      <w:sz w:val="21"/>
      <w:szCs w:val="21"/>
      <w:u w:val="single"/>
    </w:rPr>
  </w:style>
  <w:style w:type="paragraph" w:styleId="10">
    <w:name w:val="List Paragraph"/>
    <w:basedOn w:val="1"/>
    <w:qFormat/>
    <w:uiPriority w:val="0"/>
    <w:pPr>
      <w:widowControl w:val="0"/>
      <w:ind w:left="0" w:leftChars="0" w:right="0" w:rightChars="0" w:firstLineChars="200"/>
      <w:jc w:val="both"/>
    </w:pPr>
    <w:rPr>
      <w:rFonts w:ascii="Calibri" w:hAnsi="Calibri" w:cs="Calibri"/>
      <w:kern w:val="2"/>
      <w:szCs w:val="22"/>
    </w:rPr>
  </w:style>
  <w:style w:type="paragraph" w:customStyle="1" w:styleId="11">
    <w:name w:val="普通(网站)1"/>
    <w:basedOn w:val="1"/>
    <w:qFormat/>
    <w:uiPriority w:val="0"/>
    <w:pPr>
      <w:spacing w:before="100" w:after="100"/>
      <w:ind w:left="0" w:right="0" w:firstLine="0"/>
      <w:jc w:val="left"/>
    </w:pPr>
    <w:rPr>
      <w:kern w:val="0"/>
      <w:sz w:val="24"/>
      <w:lang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2026-10-26T02:41:00Z</dcterms:created>
  <dc:creator>戴颖然</dc:creator>
  <cp:lastModifiedBy>戴颖然</cp:lastModifiedBy>
  <dcterms:modified xsi:type="dcterms:W3CDTF">2026-10-26T02:42:19Z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45EC24288AAB461291D562C4A95502A8</vt:lpwstr>
  </property>
</Properties>
</file>