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E4AC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一、项目基础概况</w:t>
      </w:r>
    </w:p>
    <w:p w14:paraId="6E91871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1.采购单位：上高县卫生健康委员会（县爱卫办）</w:t>
      </w:r>
      <w:bookmarkStart w:id="0" w:name="_GoBack"/>
      <w:bookmarkEnd w:id="0"/>
    </w:p>
    <w:p w14:paraId="550ED1A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2.服务范围：上高县城区敖阳街道、锦阳街道、锦江镇建成区全域（约17平方公里）</w:t>
      </w:r>
    </w:p>
    <w:p w14:paraId="5206474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公共区域：主次干道、背街小巷、无物业老旧小区、城中村、城乡结合部、城市公园、广场、绿化带、闲置空地；</w:t>
      </w:r>
    </w:p>
    <w:p w14:paraId="110606E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重点孳生区域：垃圾中转站、公共厕所、垃圾收集点、城市排水管网、河道沟渠、低洼积水洼地；</w:t>
      </w:r>
    </w:p>
    <w:p w14:paraId="1A52D0E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应急保障区域：公立医院、乡镇卫生院、农贸市场、交通场站、学校、托幼机构外环境；</w:t>
      </w:r>
    </w:p>
    <w:p w14:paraId="25DFFF6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3.服务周期：12个月（一年常态化服务）</w:t>
      </w:r>
    </w:p>
    <w:p w14:paraId="3BFD7CB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4.考核硬性标准：鼠、蚊、蝇、蟑螂密度全部达到《病媒生物密度控制水平 GB/T 27770-2011》国家C级标准，满足国家卫生县城复审、登革热疫情防控硬性指标。</w:t>
      </w:r>
    </w:p>
    <w:p w14:paraId="4A67403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二、核心作业服务内容（四大类：灭鼠、灭蚊、灭蝇、灭蟑螂）</w:t>
      </w:r>
    </w:p>
    <w:p w14:paraId="6CF100A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（一）灭鼠专项服务（春秋两季集中灭鼠+日常维护）</w:t>
      </w:r>
    </w:p>
    <w:p w14:paraId="566763FF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1.毒饵站布设、运维、药剂投放</w:t>
      </w:r>
    </w:p>
    <w:p w14:paraId="71AA8F7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负责全域灭鼠毒饵站安装、增补、移位、维修、清洁，对破损毒饵盒全部更换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，确保每栋房屋不少于一个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；</w:t>
      </w:r>
    </w:p>
    <w:p w14:paraId="29E5505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执行「一布设、三补投」：首次饱和投药，后续每15天巡回补投抗凝血类鼠药（溴敌隆、溴鼠灵合规药剂），雨季、汛期加密补投频次；</w:t>
      </w:r>
    </w:p>
    <w:p w14:paraId="23C8710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河道、下水道、垃圾站、工地等高危区域增设隐蔽式毒饵站，杜绝人畜误食风险。</w:t>
      </w:r>
    </w:p>
    <w:p w14:paraId="50B340B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2.鼠迹排查与环境治理配合</w:t>
      </w:r>
    </w:p>
    <w:p w14:paraId="6232DB3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定期巡查鼠洞、鼠道、鼠粪，登记台账，配合城管、社区封堵鼠洞；对窨井、下水道开展烟雾熏蒸灭鼠作业。</w:t>
      </w:r>
    </w:p>
    <w:p w14:paraId="361EE10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3.死鼠无害化处置：作业中发现死亡老鼠，统一收集、消毒、深埋无害化处理，做好登记。</w:t>
      </w:r>
    </w:p>
    <w:p w14:paraId="5884A9A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（二）灭蚊专项（适配上高蚊媒传染病防控核心需求）</w:t>
      </w:r>
    </w:p>
    <w:p w14:paraId="7FD9563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1.孳生地源头治理（重中之重）</w:t>
      </w:r>
    </w:p>
    <w:p w14:paraId="7430E8D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全域定期巡查各类积水容器、沟渠、坑洼、绿化带积水、工地基坑、雨水井，建立《蚊虫孳生地普查台账》，登记位置、类型、整改建议，报送卫健委；对无法清除积水区域开展定期灭孑孓药剂投撒。</w:t>
      </w:r>
    </w:p>
    <w:p w14:paraId="12CBA1B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2.成蚊空间喷雾消杀</w:t>
      </w:r>
    </w:p>
    <w:p w14:paraId="76DD21D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常规：4—11月蚊虫高发期，每两周全域超低容量喷雾消杀；冬季开展越冬成蚊集中熏杀；</w:t>
      </w:r>
    </w:p>
    <w:p w14:paraId="49AD02D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3.设施维护：全域灭蚊诱捕灯具巡检、清洁、检修，确保设备正常运行。</w:t>
      </w:r>
    </w:p>
    <w:p w14:paraId="7CCA1D8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4. 突发蚊媒传染病（登革热、基孔肯雅热、疟疾等）疫情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核心区和警戒区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启动应急消杀（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应急消杀费用按每人每天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据实另结算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，要求如下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。</w:t>
      </w:r>
    </w:p>
    <w:p w14:paraId="735B5BB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（1）综合能力要求</w:t>
      </w:r>
    </w:p>
    <w:p w14:paraId="4BBB64C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1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①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资质证照</w:t>
      </w:r>
    </w:p>
    <w:p w14:paraId="00C93C87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a.营业执照经营范围包含有害生物防治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或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病媒生物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防制服务或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消杀服务；</w:t>
      </w:r>
    </w:p>
    <w:p w14:paraId="76B493D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b.近3年内登革热、蚊媒专项消杀同类业绩，提供合同；疫区应急消杀案例优先；</w:t>
      </w:r>
    </w:p>
    <w:p w14:paraId="21D4A57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依法购买作业人员人身意外险（雇主责任险）、第三者责任险（公众责任险）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，避免消杀引发人身、养殖、绿植损害赔偿纠纷。</w:t>
      </w:r>
    </w:p>
    <w:p w14:paraId="303278C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2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②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应急处置能力</w:t>
      </w:r>
    </w:p>
    <w:p w14:paraId="05A0BBC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 承诺应急响应时限：接到疫情通知后6小时内人员到场，12小时内启动全域消杀作业；</w:t>
      </w:r>
    </w:p>
    <w:p w14:paraId="6933C3C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 具备持续不间断作业能力，疫情期间可实行白班 + 黄昏重点时段加班消杀（伊蚊白天活跃）；</w:t>
      </w:r>
    </w:p>
    <w:p w14:paraId="32A9270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 建立台账体系：孳生地排查记录、消杀点位、用药记录、每日工作简报、现场影像资料。</w:t>
      </w:r>
    </w:p>
    <w:p w14:paraId="367DFCB0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3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③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药品管理能力</w:t>
      </w:r>
    </w:p>
    <w:p w14:paraId="73201F1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 使用杀虫剂必须具备农药登记证、生产许可证、标准证（三证齐全），登记防治对象包含蚊虫；</w:t>
      </w:r>
    </w:p>
    <w:p w14:paraId="64C9416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 严禁使用国家禁限用农药；优先选用卫生杀虫剂，提供药剂 MSDS 安全技术说明书；</w:t>
      </w:r>
    </w:p>
    <w:p w14:paraId="55B48CA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 药剂独立存放、规范保管，建立出入库登记，剩余药剂、空包装物规范回收处置，不得随意丢弃污染环境。</w:t>
      </w:r>
    </w:p>
    <w:p w14:paraId="5127A5C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（2）消杀器械设备要求（须列明自有设备清单，禁止全部租赁）</w:t>
      </w:r>
    </w:p>
    <w:p w14:paraId="3097D8F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灭蚊区分孳生地处理器械、空间灭成蚊器械、滞留喷洒器械，严禁仅配备单一设备。</w:t>
      </w:r>
    </w:p>
    <w:p w14:paraId="5F10F840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1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①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超低容量喷雾器（核心设备）</w:t>
      </w:r>
    </w:p>
    <w:p w14:paraId="0A455C7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a.动力：背负式/车载式超低容量喷雾机；</w:t>
      </w:r>
    </w:p>
    <w:p w14:paraId="0CA4718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b.用途：快速空间喷洒灭杀成蚊（疫情暴发紧急处置首选）；</w:t>
      </w:r>
    </w:p>
    <w:p w14:paraId="46F1683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c.要求：雾化粒径5-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50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μm，适合空间灭蚊。</w:t>
      </w:r>
    </w:p>
    <w:p w14:paraId="14D3654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2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②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压力式滞留喷洒器（手动/机动喷雾器）</w:t>
      </w:r>
    </w:p>
    <w:p w14:paraId="320E6BF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用于绿化带、围墙、下水道、杂物间、垃圾桶周边墙面滞留喷洒，持续杀灭停留伊蚊。</w:t>
      </w:r>
    </w:p>
    <w:p w14:paraId="4991B66F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3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③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热烟雾机（烟雾机）</w:t>
      </w:r>
    </w:p>
    <w:p w14:paraId="59202FC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适用于密林、下水道、地下车库、密闭积水坑道、灌木丛等隐蔽区域灭成蚊；居民区谨慎使用，按需启用。</w:t>
      </w:r>
    </w:p>
    <w:p w14:paraId="0A3BC1B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4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④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防护装备（全员标配）</w:t>
      </w:r>
    </w:p>
    <w:p w14:paraId="751D580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N95或防毒半面罩、防渗透防护服、橡胶手套、防护靴、护目镜；每批次作业配备急救包。</w:t>
      </w:r>
    </w:p>
    <w:p w14:paraId="758D537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禁止情形：仅提供普通洒水喷雾器充当专业消杀设备，无超低容量喷雾设备不得承接应急消杀。</w:t>
      </w:r>
    </w:p>
    <w:p w14:paraId="35AAF1F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（3）消杀方式</w:t>
      </w:r>
    </w:p>
    <w:p w14:paraId="3B1AD65F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1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①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成蚊化学防治（分两类施药方式）</w:t>
      </w:r>
    </w:p>
    <w:p w14:paraId="5F90571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 空间超低容量喷雾（应急快速灭成蚊，疫情暴发阶段）</w:t>
      </w:r>
    </w:p>
    <w:p w14:paraId="497087F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施药时段：上午5–7时、喷洒2次；下午17–19时、喷洒2次（白纹伊蚊活动高峰）。</w:t>
      </w:r>
    </w:p>
    <w:p w14:paraId="11DDB8C0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使用卫生杀虫剂超低容量制剂；</w:t>
      </w:r>
    </w:p>
    <w:p w14:paraId="47259BEE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适用场所：小区道路、绿化带、广场、楼道外围、公园等开阔区域；</w:t>
      </w:r>
    </w:p>
    <w:p w14:paraId="0A615D2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注意：避开人群密集时段、婴幼儿活动区域、水产养殖区、蜜蜂养殖点。</w:t>
      </w:r>
    </w:p>
    <w:p w14:paraId="777167E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b.滞留喷洒（长效防控）</w:t>
      </w:r>
    </w:p>
    <w:p w14:paraId="5BDDBFE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对蚊虫停歇位置：灌木叶片背面、围墙、楼道墙面、垃圾桶周边、雨棚底部进行表面滞留施药。</w:t>
      </w:r>
    </w:p>
    <w:p w14:paraId="5897A16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2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②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孳生地清理（重中之重）</w:t>
      </w:r>
    </w:p>
    <w:p w14:paraId="0525A53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作业要求：</w:t>
      </w:r>
    </w:p>
    <w:p w14:paraId="46B8ED3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a.全域巡查，动员+ 协助清理各类小型积水；</w:t>
      </w:r>
    </w:p>
    <w:p w14:paraId="341B83E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b.无法清除积水（沙井、集水井）投放灭蚊幼颗粒剂/苏云金杆菌 Bt（生物杀幼剂）；</w:t>
      </w:r>
    </w:p>
    <w:p w14:paraId="03977E7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 疫情期每天持续巡查，只喷药不清积水无法有效控制登革热。</w:t>
      </w:r>
    </w:p>
    <w:p w14:paraId="362856B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（4）作业人员要求</w:t>
      </w:r>
    </w:p>
    <w:p w14:paraId="19E086E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1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①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人员数量配置</w:t>
      </w:r>
    </w:p>
    <w:p w14:paraId="4BF25A2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根据服务范围配置充足人员，每个疫点（核心区、警戒区）不少于4人，疫情应急阶段不得缺岗；单人单日有效作业面积合理管控，杜绝走马观花。</w:t>
      </w:r>
    </w:p>
    <w:p w14:paraId="1279872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2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②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从业培训要求（硬性条件）</w:t>
      </w:r>
    </w:p>
    <w:p w14:paraId="62A525A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所有现场作业人员必须经过蚊媒防控、专项消杀培训，熟悉白纹伊蚊习性、药剂配比、器械操作、个人防护；</w:t>
      </w:r>
    </w:p>
    <w:p w14:paraId="16760F0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需提供人员培训证明、上岗证/有害生物防治从业人员证书。</w:t>
      </w:r>
    </w:p>
    <w:p w14:paraId="2B7CCC6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instrText xml:space="preserve"> = 3 \* GB3 </w:instrTex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③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现场管理要求</w:t>
      </w:r>
    </w:p>
    <w:p w14:paraId="4660167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a. 统一工作服，佩戴工作证；文明作业，主动回应居民咨询，普及防登革热知识；</w:t>
      </w:r>
    </w:p>
    <w:p w14:paraId="1B9D82A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b. 每组设置现场组长 1 名，负责点位安排、药剂管控、台账记录；</w:t>
      </w:r>
    </w:p>
    <w:p w14:paraId="4E77C2D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c. 每日提交工作记录表：巡查点位、积水处理数量、消杀区域、药剂使用量、问题隐患清单;</w:t>
      </w:r>
    </w:p>
    <w:p w14:paraId="4CC9CB6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d. 严禁无证临时工独立开展消杀施药.</w:t>
      </w:r>
    </w:p>
    <w:p w14:paraId="3226B52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（三）灭蝇专项服务</w:t>
      </w:r>
    </w:p>
    <w:p w14:paraId="0EDC456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1.垃圾中转站、公厕、农贸市场、餐厨垃圾点位为核心，每周开展滞留喷洒消杀；</w:t>
      </w:r>
    </w:p>
    <w:p w14:paraId="495289BF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每个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垃圾中转站、公厕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周边安装二个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诱蝇笼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并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定期清洁、更换诱蝇饵料，每10天巡回维护一次；</w:t>
      </w:r>
    </w:p>
    <w:p w14:paraId="799F832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3.排查蝇类孳生腐烂垃圾点位，同步报送环境整改建议书。</w:t>
      </w:r>
    </w:p>
    <w:p w14:paraId="6FD7C7E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（四）灭蟑螂专项（公共外环境、窨井管网）</w:t>
      </w:r>
    </w:p>
    <w:p w14:paraId="69581DC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按实际需求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城市下水道管网、化粪池、公厕地下空间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每年不低于三次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热烟雾熏蒸灭蟑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。</w:t>
      </w:r>
    </w:p>
    <w:p w14:paraId="36E1C44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2.农贸市场外围、餐饮后街等蟑螂高发区域，定期布设杀蟑饵剂、滞留喷洒。</w:t>
      </w:r>
    </w:p>
    <w:p w14:paraId="4F1A322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三、孳生地普查、监测、档案资料服务（卫健委硬性归档要求）</w:t>
      </w:r>
    </w:p>
    <w:p w14:paraId="0E7C4A6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1.病媒生物密度监测</w:t>
      </w:r>
    </w:p>
    <w:p w14:paraId="629B85E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严格按照国标监测方法，项目初期、服务期末各出具1份整体效果评估报告书，可配合县疾控中心复核验收。</w:t>
      </w:r>
    </w:p>
    <w:p w14:paraId="4FC1536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2.全域孳生地摸排建档</w:t>
      </w:r>
    </w:p>
    <w:p w14:paraId="3BF9899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服务前完成第一轮全覆盖孳生地调查，建立电子+纸质台账，标注点位、风险等级、治理措施；每季度动态更新台账，提交卫健委存档，用于爱国卫生工作、创卫资料归档。</w:t>
      </w:r>
    </w:p>
    <w:p w14:paraId="67617EC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3.全套作业台账资料</w:t>
      </w:r>
    </w:p>
    <w:p w14:paraId="11FA6A8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每次作业填写消杀作业记录表：作业区域、时间、药剂名称、作业人员、现场照片，由属地社区/街道签字确认；每月汇总月度工作简报、作业影像资料（带时间水印现场照片、视频），按时报送县爱卫办。</w:t>
      </w:r>
    </w:p>
    <w:p w14:paraId="7A19E56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四、宣传培训、应急处置附加服务</w:t>
      </w:r>
    </w:p>
    <w:p w14:paraId="5A98FA6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1.科普宣教服务</w:t>
      </w:r>
    </w:p>
    <w:p w14:paraId="4328ADF7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配合上高县爱卫办爱国卫生月、登革热防控宣传工作：</w:t>
      </w:r>
    </w:p>
    <w:p w14:paraId="33EED8A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进社区、进工地开展病媒防制科普宣讲，指导居民清除居家积水、防蚊灭鼠知识；</w:t>
      </w:r>
    </w:p>
    <w:p w14:paraId="3C7A3712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协助制作宣传横幅、海报、科普手册，安排人员配合集中宣传活动。</w:t>
      </w:r>
    </w:p>
    <w:p w14:paraId="745CBDC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2.突发公共卫生事件应急保障（核心加分项）</w:t>
      </w:r>
    </w:p>
    <w:p w14:paraId="6223B14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1.登革热、鼠疫、肠道传染病等疫情应急指令下达后，2小时内人员、设备、药剂抵达现场，开展疫点终末消杀、周边大范围紧急灭蚊灭鼠；</w:t>
      </w:r>
    </w:p>
    <w:p w14:paraId="4B9393B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2.重大节庆、大型会议、迎检创卫工作，无条件配合卫健委执行临时加急消杀任务；</w:t>
      </w:r>
    </w:p>
    <w:p w14:paraId="21B34AE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3.群众投诉虫害点位，接单后24小时内上门处置并反馈处理回执。</w:t>
      </w:r>
    </w:p>
    <w:p w14:paraId="54E936E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五、第三方供应商人员、设备、药剂硬性采购要求</w:t>
      </w:r>
    </w:p>
    <w:p w14:paraId="12A448E0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（一）人员资质要求</w:t>
      </w:r>
    </w:p>
    <w:p w14:paraId="2110178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1.项目配置1名持证项目负责人常驻本县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，负责安排、监督日常的消杀工作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；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回复和响应甲方的工作要求与指令。</w:t>
      </w:r>
    </w:p>
    <w:p w14:paraId="7CC5903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2.所有人员统一工装、工牌、防护装备，购买人身意外伤害保险；人员变动必须提前报备采购单位。</w:t>
      </w:r>
    </w:p>
    <w:p w14:paraId="3587458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（二）设备配置要求（全部由服务商自行配备）</w:t>
      </w:r>
    </w:p>
    <w:p w14:paraId="25F84FD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超低容量喷雾器、热烟雾机、机动消杀喷雾设备、蚊虫诱捕监测设备、车辆、消杀防护全套装备，清单需投标文件列明。</w:t>
      </w:r>
    </w:p>
    <w:p w14:paraId="53190D6C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（三）药剂合规要求</w:t>
      </w:r>
    </w:p>
    <w:p w14:paraId="7C5372D9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1.所有灭鼠、杀虫药品必须具备农药登记证、生产许可、质检报告，符合国家卫生杀虫剂标准，严禁违禁高毒药剂；</w:t>
      </w:r>
    </w:p>
    <w:p w14:paraId="1A080C5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2.优先选用低毒、环保、卫生类药剂，提供药剂清单、检测报告备案；药剂全部由中标单位自行采购承担费用。</w:t>
      </w:r>
    </w:p>
    <w:p w14:paraId="755958AD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（二） 商务条件</w:t>
      </w:r>
    </w:p>
    <w:p w14:paraId="412B3557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1.考核扣分机制（采购方管控核心条款）</w:t>
      </w:r>
    </w:p>
    <w:p w14:paraId="38523A6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月度抽查密度超标（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</w:rPr>
        <w:t>《病媒生物密度控制水平 GB/T 27770-2011》国家C级标准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），限期3日内整改，逾期未完成扣除服务费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500元；如遇重大自然灾害或其它不可抗力原因则整改期顺延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；</w:t>
      </w:r>
    </w:p>
    <w:p w14:paraId="7E4543D4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未按时提交台账、监测报告、作业资料，每次予以扣款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200元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；</w:t>
      </w:r>
    </w:p>
    <w:p w14:paraId="41EEB1D8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应急任务未及时响应、群众投诉处置超时，按合同约定进行违约处罚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200元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。</w:t>
      </w:r>
    </w:p>
    <w:p w14:paraId="70413C83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2.验收流程</w:t>
      </w:r>
    </w:p>
    <w:p w14:paraId="007F574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季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度阶段性验收：县爱卫办+属地街道联合抽查作业质量、台账资料；</w:t>
      </w:r>
    </w:p>
    <w:p w14:paraId="591D9FB1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）年度总验收：全年全部服务结束后，结合疾控中心密度检测报告、全部档案资料完成最终验收。</w:t>
      </w:r>
    </w:p>
    <w:p w14:paraId="53042755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3.付款方式</w:t>
      </w:r>
    </w:p>
    <w:p w14:paraId="4574873B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合同签订后支付合同总金额的30%，甲方收到正规发票后三十个工作日内支付给乙方;年度整体验收完成后支付尾款；甲方收到验收合格单、正规发票后三十个工作日内支付给乙方。</w:t>
      </w:r>
    </w:p>
    <w:p w14:paraId="3AECDBD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其他采购约束条款</w:t>
      </w:r>
    </w:p>
    <w:p w14:paraId="6A4A4A66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）中标单位作业全过程安全生产责任、药剂环保责任、人畜误食安全责任全部由第三方服务商全权承担；</w:t>
      </w:r>
    </w:p>
    <w:p w14:paraId="048EB4EA">
      <w:pPr>
        <w:spacing w:line="360" w:lineRule="auto"/>
        <w:ind w:firstLine="56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）服务商不得转包、分包本项目，一经发现采购单位有权单方面终止合同；</w:t>
      </w:r>
    </w:p>
    <w:p w14:paraId="385F67F9">
      <w:pPr>
        <w:rPr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pacing w:val="0"/>
          <w:position w:val="0"/>
          <w:sz w:val="28"/>
          <w:szCs w:val="28"/>
          <w:lang w:eastAsia="zh-CN"/>
        </w:rPr>
        <w:t>）服务期间需无条件配合上高县卫健委、爱卫办、创国卫、登革热防控各类临时工作指令。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02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3738</Words>
  <Characters>3843</Characters>
  <Lines>0</Lines>
  <Paragraphs>0</Paragraphs>
  <TotalTime>0</TotalTime>
  <ScaleCrop>false</ScaleCrop>
  <LinksUpToDate>false</LinksUpToDate>
  <CharactersWithSpaces>3869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2026-10-23T08:49:46Z</dcterms:created>
  <dc:creator>添添福利</dc:creator>
  <cp:lastModifiedBy>江西大通技术咨询有限公司</cp:lastModifiedBy>
  <dcterms:modified xsi:type="dcterms:W3CDTF">2026-10-23T08:49:56Z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eyJoZGlkIjoiZjJiY2QyZTQ1NDc1YjUxZmE3MjE5ZTYzY2Q0Y2ViMzgiLCJ1c2VySWQiOiIyNzg4NjMzMzIifQ==</vt:lpwstr>
  </property>
  <property fmtid="{D5CDD505-2E9C-101B-9397-08002B2CF9AE}" pid="4" name="ICV">
    <vt:lpwstr>65B3B4B1AD3349CF814BFD58184A75AF_12</vt:lpwstr>
  </property>
</Properties>
</file>