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D22DB">
      <w:pPr>
        <w:jc w:val="center"/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宋体" w:hAnsi="Times New Roman" w:eastAsia="宋体" w:cs="Times New Roman"/>
          <w:color w:val="auto"/>
          <w:kern w:val="2"/>
          <w:sz w:val="28"/>
          <w:szCs w:val="28"/>
          <w:highlight w:val="none"/>
          <w:lang w:val="en-US" w:eastAsia="zh-CN"/>
        </w:rPr>
        <w:t>有害生物控制服务频次（附件一）</w:t>
      </w:r>
    </w:p>
    <w:tbl>
      <w:tblPr>
        <w:tblStyle w:val="6"/>
        <w:tblpPr w:leftFromText="180" w:rightFromText="180" w:vertAnchor="text" w:horzAnchor="page" w:tblpX="1681" w:tblpY="1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1530"/>
        <w:gridCol w:w="4620"/>
      </w:tblGrid>
      <w:tr w14:paraId="34D37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3959" w:type="dxa"/>
            <w:gridSpan w:val="2"/>
            <w:noWrap w:val="0"/>
            <w:vAlign w:val="center"/>
          </w:tcPr>
          <w:p w14:paraId="4103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高发期（每年4月-10月）</w:t>
            </w:r>
          </w:p>
        </w:tc>
        <w:tc>
          <w:tcPr>
            <w:tcW w:w="4704" w:type="dxa"/>
            <w:noWrap w:val="0"/>
            <w:vAlign w:val="center"/>
          </w:tcPr>
          <w:p w14:paraId="3FFC4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备注</w:t>
            </w:r>
          </w:p>
        </w:tc>
      </w:tr>
      <w:tr w14:paraId="51961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8" w:type="dxa"/>
            <w:noWrap w:val="0"/>
            <w:vAlign w:val="center"/>
          </w:tcPr>
          <w:p w14:paraId="5AE5E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项目</w:t>
            </w:r>
          </w:p>
        </w:tc>
        <w:tc>
          <w:tcPr>
            <w:tcW w:w="1551" w:type="dxa"/>
            <w:noWrap w:val="0"/>
            <w:vAlign w:val="center"/>
          </w:tcPr>
          <w:p w14:paraId="7138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防治平均周期</w:t>
            </w:r>
          </w:p>
        </w:tc>
        <w:tc>
          <w:tcPr>
            <w:tcW w:w="4704" w:type="dxa"/>
            <w:noWrap w:val="0"/>
            <w:vAlign w:val="center"/>
          </w:tcPr>
          <w:p w14:paraId="5EDD1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防治周期为总量的平均数值，具体两次工程间隔周期可能会因部分原因而有少量偏差</w:t>
            </w:r>
          </w:p>
        </w:tc>
      </w:tr>
      <w:tr w14:paraId="3177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8" w:type="dxa"/>
            <w:noWrap w:val="0"/>
            <w:vAlign w:val="center"/>
          </w:tcPr>
          <w:p w14:paraId="1DBB0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外围绿篱及地下室喷洒</w:t>
            </w:r>
          </w:p>
        </w:tc>
        <w:tc>
          <w:tcPr>
            <w:tcW w:w="1551" w:type="dxa"/>
            <w:noWrap w:val="0"/>
            <w:vAlign w:val="center"/>
          </w:tcPr>
          <w:p w14:paraId="3A91E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704" w:type="dxa"/>
            <w:noWrap w:val="0"/>
            <w:vAlign w:val="center"/>
          </w:tcPr>
          <w:p w14:paraId="3F869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针对蚊类、蝇类、可视情况缩短周期，周期不应短于1次/15天，并做好台账记录。</w:t>
            </w:r>
          </w:p>
        </w:tc>
      </w:tr>
      <w:tr w14:paraId="35D60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408" w:type="dxa"/>
            <w:noWrap w:val="0"/>
            <w:vAlign w:val="center"/>
          </w:tcPr>
          <w:p w14:paraId="50A7A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饵料站维护及药物更换</w:t>
            </w:r>
          </w:p>
        </w:tc>
        <w:tc>
          <w:tcPr>
            <w:tcW w:w="1551" w:type="dxa"/>
            <w:noWrap w:val="0"/>
            <w:vAlign w:val="center"/>
          </w:tcPr>
          <w:p w14:paraId="33F0E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704" w:type="dxa"/>
            <w:noWrap w:val="0"/>
            <w:vAlign w:val="center"/>
          </w:tcPr>
          <w:p w14:paraId="7999B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饵料站可能会视情况进行位移、可视情况缩短周期，周期不应短于1次/15天，并做好台账记录。</w:t>
            </w:r>
          </w:p>
        </w:tc>
      </w:tr>
      <w:tr w14:paraId="0416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408" w:type="dxa"/>
            <w:noWrap w:val="0"/>
            <w:vAlign w:val="center"/>
          </w:tcPr>
          <w:p w14:paraId="380DD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蟑螂饵剂投放</w:t>
            </w:r>
          </w:p>
        </w:tc>
        <w:tc>
          <w:tcPr>
            <w:tcW w:w="1551" w:type="dxa"/>
            <w:noWrap w:val="0"/>
            <w:vAlign w:val="center"/>
          </w:tcPr>
          <w:p w14:paraId="58745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704" w:type="dxa"/>
            <w:noWrap w:val="0"/>
            <w:vAlign w:val="center"/>
          </w:tcPr>
          <w:p w14:paraId="5E642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周期不应短于1次/15天，并做好台账记录。</w:t>
            </w:r>
          </w:p>
        </w:tc>
      </w:tr>
      <w:tr w14:paraId="22EA7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8" w:type="dxa"/>
            <w:noWrap w:val="0"/>
            <w:vAlign w:val="center"/>
          </w:tcPr>
          <w:p w14:paraId="0CF64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超低容量喷洒（室内）</w:t>
            </w:r>
          </w:p>
        </w:tc>
        <w:tc>
          <w:tcPr>
            <w:tcW w:w="1551" w:type="dxa"/>
            <w:noWrap w:val="0"/>
            <w:vAlign w:val="center"/>
          </w:tcPr>
          <w:p w14:paraId="0EE42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1次/30天</w:t>
            </w:r>
          </w:p>
        </w:tc>
        <w:tc>
          <w:tcPr>
            <w:tcW w:w="4704" w:type="dxa"/>
            <w:noWrap w:val="0"/>
            <w:vAlign w:val="center"/>
          </w:tcPr>
          <w:p w14:paraId="565BE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用于非常态室内灭杀，周期不应短于1次/30天，并做好台账记录。</w:t>
            </w:r>
          </w:p>
        </w:tc>
      </w:tr>
      <w:tr w14:paraId="030E1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8" w:type="dxa"/>
            <w:noWrap w:val="0"/>
            <w:vAlign w:val="center"/>
          </w:tcPr>
          <w:p w14:paraId="6188C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烟雾熏蒸</w:t>
            </w:r>
          </w:p>
        </w:tc>
        <w:tc>
          <w:tcPr>
            <w:tcW w:w="1551" w:type="dxa"/>
            <w:noWrap w:val="0"/>
            <w:vAlign w:val="center"/>
          </w:tcPr>
          <w:p w14:paraId="7BED44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704" w:type="dxa"/>
            <w:noWrap w:val="0"/>
            <w:vAlign w:val="center"/>
          </w:tcPr>
          <w:p w14:paraId="2D28B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用于非常态灭杀，周期不应短于1次/60天，并做好台账记录。</w:t>
            </w:r>
          </w:p>
        </w:tc>
      </w:tr>
      <w:tr w14:paraId="40491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08" w:type="dxa"/>
            <w:noWrap w:val="0"/>
            <w:vAlign w:val="center"/>
          </w:tcPr>
          <w:p w14:paraId="4956D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厨房防控</w:t>
            </w:r>
          </w:p>
        </w:tc>
        <w:tc>
          <w:tcPr>
            <w:tcW w:w="1551" w:type="dxa"/>
            <w:noWrap w:val="0"/>
            <w:vAlign w:val="center"/>
          </w:tcPr>
          <w:p w14:paraId="7D188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704" w:type="dxa"/>
            <w:noWrap w:val="0"/>
            <w:vAlign w:val="center"/>
          </w:tcPr>
          <w:p w14:paraId="08949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周期不应短于1次/2周，做好台账记录。且需配合厨房时间进行。</w:t>
            </w:r>
          </w:p>
        </w:tc>
      </w:tr>
      <w:tr w14:paraId="5B95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408" w:type="dxa"/>
            <w:noWrap w:val="0"/>
            <w:vAlign w:val="center"/>
          </w:tcPr>
          <w:p w14:paraId="672A2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</w:rPr>
              <w:t>▲</w:t>
            </w: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eastAsia="zh-CN"/>
              </w:rPr>
              <w:t>重点区域</w:t>
            </w:r>
          </w:p>
        </w:tc>
        <w:tc>
          <w:tcPr>
            <w:tcW w:w="1551" w:type="dxa"/>
            <w:noWrap w:val="0"/>
            <w:vAlign w:val="center"/>
          </w:tcPr>
          <w:p w14:paraId="16A72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704" w:type="dxa"/>
            <w:noWrap w:val="0"/>
            <w:vAlign w:val="center"/>
          </w:tcPr>
          <w:p w14:paraId="5C7D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  <w:tr w14:paraId="7D65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408" w:type="dxa"/>
            <w:noWrap w:val="0"/>
            <w:vAlign w:val="center"/>
          </w:tcPr>
          <w:p w14:paraId="5A8A1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  <w:t>病区开水间</w:t>
            </w:r>
          </w:p>
        </w:tc>
        <w:tc>
          <w:tcPr>
            <w:tcW w:w="1551" w:type="dxa"/>
            <w:noWrap w:val="0"/>
            <w:vAlign w:val="center"/>
          </w:tcPr>
          <w:p w14:paraId="55075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704" w:type="dxa"/>
            <w:noWrap w:val="0"/>
            <w:vAlign w:val="center"/>
          </w:tcPr>
          <w:p w14:paraId="7B058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</w:tbl>
    <w:tbl>
      <w:tblPr>
        <w:tblStyle w:val="6"/>
        <w:tblpPr w:leftFromText="180" w:rightFromText="180" w:vertAnchor="text" w:horzAnchor="page" w:tblpX="1686" w:tblpY="41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3"/>
        <w:gridCol w:w="1525"/>
        <w:gridCol w:w="4614"/>
      </w:tblGrid>
      <w:tr w14:paraId="46DB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8" w:type="dxa"/>
            <w:gridSpan w:val="2"/>
            <w:noWrap w:val="0"/>
            <w:vAlign w:val="center"/>
          </w:tcPr>
          <w:p w14:paraId="112DD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平静期（每年11月-次年3月）</w:t>
            </w:r>
          </w:p>
        </w:tc>
        <w:tc>
          <w:tcPr>
            <w:tcW w:w="4614" w:type="dxa"/>
            <w:noWrap w:val="0"/>
            <w:vAlign w:val="center"/>
          </w:tcPr>
          <w:p w14:paraId="0D264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2ADC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2B7B5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1525" w:type="dxa"/>
            <w:noWrap w:val="0"/>
            <w:vAlign w:val="center"/>
          </w:tcPr>
          <w:p w14:paraId="52033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防治平均周期</w:t>
            </w:r>
          </w:p>
        </w:tc>
        <w:tc>
          <w:tcPr>
            <w:tcW w:w="4614" w:type="dxa"/>
            <w:noWrap w:val="0"/>
            <w:vAlign w:val="center"/>
          </w:tcPr>
          <w:p w14:paraId="13035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防治周期为总量的平均数值，具体两次工程间隔周期可能会因部分原因而有少量偏差</w:t>
            </w:r>
          </w:p>
        </w:tc>
      </w:tr>
      <w:tr w14:paraId="1629D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4F19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外围绿篱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及地下室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喷洒</w:t>
            </w:r>
          </w:p>
        </w:tc>
        <w:tc>
          <w:tcPr>
            <w:tcW w:w="1525" w:type="dxa"/>
            <w:noWrap w:val="0"/>
            <w:vAlign w:val="center"/>
          </w:tcPr>
          <w:p w14:paraId="3EBE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614" w:type="dxa"/>
            <w:noWrap w:val="0"/>
            <w:vAlign w:val="center"/>
          </w:tcPr>
          <w:p w14:paraId="62D1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针对蚊类、蝇类、可视情况缩短周期，周期不应短于1次/15天，并做好台账记录。</w:t>
            </w:r>
          </w:p>
        </w:tc>
      </w:tr>
      <w:tr w14:paraId="75EE8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18E1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饵料站维护及药物更换</w:t>
            </w:r>
          </w:p>
        </w:tc>
        <w:tc>
          <w:tcPr>
            <w:tcW w:w="1525" w:type="dxa"/>
            <w:noWrap w:val="0"/>
            <w:vAlign w:val="center"/>
          </w:tcPr>
          <w:p w14:paraId="3B08C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1次/15天</w:t>
            </w:r>
          </w:p>
        </w:tc>
        <w:tc>
          <w:tcPr>
            <w:tcW w:w="4614" w:type="dxa"/>
            <w:noWrap w:val="0"/>
            <w:vAlign w:val="center"/>
          </w:tcPr>
          <w:p w14:paraId="42AE6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饵料站可能会视情况进行位移、可视情况缩短周期，周期不应短于1次/15天，并做好台账记录</w:t>
            </w:r>
          </w:p>
        </w:tc>
      </w:tr>
      <w:tr w14:paraId="0D3B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2383" w:type="dxa"/>
            <w:noWrap w:val="0"/>
            <w:vAlign w:val="center"/>
          </w:tcPr>
          <w:p w14:paraId="4F744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蟑螂饵剂投放</w:t>
            </w:r>
          </w:p>
        </w:tc>
        <w:tc>
          <w:tcPr>
            <w:tcW w:w="1525" w:type="dxa"/>
            <w:noWrap w:val="0"/>
            <w:vAlign w:val="center"/>
          </w:tcPr>
          <w:p w14:paraId="32259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1次/30天</w:t>
            </w:r>
          </w:p>
        </w:tc>
        <w:tc>
          <w:tcPr>
            <w:tcW w:w="4614" w:type="dxa"/>
            <w:noWrap w:val="0"/>
            <w:vAlign w:val="center"/>
          </w:tcPr>
          <w:p w14:paraId="703B3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周期不应短于1次/30天，并做好台账记录。</w:t>
            </w:r>
          </w:p>
        </w:tc>
      </w:tr>
      <w:tr w14:paraId="5805E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57D73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超低容量喷洒（室内）</w:t>
            </w:r>
          </w:p>
        </w:tc>
        <w:tc>
          <w:tcPr>
            <w:tcW w:w="1525" w:type="dxa"/>
            <w:noWrap w:val="0"/>
            <w:vAlign w:val="center"/>
          </w:tcPr>
          <w:p w14:paraId="3DF17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614" w:type="dxa"/>
            <w:noWrap w:val="0"/>
            <w:vAlign w:val="center"/>
          </w:tcPr>
          <w:p w14:paraId="16B79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用于非常态室内灭杀，周期不应短于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1次/60天，并做好台账记录。</w:t>
            </w:r>
          </w:p>
        </w:tc>
      </w:tr>
      <w:tr w14:paraId="3318D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3095B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烟雾熏蒸</w:t>
            </w:r>
          </w:p>
        </w:tc>
        <w:tc>
          <w:tcPr>
            <w:tcW w:w="1525" w:type="dxa"/>
            <w:noWrap w:val="0"/>
            <w:vAlign w:val="center"/>
          </w:tcPr>
          <w:p w14:paraId="5DAF7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1次/60天</w:t>
            </w:r>
          </w:p>
        </w:tc>
        <w:tc>
          <w:tcPr>
            <w:tcW w:w="4614" w:type="dxa"/>
            <w:noWrap w:val="0"/>
            <w:vAlign w:val="center"/>
          </w:tcPr>
          <w:p w14:paraId="3723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用于非常态灭杀，周期不应短于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1次/60天，并做好台账记录。</w:t>
            </w:r>
          </w:p>
        </w:tc>
      </w:tr>
      <w:tr w14:paraId="2E351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0D4F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</w:rPr>
              <w:t>▲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厨房防控</w:t>
            </w:r>
          </w:p>
        </w:tc>
        <w:tc>
          <w:tcPr>
            <w:tcW w:w="1525" w:type="dxa"/>
            <w:noWrap w:val="0"/>
            <w:vAlign w:val="center"/>
          </w:tcPr>
          <w:p w14:paraId="2D6DC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614" w:type="dxa"/>
            <w:noWrap w:val="0"/>
            <w:vAlign w:val="center"/>
          </w:tcPr>
          <w:p w14:paraId="2C21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周期不应短于1次/2周，并每周做好台账记录。且需配合厨房时间进行。</w:t>
            </w:r>
          </w:p>
        </w:tc>
      </w:tr>
      <w:tr w14:paraId="01BAF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83" w:type="dxa"/>
            <w:noWrap w:val="0"/>
            <w:vAlign w:val="center"/>
          </w:tcPr>
          <w:p w14:paraId="610BD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</w:rPr>
              <w:t>▲</w:t>
            </w: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eastAsia="zh-CN"/>
              </w:rPr>
              <w:t>重点区域</w:t>
            </w:r>
          </w:p>
        </w:tc>
        <w:tc>
          <w:tcPr>
            <w:tcW w:w="1525" w:type="dxa"/>
            <w:noWrap w:val="0"/>
            <w:vAlign w:val="center"/>
          </w:tcPr>
          <w:p w14:paraId="502D0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614" w:type="dxa"/>
            <w:noWrap w:val="0"/>
            <w:vAlign w:val="center"/>
          </w:tcPr>
          <w:p w14:paraId="0AAE5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  <w:tr w14:paraId="4DDC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2383" w:type="dxa"/>
            <w:noWrap w:val="0"/>
            <w:vAlign w:val="center"/>
          </w:tcPr>
          <w:p w14:paraId="71F7F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/>
              </w:rPr>
              <w:t>病区开水间</w:t>
            </w:r>
          </w:p>
        </w:tc>
        <w:tc>
          <w:tcPr>
            <w:tcW w:w="1525" w:type="dxa"/>
            <w:noWrap w:val="0"/>
            <w:vAlign w:val="center"/>
          </w:tcPr>
          <w:p w14:paraId="3290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1次/2周</w:t>
            </w:r>
          </w:p>
        </w:tc>
        <w:tc>
          <w:tcPr>
            <w:tcW w:w="4614" w:type="dxa"/>
            <w:noWrap w:val="0"/>
            <w:vAlign w:val="center"/>
          </w:tcPr>
          <w:p w14:paraId="3C72C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240" w:lineRule="auto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/>
              </w:rPr>
              <w:t>周期不应短于1次/2周，并做好台账记录。</w:t>
            </w:r>
          </w:p>
        </w:tc>
      </w:tr>
    </w:tbl>
    <w:p w14:paraId="08B24C04">
      <w:pPr>
        <w:rPr>
          <w:rFonts w:hint="default" w:ascii="宋体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/>
        </w:rPr>
      </w:pPr>
    </w:p>
    <w:p w14:paraId="4B121B9A">
      <w:pP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  <w:t>注：1、特殊情况（包括但不限于登革热、文明城市、卫生城市检查等）需要随叫随到。</w:t>
      </w:r>
    </w:p>
    <w:p w14:paraId="21BC7D58">
      <w:pPr>
        <w:pStyle w:val="3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55C67034">
      <w:pPr>
        <w:pStyle w:val="4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2D4F78CC">
      <w:pPr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5745F514">
      <w:pPr>
        <w:pStyle w:val="3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5FCC28CF">
      <w:pPr>
        <w:pStyle w:val="4"/>
        <w:rPr>
          <w:rFonts w:hint="eastAsia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p w14:paraId="538C8D3C">
      <w:pPr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shd w:val="clear" w:color="auto" w:fill="auto"/>
          <w:vertAlign w:val="baseline"/>
          <w:lang w:val="en-US" w:eastAsia="zh-CN"/>
        </w:rPr>
      </w:pPr>
      <w:r>
        <w:rPr>
          <w:rFonts w:hint="eastAsia" w:ascii="黑体" w:hAnsi="黑体" w:eastAsia="宋体" w:cs="黑体"/>
          <w:b/>
          <w:bCs/>
          <w:sz w:val="28"/>
          <w:szCs w:val="28"/>
        </w:rPr>
        <w:t>药械数量及服务要求</w:t>
      </w:r>
      <w:r>
        <w:rPr>
          <w:rFonts w:hint="eastAsia" w:ascii="黑体" w:hAnsi="黑体" w:eastAsia="宋体" w:cs="黑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highlight w:val="none"/>
          <w:shd w:val="clear" w:color="auto" w:fill="auto"/>
          <w:vertAlign w:val="baseline"/>
          <w:lang w:val="en-US" w:eastAsia="zh-CN"/>
        </w:rPr>
        <w:t>附件二）</w:t>
      </w:r>
    </w:p>
    <w:tbl>
      <w:tblPr>
        <w:tblStyle w:val="8"/>
        <w:tblW w:w="8730" w:type="dxa"/>
        <w:tblInd w:w="-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0"/>
        <w:gridCol w:w="3053"/>
        <w:gridCol w:w="2456"/>
        <w:gridCol w:w="2351"/>
      </w:tblGrid>
      <w:tr w14:paraId="6F8F2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70" w:type="dxa"/>
            <w:vAlign w:val="center"/>
          </w:tcPr>
          <w:p w14:paraId="4E2F24FE">
            <w:pPr>
              <w:jc w:val="center"/>
              <w:rPr>
                <w:rFonts w:hint="eastAsia" w:ascii="黑体" w:hAnsi="黑体" w:eastAsia="宋体" w:cs="黑体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sz w:val="21"/>
                <w:szCs w:val="21"/>
              </w:rPr>
              <w:t>序号</w:t>
            </w:r>
          </w:p>
        </w:tc>
        <w:tc>
          <w:tcPr>
            <w:tcW w:w="3053" w:type="dxa"/>
            <w:vAlign w:val="center"/>
          </w:tcPr>
          <w:p w14:paraId="601EFFCA">
            <w:pPr>
              <w:jc w:val="center"/>
              <w:rPr>
                <w:rFonts w:hint="eastAsia" w:ascii="黑体" w:hAnsi="黑体" w:eastAsia="宋体" w:cs="黑体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sz w:val="21"/>
                <w:szCs w:val="21"/>
              </w:rPr>
              <w:t>药品名称</w:t>
            </w:r>
          </w:p>
        </w:tc>
        <w:tc>
          <w:tcPr>
            <w:tcW w:w="2456" w:type="dxa"/>
            <w:vAlign w:val="center"/>
          </w:tcPr>
          <w:p w14:paraId="55D53628">
            <w:pPr>
              <w:jc w:val="center"/>
              <w:rPr>
                <w:rFonts w:hint="eastAsia" w:ascii="黑体" w:hAnsi="黑体" w:eastAsia="宋体" w:cs="黑体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sz w:val="21"/>
                <w:szCs w:val="21"/>
              </w:rPr>
              <w:t>规格(供参考)</w:t>
            </w:r>
          </w:p>
        </w:tc>
        <w:tc>
          <w:tcPr>
            <w:tcW w:w="2351" w:type="dxa"/>
            <w:vAlign w:val="center"/>
          </w:tcPr>
          <w:p w14:paraId="048307E1">
            <w:pPr>
              <w:jc w:val="center"/>
              <w:rPr>
                <w:rFonts w:hint="eastAsia" w:ascii="黑体" w:hAnsi="黑体" w:eastAsia="宋体" w:cs="黑体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sz w:val="21"/>
                <w:szCs w:val="21"/>
              </w:rPr>
              <w:t>年使用总量</w:t>
            </w:r>
          </w:p>
        </w:tc>
      </w:tr>
      <w:tr w14:paraId="4D957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870" w:type="dxa"/>
            <w:vAlign w:val="center"/>
          </w:tcPr>
          <w:p w14:paraId="7F246132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53" w:type="dxa"/>
            <w:vAlign w:val="center"/>
          </w:tcPr>
          <w:p w14:paraId="0BE8CFC7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6.8%氯氰菊酯·右旋反式氯丙炔菊酯水乳剂</w:t>
            </w:r>
          </w:p>
        </w:tc>
        <w:tc>
          <w:tcPr>
            <w:tcW w:w="2456" w:type="dxa"/>
            <w:vAlign w:val="center"/>
          </w:tcPr>
          <w:p w14:paraId="16CF4E0D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1000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毫升/瓶</w:t>
            </w:r>
          </w:p>
        </w:tc>
        <w:tc>
          <w:tcPr>
            <w:tcW w:w="2351" w:type="dxa"/>
            <w:vAlign w:val="center"/>
          </w:tcPr>
          <w:p w14:paraId="4E116C5A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100公斤</w:t>
            </w:r>
          </w:p>
        </w:tc>
      </w:tr>
      <w:tr w14:paraId="24473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870" w:type="dxa"/>
            <w:vAlign w:val="center"/>
          </w:tcPr>
          <w:p w14:paraId="3381ABBF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53" w:type="dxa"/>
            <w:vAlign w:val="center"/>
          </w:tcPr>
          <w:p w14:paraId="29015409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%高氯·残杀威悬浮剂</w:t>
            </w:r>
          </w:p>
        </w:tc>
        <w:tc>
          <w:tcPr>
            <w:tcW w:w="2456" w:type="dxa"/>
            <w:vAlign w:val="center"/>
          </w:tcPr>
          <w:p w14:paraId="58EC6AAD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500毫升/瓶</w:t>
            </w:r>
          </w:p>
        </w:tc>
        <w:tc>
          <w:tcPr>
            <w:tcW w:w="2351" w:type="dxa"/>
            <w:vAlign w:val="center"/>
          </w:tcPr>
          <w:p w14:paraId="5ED1FFA3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30公斤</w:t>
            </w:r>
          </w:p>
        </w:tc>
      </w:tr>
      <w:tr w14:paraId="582644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870" w:type="dxa"/>
            <w:vAlign w:val="center"/>
          </w:tcPr>
          <w:p w14:paraId="26FFEDB9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3</w:t>
            </w:r>
          </w:p>
        </w:tc>
        <w:tc>
          <w:tcPr>
            <w:tcW w:w="3053" w:type="dxa"/>
            <w:vAlign w:val="center"/>
          </w:tcPr>
          <w:p w14:paraId="244C4B23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杀虫热雾剂</w:t>
            </w:r>
          </w:p>
        </w:tc>
        <w:tc>
          <w:tcPr>
            <w:tcW w:w="2456" w:type="dxa"/>
            <w:vAlign w:val="center"/>
          </w:tcPr>
          <w:p w14:paraId="20AB4FF6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5公斤/瓶</w:t>
            </w:r>
          </w:p>
        </w:tc>
        <w:tc>
          <w:tcPr>
            <w:tcW w:w="2351" w:type="dxa"/>
            <w:vAlign w:val="center"/>
          </w:tcPr>
          <w:p w14:paraId="3B0F9C94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30公斤</w:t>
            </w:r>
          </w:p>
        </w:tc>
      </w:tr>
      <w:tr w14:paraId="115BC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870" w:type="dxa"/>
            <w:vAlign w:val="center"/>
          </w:tcPr>
          <w:p w14:paraId="5095104D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053" w:type="dxa"/>
            <w:vAlign w:val="center"/>
          </w:tcPr>
          <w:p w14:paraId="7339F373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杀虫颗粒剂</w:t>
            </w:r>
          </w:p>
        </w:tc>
        <w:tc>
          <w:tcPr>
            <w:tcW w:w="2456" w:type="dxa"/>
            <w:vAlign w:val="center"/>
          </w:tcPr>
          <w:p w14:paraId="6A15F908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500克/包</w:t>
            </w:r>
          </w:p>
        </w:tc>
        <w:tc>
          <w:tcPr>
            <w:tcW w:w="2351" w:type="dxa"/>
            <w:vAlign w:val="center"/>
          </w:tcPr>
          <w:p w14:paraId="12AC0957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25000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克</w:t>
            </w:r>
          </w:p>
        </w:tc>
      </w:tr>
      <w:tr w14:paraId="00436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870" w:type="dxa"/>
            <w:vAlign w:val="center"/>
          </w:tcPr>
          <w:p w14:paraId="199B8621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53" w:type="dxa"/>
            <w:vAlign w:val="center"/>
          </w:tcPr>
          <w:p w14:paraId="74A7B200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0.005%溴鼠灵饵剂</w:t>
            </w:r>
          </w:p>
        </w:tc>
        <w:tc>
          <w:tcPr>
            <w:tcW w:w="2456" w:type="dxa"/>
            <w:vAlign w:val="center"/>
          </w:tcPr>
          <w:p w14:paraId="481C4BD8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1公斤/包</w:t>
            </w:r>
          </w:p>
        </w:tc>
        <w:tc>
          <w:tcPr>
            <w:tcW w:w="2351" w:type="dxa"/>
            <w:vAlign w:val="center"/>
          </w:tcPr>
          <w:p w14:paraId="342E699F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112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公斤</w:t>
            </w:r>
          </w:p>
        </w:tc>
      </w:tr>
      <w:tr w14:paraId="60DAB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870" w:type="dxa"/>
            <w:vAlign w:val="center"/>
          </w:tcPr>
          <w:p w14:paraId="7491330B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53" w:type="dxa"/>
            <w:vAlign w:val="center"/>
          </w:tcPr>
          <w:p w14:paraId="1128EBAD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0.005%氟鼠灵杀它仗蜡丸</w:t>
            </w:r>
          </w:p>
        </w:tc>
        <w:tc>
          <w:tcPr>
            <w:tcW w:w="2456" w:type="dxa"/>
            <w:vAlign w:val="center"/>
          </w:tcPr>
          <w:p w14:paraId="6E4C54D6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10公斤/桶</w:t>
            </w:r>
          </w:p>
        </w:tc>
        <w:tc>
          <w:tcPr>
            <w:tcW w:w="2351" w:type="dxa"/>
            <w:vAlign w:val="center"/>
          </w:tcPr>
          <w:p w14:paraId="0F4703AF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50公斤</w:t>
            </w:r>
          </w:p>
        </w:tc>
      </w:tr>
      <w:tr w14:paraId="7557E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870" w:type="dxa"/>
            <w:vAlign w:val="center"/>
          </w:tcPr>
          <w:p w14:paraId="2AC5E9FC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53" w:type="dxa"/>
            <w:vAlign w:val="center"/>
          </w:tcPr>
          <w:p w14:paraId="032F4E83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2.15%吡虫啉杀蟑胶饵</w:t>
            </w:r>
          </w:p>
        </w:tc>
        <w:tc>
          <w:tcPr>
            <w:tcW w:w="2456" w:type="dxa"/>
            <w:vAlign w:val="center"/>
          </w:tcPr>
          <w:p w14:paraId="46F606A8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10克/支</w:t>
            </w:r>
          </w:p>
        </w:tc>
        <w:tc>
          <w:tcPr>
            <w:tcW w:w="2351" w:type="dxa"/>
            <w:vAlign w:val="center"/>
          </w:tcPr>
          <w:p w14:paraId="1C8CEAA5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600支</w:t>
            </w:r>
          </w:p>
        </w:tc>
      </w:tr>
      <w:tr w14:paraId="33854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870" w:type="dxa"/>
            <w:vAlign w:val="center"/>
          </w:tcPr>
          <w:p w14:paraId="7CB6BC69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53" w:type="dxa"/>
            <w:vAlign w:val="center"/>
          </w:tcPr>
          <w:p w14:paraId="1EFCF3F3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2.5%吡虫啉杀虫饵剂</w:t>
            </w:r>
          </w:p>
        </w:tc>
        <w:tc>
          <w:tcPr>
            <w:tcW w:w="2456" w:type="dxa"/>
            <w:vAlign w:val="center"/>
          </w:tcPr>
          <w:p w14:paraId="14704AFC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克/包</w:t>
            </w:r>
          </w:p>
        </w:tc>
        <w:tc>
          <w:tcPr>
            <w:tcW w:w="2351" w:type="dxa"/>
            <w:vAlign w:val="center"/>
          </w:tcPr>
          <w:p w14:paraId="667EA888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1200包</w:t>
            </w:r>
          </w:p>
        </w:tc>
      </w:tr>
      <w:tr w14:paraId="46145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870" w:type="dxa"/>
            <w:vAlign w:val="center"/>
          </w:tcPr>
          <w:p w14:paraId="0EE990A1">
            <w:pPr>
              <w:spacing w:line="360" w:lineRule="auto"/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53" w:type="dxa"/>
            <w:vAlign w:val="center"/>
          </w:tcPr>
          <w:p w14:paraId="06D3B114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杀蟑气雾剂</w:t>
            </w:r>
          </w:p>
        </w:tc>
        <w:tc>
          <w:tcPr>
            <w:tcW w:w="2456" w:type="dxa"/>
            <w:vAlign w:val="center"/>
          </w:tcPr>
          <w:p w14:paraId="0548CEAA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450毫升/瓶</w:t>
            </w:r>
          </w:p>
        </w:tc>
        <w:tc>
          <w:tcPr>
            <w:tcW w:w="2351" w:type="dxa"/>
            <w:vAlign w:val="center"/>
          </w:tcPr>
          <w:p w14:paraId="76015414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45瓶</w:t>
            </w:r>
          </w:p>
        </w:tc>
      </w:tr>
      <w:tr w14:paraId="6324F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870" w:type="dxa"/>
            <w:vAlign w:val="center"/>
          </w:tcPr>
          <w:p w14:paraId="0E579D17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53" w:type="dxa"/>
            <w:vAlign w:val="center"/>
          </w:tcPr>
          <w:p w14:paraId="0921E1F7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粘鼠板</w:t>
            </w:r>
          </w:p>
        </w:tc>
        <w:tc>
          <w:tcPr>
            <w:tcW w:w="2456" w:type="dxa"/>
            <w:vAlign w:val="center"/>
          </w:tcPr>
          <w:p w14:paraId="07752ED2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</w:p>
        </w:tc>
        <w:tc>
          <w:tcPr>
            <w:tcW w:w="2351" w:type="dxa"/>
            <w:vAlign w:val="center"/>
          </w:tcPr>
          <w:p w14:paraId="2A2B4400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00张</w:t>
            </w:r>
          </w:p>
        </w:tc>
      </w:tr>
      <w:tr w14:paraId="3581B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870" w:type="dxa"/>
            <w:vAlign w:val="center"/>
          </w:tcPr>
          <w:p w14:paraId="4410A6AD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53" w:type="dxa"/>
            <w:vAlign w:val="center"/>
          </w:tcPr>
          <w:p w14:paraId="30D4CEBA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蟑螂屋</w:t>
            </w:r>
          </w:p>
        </w:tc>
        <w:tc>
          <w:tcPr>
            <w:tcW w:w="2456" w:type="dxa"/>
            <w:vAlign w:val="center"/>
          </w:tcPr>
          <w:p w14:paraId="51FB55BD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</w:p>
        </w:tc>
        <w:tc>
          <w:tcPr>
            <w:tcW w:w="2351" w:type="dxa"/>
            <w:vAlign w:val="center"/>
          </w:tcPr>
          <w:p w14:paraId="686A7C9B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  <w:t>00个</w:t>
            </w:r>
          </w:p>
        </w:tc>
      </w:tr>
      <w:tr w14:paraId="25300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870" w:type="dxa"/>
            <w:vAlign w:val="center"/>
          </w:tcPr>
          <w:p w14:paraId="4AE36EEA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53" w:type="dxa"/>
            <w:vAlign w:val="center"/>
          </w:tcPr>
          <w:p w14:paraId="23AC5B56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鼠饵站</w:t>
            </w:r>
          </w:p>
        </w:tc>
        <w:tc>
          <w:tcPr>
            <w:tcW w:w="2456" w:type="dxa"/>
            <w:vAlign w:val="center"/>
          </w:tcPr>
          <w:p w14:paraId="76330378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</w:p>
        </w:tc>
        <w:tc>
          <w:tcPr>
            <w:tcW w:w="2351" w:type="dxa"/>
            <w:vAlign w:val="center"/>
          </w:tcPr>
          <w:p w14:paraId="3457DA91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20个</w:t>
            </w:r>
          </w:p>
        </w:tc>
      </w:tr>
      <w:tr w14:paraId="0601C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870" w:type="dxa"/>
            <w:vAlign w:val="center"/>
          </w:tcPr>
          <w:p w14:paraId="4385C91B">
            <w:pPr>
              <w:spacing w:line="360" w:lineRule="auto"/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053" w:type="dxa"/>
            <w:vAlign w:val="center"/>
          </w:tcPr>
          <w:p w14:paraId="270FE8ED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捕蝇笼</w:t>
            </w:r>
          </w:p>
        </w:tc>
        <w:tc>
          <w:tcPr>
            <w:tcW w:w="2456" w:type="dxa"/>
            <w:vAlign w:val="center"/>
          </w:tcPr>
          <w:p w14:paraId="56A3A5B4">
            <w:pPr>
              <w:jc w:val="center"/>
              <w:rPr>
                <w:rFonts w:hint="eastAsia" w:ascii="黑体" w:hAnsi="黑体" w:eastAsia="宋体" w:cs="黑体"/>
                <w:color w:val="auto"/>
                <w:sz w:val="21"/>
                <w:szCs w:val="21"/>
              </w:rPr>
            </w:pPr>
          </w:p>
        </w:tc>
        <w:tc>
          <w:tcPr>
            <w:tcW w:w="2351" w:type="dxa"/>
            <w:vAlign w:val="center"/>
          </w:tcPr>
          <w:p w14:paraId="6FDCDF17">
            <w:pPr>
              <w:jc w:val="center"/>
              <w:rPr>
                <w:rFonts w:hint="default" w:ascii="黑体" w:hAnsi="黑体" w:eastAsia="宋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宋体" w:cs="黑体"/>
                <w:color w:val="auto"/>
                <w:sz w:val="21"/>
                <w:szCs w:val="21"/>
                <w:lang w:val="en-US" w:eastAsia="zh-CN"/>
              </w:rPr>
              <w:t>10个</w:t>
            </w:r>
          </w:p>
        </w:tc>
      </w:tr>
    </w:tbl>
    <w:p w14:paraId="65C450A7">
      <w:pPr>
        <w:jc w:val="center"/>
        <w:rPr>
          <w:rFonts w:hint="default" w:ascii="宋体" w:hAnsi="宋体" w:eastAsia="宋体" w:cs="宋体"/>
          <w:b/>
          <w:bCs/>
          <w:color w:val="auto"/>
          <w:kern w:val="2"/>
          <w:sz w:val="21"/>
          <w:szCs w:val="21"/>
          <w:highlight w:val="none"/>
          <w:shd w:val="clear" w:color="auto" w:fill="auto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E5E5A"/>
    <w:rsid w:val="04B5226C"/>
    <w:rsid w:val="062760EE"/>
    <w:rsid w:val="0B372CA8"/>
    <w:rsid w:val="0EA0228A"/>
    <w:rsid w:val="120C7499"/>
    <w:rsid w:val="280255D6"/>
    <w:rsid w:val="35675000"/>
    <w:rsid w:val="44ED24B7"/>
    <w:rsid w:val="51845CD8"/>
    <w:rsid w:val="6D505D9E"/>
    <w:rsid w:val="709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rPr>
      <w:rFonts w:ascii="Arial" w:hAnsi="Arial" w:eastAsia="宋体" w:cs="Times New Roman"/>
      <w:bCs/>
      <w:kern w:val="2"/>
    </w:rPr>
  </w:style>
  <w:style w:type="paragraph" w:styleId="3">
    <w:name w:val="Body Text First Indent"/>
    <w:basedOn w:val="2"/>
    <w:next w:val="4"/>
    <w:qFormat/>
    <w:uiPriority w:val="0"/>
    <w:pPr>
      <w:spacing w:after="120"/>
      <w:ind w:firstLine="420" w:firstLineChars="100"/>
    </w:pPr>
    <w:rPr>
      <w:rFonts w:ascii="Calibri" w:hAnsi="Calibri"/>
      <w:sz w:val="21"/>
      <w:szCs w:val="22"/>
    </w:rPr>
  </w:style>
  <w:style w:type="paragraph" w:styleId="4">
    <w:name w:val="toc 6"/>
    <w:basedOn w:val="1"/>
    <w:next w:val="1"/>
    <w:qFormat/>
    <w:uiPriority w:val="39"/>
    <w:pPr>
      <w:widowControl w:val="0"/>
      <w:ind w:left="840"/>
    </w:pPr>
    <w:rPr>
      <w:rFonts w:ascii="Calibri" w:hAnsi="Calibri" w:cs="Calibri"/>
      <w:kern w:val="2"/>
      <w:sz w:val="20"/>
      <w:szCs w:val="20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993</Words>
  <Characters>1110</Characters>
  <Lines>0</Lines>
  <Paragraphs>0</Paragraphs>
  <TotalTime>5</TotalTime>
  <ScaleCrop>false</ScaleCrop>
  <LinksUpToDate>false</LinksUpToDate>
  <CharactersWithSpaces>1110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2026-10-07T00:54:00Z</dcterms:created>
  <dc:creator>win总务科</dc:creator>
  <cp:lastModifiedBy>zyx.</cp:lastModifiedBy>
  <dcterms:modified xsi:type="dcterms:W3CDTF">2026-10-19T00:22:05Z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eyJoZGlkIjoiMGY2ZTFjMWQ0NTlmMWI5N2ExOGQ2MDJmMDQ4NmRlMGEiLCJ1c2VySWQiOiIxMDQyNTQ4ODc4In0=</vt:lpwstr>
  </property>
  <property fmtid="{D5CDD505-2E9C-101B-9397-08002B2CF9AE}" pid="4" name="ICV">
    <vt:lpwstr>72FBD5DC4ACD479C9D4DB8B079F53C93_12</vt:lpwstr>
  </property>
</Properties>
</file>