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8C7AF">
      <w:pPr>
        <w:keepNext/>
        <w:keepLines/>
        <w:widowControl w:val="0"/>
        <w:numPr>
          <w:numId w:val="0"/>
        </w:numPr>
        <w:adjustRightInd w:val="0"/>
        <w:snapToGrid w:val="0"/>
        <w:spacing w:line="360" w:lineRule="auto"/>
        <w:ind w:leftChars="0"/>
        <w:jc w:val="center"/>
        <w:outlineLvl w:val="0"/>
        <w:rPr>
          <w:rFonts w:hint="eastAsia" w:ascii="Times New Roman" w:hAnsi="Times New Roman" w:eastAsia="黑体" w:cs="Times New Roman"/>
          <w:b/>
          <w:bCs/>
          <w:color w:val="000000"/>
          <w:kern w:val="44"/>
          <w:sz w:val="44"/>
          <w:szCs w:val="44"/>
          <w:highlight w:val="none"/>
          <w:lang w:val="en-US" w:eastAsia="en-US" w:bidi="ar-SA"/>
          <w14:textFill>
            <w14:solidFill>
              <w14:srgbClr w14:val="000000">
                <w14:lumMod w14:val="95000"/>
                <w14:lumOff w14:val="5000"/>
              </w14:srgbClr>
            </w14:solidFill>
          </w14:textFill>
        </w:rPr>
      </w:pPr>
      <w:bookmarkStart w:id="20" w:name="_GoBack"/>
      <w:bookmarkEnd w:id="20"/>
      <w:bookmarkStart w:id="0" w:name="_Toc28872"/>
      <w:r>
        <w:rPr>
          <w:rFonts w:hint="eastAsia" w:ascii="Times New Roman" w:hAnsi="Times New Roman" w:eastAsia="黑体" w:cs="Times New Roman"/>
          <w:b/>
          <w:bCs/>
          <w:color w:val="000000"/>
          <w:kern w:val="44"/>
          <w:sz w:val="44"/>
          <w:szCs w:val="44"/>
          <w:highlight w:val="none"/>
          <w:lang w:val="en-US" w:eastAsia="en-US" w:bidi="ar-SA"/>
          <w14:textFill>
            <w14:solidFill>
              <w14:srgbClr w14:val="000000">
                <w14:lumMod w14:val="95000"/>
                <w14:lumOff w14:val="5000"/>
              </w14:srgbClr>
            </w14:solidFill>
          </w14:textFill>
        </w:rPr>
        <w:t>项目采购需求</w:t>
      </w:r>
      <w:bookmarkEnd w:id="0"/>
    </w:p>
    <w:p w14:paraId="354681E7">
      <w:pPr>
        <w:keepNext/>
        <w:keepLines/>
        <w:widowControl w:val="0"/>
        <w:numPr>
          <w:ilvl w:val="0"/>
          <w:numId w:val="1"/>
        </w:numPr>
        <w:bidi w:val="0"/>
        <w:adjustRightInd w:val="0"/>
        <w:snapToGrid w:val="0"/>
        <w:spacing w:line="360" w:lineRule="auto"/>
        <w:ind w:left="420" w:hanging="420" w:firstLineChars="0"/>
        <w:jc w:val="left"/>
        <w:outlineLvl w:val="1"/>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1" w:name="_Toc19601"/>
      <w:bookmarkStart w:id="2" w:name="_Toc25454"/>
      <w:r>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采购清单</w:t>
      </w:r>
      <w:bookmarkEnd w:id="1"/>
      <w:bookmarkEnd w:id="2"/>
    </w:p>
    <w:tbl>
      <w:tblPr>
        <w:tblStyle w:val="2"/>
        <w:tblW w:w="7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236"/>
        <w:gridCol w:w="895"/>
        <w:gridCol w:w="1102"/>
        <w:gridCol w:w="774"/>
        <w:gridCol w:w="1618"/>
      </w:tblGrid>
      <w:tr w14:paraId="5C79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0" w:type="dxa"/>
            <w:noWrap w:val="0"/>
            <w:vAlign w:val="center"/>
          </w:tcPr>
          <w:p w14:paraId="5CE7C4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序号</w:t>
            </w:r>
          </w:p>
        </w:tc>
        <w:tc>
          <w:tcPr>
            <w:tcW w:w="2236" w:type="dxa"/>
            <w:noWrap w:val="0"/>
            <w:vAlign w:val="center"/>
          </w:tcPr>
          <w:p w14:paraId="0B39F0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名称</w:t>
            </w:r>
          </w:p>
        </w:tc>
        <w:tc>
          <w:tcPr>
            <w:tcW w:w="895" w:type="dxa"/>
            <w:noWrap w:val="0"/>
            <w:vAlign w:val="center"/>
          </w:tcPr>
          <w:p w14:paraId="7FC997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数量</w:t>
            </w:r>
          </w:p>
        </w:tc>
        <w:tc>
          <w:tcPr>
            <w:tcW w:w="1102" w:type="dxa"/>
            <w:noWrap w:val="0"/>
            <w:vAlign w:val="center"/>
          </w:tcPr>
          <w:p w14:paraId="0884A3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单位</w:t>
            </w:r>
          </w:p>
        </w:tc>
        <w:tc>
          <w:tcPr>
            <w:tcW w:w="774" w:type="dxa"/>
            <w:noWrap w:val="0"/>
            <w:vAlign w:val="center"/>
          </w:tcPr>
          <w:p w14:paraId="20C1F3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备注</w:t>
            </w:r>
          </w:p>
        </w:tc>
        <w:tc>
          <w:tcPr>
            <w:tcW w:w="1618" w:type="dxa"/>
            <w:noWrap w:val="0"/>
            <w:vAlign w:val="center"/>
          </w:tcPr>
          <w:p w14:paraId="22A242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所属行业</w:t>
            </w:r>
          </w:p>
        </w:tc>
      </w:tr>
      <w:tr w14:paraId="41B0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20" w:type="dxa"/>
            <w:noWrap w:val="0"/>
            <w:vAlign w:val="center"/>
          </w:tcPr>
          <w:p w14:paraId="01FB47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cs="Times New Roman"/>
                <w:color w:val="000000"/>
                <w:sz w:val="21"/>
                <w:szCs w:val="20"/>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1</w:t>
            </w:r>
          </w:p>
        </w:tc>
        <w:tc>
          <w:tcPr>
            <w:tcW w:w="2236" w:type="dxa"/>
            <w:noWrap w:val="0"/>
            <w:vAlign w:val="center"/>
          </w:tcPr>
          <w:p w14:paraId="158E8D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sz w:val="21"/>
                <w:szCs w:val="20"/>
                <w:highlight w:val="none"/>
                <w:lang w:val="en-US" w:eastAsia="zh-CN"/>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val="en-US" w:eastAsia="zh-CN"/>
                <w14:textFill>
                  <w14:solidFill>
                    <w14:srgbClr w14:val="000000">
                      <w14:lumMod w14:val="95000"/>
                      <w14:lumOff w14:val="5000"/>
                    </w14:srgbClr>
                  </w14:solidFill>
                </w14:textFill>
              </w:rPr>
              <w:t>白蚁防治施工</w:t>
            </w:r>
          </w:p>
        </w:tc>
        <w:tc>
          <w:tcPr>
            <w:tcW w:w="895" w:type="dxa"/>
            <w:noWrap w:val="0"/>
            <w:vAlign w:val="center"/>
          </w:tcPr>
          <w:p w14:paraId="52B56E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1</w:t>
            </w:r>
          </w:p>
        </w:tc>
        <w:tc>
          <w:tcPr>
            <w:tcW w:w="1102" w:type="dxa"/>
            <w:noWrap w:val="0"/>
            <w:vAlign w:val="center"/>
          </w:tcPr>
          <w:p w14:paraId="385A94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项</w:t>
            </w:r>
          </w:p>
        </w:tc>
        <w:tc>
          <w:tcPr>
            <w:tcW w:w="774" w:type="dxa"/>
            <w:noWrap w:val="0"/>
            <w:vAlign w:val="center"/>
          </w:tcPr>
          <w:p w14:paraId="5E4681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w:t>
            </w:r>
          </w:p>
        </w:tc>
        <w:tc>
          <w:tcPr>
            <w:tcW w:w="1618" w:type="dxa"/>
            <w:noWrap w:val="0"/>
            <w:vAlign w:val="center"/>
          </w:tcPr>
          <w:p w14:paraId="3C63BD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sz w:val="21"/>
                <w:szCs w:val="20"/>
                <w:highlight w:val="none"/>
                <w:lang w:val="en-US" w:eastAsia="zh-CN"/>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val="en-US" w:eastAsia="zh-CN"/>
                <w14:textFill>
                  <w14:solidFill>
                    <w14:srgbClr w14:val="000000">
                      <w14:lumMod w14:val="95000"/>
                      <w14:lumOff w14:val="5000"/>
                    </w14:srgbClr>
                  </w14:solidFill>
                </w14:textFill>
              </w:rPr>
              <w:t>建筑业</w:t>
            </w:r>
          </w:p>
        </w:tc>
      </w:tr>
    </w:tbl>
    <w:p w14:paraId="2492FCA0">
      <w:pPr>
        <w:keepNext/>
        <w:keepLines/>
        <w:widowControl w:val="0"/>
        <w:numPr>
          <w:ilvl w:val="0"/>
          <w:numId w:val="1"/>
        </w:numPr>
        <w:bidi w:val="0"/>
        <w:adjustRightInd w:val="0"/>
        <w:snapToGrid w:val="0"/>
        <w:spacing w:line="360" w:lineRule="auto"/>
        <w:ind w:left="420" w:hanging="420" w:firstLineChars="0"/>
        <w:jc w:val="left"/>
        <w:outlineLvl w:val="1"/>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3" w:name="_Toc29913"/>
      <w:bookmarkStart w:id="4" w:name="_Toc11111"/>
      <w:bookmarkStart w:id="5" w:name="_Toc30125"/>
      <w:r>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项目概况</w:t>
      </w:r>
      <w:bookmarkEnd w:id="3"/>
      <w:bookmarkEnd w:id="4"/>
    </w:p>
    <w:p w14:paraId="2D9AB11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根据曾都区实际情况和2025年度水利工程白蚁普查的蚁害情况，拟计划在全区69座有重点蚁害隐患的小型水库和有重点蚁害隐患的24.38公里的堤防开展白蚁防治。主要建设内容如下：</w:t>
      </w:r>
    </w:p>
    <w:p w14:paraId="0582BE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1.</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拟对光华、永丰、黑龙、青龙、旱堰、蚂蝗堰、喇叭丘、四清、钱家河、石门口</w:t>
      </w: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等</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10座水库安装智慧白蚁检测装置；</w:t>
      </w:r>
    </w:p>
    <w:p w14:paraId="1274B28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2.</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拟对部分有白蚁活动迹象69座部分小型水库及堤防布设常规白蚁诱引坑（桩）和常规白蚁监测装置；</w:t>
      </w:r>
    </w:p>
    <w:p w14:paraId="4DAEB5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3.</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拟对明显有白蚁危害的独崇山、千工堰、沈家垅、长冲、马家冲等5座水库及堤防进行人工挖巢；</w:t>
      </w:r>
    </w:p>
    <w:p w14:paraId="7A4D20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4.</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拟对水利工程设施范围内进行药物喷洒，本次拟对部分小型水库和堤防进行药物喷洒；</w:t>
      </w:r>
    </w:p>
    <w:p w14:paraId="6D4C5CF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5.</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拟对明显有白蚁危害的望洪山、梅花垅、青龙寺、红光等4座水库布设防蚁沟（带）；</w:t>
      </w:r>
    </w:p>
    <w:p w14:paraId="5079D38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6.</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拟对有白蚁危害的慈山、金花岭、椒藤河、荞麦河等4座水库实施锥探灌浆。</w:t>
      </w:r>
    </w:p>
    <w:p w14:paraId="7E22444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本项目采用施工总承包方式，供应商应在项目要求的施工工期内，完成本项目工程量清单范围内</w:t>
      </w: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涉及</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的全部内容，包含但不限于本项目的工程采购、建安工程施工、调试、相关验收、移交、备案、缺陷责任期、质量保修等阶段全过程实施和管理等，通过验收并交付使用。供应商负责相关安装调试等事宜，并对本项目施工全过程的质量、安全、工期全面负责。</w:t>
      </w:r>
    </w:p>
    <w:p w14:paraId="1E5888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p>
    <w:tbl>
      <w:tblPr>
        <w:tblStyle w:val="2"/>
        <w:tblW w:w="8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4"/>
        <w:gridCol w:w="2114"/>
        <w:gridCol w:w="795"/>
        <w:gridCol w:w="1080"/>
        <w:gridCol w:w="1275"/>
        <w:gridCol w:w="1260"/>
        <w:gridCol w:w="1172"/>
      </w:tblGrid>
      <w:tr w14:paraId="7B35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8460" w:type="dxa"/>
            <w:gridSpan w:val="7"/>
            <w:tcBorders>
              <w:top w:val="nil"/>
              <w:left w:val="nil"/>
              <w:bottom w:val="nil"/>
              <w:right w:val="nil"/>
            </w:tcBorders>
            <w:shd w:val="clear" w:color="auto" w:fill="auto"/>
            <w:vAlign w:val="center"/>
          </w:tcPr>
          <w:p w14:paraId="0ED3D0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黑体" w:hAnsi="宋体" w:eastAsia="黑体" w:cs="黑体"/>
                <w:b/>
                <w:bCs/>
                <w:i w:val="0"/>
                <w:iCs w:val="0"/>
                <w:color w:val="000000"/>
                <w:kern w:val="0"/>
                <w:sz w:val="32"/>
                <w:szCs w:val="32"/>
                <w:highlight w:val="none"/>
                <w:u w:val="none"/>
                <w:lang w:val="en-US" w:eastAsia="zh-CN" w:bidi="ar"/>
                <w14:textFill>
                  <w14:solidFill>
                    <w14:srgbClr w14:val="000000">
                      <w14:lumMod w14:val="95000"/>
                      <w14:lumOff w14:val="5000"/>
                    </w14:srgbClr>
                  </w14:solidFill>
                </w14:textFill>
              </w:rPr>
            </w:pPr>
            <w:r>
              <w:rPr>
                <w:rFonts w:hint="eastAsia" w:ascii="黑体" w:hAnsi="宋体" w:eastAsia="黑体" w:cs="黑体"/>
                <w:b/>
                <w:bCs/>
                <w:i w:val="0"/>
                <w:iCs w:val="0"/>
                <w:color w:val="000000"/>
                <w:kern w:val="0"/>
                <w:sz w:val="32"/>
                <w:szCs w:val="32"/>
                <w:highlight w:val="none"/>
                <w:u w:val="none"/>
                <w:lang w:val="en-US" w:eastAsia="zh-CN" w:bidi="ar"/>
                <w14:textFill>
                  <w14:solidFill>
                    <w14:srgbClr w14:val="000000">
                      <w14:lumMod w14:val="95000"/>
                      <w14:lumOff w14:val="5000"/>
                    </w14:srgbClr>
                  </w14:solidFill>
                </w14:textFill>
              </w:rPr>
              <w:t>随州市曾都区2026年度中央财政发展资金白蚁防治治理</w:t>
            </w:r>
          </w:p>
          <w:p w14:paraId="446546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ascii="黑体" w:hAnsi="宋体" w:eastAsia="黑体" w:cs="黑体"/>
                <w:b/>
                <w:bCs/>
                <w:i w:val="0"/>
                <w:iCs w:val="0"/>
                <w:color w:val="000000"/>
                <w:sz w:val="32"/>
                <w:szCs w:val="32"/>
                <w:highlight w:val="none"/>
                <w:u w:val="none"/>
                <w14:textFill>
                  <w14:solidFill>
                    <w14:srgbClr w14:val="000000">
                      <w14:lumMod w14:val="95000"/>
                      <w14:lumOff w14:val="5000"/>
                    </w14:srgbClr>
                  </w14:solidFill>
                </w14:textFill>
              </w:rPr>
            </w:pPr>
            <w:r>
              <w:rPr>
                <w:rFonts w:hint="eastAsia" w:ascii="黑体" w:hAnsi="宋体" w:eastAsia="黑体" w:cs="黑体"/>
                <w:b/>
                <w:bCs/>
                <w:i w:val="0"/>
                <w:iCs w:val="0"/>
                <w:color w:val="000000"/>
                <w:kern w:val="0"/>
                <w:sz w:val="32"/>
                <w:szCs w:val="32"/>
                <w:highlight w:val="none"/>
                <w:u w:val="none"/>
                <w:lang w:val="en-US" w:eastAsia="zh-CN" w:bidi="ar"/>
                <w14:textFill>
                  <w14:solidFill>
                    <w14:srgbClr w14:val="000000">
                      <w14:lumMod w14:val="95000"/>
                      <w14:lumOff w14:val="5000"/>
                    </w14:srgbClr>
                  </w14:solidFill>
                </w14:textFill>
              </w:rPr>
              <w:t>项目招标工程量清单</w:t>
            </w:r>
          </w:p>
        </w:tc>
      </w:tr>
      <w:tr w14:paraId="4F23B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7A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序号</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E6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项目名称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83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C6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数量</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FE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单价（元）含税</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A2E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金额（元）含税</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F2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备注</w:t>
            </w:r>
          </w:p>
        </w:tc>
      </w:tr>
      <w:tr w14:paraId="3742D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71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7E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合 计</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99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3C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5B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5B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C9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最高限价97.0万元（含税）</w:t>
            </w:r>
          </w:p>
        </w:tc>
      </w:tr>
      <w:tr w14:paraId="65CA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670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一</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01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智慧白蚁监测装置</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C5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909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E0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06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98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2"/>
                <w:szCs w:val="22"/>
                <w:highlight w:val="none"/>
                <w:u w:val="none"/>
                <w14:textFill>
                  <w14:solidFill>
                    <w14:srgbClr w14:val="000000">
                      <w14:lumMod w14:val="95000"/>
                      <w14:lumOff w14:val="5000"/>
                    </w14:srgbClr>
                  </w14:solidFill>
                </w14:textFill>
              </w:rPr>
            </w:pPr>
          </w:p>
        </w:tc>
      </w:tr>
      <w:tr w14:paraId="7CAA1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4B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7B7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装置硬件</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55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5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645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83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5F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62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sz w:val="22"/>
                <w:szCs w:val="22"/>
                <w:highlight w:val="none"/>
                <w:u w:val="none"/>
                <w14:textFill>
                  <w14:solidFill>
                    <w14:srgbClr w14:val="000000">
                      <w14:lumMod w14:val="95000"/>
                      <w14:lumOff w14:val="5000"/>
                    </w14:srgbClr>
                  </w14:solidFill>
                </w14:textFill>
              </w:rPr>
              <w:t>核心产品</w:t>
            </w:r>
          </w:p>
        </w:tc>
      </w:tr>
      <w:tr w14:paraId="6DD1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81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2</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6C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三年平台使用费、维护费、日常监测费及安装</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4B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91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B2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31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77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宋体" w:cs="仿宋"/>
                <w:b/>
                <w:bCs/>
                <w:i w:val="0"/>
                <w:iCs w:val="0"/>
                <w:color w:val="000000"/>
                <w:sz w:val="21"/>
                <w:szCs w:val="21"/>
                <w:highlight w:val="none"/>
                <w:u w:val="none"/>
                <w:lang w:eastAsia="zh-CN"/>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暂估价9.8万元</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含税</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p>
        </w:tc>
      </w:tr>
      <w:tr w14:paraId="01D3F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CB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二</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31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常规白蚁监测装置</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0B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28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3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8E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A7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33B8B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4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18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常规白蚁监测装置</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52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77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565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86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67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77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3503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AB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91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诱引坑（桩）</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58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75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70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50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96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216D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3E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25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诱引坑（桩）</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84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F7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670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9C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30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34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75FEE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FA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CD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人工挖巢</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51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F3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B4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12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4C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57C9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2D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D0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人工开巢</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F1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巢</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B7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58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C0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4E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A3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0981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2F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五</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9A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锥探灌浆</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4B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D3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C9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FE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58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72518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CD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2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08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钻孔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F1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AC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9995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87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B4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57B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5C88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7E2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D6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防蚁沟（带）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E5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74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64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71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B8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50E2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18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875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防蚁沟（带）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C5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B2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520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1B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04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A2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6B39A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8F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86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b/>
                <w:bCs/>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b/>
                <w:bCs/>
                <w:i w:val="0"/>
                <w:iCs w:val="0"/>
                <w:color w:val="000000"/>
                <w:kern w:val="0"/>
                <w:sz w:val="21"/>
                <w:szCs w:val="21"/>
                <w:highlight w:val="none"/>
                <w:u w:val="none"/>
                <w:lang w:val="en-US" w:eastAsia="zh-CN" w:bidi="ar"/>
                <w14:textFill>
                  <w14:solidFill>
                    <w14:srgbClr w14:val="000000">
                      <w14:lumMod w14:val="95000"/>
                      <w14:lumOff w14:val="5000"/>
                    </w14:srgbClr>
                  </w14:solidFill>
                </w14:textFill>
              </w:rPr>
              <w:t>药物喷洒</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71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E9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2E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04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00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r>
      <w:tr w14:paraId="4E06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36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68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施药</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E3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m</w:t>
            </w:r>
            <w:r>
              <w:rPr>
                <w:rFonts w:hint="eastAsia" w:ascii="仿宋" w:hAnsi="仿宋" w:eastAsia="仿宋" w:cs="仿宋"/>
                <w:color w:val="000000"/>
                <w:szCs w:val="21"/>
                <w:highlight w:val="none"/>
                <w:u w:val="none"/>
                <w:vertAlign w:val="superscript"/>
                <w:lang w:val="en-US" w:eastAsia="zh-CN" w:bidi="ar"/>
                <w14:textFill>
                  <w14:solidFill>
                    <w14:srgbClr w14:val="000000">
                      <w14:lumMod w14:val="95000"/>
                      <w14:lumOff w14:val="5000"/>
                    </w14:srgbClr>
                  </w14:solidFill>
                </w14:textFill>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D2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r>
              <w:rPr>
                <w:rFonts w:hint="eastAsia" w:ascii="仿宋" w:hAnsi="仿宋" w:eastAsia="仿宋" w:cs="仿宋"/>
                <w:i w:val="0"/>
                <w:iCs w:val="0"/>
                <w:color w:val="000000"/>
                <w:kern w:val="0"/>
                <w:sz w:val="21"/>
                <w:szCs w:val="21"/>
                <w:highlight w:val="none"/>
                <w:u w:val="none"/>
                <w:lang w:val="en-US" w:eastAsia="zh-CN" w:bidi="ar"/>
                <w14:textFill>
                  <w14:solidFill>
                    <w14:srgbClr w14:val="000000">
                      <w14:lumMod w14:val="95000"/>
                      <w14:lumOff w14:val="5000"/>
                    </w14:srgbClr>
                  </w14:solidFill>
                </w14:textFill>
              </w:rPr>
              <w:t>356250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91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7C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仿宋" w:hAnsi="仿宋" w:eastAsia="仿宋" w:cs="仿宋"/>
                <w:i w:val="0"/>
                <w:iCs w:val="0"/>
                <w:color w:val="000000"/>
                <w:sz w:val="21"/>
                <w:szCs w:val="21"/>
                <w:highlight w:val="none"/>
                <w:u w:val="none"/>
                <w14:textFill>
                  <w14:solidFill>
                    <w14:srgbClr w14:val="000000">
                      <w14:lumMod w14:val="95000"/>
                      <w14:lumOff w14:val="5000"/>
                    </w14:srgbClr>
                  </w14:solidFill>
                </w14:textFill>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B67C">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highlight w:val="none"/>
                <w:u w:val="none"/>
                <w14:textFill>
                  <w14:solidFill>
                    <w14:srgbClr w14:val="000000">
                      <w14:lumMod w14:val="95000"/>
                      <w14:lumOff w14:val="5000"/>
                    </w14:srgbClr>
                  </w14:solidFill>
                </w14:textFill>
              </w:rPr>
            </w:pPr>
          </w:p>
        </w:tc>
      </w:tr>
    </w:tbl>
    <w:p w14:paraId="409F10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p>
    <w:p w14:paraId="7991ADD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lang w:val="en-US" w:eastAsia="zh-CN"/>
          <w14:textFill>
            <w14:solidFill>
              <w14:srgbClr w14:val="000000">
                <w14:lumMod w14:val="95000"/>
                <w14:lumOff w14:val="5000"/>
              </w14:srgbClr>
            </w14:solidFill>
          </w14:textFill>
        </w:rPr>
        <w:t>智慧白蚁监测装置</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属于物联网埋地式白蚁监测设备，装置内放置白蚁诱杀饵剂。一点一站，实现24小时在线监测。白蚁入侵装置内，触发装置预警，可及时掌握蚁情。从而实现及时有效灭杀。</w:t>
      </w:r>
      <w:r>
        <w:rPr>
          <w:rFonts w:hint="eastAsia" w:ascii="宋体" w:hAnsi="宋体" w:eastAsia="宋体" w:cs="宋体"/>
          <w:b/>
          <w:bCs/>
          <w:color w:val="000000"/>
          <w:sz w:val="21"/>
          <w:szCs w:val="20"/>
          <w:highlight w:val="none"/>
          <w:lang w:val="en-US" w:eastAsia="zh-CN"/>
          <w14:textFill>
            <w14:solidFill>
              <w14:srgbClr w14:val="000000">
                <w14:lumMod w14:val="95000"/>
                <w14:lumOff w14:val="5000"/>
              </w14:srgbClr>
            </w14:solidFill>
          </w14:textFill>
        </w:rPr>
        <w:t>信息</w:t>
      </w:r>
      <w:r>
        <w:rPr>
          <w:rFonts w:hint="eastAsia" w:ascii="Times New Roman" w:hAnsi="Times New Roman" w:eastAsia="宋体" w:cs="Times New Roman"/>
          <w:b/>
          <w:bCs/>
          <w:color w:val="000000"/>
          <w:szCs w:val="22"/>
          <w:highlight w:val="none"/>
          <w:lang w:val="en-US" w:eastAsia="zh-CN"/>
          <w14:textFill>
            <w14:solidFill>
              <w14:srgbClr w14:val="000000">
                <w14:lumMod w14:val="95000"/>
                <w14:lumOff w14:val="5000"/>
              </w14:srgbClr>
            </w14:solidFill>
          </w14:textFill>
        </w:rPr>
        <w:t>与“荆楚水库”平台对接。</w:t>
      </w:r>
    </w:p>
    <w:p w14:paraId="263293F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 w:val="21"/>
          <w:szCs w:val="20"/>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常规白蚁监测装置用于监测、诱杀黑翅土白蚁等土栖白蚁。装置埋入土中，内部放入松木作为饵料。白蚁外出觅食时进入桶内取食饵料。人工巡查监测装置，发现白蚁活动后，投放白蚁缓效药剂；白蚁之间互相饲喂，药剂被传回蚁巢，最终实现全巢灭杀。</w:t>
      </w:r>
    </w:p>
    <w:p w14:paraId="16CFB705">
      <w:pPr>
        <w:keepNext/>
        <w:keepLines/>
        <w:widowControl w:val="0"/>
        <w:numPr>
          <w:ilvl w:val="0"/>
          <w:numId w:val="1"/>
        </w:numPr>
        <w:bidi w:val="0"/>
        <w:adjustRightInd w:val="0"/>
        <w:snapToGrid w:val="0"/>
        <w:spacing w:line="360" w:lineRule="auto"/>
        <w:ind w:left="420" w:hanging="420" w:firstLineChars="0"/>
        <w:jc w:val="left"/>
        <w:outlineLvl w:val="1"/>
        <w:rPr>
          <w:rFonts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6" w:name="_Toc9940"/>
      <w:bookmarkStart w:id="7" w:name="_Toc10056"/>
      <w:r>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技术要求</w:t>
      </w:r>
      <w:bookmarkEnd w:id="5"/>
      <w:bookmarkEnd w:id="6"/>
      <w:bookmarkEnd w:id="7"/>
    </w:p>
    <w:p w14:paraId="6DCB75A6">
      <w:pPr>
        <w:keepNext/>
        <w:keepLines/>
        <w:widowControl w:val="0"/>
        <w:bidi w:val="0"/>
        <w:adjustRightInd w:val="0"/>
        <w:snapToGrid w:val="0"/>
        <w:spacing w:line="360" w:lineRule="auto"/>
        <w:ind w:firstLine="602" w:firstLineChars="200"/>
        <w:jc w:val="both"/>
        <w:outlineLvl w:val="2"/>
        <w:rPr>
          <w:rFonts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8" w:name="_Toc23978"/>
      <w:r>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（一）</w:t>
      </w:r>
      <w:r>
        <w:rPr>
          <w:rFonts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规范与标准要求</w:t>
      </w:r>
      <w:bookmarkEnd w:id="8"/>
    </w:p>
    <w:p w14:paraId="5669389F">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按照《湖北省水利工程白蚁防治技术规程》（ DB42/T 768—2011）等相关要求及规范，进行白蚁防治。</w:t>
      </w:r>
    </w:p>
    <w:p w14:paraId="28D4B5EE">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2.</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《建设工程白蚁危害评定标准》（GB/T 51253-2017）；</w:t>
      </w:r>
    </w:p>
    <w:p w14:paraId="66B6521D">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3.</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《白蚁防治工程基本术语标准》（GB/T 50768-2012）；</w:t>
      </w:r>
    </w:p>
    <w:p w14:paraId="6BF038C5">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4.</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《农药合理使用准则》（GB/T8321.2-2000）；</w:t>
      </w:r>
    </w:p>
    <w:p w14:paraId="6E08EDF4">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5.</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《水利工程白蚁防治技术指南》；</w:t>
      </w:r>
    </w:p>
    <w:p w14:paraId="6F2B51F5">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6.</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《水利工程维修养护定额标准》；</w:t>
      </w:r>
    </w:p>
    <w:p w14:paraId="34185A21">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7.</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《中华人民共和国农药管理条例》 </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国务院令[</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begin"/>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instrText xml:space="preserve"> HYPERLINK \l "bookmark60" </w:instrTex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separate"/>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2001</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end"/>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]第 326 条</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w:t>
      </w:r>
    </w:p>
    <w:p w14:paraId="0052C4B1">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8.</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《农药</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限制</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使用管理规定》 </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农业部[</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begin"/>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instrText xml:space="preserve"> HYPERLINK \l "bookmark61" </w:instrTex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separate"/>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2002</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fldChar w:fldCharType="end"/>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]第 17 号</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w:t>
      </w:r>
    </w:p>
    <w:p w14:paraId="69A13D76">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9.</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水利部办公厅《关于做好水利工程白蚁等害堤动物隐患应急整治工作的通知》（2023年 4 月 15 日，水运管〔2023〕119 号）；</w:t>
      </w:r>
    </w:p>
    <w:p w14:paraId="4BF866EA">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10.</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国家防汛抗旱总指挥部办公室《关于开展隐患专项排查抓好堤地凡蚁患防治确保安全度汛工作的通知》（2023 年 5 月 1 日，国汛办电〔2023〕20 号）；</w:t>
      </w:r>
    </w:p>
    <w:p w14:paraId="0481F184">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11.</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水利部《关于印发〈水利工程白蚁防治工作指导意见〉的通知》（2013 年6 月 13 日，水运管〔2023〕191 号）；</w:t>
      </w:r>
    </w:p>
    <w:p w14:paraId="1F919387">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12.</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省水利厅关于印发《湖北省水利工程白蚁防治施工定额（试行）》的通知（鄂水利函〔2022〕162 号）；</w:t>
      </w:r>
    </w:p>
    <w:p w14:paraId="36624CC1">
      <w:pPr>
        <w:bidi w:val="0"/>
        <w:adjustRightInd w:val="0"/>
        <w:snapToGrid w:val="0"/>
        <w:spacing w:line="360" w:lineRule="auto"/>
        <w:ind w:firstLine="420" w:firstLineChars="200"/>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13.</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 xml:space="preserve"> 省水利厅《关于加强 2023 年水利救灾资金（第一批）项目管理的通知》 </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鄂水利函〔2023〕515 号</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ascii="Times New Roman" w:hAnsi="Times New Roman" w:eastAsia="宋体" w:cs="Times New Roman"/>
          <w:color w:val="000000"/>
          <w:szCs w:val="22"/>
          <w:highlight w:val="none"/>
          <w:lang w:val="en-US" w:eastAsia="en-US"/>
          <w14:textFill>
            <w14:solidFill>
              <w14:srgbClr w14:val="000000">
                <w14:lumMod w14:val="95000"/>
                <w14:lumOff w14:val="5000"/>
              </w14:srgbClr>
            </w14:solidFill>
          </w14:textFill>
        </w:rPr>
        <w:t>。</w:t>
      </w:r>
    </w:p>
    <w:p w14:paraId="09486C23">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14.湖北省水利工程白蚁防治技术规程（DB42/T 768-2011）</w:t>
      </w:r>
    </w:p>
    <w:p w14:paraId="272B5B0B">
      <w:pPr>
        <w:keepNext/>
        <w:keepLines/>
        <w:widowControl w:val="0"/>
        <w:bidi w:val="0"/>
        <w:adjustRightInd w:val="0"/>
        <w:snapToGrid w:val="0"/>
        <w:spacing w:line="360" w:lineRule="auto"/>
        <w:ind w:firstLine="602" w:firstLineChars="200"/>
        <w:jc w:val="both"/>
        <w:outlineLvl w:val="2"/>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9" w:name="_Toc8928"/>
      <w:r>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（二）工程措施</w:t>
      </w:r>
      <w:bookmarkEnd w:id="9"/>
    </w:p>
    <w:p w14:paraId="6E5EEF91">
      <w:pPr>
        <w:bidi w:val="0"/>
        <w:adjustRightInd w:val="0"/>
        <w:snapToGrid w:val="0"/>
        <w:spacing w:line="360" w:lineRule="auto"/>
        <w:ind w:firstLine="420" w:firstLineChars="200"/>
        <w:rPr>
          <w:rFonts w:hint="default"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（1）</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 xml:space="preserve"> </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根据湖北省水利厅《关于做好水利工程白蚁智能监测有关工作的通知》（鄂水利函〔2026〕468号）的有关要求，2026年之后实施的白蚁监测控制系统要按照工程类别、危害等级差异化布设白蚁智能监测装置。其中，水库工程主体结构实行全覆盖布设；堤防工程针对危害点位及高风险区段开展重点精准监测。同时，按照《关于开展2026年度 水利工程白蚁等害堤动物危害普查和防治工作的通知》（鄂水利函〔2026〕218号）</w:t>
      </w:r>
      <w:r>
        <w:rPr>
          <w:rFonts w:hint="eastAsia" w:ascii="Times New Roman" w:hAnsi="Times New Roman" w:eastAsia="宋体" w:cs="Times New Roman"/>
          <w:b/>
          <w:bCs/>
          <w:color w:val="000000"/>
          <w:szCs w:val="22"/>
          <w:highlight w:val="none"/>
          <w:lang w:val="en-US" w:eastAsia="zh-CN"/>
          <w14:textFill>
            <w14:solidFill>
              <w14:srgbClr w14:val="000000">
                <w14:lumMod w14:val="95000"/>
                <w14:lumOff w14:val="5000"/>
              </w14:srgbClr>
            </w14:solidFill>
          </w14:textFill>
        </w:rPr>
        <w:t>要求与“荆楚水库”平台对接。</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监测数据和处置闭环记录等数据全量上传至“荆楚水库”平台。</w:t>
      </w:r>
    </w:p>
    <w:p w14:paraId="110661E1">
      <w:pPr>
        <w:bidi w:val="0"/>
        <w:adjustRightInd w:val="0"/>
        <w:snapToGrid w:val="0"/>
        <w:spacing w:line="360" w:lineRule="auto"/>
        <w:ind w:firstLine="420" w:firstLineChars="200"/>
        <w:rPr>
          <w:rFonts w:hint="default"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白蚁智能监测装置</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参数指标和布设要求如下：</w:t>
      </w:r>
    </w:p>
    <w:p w14:paraId="73F9D114">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A</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.白蚁智能监测装置宜内置白蚁诱杀功能，或集成远程消杀处置模块。</w:t>
      </w:r>
    </w:p>
    <w:p w14:paraId="3FE7E2CC">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B</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智能监测装置应具有适应水利工程实际环境的硬件条件。电子模块稳定工作年限宜不低于3年；涉电元件封装盒防护等级宜不低于IP68；装置工作温度范围为-10℃～60℃；可在相对湿度≥80%高湿环境下正常工作，退湿后仍能正常传输。外壳须具有一定的拉伸强度、弯曲强度和冲击强度。</w:t>
      </w:r>
    </w:p>
    <w:p w14:paraId="6C9D3257">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C.</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以10</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15米间距梅花形布置，监测点编码应唯一，空间定位精度控制在±1m内。</w:t>
      </w:r>
    </w:p>
    <w:p w14:paraId="76D9FB7A">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D..</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采用“行-列”编号（如1-1），离堤（坝）顶最近行设置为第一行，沿桩号增大方向依次编号，现场设置永久性标识牌。</w:t>
      </w:r>
    </w:p>
    <w:p w14:paraId="0FA1FA83">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（2）药土屏障</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药土防蚁带，为防范水土流失破坏土质大坝、堤防、渠道等水工建筑物的结构，在可能的蚁源区与主体之间，按照直径1.5cm</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2cm，孔距30cm</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40cm</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孔深80cm</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100cm的标准打梅花孔，在孔内灌注稀好的药剂，最后形成80cm宽的药土防蚁带。药物浓度为0.4%，然后灌入已经打好的孔中，每孔灌注2</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3kg</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然后封孔。</w:t>
      </w:r>
    </w:p>
    <w:p w14:paraId="648AA909">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（3）</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埋设诱蚁坑；检测装置：可在水工建筑物内外坡按2mx2m的间距进行布置诱蚁坑，诱蚁坑按30cmx50cmx40cm人工进行开挖，坑内放入通过用吡吡虫乳液泡过的药蚁喜食饵料然后进行覆盖。</w:t>
      </w:r>
    </w:p>
    <w:p w14:paraId="308A9FD6">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（4）</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药物喷洒：在水工建筑物内外坡及大坝左右岸150mx75m范围的自然山体，进行药物喷洒，采用吡吡虫乳液兑水80-100倍，每公斤稀释液含有效浓度1.5ml</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1.6ml</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用喷药工程车在土壤层进行反复均匀喷洒，每平方米土壤喷洒有效稀释药剂8kg</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10kg</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喷洒时不宜过快，要求量小多次，透过地表施药清除白蚁隐患，保证大坝表面能不被白蚁破坏。</w:t>
      </w:r>
    </w:p>
    <w:p w14:paraId="1C9977F5">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5</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）锥探灌浆：是不开挖处理坝体内部隐患的一种综合治理的有效措施，是目前消灭隐患较为理想的灭治方法。</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即</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利用机械压力使药剂泥浆通过管道钻孔注入坝体，充填白蚁巢穴及蚁道，形成毒土帷幕，将白蚁消灭。</w:t>
      </w:r>
    </w:p>
    <w:p w14:paraId="053051BA">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6）对</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供应商提供的安全管理措施进行评审，包括但不限于：具备完善安全管理制度；作业人员防护；药剂储运施用安全；现场施工管控；废弃物处置等。</w:t>
      </w:r>
    </w:p>
    <w:p w14:paraId="7C768A8F">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7</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供应商提供的应急预案，内容应包含但不限于：1、药物中毒急救；2、蜂蛇伤害急救；3、人员坠落/溺水处置件；4、应急组织与物资保障等。</w:t>
      </w:r>
    </w:p>
    <w:p w14:paraId="2DA387F6">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pPr>
    </w:p>
    <w:p w14:paraId="7DE48602">
      <w:pPr>
        <w:keepNext/>
        <w:keepLines/>
        <w:widowControl w:val="0"/>
        <w:bidi w:val="0"/>
        <w:adjustRightInd w:val="0"/>
        <w:snapToGrid w:val="0"/>
        <w:spacing w:line="360" w:lineRule="auto"/>
        <w:ind w:firstLine="422" w:firstLineChars="200"/>
        <w:jc w:val="both"/>
        <w:outlineLvl w:val="2"/>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10" w:name="_Toc9947"/>
      <w:r>
        <w:rPr>
          <w:rFonts w:hint="eastAsia" w:ascii="Times New Roman" w:hAnsi="Times New Roman" w:eastAsia="宋体" w:cs="Times New Roman"/>
          <w:b/>
          <w:bCs/>
          <w:color w:val="000000"/>
          <w:kern w:val="2"/>
          <w:sz w:val="21"/>
          <w:szCs w:val="20"/>
          <w:highlight w:val="none"/>
          <w:lang w:val="en-US" w:eastAsia="zh-CN" w:bidi="ar"/>
          <w14:textFill>
            <w14:solidFill>
              <w14:srgbClr w14:val="000000">
                <w14:lumMod w14:val="95000"/>
                <w14:lumOff w14:val="5000"/>
              </w14:srgbClr>
            </w14:solidFill>
          </w14:textFill>
        </w:rPr>
        <w:t>★</w:t>
      </w:r>
      <w:r>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（三）竣工验收</w:t>
      </w:r>
      <w:bookmarkEnd w:id="10"/>
    </w:p>
    <w:p w14:paraId="25915F8D">
      <w:pPr>
        <w:bidi w:val="0"/>
        <w:adjustRightInd w:val="0"/>
        <w:snapToGrid w:val="0"/>
        <w:spacing w:line="360" w:lineRule="auto"/>
        <w:ind w:firstLine="420" w:firstLineChars="200"/>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采购</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人与</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施工单位共同按照合同书约定的质量标准及相关内容（包括但不限于行业标准、规范及设计要求</w:t>
      </w:r>
      <w:r>
        <w:rPr>
          <w:rFonts w:hint="eastAsia" w:ascii="Times New Roman" w:hAnsi="Times New Roman" w:eastAsia="宋体" w:cs="Times New Roman"/>
          <w:color w:val="000000"/>
          <w:szCs w:val="22"/>
          <w:highlight w:val="none"/>
          <w:lang w:eastAsia="zh-CN"/>
          <w14:textFill>
            <w14:solidFill>
              <w14:srgbClr w14:val="000000">
                <w14:lumMod w14:val="95000"/>
                <w14:lumOff w14:val="5000"/>
              </w14:srgbClr>
            </w14:solidFill>
          </w14:textFill>
        </w:rPr>
        <w:t>、清</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单、采购文件、响应文件、施工现场等）验收该工程</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w:t>
      </w:r>
      <w:r>
        <w:rPr>
          <w:rFonts w:hint="eastAsia" w:ascii="Times New Roman" w:hAnsi="Times New Roman" w:eastAsia="宋体" w:cs="Times New Roman"/>
          <w:color w:val="000000"/>
          <w:szCs w:val="22"/>
          <w:highlight w:val="none"/>
          <w14:textFill>
            <w14:solidFill>
              <w14:srgbClr w14:val="000000">
                <w14:lumMod w14:val="95000"/>
                <w14:lumOff w14:val="5000"/>
              </w14:srgbClr>
            </w14:solidFill>
          </w14:textFill>
        </w:rPr>
        <w:t>按照国家规定的相关施工验收规范和采购人相关管理办法等相关工程验收规范要求，供应商在完成合同约定的所有施工内容后，在采购人规定的时间内撤除全部施工人员、机械设备和剩余材料（除工程收尾所需的以外），并将所有承包范围内垃圾清理干净，如供应商不能及时拆除或清理，造成的费用均由供应商承担。参与验收的各方在采购人指定的验收单上签字盖章确认合格后视为验收合格。</w:t>
      </w: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在采购人认为有需要的情况下，将邀请第三方检测机构进行共同验收。</w:t>
      </w:r>
    </w:p>
    <w:p w14:paraId="0AB4AFC6">
      <w:pPr>
        <w:keepNext/>
        <w:keepLines/>
        <w:widowControl w:val="0"/>
        <w:bidi w:val="0"/>
        <w:adjustRightInd w:val="0"/>
        <w:snapToGrid w:val="0"/>
        <w:spacing w:line="360" w:lineRule="auto"/>
        <w:ind w:firstLine="422" w:firstLineChars="200"/>
        <w:jc w:val="both"/>
        <w:outlineLvl w:val="2"/>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11" w:name="_Toc14850"/>
      <w:r>
        <w:rPr>
          <w:rFonts w:hint="eastAsia" w:ascii="Times New Roman" w:hAnsi="Times New Roman" w:eastAsia="宋体" w:cs="Times New Roman"/>
          <w:b/>
          <w:bCs/>
          <w:color w:val="000000"/>
          <w:kern w:val="2"/>
          <w:sz w:val="21"/>
          <w:szCs w:val="20"/>
          <w:highlight w:val="none"/>
          <w:lang w:val="en-US" w:eastAsia="zh-CN" w:bidi="ar"/>
          <w14:textFill>
            <w14:solidFill>
              <w14:srgbClr w14:val="000000">
                <w14:lumMod w14:val="95000"/>
                <w14:lumOff w14:val="5000"/>
              </w14:srgbClr>
            </w14:solidFill>
          </w14:textFill>
        </w:rPr>
        <w:t>★</w:t>
      </w:r>
      <w:r>
        <w:rPr>
          <w:rFonts w:hint="eastAsia" w:ascii="Times New Roman" w:hAnsi="Times New Roman"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（四）人员要求</w:t>
      </w:r>
      <w:bookmarkEnd w:id="11"/>
    </w:p>
    <w:p w14:paraId="0AF62D71">
      <w:pPr>
        <w:adjustRightInd w:val="0"/>
        <w:snapToGrid w:val="0"/>
        <w:spacing w:line="360" w:lineRule="auto"/>
        <w:ind w:firstLine="420" w:firstLineChars="200"/>
        <w:jc w:val="both"/>
        <w:rPr>
          <w:rFonts w:hint="eastAsia" w:ascii="Times New Roman" w:hAnsi="Times New Roman" w:eastAsia="宋体" w:cs="Times New Roman"/>
          <w:color w:val="000000"/>
          <w:sz w:val="21"/>
          <w:szCs w:val="20"/>
          <w:highlight w:val="none"/>
          <w:lang w:eastAsia="zh-CN"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（1）项目机构组成要求：</w:t>
      </w:r>
      <w:r>
        <w:rPr>
          <w:rFonts w:hint="eastAsia" w:ascii="Times New Roman" w:hAnsi="Times New Roman" w:eastAsia="宋体" w:cs="Times New Roman"/>
          <w:color w:val="000000"/>
          <w:sz w:val="21"/>
          <w:szCs w:val="20"/>
          <w:highlight w:val="none"/>
          <w:lang w:val="en-US" w:eastAsia="zh-CN" w:bidi="ar"/>
          <w14:textFill>
            <w14:solidFill>
              <w14:srgbClr w14:val="000000">
                <w14:lumMod w14:val="95000"/>
                <w14:lumOff w14:val="5000"/>
              </w14:srgbClr>
            </w14:solidFill>
          </w14:textFill>
        </w:rPr>
        <w:t>须组建专业项目团队，至少具备</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项目经理</w:t>
      </w: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技术负责人</w:t>
      </w: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项目机构组所有成员不得在本项目中相互兼职</w:t>
      </w:r>
      <w:r>
        <w:rPr>
          <w:rFonts w:hint="eastAsia" w:ascii="宋体" w:hAnsi="宋体" w:eastAsia="宋体" w:cs="宋体"/>
          <w:color w:val="000000"/>
          <w:sz w:val="21"/>
          <w:szCs w:val="20"/>
          <w:highlight w:val="none"/>
          <w:lang w:eastAsia="zh-CN"/>
          <w14:textFill>
            <w14:solidFill>
              <w14:srgbClr w14:val="000000">
                <w14:lumMod w14:val="95000"/>
                <w14:lumOff w14:val="5000"/>
              </w14:srgbClr>
            </w14:solidFill>
          </w14:textFill>
        </w:rPr>
        <w:t>，</w:t>
      </w:r>
      <w:r>
        <w:rPr>
          <w:rFonts w:hint="eastAsia" w:ascii="宋体" w:hAnsi="宋体" w:eastAsia="宋体" w:cs="宋体"/>
          <w:color w:val="000000"/>
          <w:sz w:val="21"/>
          <w:szCs w:val="20"/>
          <w:highlight w:val="none"/>
          <w14:textFill>
            <w14:solidFill>
              <w14:srgbClr w14:val="000000">
                <w14:lumMod w14:val="95000"/>
                <w14:lumOff w14:val="5000"/>
              </w14:srgbClr>
            </w14:solidFill>
          </w14:textFill>
        </w:rPr>
        <w:t>社会保险缴费单位应是供应商。</w:t>
      </w:r>
      <w:r>
        <w:rPr>
          <w:rFonts w:hint="eastAsia" w:ascii="宋体" w:hAnsi="宋体" w:eastAsia="宋体" w:cs="宋体"/>
          <w:b/>
          <w:bCs/>
          <w:color w:val="000000"/>
          <w:sz w:val="21"/>
          <w:szCs w:val="20"/>
          <w:highlight w:val="none"/>
          <w14:textFill>
            <w14:solidFill>
              <w14:srgbClr w14:val="000000">
                <w14:lumMod w14:val="95000"/>
                <w14:lumOff w14:val="5000"/>
              </w14:srgbClr>
            </w14:solidFill>
          </w14:textFill>
        </w:rPr>
        <w:t>须提供有效证书、劳动合同、响应文件递交截止时间前6个月内至少1个月供应商为其缴纳的社保证明清晰扫描件并加盖供应商公章</w:t>
      </w:r>
      <w:r>
        <w:rPr>
          <w:rFonts w:hint="eastAsia" w:ascii="Times New Roman" w:hAnsi="Times New Roman" w:eastAsia="宋体" w:cs="Times New Roman"/>
          <w:b/>
          <w:bCs/>
          <w:color w:val="000000"/>
          <w:sz w:val="21"/>
          <w:szCs w:val="20"/>
          <w:highlight w:val="none"/>
          <w:lang w:bidi="ar"/>
          <w14:textFill>
            <w14:solidFill>
              <w14:srgbClr w14:val="000000">
                <w14:lumMod w14:val="95000"/>
                <w14:lumOff w14:val="5000"/>
              </w14:srgbClr>
            </w14:solidFill>
          </w14:textFill>
        </w:rPr>
        <w:t>。</w:t>
      </w:r>
    </w:p>
    <w:p w14:paraId="7C2A2512">
      <w:pPr>
        <w:adjustRightInd w:val="0"/>
        <w:snapToGrid w:val="0"/>
        <w:spacing w:line="360" w:lineRule="auto"/>
        <w:ind w:firstLine="420" w:firstLineChars="200"/>
        <w:jc w:val="both"/>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w:t>
      </w:r>
      <w:r>
        <w:rPr>
          <w:rFonts w:hint="eastAsia" w:ascii="Times New Roman" w:hAnsi="Times New Roman" w:eastAsia="宋体" w:cs="Times New Roman"/>
          <w:color w:val="000000"/>
          <w:sz w:val="21"/>
          <w:szCs w:val="20"/>
          <w:highlight w:val="none"/>
          <w:lang w:val="en-US" w:eastAsia="zh-CN" w:bidi="ar"/>
          <w14:textFill>
            <w14:solidFill>
              <w14:srgbClr w14:val="000000">
                <w14:lumMod w14:val="95000"/>
                <w14:lumOff w14:val="5000"/>
              </w14:srgbClr>
            </w14:solidFill>
          </w14:textFill>
        </w:rPr>
        <w:t>2</w:t>
      </w: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供应商拟派的项目经理在施工期间应派驻施工现场工作，全面负责工程施工管理工作并做好工程资料整理，尽职尽责，因工程质量不合格、工程资料不符合采购方要求或延迟提交等原因导致延迟工程结算或导致对现场工程量的认定存在任何纠纷，进而影响工程结算或产生任何纠纷的，由供应商自行承担相应责任，未经采购人书面同意供应商不得任意变更驻场项目经理；</w:t>
      </w:r>
    </w:p>
    <w:p w14:paraId="3C5A01B6">
      <w:pPr>
        <w:adjustRightInd w:val="0"/>
        <w:snapToGrid w:val="0"/>
        <w:spacing w:line="360" w:lineRule="auto"/>
        <w:ind w:firstLine="420" w:firstLineChars="200"/>
        <w:jc w:val="both"/>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w:t>
      </w:r>
      <w:r>
        <w:rPr>
          <w:rFonts w:hint="eastAsia" w:ascii="Times New Roman" w:hAnsi="Times New Roman" w:eastAsia="宋体" w:cs="Times New Roman"/>
          <w:color w:val="000000"/>
          <w:sz w:val="21"/>
          <w:szCs w:val="20"/>
          <w:highlight w:val="none"/>
          <w:lang w:val="en-US" w:eastAsia="zh-CN" w:bidi="ar"/>
          <w14:textFill>
            <w14:solidFill>
              <w14:srgbClr w14:val="000000">
                <w14:lumMod w14:val="95000"/>
                <w14:lumOff w14:val="5000"/>
              </w14:srgbClr>
            </w14:solidFill>
          </w14:textFill>
        </w:rPr>
        <w:t>3</w:t>
      </w: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）项目成员在服务期限内被发现违纪违规行为或无法胜任情形的，采购人有权要求更换人员或单方面终止合同。</w:t>
      </w:r>
    </w:p>
    <w:p w14:paraId="70852731">
      <w:pPr>
        <w:adjustRightInd w:val="0"/>
        <w:snapToGrid w:val="0"/>
        <w:spacing w:line="360" w:lineRule="auto"/>
        <w:ind w:firstLine="420" w:firstLineChars="200"/>
        <w:jc w:val="both"/>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w:t>
      </w:r>
      <w:r>
        <w:rPr>
          <w:rFonts w:hint="eastAsia" w:ascii="Times New Roman" w:hAnsi="Times New Roman" w:eastAsia="宋体" w:cs="Times New Roman"/>
          <w:color w:val="000000"/>
          <w:sz w:val="21"/>
          <w:szCs w:val="20"/>
          <w:highlight w:val="none"/>
          <w:lang w:val="en-US" w:eastAsia="zh-CN" w:bidi="ar"/>
          <w14:textFill>
            <w14:solidFill>
              <w14:srgbClr w14:val="000000">
                <w14:lumMod w14:val="95000"/>
                <w14:lumOff w14:val="5000"/>
              </w14:srgbClr>
            </w14:solidFill>
          </w14:textFill>
        </w:rPr>
        <w:t>4</w:t>
      </w: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）供应商需保证服从采购人工程施工安全管理工作。</w:t>
      </w:r>
    </w:p>
    <w:p w14:paraId="448B771E">
      <w:pPr>
        <w:adjustRightInd w:val="0"/>
        <w:snapToGrid w:val="0"/>
        <w:spacing w:line="360" w:lineRule="auto"/>
        <w:ind w:firstLine="420" w:firstLineChars="200"/>
        <w:jc w:val="both"/>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w:t>
      </w:r>
      <w:r>
        <w:rPr>
          <w:rFonts w:hint="eastAsia" w:ascii="Times New Roman" w:hAnsi="Times New Roman" w:eastAsia="宋体" w:cs="Times New Roman"/>
          <w:color w:val="000000"/>
          <w:sz w:val="21"/>
          <w:szCs w:val="20"/>
          <w:highlight w:val="none"/>
          <w:lang w:val="en-US" w:eastAsia="zh-CN" w:bidi="ar"/>
          <w14:textFill>
            <w14:solidFill>
              <w14:srgbClr w14:val="000000">
                <w14:lumMod w14:val="95000"/>
                <w14:lumOff w14:val="5000"/>
              </w14:srgbClr>
            </w14:solidFill>
          </w14:textFill>
        </w:rPr>
        <w:t>5</w:t>
      </w: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）采购人不提供人员办公及食宿相关场所和条件</w:t>
      </w:r>
      <w:r>
        <w:rPr>
          <w:rFonts w:hint="eastAsia" w:ascii="Times New Roman" w:hAnsi="Times New Roman" w:eastAsia="宋体" w:cs="Times New Roman"/>
          <w:color w:val="000000"/>
          <w:sz w:val="21"/>
          <w:szCs w:val="20"/>
          <w:highlight w:val="none"/>
          <w:lang w:eastAsia="zh-CN" w:bidi="ar"/>
          <w14:textFill>
            <w14:solidFill>
              <w14:srgbClr w14:val="000000">
                <w14:lumMod w14:val="95000"/>
                <w14:lumOff w14:val="5000"/>
              </w14:srgbClr>
            </w14:solidFill>
          </w14:textFill>
        </w:rPr>
        <w:t>，由</w:t>
      </w:r>
      <w:r>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t>供应商自行解决，并将相关成本纳入投标报价中综合考虑，不得要求采购人提供相应场所或便利条件，或额外支付费用，或索取工期补偿等。</w:t>
      </w:r>
    </w:p>
    <w:p w14:paraId="27ED90ED">
      <w:pPr>
        <w:keepNext/>
        <w:keepLines/>
        <w:widowControl w:val="0"/>
        <w:numPr>
          <w:ilvl w:val="0"/>
          <w:numId w:val="1"/>
        </w:numPr>
        <w:bidi w:val="0"/>
        <w:adjustRightInd w:val="0"/>
        <w:snapToGrid w:val="0"/>
        <w:spacing w:line="360" w:lineRule="auto"/>
        <w:ind w:left="420" w:hanging="420" w:firstLineChars="0"/>
        <w:jc w:val="left"/>
        <w:outlineLvl w:val="1"/>
        <w:rPr>
          <w:rFonts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12" w:name="_Toc5495"/>
      <w:r>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商务要求</w:t>
      </w:r>
      <w:bookmarkEnd w:id="12"/>
    </w:p>
    <w:tbl>
      <w:tblPr>
        <w:tblStyle w:val="2"/>
        <w:tblW w:w="87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907"/>
        <w:gridCol w:w="1577"/>
        <w:gridCol w:w="5489"/>
      </w:tblGrid>
      <w:tr w14:paraId="38C8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2F84E6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bookmarkStart w:id="13" w:name="_Toc18432"/>
            <w:bookmarkStart w:id="14" w:name="_Toc14685"/>
            <w:bookmarkStart w:id="15" w:name="_Toc2348"/>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序号</w:t>
            </w:r>
          </w:p>
        </w:tc>
        <w:tc>
          <w:tcPr>
            <w:tcW w:w="907" w:type="dxa"/>
            <w:tcBorders>
              <w:top w:val="single" w:color="auto" w:sz="4" w:space="0"/>
              <w:left w:val="single" w:color="auto" w:sz="4" w:space="0"/>
              <w:bottom w:val="single" w:color="auto" w:sz="4" w:space="0"/>
              <w:right w:val="single" w:color="auto" w:sz="4" w:space="0"/>
            </w:tcBorders>
            <w:noWrap/>
            <w:vAlign w:val="center"/>
          </w:tcPr>
          <w:p w14:paraId="31052A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评审标识</w:t>
            </w:r>
          </w:p>
        </w:tc>
        <w:tc>
          <w:tcPr>
            <w:tcW w:w="1577" w:type="dxa"/>
            <w:tcBorders>
              <w:top w:val="single" w:color="auto" w:sz="4" w:space="0"/>
              <w:left w:val="single" w:color="auto" w:sz="4" w:space="0"/>
              <w:bottom w:val="single" w:color="auto" w:sz="4" w:space="0"/>
              <w:right w:val="single" w:color="auto" w:sz="4" w:space="0"/>
            </w:tcBorders>
            <w:noWrap/>
            <w:vAlign w:val="center"/>
          </w:tcPr>
          <w:p w14:paraId="62451B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条款内容</w:t>
            </w:r>
          </w:p>
        </w:tc>
        <w:tc>
          <w:tcPr>
            <w:tcW w:w="5489" w:type="dxa"/>
            <w:tcBorders>
              <w:top w:val="single" w:color="auto" w:sz="4" w:space="0"/>
              <w:left w:val="single" w:color="auto" w:sz="4" w:space="0"/>
              <w:bottom w:val="single" w:color="auto" w:sz="4" w:space="0"/>
              <w:right w:val="single" w:color="auto" w:sz="4" w:space="0"/>
            </w:tcBorders>
            <w:noWrap/>
            <w:vAlign w:val="center"/>
          </w:tcPr>
          <w:p w14:paraId="1F1CB9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条款要求</w:t>
            </w:r>
          </w:p>
        </w:tc>
      </w:tr>
      <w:tr w14:paraId="7902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6DD279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1</w:t>
            </w:r>
          </w:p>
        </w:tc>
        <w:tc>
          <w:tcPr>
            <w:tcW w:w="907" w:type="dxa"/>
            <w:tcBorders>
              <w:top w:val="single" w:color="auto" w:sz="4" w:space="0"/>
              <w:left w:val="single" w:color="auto" w:sz="4" w:space="0"/>
              <w:bottom w:val="single" w:color="auto" w:sz="4" w:space="0"/>
              <w:right w:val="single" w:color="auto" w:sz="4" w:space="0"/>
            </w:tcBorders>
            <w:noWrap/>
            <w:vAlign w:val="center"/>
          </w:tcPr>
          <w:p w14:paraId="0169275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w:t>
            </w:r>
          </w:p>
        </w:tc>
        <w:tc>
          <w:tcPr>
            <w:tcW w:w="1577" w:type="dxa"/>
            <w:tcBorders>
              <w:top w:val="single" w:color="auto" w:sz="4" w:space="0"/>
              <w:left w:val="single" w:color="auto" w:sz="4" w:space="0"/>
              <w:bottom w:val="single" w:color="auto" w:sz="4" w:space="0"/>
              <w:right w:val="single" w:color="auto" w:sz="4" w:space="0"/>
            </w:tcBorders>
            <w:noWrap/>
            <w:vAlign w:val="center"/>
          </w:tcPr>
          <w:p w14:paraId="4B517C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sz w:val="21"/>
                <w:szCs w:val="21"/>
                <w:highlight w:val="none"/>
                <w:lang w:val="en-US" w:eastAsia="zh-CN"/>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14:textFill>
                  <w14:solidFill>
                    <w14:srgbClr w14:val="000000">
                      <w14:lumMod w14:val="95000"/>
                      <w14:lumOff w14:val="5000"/>
                    </w14:srgbClr>
                  </w14:solidFill>
                </w14:textFill>
              </w:rPr>
              <w:t>合同履行期限</w:t>
            </w:r>
            <w:r>
              <w:rPr>
                <w:rFonts w:hint="eastAsia" w:ascii="宋体" w:hAnsi="宋体" w:eastAsia="宋体" w:cs="宋体"/>
                <w:color w:val="000000"/>
                <w:sz w:val="21"/>
                <w:szCs w:val="21"/>
                <w:highlight w:val="none"/>
                <w:lang w:eastAsia="zh-CN"/>
                <w14:textFill>
                  <w14:solidFill>
                    <w14:srgbClr w14:val="000000">
                      <w14:lumMod w14:val="95000"/>
                      <w14:lumOff w14:val="5000"/>
                    </w14:srgbClr>
                  </w14:solidFill>
                </w14:textFill>
              </w:rPr>
              <w:t>，</w:t>
            </w:r>
            <w:r>
              <w:rPr>
                <w:rFonts w:hint="eastAsia" w:ascii="宋体" w:hAnsi="宋体" w:eastAsia="宋体" w:cs="宋体"/>
                <w:color w:val="000000"/>
                <w:sz w:val="21"/>
                <w:szCs w:val="21"/>
                <w:highlight w:val="none"/>
                <w:lang w:val="en-US" w:eastAsia="zh-CN"/>
                <w14:textFill>
                  <w14:solidFill>
                    <w14:srgbClr w14:val="000000">
                      <w14:lumMod w14:val="95000"/>
                      <w14:lumOff w14:val="5000"/>
                    </w14:srgbClr>
                  </w14:solidFill>
                </w14:textFill>
              </w:rPr>
              <w:t>质保期</w:t>
            </w:r>
          </w:p>
        </w:tc>
        <w:tc>
          <w:tcPr>
            <w:tcW w:w="5489" w:type="dxa"/>
            <w:tcBorders>
              <w:top w:val="single" w:color="auto" w:sz="4" w:space="0"/>
              <w:left w:val="single" w:color="auto" w:sz="4" w:space="0"/>
              <w:bottom w:val="single" w:color="auto" w:sz="4" w:space="0"/>
              <w:right w:val="single" w:color="auto" w:sz="4" w:space="0"/>
            </w:tcBorders>
            <w:noWrap/>
            <w:vAlign w:val="center"/>
          </w:tcPr>
          <w:p w14:paraId="7E7FDAD7">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sz w:val="21"/>
                <w:szCs w:val="21"/>
                <w:highlight w:val="none"/>
                <w:lang w:eastAsia="zh-CN"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eastAsia="zh-CN" w:bidi="ar"/>
                <w14:textFill>
                  <w14:solidFill>
                    <w14:srgbClr w14:val="000000">
                      <w14:lumMod w14:val="95000"/>
                      <w14:lumOff w14:val="5000"/>
                    </w14:srgbClr>
                  </w14:solidFill>
                </w14:textFill>
              </w:rPr>
              <w:t>合同签订后，接到采购人明确开工通知后90日历天内。</w:t>
            </w:r>
          </w:p>
          <w:p w14:paraId="22DE0A43">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default" w:ascii="宋体" w:hAnsi="宋体" w:eastAsia="宋体" w:cs="宋体"/>
                <w:color w:val="000000"/>
                <w:sz w:val="21"/>
                <w:szCs w:val="21"/>
                <w:highlight w:val="none"/>
                <w:lang w:val="en-US" w:eastAsia="zh-CN"/>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val="en-US" w:eastAsia="zh-CN" w:bidi="ar"/>
                <w14:textFill>
                  <w14:solidFill>
                    <w14:srgbClr w14:val="000000">
                      <w14:lumMod w14:val="95000"/>
                      <w14:lumOff w14:val="5000"/>
                    </w14:srgbClr>
                  </w14:solidFill>
                </w14:textFill>
              </w:rPr>
              <w:t>质保期1年。</w:t>
            </w:r>
          </w:p>
        </w:tc>
      </w:tr>
      <w:tr w14:paraId="30D4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6D0551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2</w:t>
            </w:r>
          </w:p>
        </w:tc>
        <w:tc>
          <w:tcPr>
            <w:tcW w:w="907" w:type="dxa"/>
            <w:tcBorders>
              <w:top w:val="single" w:color="auto" w:sz="4" w:space="0"/>
              <w:left w:val="single" w:color="auto" w:sz="4" w:space="0"/>
              <w:bottom w:val="single" w:color="auto" w:sz="4" w:space="0"/>
              <w:right w:val="single" w:color="auto" w:sz="4" w:space="0"/>
            </w:tcBorders>
            <w:noWrap/>
            <w:vAlign w:val="center"/>
          </w:tcPr>
          <w:p w14:paraId="675E99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w:t>
            </w:r>
          </w:p>
        </w:tc>
        <w:tc>
          <w:tcPr>
            <w:tcW w:w="1577" w:type="dxa"/>
            <w:tcBorders>
              <w:top w:val="single" w:color="auto" w:sz="4" w:space="0"/>
              <w:left w:val="single" w:color="auto" w:sz="4" w:space="0"/>
              <w:bottom w:val="single" w:color="auto" w:sz="4" w:space="0"/>
              <w:right w:val="single" w:color="auto" w:sz="4" w:space="0"/>
            </w:tcBorders>
            <w:noWrap/>
            <w:vAlign w:val="center"/>
          </w:tcPr>
          <w:p w14:paraId="3A165E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项目地点</w:t>
            </w:r>
          </w:p>
        </w:tc>
        <w:tc>
          <w:tcPr>
            <w:tcW w:w="5489" w:type="dxa"/>
            <w:tcBorders>
              <w:top w:val="single" w:color="auto" w:sz="4" w:space="0"/>
              <w:left w:val="single" w:color="auto" w:sz="4" w:space="0"/>
              <w:bottom w:val="single" w:color="auto" w:sz="4" w:space="0"/>
              <w:right w:val="single" w:color="auto" w:sz="4" w:space="0"/>
            </w:tcBorders>
            <w:noWrap/>
            <w:vAlign w:val="center"/>
          </w:tcPr>
          <w:p w14:paraId="158162FF">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14:textFill>
                  <w14:solidFill>
                    <w14:srgbClr w14:val="000000">
                      <w14:lumMod w14:val="95000"/>
                      <w14:lumOff w14:val="5000"/>
                    </w14:srgbClr>
                  </w14:solidFill>
                </w14:textFill>
              </w:rPr>
              <w:t>全区69座有重点蚁害隐患的小型水库和有重点蚁害隐患的24.38公里的堤防</w:t>
            </w:r>
          </w:p>
        </w:tc>
      </w:tr>
      <w:tr w14:paraId="4732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7D070FE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3</w:t>
            </w:r>
          </w:p>
        </w:tc>
        <w:tc>
          <w:tcPr>
            <w:tcW w:w="907" w:type="dxa"/>
            <w:tcBorders>
              <w:top w:val="single" w:color="auto" w:sz="4" w:space="0"/>
              <w:left w:val="single" w:color="auto" w:sz="4" w:space="0"/>
              <w:bottom w:val="single" w:color="auto" w:sz="4" w:space="0"/>
              <w:right w:val="single" w:color="auto" w:sz="4" w:space="0"/>
            </w:tcBorders>
            <w:noWrap/>
            <w:vAlign w:val="center"/>
          </w:tcPr>
          <w:p w14:paraId="424818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w:t>
            </w:r>
          </w:p>
        </w:tc>
        <w:tc>
          <w:tcPr>
            <w:tcW w:w="1577" w:type="dxa"/>
            <w:tcBorders>
              <w:top w:val="single" w:color="auto" w:sz="4" w:space="0"/>
              <w:left w:val="single" w:color="auto" w:sz="4" w:space="0"/>
              <w:bottom w:val="single" w:color="auto" w:sz="4" w:space="0"/>
              <w:right w:val="single" w:color="auto" w:sz="4" w:space="0"/>
            </w:tcBorders>
            <w:noWrap/>
            <w:vAlign w:val="center"/>
          </w:tcPr>
          <w:p w14:paraId="496E5F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付款方式</w:t>
            </w:r>
          </w:p>
        </w:tc>
        <w:tc>
          <w:tcPr>
            <w:tcW w:w="5489" w:type="dxa"/>
            <w:tcBorders>
              <w:top w:val="single" w:color="auto" w:sz="4" w:space="0"/>
              <w:left w:val="single" w:color="auto" w:sz="4" w:space="0"/>
              <w:bottom w:val="single" w:color="auto" w:sz="4" w:space="0"/>
              <w:right w:val="single" w:color="auto" w:sz="4" w:space="0"/>
            </w:tcBorders>
            <w:noWrap/>
            <w:vAlign w:val="center"/>
          </w:tcPr>
          <w:p w14:paraId="05F542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本项目为单价合同，合同签订时为暂定价格，根据实际工程量进行结算。</w:t>
            </w: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合同签订后，支付合同总价的30%作为预付款；</w:t>
            </w:r>
          </w:p>
          <w:p w14:paraId="4B6AEF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工程进度完成50%，经及采购人确认后，支付至合同总价的70%；</w:t>
            </w:r>
          </w:p>
          <w:p w14:paraId="096976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工程竣工验收合格、结算审计完成后，支付至审定结算总价的98.5%；</w:t>
            </w:r>
          </w:p>
          <w:p w14:paraId="19BA70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000000"/>
                <w:szCs w:val="22"/>
                <w:highlight w:val="none"/>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剩余1.5%作为质量保证金，待质保期满无质量问题后无息退还。</w:t>
            </w:r>
          </w:p>
          <w:p w14:paraId="0E64A7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pPr>
            <w:r>
              <w:rPr>
                <w:rFonts w:hint="eastAsia" w:ascii="Times New Roman" w:hAnsi="Times New Roman" w:eastAsia="宋体" w:cs="Times New Roman"/>
                <w:color w:val="000000"/>
                <w:szCs w:val="22"/>
                <w:highlight w:val="none"/>
                <w:lang w:val="en-US" w:eastAsia="zh-CN"/>
                <w14:textFill>
                  <w14:solidFill>
                    <w14:srgbClr w14:val="000000">
                      <w14:lumMod w14:val="95000"/>
                      <w14:lumOff w14:val="5000"/>
                    </w14:srgbClr>
                  </w14:solidFill>
                </w14:textFill>
              </w:rPr>
              <w:t>若成交供应商为中小企业，财政部办公厅 关于进一步提高政府采购透明度和采购效率相关事项的通知（财办库【2023】243号），“对于满足合同约定支付条件的，采购人原则上应当自收到发票后10个工作日内将资金支付到合同约定的供应商账户。”的规定协商。</w:t>
            </w:r>
          </w:p>
        </w:tc>
      </w:tr>
      <w:tr w14:paraId="7F67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79A0FAA3">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t>4</w:t>
            </w:r>
          </w:p>
        </w:tc>
        <w:tc>
          <w:tcPr>
            <w:tcW w:w="907" w:type="dxa"/>
            <w:tcBorders>
              <w:top w:val="single" w:color="auto" w:sz="4" w:space="0"/>
              <w:left w:val="single" w:color="auto" w:sz="4" w:space="0"/>
              <w:bottom w:val="single" w:color="auto" w:sz="4" w:space="0"/>
              <w:right w:val="single" w:color="auto" w:sz="4" w:space="0"/>
            </w:tcBorders>
            <w:noWrap/>
            <w:vAlign w:val="center"/>
          </w:tcPr>
          <w:p w14:paraId="141AA4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p>
        </w:tc>
        <w:tc>
          <w:tcPr>
            <w:tcW w:w="1577" w:type="dxa"/>
            <w:tcBorders>
              <w:top w:val="single" w:color="auto" w:sz="4" w:space="0"/>
              <w:left w:val="single" w:color="auto" w:sz="4" w:space="0"/>
              <w:bottom w:val="single" w:color="auto" w:sz="4" w:space="0"/>
              <w:right w:val="single" w:color="auto" w:sz="4" w:space="0"/>
            </w:tcBorders>
            <w:noWrap/>
            <w:vAlign w:val="center"/>
          </w:tcPr>
          <w:p w14:paraId="47BDB0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lang w:val="zh-CN"/>
                <w14:textFill>
                  <w14:solidFill>
                    <w14:srgbClr w14:val="000000">
                      <w14:lumMod w14:val="95000"/>
                      <w14:lumOff w14:val="5000"/>
                    </w14:srgbClr>
                  </w14:solidFill>
                </w14:textFill>
              </w:rPr>
            </w:pPr>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响应承诺</w:t>
            </w:r>
          </w:p>
        </w:tc>
        <w:tc>
          <w:tcPr>
            <w:tcW w:w="5489" w:type="dxa"/>
            <w:tcBorders>
              <w:top w:val="single" w:color="auto" w:sz="4" w:space="0"/>
              <w:left w:val="single" w:color="auto" w:sz="4" w:space="0"/>
              <w:bottom w:val="single" w:color="auto" w:sz="4" w:space="0"/>
              <w:right w:val="single" w:color="auto" w:sz="4" w:space="0"/>
            </w:tcBorders>
            <w:noWrap/>
            <w:vAlign w:val="center"/>
          </w:tcPr>
          <w:p w14:paraId="0C90C3CE">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b/>
                <w:bCs/>
                <w:color w:val="000000"/>
                <w:sz w:val="21"/>
                <w:szCs w:val="21"/>
                <w:highlight w:val="none"/>
                <w:lang w:bidi="ar"/>
                <w14:textFill>
                  <w14:solidFill>
                    <w14:srgbClr w14:val="000000">
                      <w14:lumMod w14:val="95000"/>
                      <w14:lumOff w14:val="5000"/>
                    </w14:srgbClr>
                  </w14:solidFill>
                </w14:textFill>
              </w:rPr>
              <w:t>供应商承诺完全响应采购文件第三章项目采购需求服务内容中的全部要求（提供承诺函并加盖供应商公章）。</w:t>
            </w:r>
          </w:p>
        </w:tc>
      </w:tr>
      <w:tr w14:paraId="7E2D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0CC12277">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t>5</w:t>
            </w:r>
          </w:p>
        </w:tc>
        <w:tc>
          <w:tcPr>
            <w:tcW w:w="907" w:type="dxa"/>
            <w:tcBorders>
              <w:top w:val="single" w:color="auto" w:sz="4" w:space="0"/>
              <w:left w:val="single" w:color="auto" w:sz="4" w:space="0"/>
              <w:bottom w:val="single" w:color="auto" w:sz="4" w:space="0"/>
              <w:right w:val="single" w:color="auto" w:sz="4" w:space="0"/>
            </w:tcBorders>
            <w:noWrap/>
            <w:vAlign w:val="center"/>
          </w:tcPr>
          <w:p w14:paraId="1A7DD4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w:t>
            </w:r>
          </w:p>
        </w:tc>
        <w:tc>
          <w:tcPr>
            <w:tcW w:w="1577" w:type="dxa"/>
            <w:tcBorders>
              <w:top w:val="single" w:color="auto" w:sz="4" w:space="0"/>
              <w:left w:val="single" w:color="auto" w:sz="4" w:space="0"/>
              <w:bottom w:val="single" w:color="auto" w:sz="4" w:space="0"/>
              <w:right w:val="single" w:color="auto" w:sz="4" w:space="0"/>
            </w:tcBorders>
            <w:noWrap/>
            <w:vAlign w:val="center"/>
          </w:tcPr>
          <w:p w14:paraId="18EF65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报价要求</w:t>
            </w:r>
          </w:p>
        </w:tc>
        <w:tc>
          <w:tcPr>
            <w:tcW w:w="5489" w:type="dxa"/>
            <w:tcBorders>
              <w:top w:val="single" w:color="auto" w:sz="4" w:space="0"/>
              <w:left w:val="single" w:color="auto" w:sz="4" w:space="0"/>
              <w:bottom w:val="single" w:color="auto" w:sz="4" w:space="0"/>
              <w:right w:val="single" w:color="auto" w:sz="4" w:space="0"/>
            </w:tcBorders>
            <w:noWrap/>
            <w:vAlign w:val="center"/>
          </w:tcPr>
          <w:p w14:paraId="1A4EC8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（1）本项目计价方式为工程量清单计价；</w:t>
            </w:r>
          </w:p>
          <w:p w14:paraId="5AC5D5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（2）本项目暂估价按（含税）9.8万元计取，供应商严格按工程量清单报价，此项费用不允许竞争。</w:t>
            </w:r>
          </w:p>
          <w:p w14:paraId="66378A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3）供应商应充分考虑现场和工程实施条件，响应报价时需充分考虑工期要求下的施工成本（包括但不限于施工过程中人工、材料价格上涨等因素）和施工场地的位置、周边环境、道路、装卸、保管、安装限制以及其他与完成合同工作有关的其他资料、影响响应报价的所有因素，自愿承担相应风险与责任。现场无相关场地布置生活区和办公区，需自行考虑本项目开工到交付期间办公及食宿事宜，以满足施工需求；供应商提交响应文件，视为供应商已对施工现场及周围环境进行了踏勘，并已充分了解评估施工现场及周围环境对工程可能产生的影响，自愿承担相应风险与责任。供应商根据采购人提供的工程量清单及施工图纸对每项内容进行综合单价报价。供应商报价包括但不限于设计图纸、工程量清单、采购文件、响应文件内的施工及设备的运送、安装、调试、验收、保险和相关服务等费用，人工费、材料费、机械使用费、企业管理费、售后服务、税金、规费、合理的利润等项目实施相关费用，还需要综合考虑为保证工程完成并通过验收可能需要的其他费用，同时包含供应商应该承担的报价风险。</w:t>
            </w:r>
          </w:p>
          <w:p w14:paraId="1D7C1D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4）供应商须按本项目工程量清单填报价格。工程量必须与本项目工程量清单一致，供应商不得自行修改，否则磋商响应将被否决。如供应商提交的本项目工程量清单响应文件中合价金额计算（或填写）错误（如工程量*综合单价与合价金额不一致等），供应商应在磋商小组规定的时间内按要求对报价进行修正，并在交易系统中对修正结果进行确认，供应商不确认的，按照无效响应处理。</w:t>
            </w:r>
          </w:p>
          <w:p w14:paraId="66C4D7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5）供应商对报价的准确性和完整性负责，任何漏报、错报等均是供应商的风险。对于磋商文件未列明，而磋商供应商认为必需的费用也需列入总报价。在合同实施时，采购人将不予支付成交供应商没有列入的项目费用，并认为此项目的费用已包括在响应总报价中。对本项目合同中最终没有发生的内容，相应的金额将从结算总价中扣除，供应商不得提出任何补偿。</w:t>
            </w:r>
          </w:p>
          <w:p w14:paraId="5EA019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4"/>
                <w:highlight w:val="none"/>
                <w:lang w:val="en-US" w:eastAsia="zh-CN" w:bidi="ar-SA"/>
                <w14:textFill>
                  <w14:solidFill>
                    <w14:srgbClr w14:val="000000">
                      <w14:lumMod w14:val="95000"/>
                      <w14:lumOff w14:val="5000"/>
                    </w14:srgbClr>
                  </w14:solidFill>
                </w14:textFill>
              </w:rPr>
              <w:t>（</w:t>
            </w: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6</w:t>
            </w: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若成交供应商的竞争性磋商最终报价函的报价与首次递交的报价函报价有差异，则将该差异定义为二次折扣率，二次折扣率=（最终报价总价-固定费用）/（第一次报价总价-固定费用），其中固定费用指含税暂列金与含税暂估价。二次折扣率适用规则为：后续合同履约阶段，最终结算金额=第一次报价*二次折扣率，按单价不变，总价下浮模式执行。暂列金、暂估价项下所有费用的结算、变更及价款支付，均统一按本次</w:t>
            </w: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响应</w:t>
            </w: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确定的二次折扣率同比例执行，若出现</w:t>
            </w:r>
            <w:r>
              <w:rPr>
                <w:rFonts w:hint="eastAsia" w:ascii="宋体" w:hAnsi="宋体" w:eastAsia="宋体" w:cs="宋体"/>
                <w:color w:val="000000"/>
                <w:kern w:val="2"/>
                <w:sz w:val="21"/>
                <w:szCs w:val="21"/>
                <w:highlight w:val="none"/>
                <w:lang w:val="en-US" w:eastAsia="zh-CN" w:bidi="ar-SA"/>
                <w14:textFill>
                  <w14:solidFill>
                    <w14:srgbClr w14:val="000000">
                      <w14:lumMod w14:val="95000"/>
                      <w14:lumOff w14:val="5000"/>
                    </w14:srgbClr>
                  </w14:solidFill>
                </w14:textFill>
              </w:rPr>
              <w:t>供应商</w:t>
            </w: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最终报价明细或总价与此形式不符，则结算时也以此方式为准。</w:t>
            </w:r>
          </w:p>
        </w:tc>
      </w:tr>
      <w:tr w14:paraId="7601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4D4D627D">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t>6</w:t>
            </w:r>
          </w:p>
        </w:tc>
        <w:tc>
          <w:tcPr>
            <w:tcW w:w="907" w:type="dxa"/>
            <w:tcBorders>
              <w:top w:val="single" w:color="auto" w:sz="4" w:space="0"/>
              <w:left w:val="single" w:color="auto" w:sz="4" w:space="0"/>
              <w:bottom w:val="single" w:color="auto" w:sz="4" w:space="0"/>
              <w:right w:val="single" w:color="auto" w:sz="4" w:space="0"/>
            </w:tcBorders>
            <w:noWrap/>
            <w:vAlign w:val="center"/>
          </w:tcPr>
          <w:p w14:paraId="3926AC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p>
        </w:tc>
        <w:tc>
          <w:tcPr>
            <w:tcW w:w="1577" w:type="dxa"/>
            <w:tcBorders>
              <w:top w:val="single" w:color="auto" w:sz="4" w:space="0"/>
              <w:left w:val="single" w:color="auto" w:sz="4" w:space="0"/>
              <w:bottom w:val="single" w:color="auto" w:sz="4" w:space="0"/>
              <w:right w:val="single" w:color="auto" w:sz="4" w:space="0"/>
            </w:tcBorders>
            <w:noWrap/>
            <w:vAlign w:val="center"/>
          </w:tcPr>
          <w:p w14:paraId="7BE4C0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lang w:val="zh-CN"/>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知识产权</w:t>
            </w:r>
          </w:p>
        </w:tc>
        <w:tc>
          <w:tcPr>
            <w:tcW w:w="5489" w:type="dxa"/>
            <w:tcBorders>
              <w:top w:val="single" w:color="auto" w:sz="4" w:space="0"/>
              <w:left w:val="single" w:color="auto" w:sz="4" w:space="0"/>
              <w:bottom w:val="single" w:color="auto" w:sz="4" w:space="0"/>
              <w:right w:val="single" w:color="auto" w:sz="4" w:space="0"/>
            </w:tcBorders>
            <w:noWrap/>
            <w:vAlign w:val="center"/>
          </w:tcPr>
          <w:p w14:paraId="1322CCBA">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供应商必须保证所提供的产品及服务</w:t>
            </w:r>
            <w:r>
              <w:rPr>
                <w:rFonts w:hint="eastAsia" w:ascii="宋体" w:hAnsi="宋体" w:eastAsia="宋体" w:cs="宋体"/>
                <w:color w:val="000000"/>
                <w:sz w:val="21"/>
                <w:szCs w:val="21"/>
                <w:highlight w:val="none"/>
                <w:lang w:eastAsia="zh-CN" w:bidi="ar"/>
                <w14:textFill>
                  <w14:solidFill>
                    <w14:srgbClr w14:val="000000">
                      <w14:lumMod w14:val="95000"/>
                      <w14:lumOff w14:val="5000"/>
                    </w14:srgbClr>
                  </w14:solidFill>
                </w14:textFill>
              </w:rPr>
              <w:t>涉及</w:t>
            </w: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供应商负责解决由此引起的一切纠纷，采购人有权追究供应商的法律责任，其不利后果由供应商全部承担。</w:t>
            </w:r>
          </w:p>
          <w:p w14:paraId="2ACD5FBE">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sz w:val="21"/>
                <w:szCs w:val="21"/>
                <w:highlight w:val="none"/>
                <w:lang w:val="zh-CN"/>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供应商关于本项目的成果的知识产权归采购人所有，包括但不限于发表权、复制权、发行权、出租权、展览权、表演权、放映权、广播权、信息网络传播权、摄制权、改编权、翻译权、汇编权。未经采购人事先书面同意，成交供应商不得将本项目下的成果用于与本项目无关的目的和用途，不得向任何第三方授权或披露项目成果的任何内容。否则，供应商负责解决由此引起的一切纠纷，采购人有权追究供应商的法律责任，其不利后果由供应商全部承担。</w:t>
            </w:r>
          </w:p>
        </w:tc>
      </w:tr>
      <w:tr w14:paraId="576F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3A5CC1D3">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t>7</w:t>
            </w:r>
          </w:p>
        </w:tc>
        <w:tc>
          <w:tcPr>
            <w:tcW w:w="907" w:type="dxa"/>
            <w:tcBorders>
              <w:top w:val="single" w:color="auto" w:sz="4" w:space="0"/>
              <w:left w:val="single" w:color="auto" w:sz="4" w:space="0"/>
              <w:bottom w:val="single" w:color="auto" w:sz="4" w:space="0"/>
              <w:right w:val="single" w:color="auto" w:sz="4" w:space="0"/>
            </w:tcBorders>
            <w:noWrap/>
            <w:vAlign w:val="center"/>
          </w:tcPr>
          <w:p w14:paraId="66C56B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p>
        </w:tc>
        <w:tc>
          <w:tcPr>
            <w:tcW w:w="1577" w:type="dxa"/>
            <w:tcBorders>
              <w:top w:val="single" w:color="auto" w:sz="4" w:space="0"/>
              <w:left w:val="single" w:color="auto" w:sz="4" w:space="0"/>
              <w:bottom w:val="single" w:color="auto" w:sz="4" w:space="0"/>
              <w:right w:val="single" w:color="auto" w:sz="4" w:space="0"/>
            </w:tcBorders>
            <w:noWrap/>
            <w:vAlign w:val="center"/>
          </w:tcPr>
          <w:p w14:paraId="357E680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违约责任</w:t>
            </w:r>
          </w:p>
        </w:tc>
        <w:tc>
          <w:tcPr>
            <w:tcW w:w="5489" w:type="dxa"/>
            <w:tcBorders>
              <w:top w:val="single" w:color="auto" w:sz="4" w:space="0"/>
              <w:left w:val="single" w:color="auto" w:sz="4" w:space="0"/>
              <w:bottom w:val="single" w:color="auto" w:sz="4" w:space="0"/>
              <w:right w:val="single" w:color="auto" w:sz="4" w:space="0"/>
            </w:tcBorders>
            <w:noWrap/>
            <w:vAlign w:val="center"/>
          </w:tcPr>
          <w:p w14:paraId="2232F5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（1）供应商未按约定工期完工的（没有顺延情况的以合同约定的工期为准，顺延的则以顺延后的工期为准），需无条件按采购人要求支付违约金。</w:t>
            </w:r>
          </w:p>
          <w:p w14:paraId="6EB61D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2）成交供应商须严格按照竞争性磋商文件要求及响应文件进行履约，未按要求履约的，或因供应商原因产品或服务质量及诚信要求达不到约定的标准，采购人有权不对其进行验收，有权要求成交供应商支付合同金额 20%的违约金，若该违约金不足以弥补采购人实际损失的，成交人还应赔偿采购人所有实际损失（包括但不限于采购人本身的财产损失、由此而导致的采购人对任何第三方的法律责任等），同时采购人有权对成交供应商进行双倍罚款或解除合同。</w:t>
            </w:r>
          </w:p>
          <w:p w14:paraId="487CD6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（3）若非采购人原因，成交供应商逾期签订合同的，成交供应商向采购人支付逾期违约金，逾期违约金为每天 1000元人民币，但其最终累计金额不超过合同金额的 20%。</w:t>
            </w:r>
          </w:p>
          <w:p w14:paraId="78F34B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（4）未经采购人书面同意，成交供应商将本项目违规转包或分包的，采购人有权解除合同，成交供应商应向采购人支付合同金额 30%的违约金，给采购人造成损失的还需另行赔偿采购人损失。</w:t>
            </w:r>
          </w:p>
          <w:p w14:paraId="6E4E8C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（5）供应商违约后，采购人要求供应商继续履行合同的，供应商承担了违约责任后，仍应继续履行合同。</w:t>
            </w:r>
          </w:p>
          <w:p w14:paraId="2497E7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zh-CN" w:eastAsia="zh-CN" w:bidi="ar-SA"/>
                <w14:textFill>
                  <w14:solidFill>
                    <w14:srgbClr w14:val="000000">
                      <w14:lumMod w14:val="95000"/>
                      <w14:lumOff w14:val="5000"/>
                    </w14:srgbClr>
                  </w14:solidFill>
                </w14:textFill>
              </w:rPr>
              <w:t>（6）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w:t>
            </w:r>
          </w:p>
        </w:tc>
      </w:tr>
      <w:tr w14:paraId="548E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65998A71">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firstLine="0" w:firstLineChars="0"/>
              <w:jc w:val="center"/>
              <w:textAlignment w:val="auto"/>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pPr>
            <w:r>
              <w:rPr>
                <w:rFonts w:hint="eastAsia" w:ascii="宋体" w:hAnsi="宋体" w:eastAsia="宋体" w:cs="宋体"/>
                <w:color w:val="000000"/>
                <w:kern w:val="2"/>
                <w:sz w:val="21"/>
                <w:szCs w:val="21"/>
                <w:highlight w:val="none"/>
                <w:lang w:val="en-US" w:eastAsia="zh-CN" w:bidi="ar"/>
                <w14:textFill>
                  <w14:solidFill>
                    <w14:srgbClr w14:val="000000">
                      <w14:lumMod w14:val="95000"/>
                      <w14:lumOff w14:val="5000"/>
                    </w14:srgbClr>
                  </w14:solidFill>
                </w14:textFill>
              </w:rPr>
              <w:t>8</w:t>
            </w:r>
          </w:p>
        </w:tc>
        <w:tc>
          <w:tcPr>
            <w:tcW w:w="907" w:type="dxa"/>
            <w:tcBorders>
              <w:top w:val="single" w:color="auto" w:sz="4" w:space="0"/>
              <w:left w:val="single" w:color="auto" w:sz="4" w:space="0"/>
              <w:bottom w:val="single" w:color="auto" w:sz="4" w:space="0"/>
              <w:right w:val="single" w:color="auto" w:sz="4" w:space="0"/>
            </w:tcBorders>
            <w:noWrap/>
            <w:vAlign w:val="center"/>
          </w:tcPr>
          <w:p w14:paraId="43490D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w:t>
            </w:r>
          </w:p>
        </w:tc>
        <w:tc>
          <w:tcPr>
            <w:tcW w:w="1577" w:type="dxa"/>
            <w:tcBorders>
              <w:top w:val="single" w:color="auto" w:sz="4" w:space="0"/>
              <w:left w:val="single" w:color="auto" w:sz="4" w:space="0"/>
              <w:bottom w:val="single" w:color="auto" w:sz="4" w:space="0"/>
              <w:right w:val="single" w:color="auto" w:sz="4" w:space="0"/>
            </w:tcBorders>
            <w:noWrap/>
            <w:vAlign w:val="center"/>
          </w:tcPr>
          <w:p w14:paraId="3AE19C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保密要求</w:t>
            </w:r>
          </w:p>
        </w:tc>
        <w:tc>
          <w:tcPr>
            <w:tcW w:w="5489" w:type="dxa"/>
            <w:tcBorders>
              <w:top w:val="single" w:color="auto" w:sz="4" w:space="0"/>
              <w:left w:val="single" w:color="auto" w:sz="4" w:space="0"/>
              <w:bottom w:val="single" w:color="auto" w:sz="4" w:space="0"/>
              <w:right w:val="single" w:color="auto" w:sz="4" w:space="0"/>
            </w:tcBorders>
            <w:noWrap/>
            <w:vAlign w:val="center"/>
          </w:tcPr>
          <w:p w14:paraId="116DD0D8">
            <w:pPr>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color w:val="000000"/>
                <w:sz w:val="21"/>
                <w:szCs w:val="21"/>
                <w:highlight w:val="none"/>
                <w:lang w:val="zh-CN"/>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供应商对服务过程中知悉的国家机密、商业秘密和工作秘密负有保密义务。服务过程中获得的相关资料（包括所有描述本项目情况的文字、图形、图表、视频、数据等），未经采购人事先书面同意，供应商不得向本服务项目以外的任何第三方披露或在任何其他项目中利用，否则，供应商负责解决由此引起的一切纠纷，采购人有权追究供应商的法律责任，其不利后果由供应商全部承担。</w:t>
            </w:r>
          </w:p>
        </w:tc>
      </w:tr>
      <w:tr w14:paraId="79C2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801" w:type="dxa"/>
            <w:tcBorders>
              <w:top w:val="single" w:color="auto" w:sz="4" w:space="0"/>
              <w:left w:val="single" w:color="auto" w:sz="4" w:space="0"/>
              <w:bottom w:val="single" w:color="auto" w:sz="4" w:space="0"/>
              <w:right w:val="single" w:color="auto" w:sz="4" w:space="0"/>
            </w:tcBorders>
            <w:noWrap/>
            <w:vAlign w:val="center"/>
          </w:tcPr>
          <w:p w14:paraId="37E3CE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9</w:t>
            </w:r>
          </w:p>
        </w:tc>
        <w:tc>
          <w:tcPr>
            <w:tcW w:w="907" w:type="dxa"/>
            <w:tcBorders>
              <w:top w:val="single" w:color="auto" w:sz="4" w:space="0"/>
              <w:left w:val="single" w:color="auto" w:sz="4" w:space="0"/>
              <w:bottom w:val="single" w:color="auto" w:sz="4" w:space="0"/>
              <w:right w:val="single" w:color="auto" w:sz="4" w:space="0"/>
            </w:tcBorders>
            <w:noWrap/>
            <w:vAlign w:val="center"/>
          </w:tcPr>
          <w:p w14:paraId="20BBBC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b/>
                <w:bCs/>
                <w:color w:val="000000"/>
                <w:sz w:val="21"/>
                <w:szCs w:val="21"/>
                <w:highlight w:val="none"/>
                <w14:textFill>
                  <w14:solidFill>
                    <w14:srgbClr w14:val="000000">
                      <w14:lumMod w14:val="95000"/>
                      <w14:lumOff w14:val="5000"/>
                    </w14:srgbClr>
                  </w14:solidFill>
                </w14:textFill>
              </w:rPr>
            </w:pPr>
          </w:p>
        </w:tc>
        <w:tc>
          <w:tcPr>
            <w:tcW w:w="1577" w:type="dxa"/>
            <w:tcBorders>
              <w:top w:val="single" w:color="auto" w:sz="4" w:space="0"/>
              <w:left w:val="single" w:color="auto" w:sz="4" w:space="0"/>
              <w:bottom w:val="single" w:color="auto" w:sz="4" w:space="0"/>
              <w:right w:val="single" w:color="auto" w:sz="4" w:space="0"/>
            </w:tcBorders>
            <w:noWrap/>
            <w:vAlign w:val="center"/>
          </w:tcPr>
          <w:p w14:paraId="56B369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其他要求</w:t>
            </w:r>
          </w:p>
        </w:tc>
        <w:tc>
          <w:tcPr>
            <w:tcW w:w="5489" w:type="dxa"/>
            <w:tcBorders>
              <w:top w:val="single" w:color="auto" w:sz="4" w:space="0"/>
              <w:left w:val="single" w:color="auto" w:sz="4" w:space="0"/>
              <w:bottom w:val="single" w:color="auto" w:sz="4" w:space="0"/>
              <w:right w:val="single" w:color="auto" w:sz="4" w:space="0"/>
            </w:tcBorders>
            <w:noWrap/>
            <w:vAlign w:val="center"/>
          </w:tcPr>
          <w:p w14:paraId="78C7EFE3">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（1）采购需求为项目最低要求，供应商可提供同等档次或更高档次</w:t>
            </w:r>
            <w:r>
              <w:rPr>
                <w:rFonts w:hint="eastAsia" w:ascii="宋体" w:hAnsi="宋体" w:eastAsia="宋体" w:cs="Times New Roman"/>
                <w:color w:val="000000"/>
                <w:sz w:val="21"/>
                <w:szCs w:val="20"/>
                <w:highlight w:val="none"/>
                <w14:textFill>
                  <w14:solidFill>
                    <w14:srgbClr w14:val="000000">
                      <w14:lumMod w14:val="95000"/>
                      <w14:lumOff w14:val="5000"/>
                    </w14:srgbClr>
                  </w14:solidFill>
                </w14:textFill>
              </w:rPr>
              <w:t>产品和</w:t>
            </w: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服务，并提供相应技术参数证明其符合采购需求或优于采购需求，否则视其为不满足采购需求。</w:t>
            </w:r>
          </w:p>
          <w:p w14:paraId="3CC1B257">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（2）供应商应保证响应文件中相关内容表述与响应偏离表中偏离说明保持一致，若出现不一致的，项目实施时须按响应偏离表中响应情况无条件响应采购人要求，相关损失与责任全部由供应商承担。</w:t>
            </w:r>
          </w:p>
          <w:p w14:paraId="1A1407D6">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（3）项目需执行国家相关标准、行业标准、地方标准或者其他标准、规范，有</w:t>
            </w:r>
            <w:r>
              <w:rPr>
                <w:rFonts w:hint="eastAsia" w:ascii="宋体" w:hAnsi="宋体" w:eastAsia="宋体" w:cs="宋体"/>
                <w:color w:val="000000"/>
                <w:sz w:val="21"/>
                <w:szCs w:val="21"/>
                <w:highlight w:val="none"/>
                <w:lang w:eastAsia="zh-CN" w:bidi="ar"/>
                <w14:textFill>
                  <w14:solidFill>
                    <w14:srgbClr w14:val="000000">
                      <w14:lumMod w14:val="95000"/>
                      <w14:lumOff w14:val="5000"/>
                    </w14:srgbClr>
                  </w14:solidFill>
                </w14:textFill>
              </w:rPr>
              <w:t>最新</w:t>
            </w: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标准的，按最新标准执行。地方执行标准不一致时或各标准之间如有差异，以国家、行业及地方较高标准执行。</w:t>
            </w:r>
          </w:p>
          <w:p w14:paraId="6A58CAE8">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ascii="宋体" w:hAnsi="宋体" w:eastAsia="宋体" w:cs="Times New Roman"/>
                <w:color w:val="000000"/>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（4）供应商在项目实施期间必须遵守采购人的各项管理规定和政府的相关政策规定等。</w:t>
            </w:r>
          </w:p>
          <w:p w14:paraId="7F16EB30">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ascii="宋体" w:hAnsi="宋体" w:eastAsia="宋体" w:cs="Times New Roman"/>
                <w:color w:val="000000"/>
                <w:sz w:val="21"/>
                <w:szCs w:val="21"/>
                <w:highlight w:val="none"/>
                <w14:textFill>
                  <w14:solidFill>
                    <w14:srgbClr w14:val="000000">
                      <w14:lumMod w14:val="95000"/>
                      <w14:lumOff w14:val="5000"/>
                    </w14:srgbClr>
                  </w14:solidFill>
                </w14:textFill>
              </w:rPr>
            </w:pPr>
            <w:r>
              <w:rPr>
                <w:rFonts w:hint="eastAsia" w:ascii="宋体" w:hAnsi="宋体" w:eastAsia="宋体" w:cs="Times New Roman"/>
                <w:color w:val="000000"/>
                <w:sz w:val="21"/>
                <w:szCs w:val="21"/>
                <w:highlight w:val="none"/>
                <w14:textFill>
                  <w14:solidFill>
                    <w14:srgbClr w14:val="000000">
                      <w14:lumMod w14:val="95000"/>
                      <w14:lumOff w14:val="5000"/>
                    </w14:srgbClr>
                  </w14:solidFill>
                </w14:textFill>
              </w:rPr>
              <w:t>（5）供应商有责任及时通告项目问题信息，并提供相应的解决措施。对于采购人发现的问题，供应商要及时提供相应的解决方案，保障项目正常开展。</w:t>
            </w:r>
          </w:p>
          <w:p w14:paraId="4CDB5DCD">
            <w:pPr>
              <w:keepNext w:val="0"/>
              <w:keepLines w:val="0"/>
              <w:pageBreakBefore w:val="0"/>
              <w:widowControl/>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cs="宋体"/>
                <w:color w:val="000000"/>
                <w:spacing w:val="-6"/>
                <w:sz w:val="21"/>
                <w:szCs w:val="21"/>
                <w:highlight w:val="none"/>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（6）采购需求未尽事宜由合同文本补充。</w:t>
            </w:r>
          </w:p>
        </w:tc>
      </w:tr>
      <w:bookmarkEnd w:id="13"/>
      <w:bookmarkEnd w:id="14"/>
      <w:bookmarkEnd w:id="15"/>
    </w:tbl>
    <w:p w14:paraId="46335074">
      <w:pPr>
        <w:adjustRightInd w:val="0"/>
        <w:snapToGrid w:val="0"/>
        <w:spacing w:line="360" w:lineRule="auto"/>
        <w:ind w:firstLine="422" w:firstLineChars="200"/>
        <w:jc w:val="center"/>
        <w:rPr>
          <w:rFonts w:hint="eastAsia" w:ascii="宋体" w:hAnsi="宋体" w:eastAsia="宋体" w:cs="宋体"/>
          <w:b/>
          <w:bCs/>
          <w:color w:val="000000"/>
          <w:sz w:val="21"/>
          <w:szCs w:val="24"/>
          <w:highlight w:val="none"/>
          <w:lang w:bidi="ar"/>
          <w14:textFill>
            <w14:solidFill>
              <w14:srgbClr w14:val="000000">
                <w14:lumMod w14:val="95000"/>
                <w14:lumOff w14:val="5000"/>
              </w14:srgbClr>
            </w14:solidFill>
          </w14:textFill>
        </w:rPr>
      </w:pPr>
      <w:bookmarkStart w:id="16" w:name="OLE_LINK9"/>
      <w:bookmarkStart w:id="17" w:name="OLE_LINK10"/>
    </w:p>
    <w:p w14:paraId="3FEA2A65">
      <w:pPr>
        <w:keepNext/>
        <w:keepLines/>
        <w:widowControl w:val="0"/>
        <w:bidi w:val="0"/>
        <w:adjustRightInd w:val="0"/>
        <w:snapToGrid w:val="0"/>
        <w:spacing w:line="360" w:lineRule="auto"/>
        <w:ind w:firstLine="0" w:firstLineChars="0"/>
        <w:jc w:val="left"/>
        <w:outlineLvl w:val="1"/>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pPr>
      <w:bookmarkStart w:id="18" w:name="_Toc11719"/>
      <w:bookmarkStart w:id="19" w:name="_Toc14024"/>
      <w:r>
        <w:rPr>
          <w:rFonts w:hint="eastAsia" w:ascii="等线 Light" w:hAnsi="等线 Light" w:eastAsia="宋体" w:cs="Times New Roman"/>
          <w:b/>
          <w:bCs/>
          <w:color w:val="000000"/>
          <w:kern w:val="2"/>
          <w:sz w:val="30"/>
          <w:szCs w:val="32"/>
          <w:highlight w:val="none"/>
          <w:lang w:val="en-US" w:eastAsia="zh-CN" w:bidi="ar-SA"/>
          <w14:textFill>
            <w14:solidFill>
              <w14:srgbClr w14:val="000000">
                <w14:lumMod w14:val="95000"/>
                <w14:lumOff w14:val="5000"/>
              </w14:srgbClr>
            </w14:solidFill>
          </w14:textFill>
        </w:rPr>
        <w:t>五、以下为评审因素，不满足将根据评分标准予以扣分</w:t>
      </w:r>
      <w:bookmarkEnd w:id="16"/>
      <w:bookmarkEnd w:id="17"/>
      <w:bookmarkEnd w:id="18"/>
      <w:bookmarkEnd w:id="19"/>
    </w:p>
    <w:tbl>
      <w:tblPr>
        <w:tblStyle w:val="2"/>
        <w:tblW w:w="8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7503"/>
      </w:tblGrid>
      <w:tr w14:paraId="1CCF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1509E8E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序号</w:t>
            </w:r>
          </w:p>
        </w:tc>
        <w:tc>
          <w:tcPr>
            <w:tcW w:w="7503" w:type="dxa"/>
            <w:noWrap w:val="0"/>
            <w:vAlign w:val="center"/>
          </w:tcPr>
          <w:p w14:paraId="7616530E">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t>评审因素</w:t>
            </w:r>
          </w:p>
        </w:tc>
      </w:tr>
      <w:tr w14:paraId="02CB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73A9018A">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70564F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1"/>
                <w:highlight w:val="none"/>
                <w:lang w:eastAsia="en-US"/>
                <w14:textFill>
                  <w14:solidFill>
                    <w14:srgbClr w14:val="000000">
                      <w14:lumMod w14:val="95000"/>
                      <w14:lumOff w14:val="5000"/>
                    </w14:srgbClr>
                  </w14:solidFill>
                </w14:textFill>
              </w:rPr>
              <w:t>类似业绩</w:t>
            </w:r>
          </w:p>
        </w:tc>
      </w:tr>
      <w:tr w14:paraId="19D3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44D47DB8">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2F6565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highlight w:val="none"/>
                <w:lang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1"/>
                <w:highlight w:val="none"/>
                <w:lang w:val="en-US" w:eastAsia="zh-CN"/>
                <w14:textFill>
                  <w14:solidFill>
                    <w14:srgbClr w14:val="000000">
                      <w14:lumMod w14:val="95000"/>
                      <w14:lumOff w14:val="5000"/>
                    </w14:srgbClr>
                  </w14:solidFill>
                </w14:textFill>
              </w:rPr>
              <w:t>技术能力</w:t>
            </w:r>
          </w:p>
        </w:tc>
      </w:tr>
      <w:tr w14:paraId="793B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08ABD244">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78B3E4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000000"/>
                <w:sz w:val="21"/>
                <w:szCs w:val="21"/>
                <w:highlight w:val="none"/>
                <w:lang w:eastAsia="en-US"/>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1"/>
                <w:highlight w:val="none"/>
                <w:lang w:val="en-US" w:eastAsia="zh-CN"/>
                <w14:textFill>
                  <w14:solidFill>
                    <w14:srgbClr w14:val="000000">
                      <w14:lumMod w14:val="95000"/>
                      <w14:lumOff w14:val="5000"/>
                    </w14:srgbClr>
                  </w14:solidFill>
                </w14:textFill>
              </w:rPr>
              <w:t>体系认证</w:t>
            </w:r>
          </w:p>
        </w:tc>
      </w:tr>
      <w:tr w14:paraId="722B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79DDDE98">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07013981">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1"/>
                <w:highlight w:val="none"/>
                <w14:textFill>
                  <w14:solidFill>
                    <w14:srgbClr w14:val="000000">
                      <w14:lumMod w14:val="95000"/>
                      <w14:lumOff w14:val="5000"/>
                    </w14:srgbClr>
                  </w14:solidFill>
                </w14:textFill>
              </w:rPr>
              <w:t>施工方案</w:t>
            </w:r>
          </w:p>
        </w:tc>
      </w:tr>
      <w:tr w14:paraId="18B2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434E6E52">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76A69928">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Calibri" w:hAnsi="Times New Roman" w:eastAsia="宋体" w:cs="Times New Roman"/>
                <w:color w:val="000000"/>
                <w:sz w:val="21"/>
                <w:szCs w:val="21"/>
                <w:highlight w:val="none"/>
                <w:lang w:val="en-US" w:eastAsia="zh-CN"/>
                <w14:textFill>
                  <w14:solidFill>
                    <w14:srgbClr w14:val="000000">
                      <w14:lumMod w14:val="95000"/>
                      <w14:lumOff w14:val="5000"/>
                    </w14:srgbClr>
                  </w14:solidFill>
                </w14:textFill>
              </w:rPr>
              <w:t>平台对接方案</w:t>
            </w:r>
          </w:p>
        </w:tc>
      </w:tr>
      <w:tr w14:paraId="4E43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24CED5A6">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6D720365">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eastAsia" w:ascii="Times New Roman" w:hAnsi="Times New Roman" w:eastAsia="宋体" w:cs="Times New Roman"/>
                <w:color w:val="000000"/>
                <w:sz w:val="21"/>
                <w:szCs w:val="21"/>
                <w:highlight w:val="none"/>
                <w14:textFill>
                  <w14:solidFill>
                    <w14:srgbClr w14:val="000000">
                      <w14:lumMod w14:val="95000"/>
                      <w14:lumOff w14:val="5000"/>
                    </w14:srgbClr>
                  </w14:solidFill>
                </w14:textFill>
              </w:rPr>
              <w:t>施工进度方案</w:t>
            </w:r>
          </w:p>
        </w:tc>
      </w:tr>
      <w:tr w14:paraId="5F68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569615B4">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284BA2CD">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default" w:ascii="宋体" w:hAnsi="宋体" w:eastAsia="宋体" w:cs="宋体"/>
                <w:color w:val="000000"/>
                <w:kern w:val="0"/>
                <w:sz w:val="21"/>
                <w:szCs w:val="21"/>
                <w:highlight w:val="none"/>
                <w:lang w:val="en-US" w:eastAsia="zh-CN" w:bidi="ar-SA"/>
                <w14:textFill>
                  <w14:solidFill>
                    <w14:srgbClr w14:val="000000">
                      <w14:lumMod w14:val="95000"/>
                      <w14:lumOff w14:val="5000"/>
                    </w14:srgbClr>
                  </w14:solidFill>
                </w14:textFill>
              </w:rPr>
              <w:t>安全管理措施</w:t>
            </w:r>
          </w:p>
        </w:tc>
      </w:tr>
      <w:tr w14:paraId="279B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noWrap w:val="0"/>
            <w:vAlign w:val="center"/>
          </w:tcPr>
          <w:p w14:paraId="5868A862">
            <w:pPr>
              <w:keepNext w:val="0"/>
              <w:keepLines w:val="0"/>
              <w:pageBreakBefore w:val="0"/>
              <w:numPr>
                <w:ilvl w:val="0"/>
                <w:numId w:val="2"/>
              </w:numPr>
              <w:kinsoku/>
              <w:wordWrap/>
              <w:overflowPunct/>
              <w:topLinePunct w:val="0"/>
              <w:autoSpaceDE/>
              <w:autoSpaceDN/>
              <w:bidi w:val="0"/>
              <w:adjustRightInd w:val="0"/>
              <w:snapToGrid w:val="0"/>
              <w:spacing w:line="240" w:lineRule="auto"/>
              <w:ind w:left="425" w:leftChars="0" w:hanging="425" w:firstLineChars="0"/>
              <w:jc w:val="center"/>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p>
        </w:tc>
        <w:tc>
          <w:tcPr>
            <w:tcW w:w="7503" w:type="dxa"/>
            <w:noWrap w:val="0"/>
            <w:vAlign w:val="center"/>
          </w:tcPr>
          <w:p w14:paraId="5B9A635F">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000000"/>
                <w:sz w:val="21"/>
                <w:szCs w:val="21"/>
                <w:highlight w:val="none"/>
                <w:lang w:bidi="ar"/>
                <w14:textFill>
                  <w14:solidFill>
                    <w14:srgbClr w14:val="000000">
                      <w14:lumMod w14:val="95000"/>
                      <w14:lumOff w14:val="5000"/>
                    </w14:srgbClr>
                  </w14:solidFill>
                </w14:textFill>
              </w:rPr>
            </w:pPr>
            <w:r>
              <w:rPr>
                <w:rFonts w:hint="default" w:ascii="宋体" w:hAnsi="宋体" w:eastAsia="宋体" w:cs="宋体"/>
                <w:b w:val="0"/>
                <w:bCs w:val="0"/>
                <w:color w:val="000000"/>
                <w:kern w:val="0"/>
                <w:sz w:val="21"/>
                <w:szCs w:val="21"/>
                <w:highlight w:val="none"/>
                <w:lang w:val="en-US" w:eastAsia="zh-CN" w:bidi="ar-SA"/>
                <w14:textFill>
                  <w14:solidFill>
                    <w14:srgbClr w14:val="000000">
                      <w14:lumMod w14:val="95000"/>
                      <w14:lumOff w14:val="5000"/>
                    </w14:srgbClr>
                  </w14:solidFill>
                </w14:textFill>
              </w:rPr>
              <w:t>应急预案</w:t>
            </w:r>
          </w:p>
        </w:tc>
      </w:tr>
    </w:tbl>
    <w:p w14:paraId="4FA043F0">
      <w:pPr>
        <w:adjustRightInd w:val="0"/>
        <w:snapToGrid w:val="0"/>
        <w:spacing w:line="360" w:lineRule="auto"/>
        <w:ind w:firstLine="422" w:firstLineChars="200"/>
        <w:rPr>
          <w:rFonts w:ascii="宋体" w:hAnsi="宋体" w:eastAsia="宋体" w:cs="Times New Roman"/>
          <w:b/>
          <w:bCs/>
          <w:color w:val="000000"/>
          <w:szCs w:val="32"/>
          <w:highlight w:val="none"/>
          <w:lang w:bidi="ar"/>
          <w14:textFill>
            <w14:solidFill>
              <w14:srgbClr w14:val="000000">
                <w14:lumMod w14:val="95000"/>
                <w14:lumOff w14:val="5000"/>
              </w14:srgbClr>
            </w14:solidFill>
          </w14:textFill>
        </w:rPr>
      </w:pP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注</w:t>
      </w:r>
      <w:r>
        <w:rPr>
          <w:rFonts w:hint="eastAsia" w:ascii="宋体" w:hAnsi="宋体" w:eastAsia="宋体" w:cs="Times New Roman"/>
          <w:b/>
          <w:bCs/>
          <w:color w:val="000000"/>
          <w:szCs w:val="32"/>
          <w:highlight w:val="none"/>
          <w:lang w:eastAsia="zh-CN" w:bidi="ar"/>
          <w14:textFill>
            <w14:solidFill>
              <w14:srgbClr w14:val="000000">
                <w14:lumMod w14:val="95000"/>
                <w14:lumOff w14:val="5000"/>
              </w14:srgbClr>
            </w14:solidFill>
          </w14:textFill>
        </w:rPr>
        <w:t>：</w:t>
      </w: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 xml:space="preserve"> （1）供应商需对以上技术、商务要求在第六章响应文件格式 “商务响应偏离表</w:t>
      </w:r>
      <w:r>
        <w:rPr>
          <w:rFonts w:hint="eastAsia" w:ascii="宋体" w:hAnsi="宋体" w:eastAsia="宋体" w:cs="Times New Roman"/>
          <w:b/>
          <w:bCs/>
          <w:color w:val="000000"/>
          <w:szCs w:val="32"/>
          <w:highlight w:val="none"/>
          <w:lang w:eastAsia="zh-CN" w:bidi="ar"/>
          <w14:textFill>
            <w14:solidFill>
              <w14:srgbClr w14:val="000000">
                <w14:lumMod w14:val="95000"/>
                <w14:lumOff w14:val="5000"/>
              </w14:srgbClr>
            </w14:solidFill>
          </w14:textFill>
        </w:rPr>
        <w:t>”“</w:t>
      </w: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技术响应偏离表”中逐条响应；</w:t>
      </w:r>
    </w:p>
    <w:p w14:paraId="4990C211">
      <w:pPr>
        <w:adjustRightInd w:val="0"/>
        <w:snapToGrid w:val="0"/>
        <w:spacing w:line="360" w:lineRule="auto"/>
        <w:ind w:firstLine="422" w:firstLineChars="200"/>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pP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（2）本章中标注了“</w:t>
      </w:r>
      <w:r>
        <w:rPr>
          <w:rFonts w:hint="eastAsia" w:ascii="宋体" w:hAnsi="宋体" w:eastAsia="宋体" w:cs="Segoe UI Symbol"/>
          <w:color w:val="000000"/>
          <w:szCs w:val="24"/>
          <w:highlight w:val="none"/>
          <w:lang w:bidi="ar"/>
          <w14:textFill>
            <w14:solidFill>
              <w14:srgbClr w14:val="000000">
                <w14:lumMod w14:val="95000"/>
                <w14:lumOff w14:val="5000"/>
              </w14:srgbClr>
            </w14:solidFill>
          </w14:textFill>
        </w:rPr>
        <w:t>★</w:t>
      </w: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”号项的技术、商务等要求为实质性要求，如为负偏离（不满足采购需求），磋商小组有权凭此项废标；</w:t>
      </w:r>
    </w:p>
    <w:p w14:paraId="3EFAE9CA">
      <w:pPr>
        <w:adjustRightInd w:val="0"/>
        <w:snapToGrid w:val="0"/>
        <w:spacing w:line="360" w:lineRule="auto"/>
        <w:ind w:firstLine="422" w:firstLineChars="200"/>
        <w:jc w:val="both"/>
        <w:rPr>
          <w:rFonts w:hint="eastAsia" w:ascii="Times New Roman" w:hAnsi="Times New Roman" w:eastAsia="宋体" w:cs="Times New Roman"/>
          <w:color w:val="000000"/>
          <w:sz w:val="21"/>
          <w:szCs w:val="20"/>
          <w:highlight w:val="none"/>
          <w:lang w:bidi="ar"/>
          <w14:textFill>
            <w14:solidFill>
              <w14:srgbClr w14:val="000000">
                <w14:lumMod w14:val="95000"/>
                <w14:lumOff w14:val="5000"/>
              </w14:srgbClr>
            </w14:solidFill>
          </w14:textFill>
        </w:rPr>
      </w:pPr>
      <w:r>
        <w:rPr>
          <w:rFonts w:hint="eastAsia" w:ascii="宋体" w:hAnsi="宋体" w:eastAsia="宋体" w:cs="Times New Roman"/>
          <w:b/>
          <w:bCs/>
          <w:color w:val="000000"/>
          <w:szCs w:val="32"/>
          <w:highlight w:val="none"/>
          <w:lang w:bidi="ar"/>
          <w14:textFill>
            <w14:solidFill>
              <w14:srgbClr w14:val="000000">
                <w14:lumMod w14:val="95000"/>
                <w14:lumOff w14:val="5000"/>
              </w14:srgbClr>
            </w14:solidFill>
          </w14:textFill>
        </w:rPr>
        <w:t>（3）采购需求中涉及品牌、规格、型号的均为参考，供应商可提供同等档次或更高档次产品，并提供相应技术参数证明其符合采购需求。</w:t>
      </w:r>
    </w:p>
    <w:p w14:paraId="062018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5CA91E"/>
    <w:multiLevelType w:val="singleLevel"/>
    <w:tmpl w:val="B25CA91E"/>
    <w:lvl w:ilvl="0" w:tentative="0">
      <w:start w:val="1"/>
      <w:numFmt w:val="decimal"/>
      <w:lvlText w:val="%1."/>
      <w:lvlJc w:val="left"/>
      <w:pPr>
        <w:ind w:left="425" w:hanging="425"/>
      </w:pPr>
      <w:rPr>
        <w:rFonts w:hint="default"/>
      </w:rPr>
    </w:lvl>
  </w:abstractNum>
  <w:abstractNum w:abstractNumId="1">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F2577"/>
    <w:rsid w:val="45A01851"/>
    <w:rsid w:val="7F044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5077</Words>
  <Characters>5390</Characters>
  <Lines>0</Lines>
  <Paragraphs>0</Paragraphs>
  <TotalTime>0</TotalTime>
  <ScaleCrop>false</ScaleCrop>
  <LinksUpToDate>false</LinksUpToDate>
  <CharactersWithSpaces>5436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2026-10-08T14:14:00Z</dcterms:created>
  <dc:creator>ASUS</dc:creator>
  <cp:lastModifiedBy>毕启明</cp:lastModifiedBy>
  <dcterms:modified xsi:type="dcterms:W3CDTF">2026-10-12T12:17:01Z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eyJoZGlkIjoiMGUyOTRhYzcxN2FiNmJkODdmNzc3NGRiNzQ5ZGYzYzAiLCJ1c2VySWQiOiIxNDc5ODMzMDc2In0=</vt:lpwstr>
  </property>
  <property fmtid="{D5CDD505-2E9C-101B-9397-08002B2CF9AE}" pid="4" name="ICV">
    <vt:lpwstr>0CA20C9E74D54F78A87AA6FDA6408807_12</vt:lpwstr>
  </property>
</Properties>
</file>