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B5DAF">
      <w:pPr>
        <w:autoSpaceDE w:val="0"/>
        <w:autoSpaceDN w:val="0"/>
        <w:adjustRightInd w:val="0"/>
        <w:snapToGrid w:val="0"/>
        <w:spacing w:line="600" w:lineRule="exact"/>
        <w:jc w:val="center"/>
        <w:rPr>
          <w:rFonts w:ascii="方正小标宋_GBK" w:hAnsi="方正小标宋_GBK" w:eastAsia="方正小标宋_GBK" w:cs="方正小标宋_GBK"/>
          <w:bCs/>
          <w:snapToGrid w:val="0"/>
          <w:kern w:val="0"/>
          <w:sz w:val="44"/>
          <w:szCs w:val="44"/>
        </w:rPr>
      </w:pPr>
      <w:bookmarkStart w:id="0" w:name="_Toc15288902"/>
    </w:p>
    <w:p w14:paraId="060FC8E9">
      <w:pPr>
        <w:autoSpaceDE w:val="0"/>
        <w:autoSpaceDN w:val="0"/>
        <w:adjustRightInd w:val="0"/>
        <w:snapToGrid w:val="0"/>
        <w:spacing w:line="720" w:lineRule="exact"/>
        <w:jc w:val="center"/>
        <w:rPr>
          <w:rFonts w:hint="eastAsia" w:ascii="方正小标宋_GBK" w:hAnsi="方正小标宋_GBK" w:eastAsia="方正小标宋_GBK" w:cs="方正小标宋_GBK"/>
          <w:bCs/>
          <w:snapToGrid w:val="0"/>
          <w:kern w:val="0"/>
          <w:sz w:val="44"/>
          <w:szCs w:val="44"/>
        </w:rPr>
      </w:pPr>
      <w:r>
        <w:rPr>
          <w:rFonts w:hint="eastAsia" w:ascii="方正小标宋_GBK" w:hAnsi="方正小标宋_GBK" w:eastAsia="方正小标宋_GBK" w:cs="方正小标宋_GBK"/>
          <w:bCs/>
          <w:snapToGrid w:val="0"/>
          <w:kern w:val="0"/>
          <w:sz w:val="44"/>
          <w:szCs w:val="44"/>
        </w:rPr>
        <w:t>重庆长江三峡旅游开发有限公司</w:t>
      </w:r>
    </w:p>
    <w:p w14:paraId="7AA7D070">
      <w:pPr>
        <w:autoSpaceDE w:val="0"/>
        <w:autoSpaceDN w:val="0"/>
        <w:adjustRightInd w:val="0"/>
        <w:snapToGrid w:val="0"/>
        <w:spacing w:line="720" w:lineRule="exact"/>
        <w:jc w:val="center"/>
        <w:rPr>
          <w:rFonts w:ascii="方正小标宋_GBK" w:hAnsi="方正小标宋_GBK" w:eastAsia="方正小标宋_GBK" w:cs="方正小标宋_GBK"/>
          <w:bCs/>
          <w:snapToGrid w:val="0"/>
          <w:kern w:val="0"/>
          <w:sz w:val="44"/>
          <w:szCs w:val="44"/>
        </w:rPr>
      </w:pPr>
      <w:r>
        <w:rPr>
          <w:rFonts w:hint="eastAsia" w:ascii="方正小标宋_GBK" w:hAnsi="方正小标宋_GBK" w:eastAsia="方正小标宋_GBK" w:cs="方正小标宋_GBK"/>
          <w:bCs/>
          <w:snapToGrid w:val="0"/>
          <w:kern w:val="0"/>
          <w:sz w:val="44"/>
          <w:szCs w:val="44"/>
        </w:rPr>
        <w:t>巫山江山红叶酒店分公司</w:t>
      </w:r>
    </w:p>
    <w:p w14:paraId="1E4EAD35">
      <w:pPr>
        <w:autoSpaceDE w:val="0"/>
        <w:autoSpaceDN w:val="0"/>
        <w:adjustRightInd w:val="0"/>
        <w:snapToGrid w:val="0"/>
        <w:spacing w:line="720" w:lineRule="exact"/>
        <w:jc w:val="center"/>
        <w:rPr>
          <w:rFonts w:hint="eastAsia" w:ascii="方正小标宋_GBK" w:hAnsi="方正小标宋_GBK" w:eastAsia="方正小标宋_GBK" w:cs="方正小标宋_GBK"/>
          <w:bCs/>
          <w:snapToGrid w:val="0"/>
          <w:kern w:val="0"/>
          <w:sz w:val="44"/>
          <w:szCs w:val="44"/>
          <w:lang w:eastAsia="zh-CN"/>
        </w:rPr>
      </w:pPr>
      <w:r>
        <w:rPr>
          <w:rFonts w:hint="eastAsia" w:ascii="方正小标宋_GBK" w:hAnsi="方正小标宋_GBK" w:eastAsia="方正小标宋_GBK" w:cs="方正小标宋_GBK"/>
          <w:bCs/>
          <w:snapToGrid w:val="0"/>
          <w:kern w:val="0"/>
          <w:sz w:val="44"/>
          <w:szCs w:val="44"/>
          <w:lang w:val="en-US" w:eastAsia="zh-CN"/>
        </w:rPr>
        <w:t>有害生物防治</w:t>
      </w:r>
      <w:r>
        <w:rPr>
          <w:rFonts w:hint="eastAsia" w:ascii="方正小标宋_GBK" w:hAnsi="方正小标宋_GBK" w:eastAsia="方正小标宋_GBK" w:cs="方正小标宋_GBK"/>
          <w:bCs/>
          <w:snapToGrid w:val="0"/>
          <w:kern w:val="0"/>
          <w:sz w:val="44"/>
          <w:szCs w:val="44"/>
        </w:rPr>
        <w:t>服务采购公告</w:t>
      </w:r>
      <w:r>
        <w:rPr>
          <w:rFonts w:hint="eastAsia" w:ascii="方正小标宋_GBK" w:hAnsi="方正小标宋_GBK" w:eastAsia="方正小标宋_GBK" w:cs="方正小标宋_GBK"/>
          <w:bCs/>
          <w:snapToGrid w:val="0"/>
          <w:kern w:val="0"/>
          <w:sz w:val="44"/>
          <w:szCs w:val="44"/>
          <w:lang w:eastAsia="zh-CN"/>
        </w:rPr>
        <w:t>（</w:t>
      </w:r>
      <w:r>
        <w:rPr>
          <w:rFonts w:hint="eastAsia" w:ascii="方正小标宋_GBK" w:hAnsi="方正小标宋_GBK" w:eastAsia="方正小标宋_GBK" w:cs="方正小标宋_GBK"/>
          <w:bCs/>
          <w:snapToGrid w:val="0"/>
          <w:kern w:val="0"/>
          <w:sz w:val="44"/>
          <w:szCs w:val="44"/>
          <w:lang w:val="en-US" w:eastAsia="zh-CN"/>
        </w:rPr>
        <w:t>二次</w:t>
      </w:r>
      <w:r>
        <w:rPr>
          <w:rFonts w:hint="eastAsia" w:ascii="方正小标宋_GBK" w:hAnsi="方正小标宋_GBK" w:eastAsia="方正小标宋_GBK" w:cs="方正小标宋_GBK"/>
          <w:bCs/>
          <w:snapToGrid w:val="0"/>
          <w:kern w:val="0"/>
          <w:sz w:val="44"/>
          <w:szCs w:val="44"/>
          <w:lang w:eastAsia="zh-CN"/>
        </w:rPr>
        <w:t>）</w:t>
      </w:r>
    </w:p>
    <w:bookmarkEnd w:id="0"/>
    <w:p w14:paraId="73209D99">
      <w:pPr>
        <w:spacing w:line="579"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酒店现对有害生物防治服务进行公开采购。凡是具备有相关资质条件并有意向参与此项目的供应商均可报名。</w:t>
      </w:r>
    </w:p>
    <w:p w14:paraId="4A00A942">
      <w:pPr>
        <w:spacing w:line="579"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一、基本情况</w:t>
      </w:r>
    </w:p>
    <w:p w14:paraId="117787E9">
      <w:pPr>
        <w:spacing w:line="579" w:lineRule="exact"/>
        <w:ind w:firstLine="640" w:firstLineChars="200"/>
        <w:rPr>
          <w:rFonts w:hint="eastAsia" w:eastAsia="方正仿宋_GBK"/>
          <w:sz w:val="32"/>
          <w:szCs w:val="32"/>
          <w:lang w:eastAsia="zh-CN"/>
        </w:rPr>
      </w:pPr>
      <w:r>
        <w:rPr>
          <w:rFonts w:hint="eastAsia" w:ascii="方正楷体_GB2312" w:hAnsi="方正楷体_GB2312" w:eastAsia="方正楷体_GB2312" w:cs="方正楷体_GB2312"/>
          <w:sz w:val="32"/>
          <w:szCs w:val="32"/>
        </w:rPr>
        <w:t>（一）项目名称：</w:t>
      </w:r>
      <w:r>
        <w:rPr>
          <w:rFonts w:hint="eastAsia" w:eastAsia="方正仿宋_GBK"/>
          <w:sz w:val="32"/>
          <w:szCs w:val="32"/>
        </w:rPr>
        <w:t>重庆长江三峡旅游开发有限公司巫山江山红叶酒店分公司有害生物防治服务</w:t>
      </w:r>
      <w:r>
        <w:rPr>
          <w:rFonts w:hint="eastAsia" w:eastAsia="方正仿宋_GBK"/>
          <w:sz w:val="32"/>
          <w:szCs w:val="32"/>
          <w:lang w:eastAsia="zh-CN"/>
        </w:rPr>
        <w:t>。</w:t>
      </w:r>
    </w:p>
    <w:p w14:paraId="4A0D6252">
      <w:pPr>
        <w:spacing w:line="579" w:lineRule="exact"/>
        <w:ind w:firstLine="640" w:firstLineChars="200"/>
        <w:rPr>
          <w:rFonts w:ascii="宋体" w:hAnsi="宋体" w:cs="宋体"/>
          <w:sz w:val="32"/>
          <w:szCs w:val="32"/>
        </w:rPr>
      </w:pPr>
      <w:r>
        <w:rPr>
          <w:rFonts w:hint="eastAsia" w:ascii="方正楷体_GB2312" w:hAnsi="方正楷体_GB2312" w:eastAsia="方正楷体_GB2312" w:cs="方正楷体_GB2312"/>
          <w:sz w:val="32"/>
          <w:szCs w:val="32"/>
        </w:rPr>
        <w:t>（二）项目期限：</w:t>
      </w:r>
      <w:r>
        <w:rPr>
          <w:rFonts w:hint="eastAsia" w:ascii="方正楷体_GB2312" w:hAnsi="方正楷体_GB2312" w:eastAsia="方正楷体_GB2312" w:cs="方正楷体_GB2312"/>
          <w:sz w:val="32"/>
          <w:szCs w:val="32"/>
          <w:lang w:val="en-US" w:eastAsia="zh-CN"/>
        </w:rPr>
        <w:t>一年</w:t>
      </w:r>
      <w:r>
        <w:rPr>
          <w:rFonts w:hint="eastAsia" w:ascii="方正仿宋_GBK" w:hAnsi="宋体" w:eastAsia="方正仿宋_GBK" w:cs="宋体"/>
          <w:sz w:val="32"/>
          <w:szCs w:val="32"/>
          <w:lang w:val="en-US" w:eastAsia="zh-CN"/>
        </w:rPr>
        <w:t>。</w:t>
      </w:r>
    </w:p>
    <w:p w14:paraId="09A7BB6D">
      <w:pPr>
        <w:pStyle w:val="6"/>
        <w:numPr>
          <w:ilvl w:val="0"/>
          <w:numId w:val="1"/>
        </w:numPr>
        <w:spacing w:before="0" w:after="0" w:line="579" w:lineRule="exact"/>
        <w:ind w:firstLine="640" w:firstLineChars="200"/>
        <w:jc w:val="both"/>
        <w:rPr>
          <w:rFonts w:ascii="方正楷体_GB2312" w:hAnsi="方正楷体_GB2312" w:eastAsia="方正楷体_GB2312" w:cs="方正楷体_GB2312"/>
          <w:b w:val="0"/>
          <w:bCs w:val="0"/>
        </w:rPr>
      </w:pPr>
      <w:r>
        <w:rPr>
          <w:rFonts w:hint="eastAsia" w:ascii="方正黑体_GBK" w:hAnsi="方正黑体_GBK" w:eastAsia="方正黑体_GBK" w:cs="方正黑体_GBK"/>
          <w:b w:val="0"/>
          <w:snapToGrid w:val="0"/>
        </w:rPr>
        <w:t>采购内容及预算</w:t>
      </w:r>
    </w:p>
    <w:p w14:paraId="40991283">
      <w:pPr>
        <w:spacing w:line="579"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（一）采购总预算</w:t>
      </w:r>
    </w:p>
    <w:p w14:paraId="2E1B2716">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总预算</w:t>
      </w:r>
      <w:r>
        <w:rPr>
          <w:rFonts w:hint="eastAsia" w:ascii="方正仿宋_GBK" w:hAnsi="方正仿宋_GBK" w:eastAsia="方正仿宋_GBK" w:cs="方正仿宋_GBK"/>
          <w:sz w:val="32"/>
          <w:szCs w:val="32"/>
          <w:lang w:val="en-US" w:eastAsia="zh-CN"/>
        </w:rPr>
        <w:t>每年48</w:t>
      </w:r>
      <w:r>
        <w:rPr>
          <w:rFonts w:hint="eastAsia" w:ascii="方正仿宋_GBK" w:hAnsi="方正仿宋_GBK" w:eastAsia="方正仿宋_GBK" w:cs="方正仿宋_GBK"/>
          <w:sz w:val="32"/>
          <w:szCs w:val="32"/>
        </w:rPr>
        <w:t>000元。</w:t>
      </w:r>
    </w:p>
    <w:p w14:paraId="29393BBE">
      <w:pPr>
        <w:pStyle w:val="6"/>
        <w:spacing w:before="0" w:after="0" w:line="579" w:lineRule="exact"/>
        <w:ind w:firstLine="640" w:firstLineChars="200"/>
        <w:jc w:val="both"/>
        <w:rPr>
          <w:rFonts w:hint="eastAsia" w:ascii="方正楷体_GBK" w:hAnsi="方正楷体_GBK" w:eastAsia="方正楷体_GBK" w:cs="方正楷体_GBK"/>
          <w:b w:val="0"/>
          <w:bCs w:val="0"/>
        </w:rPr>
      </w:pPr>
      <w:r>
        <w:rPr>
          <w:rFonts w:hint="eastAsia" w:ascii="方正楷体_GBK" w:hAnsi="方正楷体_GBK" w:eastAsia="方正楷体_GBK" w:cs="方正楷体_GBK"/>
          <w:b w:val="0"/>
          <w:bCs w:val="0"/>
        </w:rPr>
        <w:t>（二）采购内容和采购限价</w:t>
      </w:r>
    </w:p>
    <w:p w14:paraId="421FE0C6">
      <w:pPr>
        <w:keepNext w:val="0"/>
        <w:keepLines w:val="0"/>
        <w:pageBreakBefore w:val="0"/>
        <w:numPr>
          <w:ilvl w:val="0"/>
          <w:numId w:val="0"/>
        </w:numPr>
        <w:kinsoku/>
        <w:wordWrap/>
        <w:overflowPunct/>
        <w:topLinePunct w:val="0"/>
        <w:autoSpaceDE/>
        <w:autoSpaceDN/>
        <w:bidi w:val="0"/>
        <w:adjustRightInd/>
        <w:snapToGrid/>
        <w:spacing w:line="600" w:lineRule="exact"/>
        <w:ind w:firstLine="632" w:firstLineChars="200"/>
        <w:jc w:val="left"/>
        <w:textAlignment w:val="auto"/>
        <w:rPr>
          <w:rFonts w:hint="eastAsia" w:ascii="方正仿宋_GBK" w:hAnsi="方正楷体_GBK" w:eastAsia="方正仿宋_GBK" w:cs="方正楷体_GBK"/>
          <w:b w:val="0"/>
        </w:rPr>
      </w:pPr>
      <w:r>
        <w:rPr>
          <w:rFonts w:hint="eastAsia" w:ascii="方正仿宋_GBK" w:hAnsi="方正仿宋_GBK" w:eastAsia="方正仿宋_GBK" w:cs="方正仿宋_GBK"/>
          <w:bCs/>
          <w:w w:val="99"/>
          <w:kern w:val="2"/>
          <w:sz w:val="32"/>
          <w:szCs w:val="32"/>
          <w:lang w:val="en-US" w:eastAsia="zh-CN"/>
        </w:rPr>
        <w:t>酒店有害生物防治服务，服务区域：酒店所有区域，包括但不限于客房、餐饮区域（厨房、餐厅）、会议室、公共区域、停车场、外围绿化带、垃圾房及下水道等。防治对象：老鼠、蟑螂、苍蝇、蚊虫、蚂蚁（含白蚁）等常见有害生物，以及防蜘蛛、壁虎、蛇等服务。面积为40000平方米（包含建筑周围部分绿化区域），</w:t>
      </w:r>
      <w:r>
        <w:rPr>
          <w:rFonts w:hint="eastAsia" w:ascii="方正仿宋_GBK" w:hAnsi="方正楷体_GBK" w:eastAsia="方正仿宋_GBK" w:cs="方正楷体_GBK"/>
          <w:b w:val="0"/>
          <w:sz w:val="32"/>
          <w:szCs w:val="32"/>
        </w:rPr>
        <w:t>最高限价每年4</w:t>
      </w:r>
      <w:r>
        <w:rPr>
          <w:rFonts w:hint="eastAsia" w:ascii="方正仿宋_GBK" w:hAnsi="方正楷体_GBK" w:eastAsia="方正仿宋_GBK" w:cs="方正楷体_GBK"/>
          <w:b w:val="0"/>
          <w:sz w:val="32"/>
          <w:szCs w:val="32"/>
          <w:lang w:val="en-US" w:eastAsia="zh-CN"/>
        </w:rPr>
        <w:t>8</w:t>
      </w:r>
      <w:r>
        <w:rPr>
          <w:rFonts w:hint="eastAsia" w:ascii="方正仿宋_GBK" w:hAnsi="方正楷体_GBK" w:eastAsia="方正仿宋_GBK" w:cs="方正楷体_GBK"/>
          <w:b w:val="0"/>
          <w:sz w:val="32"/>
          <w:szCs w:val="32"/>
        </w:rPr>
        <w:t>000元。</w:t>
      </w:r>
    </w:p>
    <w:p w14:paraId="339E32B0">
      <w:pPr>
        <w:pStyle w:val="6"/>
        <w:numPr>
          <w:ilvl w:val="0"/>
          <w:numId w:val="1"/>
        </w:numPr>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采购方式</w:t>
      </w:r>
    </w:p>
    <w:p w14:paraId="24A6714E">
      <w:pPr>
        <w:spacing w:line="579" w:lineRule="exact"/>
        <w:ind w:firstLine="420" w:firstLineChars="200"/>
        <w:rPr>
          <w:rFonts w:ascii="方正仿宋_GBK" w:hAnsi="方正仿宋_GBK" w:eastAsia="方正仿宋_GBK" w:cs="方正仿宋_GBK"/>
          <w:snapToGrid w:val="0"/>
          <w:kern w:val="0"/>
          <w:sz w:val="32"/>
          <w:szCs w:val="32"/>
        </w:rPr>
      </w:pPr>
      <w:r>
        <w:rPr>
          <w:rFonts w:hint="eastAsia"/>
        </w:rPr>
        <w:t xml:space="preserve"> </w:t>
      </w:r>
      <w:r>
        <w:rPr>
          <w:rFonts w:hint="eastAsia"/>
          <w:sz w:val="32"/>
          <w:szCs w:val="32"/>
        </w:rPr>
        <w:t xml:space="preserve"> </w:t>
      </w:r>
      <w:r>
        <w:rPr>
          <w:rFonts w:hint="eastAsia" w:ascii="方正仿宋_GBK" w:hAnsi="方正仿宋_GBK" w:eastAsia="方正仿宋_GBK" w:cs="方正仿宋_GBK"/>
          <w:snapToGrid w:val="0"/>
          <w:kern w:val="0"/>
          <w:sz w:val="32"/>
          <w:szCs w:val="32"/>
        </w:rPr>
        <w:t>本项目采用询比采购方式。</w:t>
      </w:r>
    </w:p>
    <w:p w14:paraId="52E541E4">
      <w:pPr>
        <w:spacing w:line="579" w:lineRule="exact"/>
        <w:ind w:firstLine="640" w:firstLineChars="200"/>
        <w:rPr>
          <w:rFonts w:ascii="方正黑体_GBK" w:hAnsi="方正黑体_GBK" w:eastAsia="方正黑体_GBK" w:cs="方正黑体_GBK"/>
          <w:bCs/>
          <w:snapToGrid w:val="0"/>
          <w:sz w:val="32"/>
          <w:szCs w:val="32"/>
        </w:rPr>
      </w:pPr>
      <w:r>
        <w:rPr>
          <w:rFonts w:hint="eastAsia" w:ascii="方正黑体_GBK" w:hAnsi="方正黑体_GBK" w:eastAsia="方正黑体_GBK" w:cs="方正黑体_GBK"/>
          <w:bCs/>
          <w:snapToGrid w:val="0"/>
          <w:sz w:val="32"/>
          <w:szCs w:val="32"/>
        </w:rPr>
        <w:t>四、服务要求</w:t>
      </w:r>
    </w:p>
    <w:p w14:paraId="131FEA91">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一）供应商需根据酒店环境制定综合防治方案，包括但不限于：根据不同季节（夏秋季高频、冬春季低频）设定服务频率，定期检查及投放药剂（确保药剂对人体无害）、设置鼠控诱饵站及粘捕设施、处理孳生地、提供结构防鼠防虫改善建议、建立除虫日志档案等。</w:t>
      </w:r>
    </w:p>
    <w:p w14:paraId="00E9D92F">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（二）作业要求：每次作业人员不少于</w:t>
      </w:r>
      <w:r>
        <w:rPr>
          <w:rFonts w:hint="eastAsia" w:ascii="方正仿宋_GBK" w:hAnsi="方正仿宋_GBK" w:eastAsia="方正仿宋_GBK" w:cs="方正仿宋_GBK"/>
          <w:b w:val="0"/>
          <w:bCs w:val="0"/>
          <w:sz w:val="32"/>
          <w:szCs w:val="32"/>
          <w:lang w:val="en-US" w:eastAsia="zh-CN"/>
        </w:rPr>
        <w:t>2</w:t>
      </w:r>
      <w:r>
        <w:rPr>
          <w:rFonts w:hint="eastAsia" w:ascii="方正仿宋_GBK" w:hAnsi="方正仿宋_GBK" w:eastAsia="方正仿宋_GBK" w:cs="方正仿宋_GBK"/>
          <w:b w:val="0"/>
          <w:bCs w:val="0"/>
          <w:sz w:val="32"/>
          <w:szCs w:val="32"/>
        </w:rPr>
        <w:t>人，需严格遵守酒店规章制度，在不影响酒店正常营业的前提下进行。</w:t>
      </w:r>
    </w:p>
    <w:p w14:paraId="6545D861">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rPr>
        <w:t>（三）验收标准：防治效果需达到国家及地方相关病媒生物密度控制水平标准（如C级以上），确保酒店区域内虫害密度得到有效控制</w:t>
      </w:r>
      <w:r>
        <w:rPr>
          <w:rFonts w:hint="eastAsia" w:ascii="方正仿宋_GBK" w:hAnsi="方正仿宋_GBK" w:eastAsia="方正仿宋_GBK" w:cs="方正仿宋_GBK"/>
          <w:b w:val="0"/>
          <w:bCs w:val="0"/>
          <w:sz w:val="32"/>
          <w:szCs w:val="32"/>
          <w:lang w:eastAsia="zh-CN"/>
        </w:rPr>
        <w:t>。</w:t>
      </w:r>
    </w:p>
    <w:p w14:paraId="2761E1E6">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lang w:val="en-US" w:eastAsia="zh-CN"/>
        </w:rPr>
        <w:t>四</w:t>
      </w:r>
      <w:r>
        <w:rPr>
          <w:rFonts w:hint="eastAsia" w:ascii="方正仿宋_GBK" w:hAnsi="方正仿宋_GBK" w:eastAsia="方正仿宋_GBK" w:cs="方正仿宋_GBK"/>
          <w:b w:val="0"/>
          <w:bCs w:val="0"/>
          <w:sz w:val="32"/>
          <w:szCs w:val="32"/>
          <w:lang w:eastAsia="zh-CN"/>
        </w:rPr>
        <w:t>）两栖爬行类防控：针对园区、楼栋墙角、绿化带、排水渠、阴暗角落易出没的壁虎、蛇类开展常态化排查、驱避、拦截处置，布设合规驱避设施，封堵爬行类生物进出通道，及时处置闯入的壁虎、蛇类，消除安全隐患，保障人员通行及办公安全。</w:t>
      </w:r>
    </w:p>
    <w:p w14:paraId="001E90CA">
      <w:pPr>
        <w:pStyle w:val="6"/>
        <w:spacing w:before="0" w:after="0" w:line="579" w:lineRule="exact"/>
        <w:ind w:firstLine="640" w:firstLineChars="200"/>
        <w:jc w:val="both"/>
        <w:rPr>
          <w:rFonts w:hint="eastAsia"/>
        </w:rPr>
      </w:pP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lang w:val="en-US" w:eastAsia="zh-CN"/>
        </w:rPr>
        <w:t>五</w:t>
      </w: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rPr>
        <w:t>专项应急处置：针对突发虫害滋生、局部虫害爆发、蛇类闯入、大量流浪动物滞留等突发情况，提供24小时应急消杀、驱离处置服务，快速消除各类有害生物安全隐患。</w:t>
      </w:r>
    </w:p>
    <w:p w14:paraId="5B75DFE9">
      <w:pPr>
        <w:pStyle w:val="6"/>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五、评审办法</w:t>
      </w:r>
    </w:p>
    <w:p w14:paraId="29313D41">
      <w:pPr>
        <w:pStyle w:val="6"/>
        <w:spacing w:before="0" w:after="0" w:line="579" w:lineRule="exact"/>
        <w:ind w:firstLine="640" w:firstLineChars="200"/>
        <w:jc w:val="both"/>
        <w:rPr>
          <w:rFonts w:hint="eastAsia" w:ascii="方正仿宋_GBK" w:eastAsia="方正仿宋_GBK"/>
          <w:b w:val="0"/>
        </w:rPr>
      </w:pPr>
      <w:r>
        <w:rPr>
          <w:rFonts w:hint="eastAsia" w:ascii="方正仿宋_GBK" w:eastAsia="方正仿宋_GBK"/>
          <w:b w:val="0"/>
        </w:rPr>
        <w:t>本次采购评审采用综合评分法，具体评分标准见附件</w:t>
      </w:r>
      <w:r>
        <w:rPr>
          <w:rFonts w:hint="eastAsia" w:ascii="方正仿宋_GBK" w:eastAsia="方正仿宋_GBK"/>
          <w:b w:val="0"/>
          <w:lang w:val="en-US" w:eastAsia="zh-CN"/>
        </w:rPr>
        <w:t>1</w:t>
      </w:r>
      <w:r>
        <w:rPr>
          <w:rFonts w:hint="eastAsia" w:ascii="方正仿宋_GBK" w:eastAsia="方正仿宋_GBK"/>
          <w:b w:val="0"/>
        </w:rPr>
        <w:t>。</w:t>
      </w:r>
    </w:p>
    <w:p w14:paraId="66C6FD14">
      <w:pPr>
        <w:pStyle w:val="6"/>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 xml:space="preserve">六、供应商资格要求  </w:t>
      </w:r>
    </w:p>
    <w:p w14:paraId="12D795A4">
      <w:pPr>
        <w:spacing w:line="579" w:lineRule="exact"/>
        <w:ind w:firstLine="640" w:firstLineChars="200"/>
        <w:rPr>
          <w:sz w:val="32"/>
          <w:szCs w:val="32"/>
        </w:rPr>
      </w:pPr>
      <w:r>
        <w:rPr>
          <w:rFonts w:hint="eastAsia" w:hAnsi="方正仿宋_GBK" w:eastAsia="方正仿宋_GBK"/>
          <w:sz w:val="32"/>
          <w:szCs w:val="32"/>
        </w:rPr>
        <w:t xml:space="preserve">（一）须为在中华人民共和国境内合法经营的企业法人，遵守我国相关法律法规，具有独立承担民事责任的能力；  </w:t>
      </w:r>
    </w:p>
    <w:p w14:paraId="2B29ECC7">
      <w:pPr>
        <w:spacing w:line="579" w:lineRule="exact"/>
        <w:ind w:firstLine="640" w:firstLineChars="200"/>
        <w:rPr>
          <w:sz w:val="32"/>
          <w:szCs w:val="32"/>
        </w:rPr>
      </w:pPr>
      <w:r>
        <w:rPr>
          <w:rFonts w:hint="eastAsia" w:hAnsi="方正仿宋_GBK" w:eastAsia="方正仿宋_GBK"/>
          <w:sz w:val="32"/>
          <w:szCs w:val="32"/>
        </w:rPr>
        <w:t>（二）具备履行合同所必需的</w:t>
      </w:r>
      <w:r>
        <w:rPr>
          <w:rFonts w:hint="eastAsia" w:hAnsi="方正仿宋_GBK" w:eastAsia="方正仿宋_GBK"/>
          <w:sz w:val="32"/>
          <w:szCs w:val="32"/>
          <w:lang w:val="en-US" w:eastAsia="zh-CN"/>
        </w:rPr>
        <w:t>服务技术</w:t>
      </w:r>
      <w:r>
        <w:rPr>
          <w:rFonts w:hint="eastAsia" w:hAnsi="方正仿宋_GBK" w:eastAsia="方正仿宋_GBK"/>
          <w:sz w:val="32"/>
          <w:szCs w:val="32"/>
        </w:rPr>
        <w:t xml:space="preserve">能力与资金保障能力；  </w:t>
      </w:r>
    </w:p>
    <w:p w14:paraId="4FAD9ED5">
      <w:pPr>
        <w:spacing w:line="579" w:lineRule="exact"/>
        <w:ind w:firstLine="640" w:firstLineChars="200"/>
        <w:rPr>
          <w:sz w:val="32"/>
          <w:szCs w:val="32"/>
        </w:rPr>
      </w:pPr>
      <w:r>
        <w:rPr>
          <w:rFonts w:hint="eastAsia" w:hAnsi="方正仿宋_GBK" w:eastAsia="方正仿宋_GBK"/>
          <w:sz w:val="32"/>
          <w:szCs w:val="32"/>
        </w:rPr>
        <w:t xml:space="preserve">（三）具有良好的商业信誉，经营活动中无重大违法记录；  </w:t>
      </w:r>
    </w:p>
    <w:p w14:paraId="17AA5CB7">
      <w:pPr>
        <w:spacing w:line="579" w:lineRule="exact"/>
        <w:ind w:firstLine="640" w:firstLineChars="200"/>
        <w:rPr>
          <w:rFonts w:hAnsi="方正仿宋_GBK" w:eastAsia="方正仿宋_GBK"/>
          <w:sz w:val="32"/>
          <w:szCs w:val="32"/>
        </w:rPr>
      </w:pPr>
      <w:bookmarkStart w:id="1" w:name="OLE_LINK55"/>
      <w:r>
        <w:rPr>
          <w:rFonts w:hint="eastAsia" w:hAnsi="方正仿宋_GBK" w:eastAsia="方正仿宋_GBK"/>
          <w:sz w:val="32"/>
          <w:szCs w:val="32"/>
        </w:rPr>
        <w:t>（四）具有依法缴纳税收和社会保障资金的良好记录</w:t>
      </w:r>
      <w:bookmarkEnd w:id="1"/>
      <w:r>
        <w:rPr>
          <w:rFonts w:hint="eastAsia" w:hAnsi="方正仿宋_GBK" w:eastAsia="方正仿宋_GBK"/>
          <w:sz w:val="32"/>
          <w:szCs w:val="32"/>
        </w:rPr>
        <w:t xml:space="preserve">；  </w:t>
      </w:r>
    </w:p>
    <w:p w14:paraId="50796940">
      <w:pPr>
        <w:spacing w:line="579" w:lineRule="exact"/>
        <w:ind w:firstLine="640" w:firstLineChars="200"/>
        <w:rPr>
          <w:sz w:val="32"/>
          <w:szCs w:val="32"/>
        </w:rPr>
      </w:pPr>
      <w:r>
        <w:rPr>
          <w:rFonts w:hint="eastAsia" w:hAnsi="方正仿宋_GBK" w:eastAsia="方正仿宋_GBK"/>
          <w:sz w:val="32"/>
          <w:szCs w:val="32"/>
        </w:rPr>
        <w:t xml:space="preserve">（五）满足法律、行政法规规定的其他条件；  </w:t>
      </w:r>
      <w:r>
        <w:rPr>
          <w:rFonts w:hint="eastAsia" w:ascii="方正仿宋_GBK" w:hAnsi="方正仿宋_GBK" w:eastAsia="方正仿宋_GBK" w:cs="方正仿宋_GBK"/>
          <w:sz w:val="32"/>
          <w:szCs w:val="32"/>
        </w:rPr>
        <w:t xml:space="preserve">  </w:t>
      </w:r>
    </w:p>
    <w:p w14:paraId="32EBCBCE">
      <w:pPr>
        <w:spacing w:line="579" w:lineRule="exact"/>
        <w:ind w:firstLine="640" w:firstLineChars="200"/>
        <w:rPr>
          <w:sz w:val="32"/>
          <w:szCs w:val="32"/>
        </w:rPr>
      </w:pPr>
      <w:r>
        <w:rPr>
          <w:rFonts w:hint="eastAsia" w:hAnsi="方正仿宋_GBK" w:eastAsia="方正仿宋_GBK"/>
          <w:sz w:val="32"/>
          <w:szCs w:val="32"/>
        </w:rPr>
        <w:t>（</w:t>
      </w:r>
      <w:r>
        <w:rPr>
          <w:rFonts w:hint="eastAsia" w:ascii="方正仿宋_GBK" w:hAnsi="方正仿宋_GBK" w:eastAsia="方正仿宋_GBK" w:cs="方正仿宋_GBK"/>
          <w:sz w:val="32"/>
          <w:szCs w:val="32"/>
          <w:lang w:val="en-US" w:eastAsia="zh-CN"/>
        </w:rPr>
        <w:t>六</w:t>
      </w:r>
      <w:r>
        <w:rPr>
          <w:rFonts w:hint="eastAsia" w:hAnsi="方正仿宋_GBK" w:eastAsia="方正仿宋_GBK"/>
          <w:sz w:val="32"/>
          <w:szCs w:val="32"/>
        </w:rPr>
        <w:t>）具备履行本项目要求的能力，能够按需供应本次采购</w:t>
      </w:r>
      <w:r>
        <w:rPr>
          <w:rFonts w:hint="eastAsia" w:hAnsi="方正仿宋_GBK" w:eastAsia="方正仿宋_GBK"/>
          <w:sz w:val="32"/>
          <w:szCs w:val="32"/>
          <w:lang w:val="en-US" w:eastAsia="zh-CN"/>
        </w:rPr>
        <w:t>服务</w:t>
      </w:r>
      <w:r>
        <w:rPr>
          <w:rFonts w:hint="eastAsia" w:hAnsi="方正仿宋_GBK" w:eastAsia="方正仿宋_GBK"/>
          <w:sz w:val="32"/>
          <w:szCs w:val="32"/>
        </w:rPr>
        <w:t>，并提供相应质量保证与配套服务；</w:t>
      </w:r>
      <w:r>
        <w:rPr>
          <w:rFonts w:hint="eastAsia" w:ascii="方正仿宋_GBK" w:hAnsi="方正仿宋_GBK" w:eastAsia="方正仿宋_GBK" w:cs="方正仿宋_GBK"/>
          <w:sz w:val="32"/>
          <w:szCs w:val="32"/>
        </w:rPr>
        <w:t>拥有固定的售后服务机构，可长期及时响应需求并提供售后服务。</w:t>
      </w:r>
    </w:p>
    <w:p w14:paraId="5051C26B">
      <w:pPr>
        <w:spacing w:line="579" w:lineRule="exact"/>
        <w:ind w:firstLine="640" w:firstLineChars="200"/>
        <w:rPr>
          <w:rFonts w:hint="eastAsia" w:ascii="方正黑体_GBK" w:hAnsi="方正黑体_GBK" w:eastAsia="方正黑体_GBK" w:cs="方正黑体_GBK"/>
          <w:bCs/>
          <w:sz w:val="30"/>
          <w:szCs w:val="30"/>
        </w:rPr>
      </w:pPr>
      <w:r>
        <w:rPr>
          <w:rFonts w:hint="eastAsia" w:ascii="方正黑体_GBK" w:hAnsi="方正黑体_GBK" w:eastAsia="方正黑体_GBK" w:cs="方正黑体_GBK"/>
          <w:bCs/>
          <w:snapToGrid w:val="0"/>
          <w:sz w:val="32"/>
          <w:szCs w:val="32"/>
        </w:rPr>
        <w:t>七、</w:t>
      </w:r>
      <w:r>
        <w:rPr>
          <w:rFonts w:hint="eastAsia" w:ascii="方正黑体_GBK" w:hAnsi="方正黑体_GBK" w:eastAsia="方正黑体_GBK" w:cs="方正黑体_GBK"/>
          <w:bCs/>
          <w:sz w:val="30"/>
          <w:szCs w:val="30"/>
        </w:rPr>
        <w:t>需提交的资料</w:t>
      </w:r>
    </w:p>
    <w:p w14:paraId="748DFFBF">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val="ru-RU"/>
        </w:rPr>
        <w:t>营业执照、资格证明材料复印件</w:t>
      </w:r>
      <w:r>
        <w:rPr>
          <w:rFonts w:hint="eastAsia" w:ascii="方正仿宋_GBK" w:hAnsi="方正仿宋_GBK" w:eastAsia="方正仿宋_GBK" w:cs="方正仿宋_GBK"/>
          <w:sz w:val="32"/>
          <w:szCs w:val="32"/>
        </w:rPr>
        <w:t>、电子原文件正、副本扫描件。</w:t>
      </w:r>
    </w:p>
    <w:p w14:paraId="6A65E405">
      <w:pPr>
        <w:spacing w:line="579" w:lineRule="exact"/>
        <w:ind w:firstLine="640" w:firstLineChars="200"/>
        <w:rPr>
          <w:rFonts w:ascii="方正仿宋_GBK" w:hAnsi="方正仿宋_GBK" w:eastAsia="方正仿宋_GBK" w:cs="方正仿宋_GBK"/>
          <w:sz w:val="32"/>
          <w:szCs w:val="32"/>
          <w:lang w:val="ru-RU"/>
        </w:rPr>
      </w:pPr>
      <w:r>
        <w:rPr>
          <w:rFonts w:hint="eastAsia" w:ascii="方正仿宋_GBK" w:hAnsi="方正仿宋_GBK" w:eastAsia="方正仿宋_GBK" w:cs="方正仿宋_GBK"/>
          <w:sz w:val="32"/>
          <w:szCs w:val="32"/>
        </w:rPr>
        <w:t>（二）代理</w:t>
      </w:r>
      <w:r>
        <w:rPr>
          <w:rFonts w:hint="eastAsia" w:ascii="方正仿宋_GBK" w:hAnsi="方正仿宋_GBK" w:eastAsia="方正仿宋_GBK" w:cs="方正仿宋_GBK"/>
          <w:sz w:val="32"/>
          <w:szCs w:val="32"/>
          <w:lang w:val="ru-RU"/>
        </w:rPr>
        <w:t>商：</w:t>
      </w:r>
      <w:r>
        <w:rPr>
          <w:rFonts w:hint="eastAsia" w:ascii="方正仿宋_GBK" w:hAnsi="方正仿宋_GBK" w:eastAsia="方正仿宋_GBK" w:cs="方正仿宋_GBK"/>
          <w:sz w:val="32"/>
          <w:szCs w:val="32"/>
        </w:rPr>
        <w:t>若涉及到品牌授权业务，需出示</w:t>
      </w:r>
      <w:bookmarkStart w:id="2" w:name="OLE_LINK13"/>
      <w:bookmarkStart w:id="3" w:name="OLE_LINK10"/>
      <w:r>
        <w:rPr>
          <w:rFonts w:hint="eastAsia" w:ascii="方正仿宋_GBK" w:hAnsi="方正仿宋_GBK" w:eastAsia="方正仿宋_GBK" w:cs="方正仿宋_GBK"/>
          <w:sz w:val="32"/>
          <w:szCs w:val="32"/>
          <w:lang w:val="ru-RU"/>
        </w:rPr>
        <w:t>授权代理</w:t>
      </w:r>
      <w:bookmarkEnd w:id="2"/>
      <w:bookmarkEnd w:id="3"/>
      <w:r>
        <w:rPr>
          <w:rFonts w:hint="eastAsia" w:ascii="方正仿宋_GBK" w:hAnsi="方正仿宋_GBK" w:eastAsia="方正仿宋_GBK" w:cs="方正仿宋_GBK"/>
          <w:sz w:val="32"/>
          <w:szCs w:val="32"/>
          <w:lang w:val="ru-RU"/>
        </w:rPr>
        <w:t>资格</w:t>
      </w:r>
      <w:r>
        <w:rPr>
          <w:rFonts w:hint="eastAsia" w:ascii="方正仿宋_GBK" w:hAnsi="方正仿宋_GBK" w:eastAsia="方正仿宋_GBK" w:cs="方正仿宋_GBK"/>
          <w:sz w:val="32"/>
          <w:szCs w:val="32"/>
        </w:rPr>
        <w:t>和</w:t>
      </w:r>
      <w:r>
        <w:rPr>
          <w:rFonts w:hint="eastAsia" w:ascii="方正仿宋_GBK" w:hAnsi="方正仿宋_GBK" w:eastAsia="方正仿宋_GBK" w:cs="方正仿宋_GBK"/>
          <w:sz w:val="32"/>
          <w:szCs w:val="32"/>
          <w:lang w:val="ru-RU"/>
        </w:rPr>
        <w:t>产品检测报告证明。</w:t>
      </w:r>
    </w:p>
    <w:p w14:paraId="4D437C8A">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（三）法定代表人亲自报名，需提供相应证明材料、联系电话；授权委托代理人办理的，需提供法人授权委托书、法定代表人身份证明及复印件、被授权人身份证复印件、被授权人联系电话。</w:t>
      </w:r>
    </w:p>
    <w:p w14:paraId="6222565B">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（四）提供业绩证明材料复印件（如发票或合同复印件）。</w:t>
      </w:r>
    </w:p>
    <w:p w14:paraId="47D5DC19">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（五）报价文件。</w:t>
      </w:r>
    </w:p>
    <w:p w14:paraId="66F93E00">
      <w:pPr>
        <w:pStyle w:val="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（六）以上所有材料复印件均需加盖公章。所有提交的资料须真实有效，如发现弄虚作假或资料失效，将直接取消参选资格。</w:t>
      </w:r>
      <w:r>
        <w:rPr>
          <w:rFonts w:hint="eastAsia" w:ascii="方正仿宋_GBK" w:hAnsi="方正仿宋_GBK" w:eastAsia="方正仿宋_GBK" w:cs="方正仿宋_GBK"/>
          <w:sz w:val="32"/>
          <w:szCs w:val="32"/>
          <w:lang w:val="en-US" w:eastAsia="zh-CN"/>
        </w:rPr>
        <w:t>上述纸质资料</w:t>
      </w:r>
      <w:r>
        <w:rPr>
          <w:rFonts w:hint="eastAsia" w:ascii="方正仿宋_GBK" w:hAnsi="方正仿宋_GBK" w:eastAsia="方正仿宋_GBK" w:cs="方正仿宋_GBK"/>
          <w:bCs/>
          <w:w w:val="99"/>
          <w:kern w:val="2"/>
          <w:sz w:val="32"/>
          <w:szCs w:val="32"/>
        </w:rPr>
        <w:t>（用档案袋或信封密封）</w:t>
      </w:r>
      <w:r>
        <w:rPr>
          <w:rFonts w:hint="eastAsia" w:ascii="方正仿宋_GBK" w:hAnsi="方正仿宋_GBK" w:eastAsia="方正仿宋_GBK" w:cs="方正仿宋_GBK"/>
          <w:sz w:val="32"/>
          <w:szCs w:val="32"/>
          <w:lang w:val="en-US" w:eastAsia="zh-CN"/>
        </w:rPr>
        <w:t>需在2026年10月15日10时00分前</w:t>
      </w:r>
      <w:r>
        <w:rPr>
          <w:rFonts w:hint="eastAsia" w:ascii="方正仿宋_GBK" w:hAnsi="方正仿宋_GBK" w:eastAsia="方正仿宋_GBK" w:cs="方正仿宋_GBK"/>
          <w:bCs/>
          <w:w w:val="99"/>
          <w:kern w:val="2"/>
          <w:sz w:val="32"/>
          <w:szCs w:val="32"/>
        </w:rPr>
        <w:t>递交或邮寄至：重庆市</w:t>
      </w:r>
      <w:r>
        <w:rPr>
          <w:rFonts w:hint="eastAsia" w:ascii="方正仿宋_GBK" w:hAnsi="方正仿宋_GBK" w:eastAsia="方正仿宋_GBK" w:cs="方正仿宋_GBK"/>
          <w:bCs/>
          <w:sz w:val="32"/>
          <w:szCs w:val="32"/>
        </w:rPr>
        <w:t>巫山县宁江路333号</w:t>
      </w:r>
      <w:r>
        <w:rPr>
          <w:rFonts w:hint="eastAsia" w:ascii="方正仿宋_GBK" w:hAnsi="方正仿宋_GBK" w:eastAsia="方正仿宋_GBK" w:cs="方正仿宋_GBK"/>
          <w:bCs/>
          <w:sz w:val="32"/>
          <w:szCs w:val="32"/>
          <w:lang w:val="en-US" w:eastAsia="zh-CN"/>
        </w:rPr>
        <w:t>巫山江山红叶两江假日</w:t>
      </w:r>
      <w:r>
        <w:rPr>
          <w:rFonts w:hint="eastAsia" w:ascii="方正仿宋_GBK" w:hAnsi="方正仿宋_GBK" w:eastAsia="方正仿宋_GBK" w:cs="方正仿宋_GBK"/>
          <w:bCs/>
          <w:sz w:val="32"/>
          <w:szCs w:val="32"/>
        </w:rPr>
        <w:t>酒店</w:t>
      </w:r>
      <w:r>
        <w:rPr>
          <w:rFonts w:hint="eastAsia" w:ascii="方正仿宋_GBK" w:hAnsi="方正仿宋_GBK" w:eastAsia="方正仿宋_GBK" w:cs="方正仿宋_GBK"/>
          <w:bCs/>
          <w:sz w:val="32"/>
          <w:szCs w:val="32"/>
          <w:lang w:val="en-US" w:eastAsia="zh-CN"/>
        </w:rPr>
        <w:t>综合部</w:t>
      </w:r>
      <w:r>
        <w:rPr>
          <w:rFonts w:hint="eastAsia" w:ascii="方正仿宋_GBK" w:hAnsi="方正仿宋_GBK" w:eastAsia="方正仿宋_GBK" w:cs="方正仿宋_GBK"/>
          <w:sz w:val="32"/>
          <w:szCs w:val="32"/>
        </w:rPr>
        <w:t>。</w:t>
      </w:r>
    </w:p>
    <w:p w14:paraId="65AFFE71">
      <w:pPr>
        <w:pStyle w:val="6"/>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八、公告发布</w:t>
      </w:r>
    </w:p>
    <w:p w14:paraId="0C68DC1B">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（一）本项目采购公告同时在“重庆文旅集团采购电子交易平台”、“两江假日酒店产业服务”微信公众号上发布。</w:t>
      </w:r>
    </w:p>
    <w:p w14:paraId="60132667">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（二）公告期限：即日起至2026年</w:t>
      </w: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14</w:t>
      </w:r>
      <w:r>
        <w:rPr>
          <w:rFonts w:hint="eastAsia" w:ascii="方正仿宋_GBK" w:hAnsi="方正仿宋_GBK" w:eastAsia="方正仿宋_GBK" w:cs="方正仿宋_GBK"/>
          <w:sz w:val="32"/>
          <w:szCs w:val="32"/>
        </w:rPr>
        <w:t>日17时00分（工作时间）。</w:t>
      </w:r>
    </w:p>
    <w:p w14:paraId="4C44C1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lang w:val="ru-RU"/>
        </w:rPr>
      </w:pPr>
      <w:r>
        <w:rPr>
          <w:rFonts w:hint="eastAsia" w:ascii="方正仿宋_GBK" w:hAnsi="方正仿宋_GBK" w:eastAsia="方正仿宋_GBK" w:cs="方正仿宋_GBK"/>
          <w:sz w:val="32"/>
          <w:szCs w:val="32"/>
        </w:rPr>
        <w:t>（三）</w:t>
      </w:r>
      <w:r>
        <w:rPr>
          <w:rFonts w:hint="eastAsia" w:ascii="方正仿宋_GBK" w:hAnsi="方正仿宋_GBK" w:eastAsia="方正仿宋_GBK" w:cs="方正仿宋_GBK"/>
          <w:sz w:val="32"/>
          <w:szCs w:val="32"/>
          <w:lang w:val="ru-RU"/>
        </w:rPr>
        <w:t>参与本项目报价，如</w:t>
      </w:r>
      <w:r>
        <w:rPr>
          <w:rFonts w:hint="eastAsia" w:ascii="方正仿宋_GBK" w:hAnsi="方正仿宋_GBK" w:eastAsia="方正仿宋_GBK" w:cs="方正仿宋_GBK"/>
          <w:sz w:val="32"/>
          <w:szCs w:val="32"/>
        </w:rPr>
        <w:t>竞选人</w:t>
      </w:r>
      <w:r>
        <w:rPr>
          <w:rFonts w:hint="eastAsia" w:ascii="方正仿宋_GBK" w:hAnsi="方正仿宋_GBK" w:eastAsia="方正仿宋_GBK" w:cs="方正仿宋_GBK"/>
          <w:sz w:val="32"/>
          <w:szCs w:val="32"/>
          <w:lang w:val="ru-RU"/>
        </w:rPr>
        <w:t>未按要求</w:t>
      </w:r>
      <w:r>
        <w:rPr>
          <w:rFonts w:hint="eastAsia" w:ascii="方正仿宋_GBK" w:hAnsi="方正仿宋_GBK" w:eastAsia="方正仿宋_GBK" w:cs="方正仿宋_GBK"/>
          <w:sz w:val="32"/>
          <w:szCs w:val="32"/>
        </w:rPr>
        <w:t>上报</w:t>
      </w:r>
      <w:r>
        <w:rPr>
          <w:rFonts w:hint="eastAsia" w:ascii="方正仿宋_GBK" w:hAnsi="方正仿宋_GBK" w:eastAsia="方正仿宋_GBK" w:cs="方正仿宋_GBK"/>
          <w:sz w:val="32"/>
          <w:szCs w:val="32"/>
          <w:lang w:val="ru-RU"/>
        </w:rPr>
        <w:t>，则视作报价无效。本次响应文件开启会议邀请各供应商法定代表人或授权代表到场参加；供应商可自愿选择是否派员参会。未到场的供应商，视为认可本次开标唱价全部结果，不得事后对开标记录、密封情况提出异议。</w:t>
      </w:r>
    </w:p>
    <w:p w14:paraId="2F8941B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ru-RU"/>
        </w:rPr>
        <w:t>（</w:t>
      </w:r>
      <w:r>
        <w:rPr>
          <w:rFonts w:hint="eastAsia" w:ascii="方正仿宋_GBK" w:hAnsi="方正仿宋_GBK" w:eastAsia="方正仿宋_GBK" w:cs="方正仿宋_GBK"/>
          <w:sz w:val="32"/>
          <w:szCs w:val="32"/>
        </w:rPr>
        <w:t>四</w:t>
      </w:r>
      <w:r>
        <w:rPr>
          <w:rFonts w:hint="eastAsia" w:ascii="方正仿宋_GBK" w:hAnsi="方正仿宋_GBK" w:eastAsia="方正仿宋_GBK" w:cs="方正仿宋_GBK"/>
          <w:sz w:val="32"/>
          <w:szCs w:val="32"/>
          <w:lang w:val="ru-RU"/>
        </w:rPr>
        <w:t>）</w:t>
      </w:r>
      <w:r>
        <w:rPr>
          <w:rFonts w:hint="eastAsia" w:ascii="方正仿宋_GBK" w:hAnsi="方正仿宋_GBK" w:eastAsia="方正仿宋_GBK" w:cs="方正仿宋_GBK"/>
          <w:sz w:val="32"/>
          <w:szCs w:val="32"/>
        </w:rPr>
        <w:t>联系单位：</w:t>
      </w:r>
      <w:r>
        <w:rPr>
          <w:rFonts w:hint="eastAsia" w:ascii="方正仿宋_GBK" w:hAnsi="方正仿宋_GBK" w:eastAsia="方正仿宋_GBK" w:cs="方正仿宋_GBK"/>
          <w:sz w:val="32"/>
          <w:szCs w:val="32"/>
          <w:lang w:val="en-US" w:eastAsia="zh-CN"/>
        </w:rPr>
        <w:t>重庆长江三峡旅游开发有限公司巫山江山红叶酒店分公司</w:t>
      </w:r>
    </w:p>
    <w:p w14:paraId="1B1763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地</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重庆市巫山县宁江路333号</w:t>
      </w:r>
    </w:p>
    <w:p w14:paraId="49120E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联系人：</w:t>
      </w:r>
      <w:r>
        <w:rPr>
          <w:rFonts w:hint="eastAsia" w:ascii="方正仿宋_GBK" w:hAnsi="方正仿宋_GBK" w:eastAsia="方正仿宋_GBK" w:cs="方正仿宋_GBK"/>
          <w:sz w:val="32"/>
          <w:szCs w:val="32"/>
          <w:lang w:val="en-US" w:eastAsia="zh-CN"/>
        </w:rPr>
        <w:t>李老师</w:t>
      </w:r>
      <w:r>
        <w:rPr>
          <w:rFonts w:hint="eastAsia" w:ascii="方正仿宋_GBK" w:hAnsi="方正仿宋_GBK" w:eastAsia="方正仿宋_GBK" w:cs="方正仿宋_GBK"/>
          <w:sz w:val="32"/>
          <w:szCs w:val="32"/>
        </w:rPr>
        <w:t xml:space="preserve">  电话：15320719686</w:t>
      </w:r>
    </w:p>
    <w:p w14:paraId="60CB6C55">
      <w:pPr>
        <w:pStyle w:val="6"/>
        <w:keepNext w:val="0"/>
        <w:keepLines w:val="0"/>
        <w:pageBreakBefore w:val="0"/>
        <w:widowControl w:val="0"/>
        <w:kinsoku/>
        <w:wordWrap/>
        <w:overflowPunct/>
        <w:topLinePunct w:val="0"/>
        <w:autoSpaceDE/>
        <w:autoSpaceDN/>
        <w:bidi w:val="0"/>
        <w:adjustRightInd/>
        <w:snapToGrid/>
        <w:spacing w:before="0" w:after="0" w:line="600" w:lineRule="exact"/>
        <w:ind w:firstLine="640" w:firstLineChars="200"/>
        <w:jc w:val="both"/>
        <w:textAlignment w:val="auto"/>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九、报名方式</w:t>
      </w:r>
    </w:p>
    <w:p w14:paraId="145D6C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bookmarkStart w:id="4" w:name="_Toc290909907"/>
      <w:bookmarkStart w:id="5" w:name="_Toc318447030"/>
      <w:bookmarkStart w:id="6" w:name="_Toc300583603"/>
      <w:bookmarkStart w:id="7" w:name="_Toc323162177"/>
      <w:bookmarkStart w:id="8" w:name="_Toc287608873"/>
      <w:bookmarkStart w:id="9" w:name="_Toc318898270"/>
      <w:bookmarkStart w:id="10" w:name="_Toc326223048"/>
      <w:r>
        <w:rPr>
          <w:rFonts w:hint="eastAsia" w:ascii="方正仿宋_GBK" w:hAnsi="方正仿宋_GBK" w:eastAsia="方正仿宋_GBK" w:cs="方正仿宋_GBK"/>
          <w:sz w:val="32"/>
          <w:szCs w:val="32"/>
        </w:rPr>
        <w:t>（一）</w:t>
      </w:r>
      <w:bookmarkStart w:id="11" w:name="OLE_LINK31"/>
      <w:bookmarkStart w:id="12" w:name="_Toc15288906"/>
      <w:r>
        <w:rPr>
          <w:rFonts w:hint="eastAsia" w:ascii="方正仿宋_GBK" w:hAnsi="方正仿宋_GBK" w:eastAsia="方正仿宋_GBK" w:cs="方正仿宋_GBK"/>
          <w:sz w:val="32"/>
          <w:szCs w:val="32"/>
        </w:rPr>
        <w:t>参与本项目必须在“重庆文旅集团采购电子交易平台（cqct.gec.123.com）”注册，成为正式</w:t>
      </w:r>
      <w:bookmarkEnd w:id="11"/>
      <w:r>
        <w:rPr>
          <w:rFonts w:hint="eastAsia" w:ascii="方正仿宋_GBK" w:hAnsi="方正仿宋_GBK" w:eastAsia="方正仿宋_GBK" w:cs="方正仿宋_GBK"/>
          <w:sz w:val="32"/>
          <w:szCs w:val="32"/>
        </w:rPr>
        <w:t>竞选人。</w:t>
      </w:r>
    </w:p>
    <w:p w14:paraId="0AE8B3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（二）在采购文件及公告规定时限内，供应商登录采购平台，进入电子竞采大厅，通过搜索框查询意向项目，浏览公告信息，点击右上角“参与投标（报价）”，即可参与投标。</w:t>
      </w:r>
    </w:p>
    <w:p w14:paraId="1F2940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（三）注册后报名本项目时，根据平台规则，参与电子竞采项目的竞选人须在报价前确保平台账户留有预存余额，该笔预存费用将根据项目预算自动生成并向各竞选人展示，用于本次竞选报价。</w:t>
      </w:r>
    </w:p>
    <w:p w14:paraId="1DCBB94E">
      <w:pPr>
        <w:spacing w:line="579" w:lineRule="exact"/>
        <w:ind w:firstLine="640" w:firstLineChars="200"/>
        <w:rPr>
          <w:rFonts w:ascii="方正仿宋_GBK" w:hAnsi="方正仿宋_GBK" w:eastAsia="方正仿宋_GBK" w:cs="方正仿宋_GBK"/>
          <w:snapToGrid w:val="0"/>
        </w:rPr>
      </w:pPr>
      <w:r>
        <w:rPr>
          <w:rFonts w:hint="eastAsia" w:ascii="方正仿宋_GBK" w:hAnsi="方正仿宋_GBK" w:eastAsia="方正仿宋_GBK" w:cs="方正仿宋_GBK"/>
          <w:sz w:val="32"/>
          <w:szCs w:val="32"/>
        </w:rPr>
        <w:t>（四）项目结束后，若竞选人中选（成交），系统将根据中选人支付记录，按中选总金额的0.95%自动扣除平台交易费，扣除后如有余额，将自动原路退回；若中选人未中选，系统将根据该支付记录自动原路退回预存款项。</w:t>
      </w:r>
    </w:p>
    <w:bookmarkEnd w:id="4"/>
    <w:bookmarkEnd w:id="5"/>
    <w:bookmarkEnd w:id="6"/>
    <w:bookmarkEnd w:id="7"/>
    <w:bookmarkEnd w:id="8"/>
    <w:bookmarkEnd w:id="9"/>
    <w:bookmarkEnd w:id="10"/>
    <w:bookmarkEnd w:id="12"/>
    <w:p w14:paraId="45CAE03B">
      <w:pPr>
        <w:tabs>
          <w:tab w:val="left" w:pos="1425"/>
        </w:tabs>
        <w:spacing w:line="579" w:lineRule="exact"/>
        <w:ind w:firstLine="640" w:firstLineChars="200"/>
        <w:rPr>
          <w:rFonts w:ascii="方正黑体_GBK" w:hAnsi="方正黑体_GBK" w:eastAsia="方正黑体_GBK" w:cs="方正黑体_GBK"/>
          <w:bCs/>
          <w:snapToGrid w:val="0"/>
          <w:sz w:val="32"/>
          <w:szCs w:val="32"/>
        </w:rPr>
      </w:pPr>
      <w:bookmarkStart w:id="13" w:name="_Toc33217734"/>
      <w:r>
        <w:rPr>
          <w:rFonts w:hint="eastAsia" w:ascii="方正黑体_GBK" w:hAnsi="方正黑体_GBK" w:eastAsia="方正黑体_GBK" w:cs="方正黑体_GBK"/>
          <w:bCs/>
          <w:snapToGrid w:val="0"/>
          <w:sz w:val="32"/>
          <w:szCs w:val="32"/>
        </w:rPr>
        <w:t>十、</w:t>
      </w:r>
      <w:bookmarkEnd w:id="13"/>
      <w:r>
        <w:rPr>
          <w:rFonts w:hint="eastAsia" w:ascii="方正黑体_GBK" w:hAnsi="方正黑体_GBK" w:eastAsia="方正黑体_GBK" w:cs="方正黑体_GBK"/>
          <w:bCs/>
          <w:snapToGrid w:val="0"/>
          <w:sz w:val="32"/>
          <w:szCs w:val="32"/>
        </w:rPr>
        <w:t>其他</w:t>
      </w:r>
    </w:p>
    <w:p w14:paraId="7AB90C4D">
      <w:pPr>
        <w:spacing w:line="579" w:lineRule="exact"/>
        <w:ind w:firstLine="640" w:firstLineChars="200"/>
        <w:rPr>
          <w:rFonts w:eastAsia="方正仿宋_GBK"/>
          <w:kern w:val="0"/>
          <w:sz w:val="32"/>
          <w:szCs w:val="32"/>
        </w:rPr>
      </w:pPr>
      <w:r>
        <w:rPr>
          <w:rFonts w:hint="eastAsia" w:hAnsi="方正仿宋_GBK" w:eastAsia="方正仿宋_GBK"/>
          <w:sz w:val="32"/>
          <w:szCs w:val="32"/>
        </w:rPr>
        <w:t>（</w:t>
      </w:r>
      <w:r>
        <w:rPr>
          <w:rFonts w:hint="eastAsia" w:ascii="方正仿宋_GBK" w:hAnsi="方正仿宋_GBK" w:eastAsia="方正仿宋_GBK" w:cs="方正仿宋_GBK"/>
          <w:sz w:val="32"/>
          <w:szCs w:val="32"/>
        </w:rPr>
        <w:t>一</w:t>
      </w:r>
      <w:r>
        <w:rPr>
          <w:rFonts w:hint="eastAsia" w:hAnsi="方正仿宋_GBK" w:eastAsia="方正仿宋_GBK"/>
          <w:sz w:val="32"/>
          <w:szCs w:val="32"/>
        </w:rPr>
        <w:t>）</w:t>
      </w:r>
      <w:r>
        <w:rPr>
          <w:rFonts w:hint="eastAsia" w:eastAsia="方正仿宋_GBK"/>
          <w:kern w:val="0"/>
          <w:sz w:val="32"/>
          <w:szCs w:val="32"/>
        </w:rPr>
        <w:t>本项目不接受联合体参与投标，严禁挂靠、</w:t>
      </w:r>
      <w:r>
        <w:rPr>
          <w:rFonts w:hint="eastAsia" w:eastAsia="方正仿宋_GBK"/>
          <w:sz w:val="32"/>
          <w:szCs w:val="32"/>
        </w:rPr>
        <w:t>且不允许擅自转让给第三方，一经发现</w:t>
      </w:r>
      <w:r>
        <w:rPr>
          <w:rFonts w:hint="eastAsia" w:eastAsia="方正仿宋_GBK"/>
          <w:kern w:val="0"/>
          <w:sz w:val="32"/>
          <w:szCs w:val="32"/>
        </w:rPr>
        <w:t>按无效竞选处理。</w:t>
      </w:r>
    </w:p>
    <w:p w14:paraId="5D8352FC">
      <w:pPr>
        <w:spacing w:line="579" w:lineRule="exact"/>
        <w:ind w:firstLine="640" w:firstLineChars="200"/>
        <w:rPr>
          <w:rFonts w:eastAsia="方正仿宋_GBK"/>
          <w:kern w:val="0"/>
          <w:sz w:val="32"/>
          <w:szCs w:val="32"/>
        </w:rPr>
      </w:pPr>
      <w:r>
        <w:rPr>
          <w:rFonts w:hint="eastAsia" w:eastAsia="方正仿宋_GBK"/>
          <w:kern w:val="0"/>
          <w:sz w:val="32"/>
          <w:szCs w:val="32"/>
        </w:rPr>
        <w:t>（二）本公告最终最终解释要归采购方，未尽事宜另行通知。</w:t>
      </w:r>
    </w:p>
    <w:p w14:paraId="52F42672">
      <w:pPr>
        <w:spacing w:line="579" w:lineRule="exact"/>
        <w:rPr>
          <w:rFonts w:ascii="方正仿宋_GBK" w:hAnsi="方正仿宋_GBK" w:eastAsia="方正仿宋_GBK" w:cs="方正仿宋_GBK"/>
          <w:snapToGrid w:val="0"/>
          <w:kern w:val="0"/>
          <w:sz w:val="32"/>
          <w:szCs w:val="32"/>
        </w:rPr>
      </w:pPr>
    </w:p>
    <w:p w14:paraId="3F727FD7">
      <w:pPr>
        <w:spacing w:line="579" w:lineRule="exact"/>
        <w:ind w:firstLine="2880" w:firstLineChars="900"/>
        <w:rPr>
          <w:rFonts w:ascii="方正仿宋_GBK" w:hAnsi="方正仿宋_GBK" w:eastAsia="方正仿宋_GBK" w:cs="方正仿宋_GBK"/>
          <w:snapToGrid w:val="0"/>
          <w:kern w:val="0"/>
          <w:sz w:val="32"/>
          <w:szCs w:val="32"/>
        </w:rPr>
      </w:pPr>
    </w:p>
    <w:p w14:paraId="5876A2D5">
      <w:pPr>
        <w:spacing w:line="579" w:lineRule="exact"/>
        <w:ind w:firstLine="4160" w:firstLineChars="1300"/>
        <w:rPr>
          <w:rFonts w:hint="eastAsia" w:ascii="方正仿宋_GBK" w:hAnsi="方正仿宋_GBK" w:eastAsia="方正仿宋_GBK" w:cs="方正仿宋_GBK"/>
          <w:snapToGrid w:val="0"/>
          <w:kern w:val="0"/>
          <w:sz w:val="32"/>
          <w:szCs w:val="32"/>
        </w:rPr>
      </w:pPr>
      <w:r>
        <w:rPr>
          <w:rFonts w:hint="eastAsia" w:ascii="方正仿宋_GBK" w:hAnsi="方正仿宋_GBK" w:eastAsia="方正仿宋_GBK" w:cs="方正仿宋_GBK"/>
          <w:snapToGrid w:val="0"/>
          <w:kern w:val="0"/>
          <w:sz w:val="32"/>
          <w:szCs w:val="32"/>
        </w:rPr>
        <w:t>重庆长江三峡旅游开发有限公司</w:t>
      </w:r>
    </w:p>
    <w:p w14:paraId="6D5AF9D3">
      <w:pPr>
        <w:spacing w:line="579" w:lineRule="exact"/>
        <w:ind w:firstLine="4800" w:firstLineChars="1500"/>
        <w:rPr>
          <w:rFonts w:ascii="方正仿宋_GBK" w:hAnsi="方正仿宋_GBK" w:eastAsia="方正仿宋_GBK" w:cs="方正仿宋_GBK"/>
          <w:sz w:val="32"/>
          <w:szCs w:val="32"/>
        </w:rPr>
      </w:pPr>
      <w:r>
        <w:rPr>
          <w:rFonts w:hint="eastAsia" w:ascii="方正仿宋_GBK" w:hAnsi="方正仿宋_GBK" w:eastAsia="方正仿宋_GBK" w:cs="方正仿宋_GBK"/>
          <w:snapToGrid w:val="0"/>
          <w:kern w:val="0"/>
          <w:sz w:val="32"/>
          <w:szCs w:val="32"/>
        </w:rPr>
        <w:t>巫山江山红叶酒店分公司</w:t>
      </w:r>
      <w:r>
        <w:rPr>
          <w:rFonts w:hint="eastAsia" w:ascii="方正仿宋_GBK" w:hAnsi="方正仿宋_GBK" w:eastAsia="方正仿宋_GBK" w:cs="方正仿宋_GBK"/>
          <w:sz w:val="32"/>
          <w:szCs w:val="32"/>
        </w:rPr>
        <w:t xml:space="preserve">   </w:t>
      </w:r>
    </w:p>
    <w:p w14:paraId="7C721C97">
      <w:pPr>
        <w:spacing w:line="579" w:lineRule="exact"/>
        <w:ind w:firstLine="5440" w:firstLineChars="17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2026年</w:t>
      </w: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09</w:t>
      </w:r>
      <w:r>
        <w:rPr>
          <w:rFonts w:hint="eastAsia" w:ascii="方正仿宋_GBK" w:hAnsi="方正仿宋_GBK" w:eastAsia="方正仿宋_GBK" w:cs="方正仿宋_GBK"/>
          <w:sz w:val="32"/>
          <w:szCs w:val="32"/>
        </w:rPr>
        <w:t>日</w:t>
      </w:r>
    </w:p>
    <w:p w14:paraId="79BFF675">
      <w:pPr>
        <w:spacing w:line="579" w:lineRule="exact"/>
        <w:ind w:firstLine="640" w:firstLineChars="200"/>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附件1.有害生物防治服务供应商评审评分表</w:t>
      </w:r>
    </w:p>
    <w:p w14:paraId="59B396E5">
      <w:pPr>
        <w:spacing w:line="579" w:lineRule="exact"/>
        <w:rPr>
          <w:rFonts w:hint="eastAsia" w:ascii="方正仿宋_GBK" w:hAnsi="方正仿宋_GBK" w:eastAsia="方正仿宋_GBK" w:cs="方正仿宋_GBK"/>
          <w:sz w:val="32"/>
          <w:szCs w:val="32"/>
          <w:lang w:val="en-US" w:eastAsia="zh-CN"/>
        </w:rPr>
      </w:pPr>
    </w:p>
    <w:p w14:paraId="1692A4DA">
      <w:pPr>
        <w:spacing w:line="579" w:lineRule="exact"/>
        <w:rPr>
          <w:rFonts w:hint="eastAsia" w:ascii="方正仿宋_GBK" w:hAnsi="方正仿宋_GBK" w:eastAsia="方正仿宋_GBK" w:cs="方正仿宋_GBK"/>
          <w:sz w:val="32"/>
          <w:szCs w:val="32"/>
          <w:lang w:val="en-US" w:eastAsia="zh-CN"/>
        </w:rPr>
      </w:pPr>
    </w:p>
    <w:p w14:paraId="3D0374CF">
      <w:pPr>
        <w:spacing w:line="579" w:lineRule="exact"/>
        <w:rPr>
          <w:rFonts w:hint="eastAsia" w:ascii="方正仿宋_GBK" w:hAnsi="方正仿宋_GBK" w:eastAsia="方正仿宋_GBK" w:cs="方正仿宋_GBK"/>
          <w:sz w:val="32"/>
          <w:szCs w:val="32"/>
          <w:lang w:val="en-US" w:eastAsia="zh-CN"/>
        </w:rPr>
      </w:pPr>
    </w:p>
    <w:p w14:paraId="38CB48FB">
      <w:pPr>
        <w:spacing w:line="579" w:lineRule="exact"/>
        <w:rPr>
          <w:rFonts w:hint="eastAsia" w:ascii="方正仿宋_GBK" w:hAnsi="方正仿宋_GBK" w:eastAsia="方正仿宋_GBK" w:cs="方正仿宋_GBK"/>
          <w:sz w:val="32"/>
          <w:szCs w:val="32"/>
          <w:lang w:val="en-US" w:eastAsia="zh-CN"/>
        </w:rPr>
      </w:pPr>
    </w:p>
    <w:p w14:paraId="733D200C">
      <w:pPr>
        <w:spacing w:line="579" w:lineRule="exact"/>
        <w:rPr>
          <w:rFonts w:hint="eastAsia" w:ascii="方正仿宋_GBK" w:hAnsi="方正仿宋_GBK" w:eastAsia="方正仿宋_GBK" w:cs="方正仿宋_GBK"/>
          <w:sz w:val="32"/>
          <w:szCs w:val="32"/>
          <w:lang w:val="en-US" w:eastAsia="zh-CN"/>
        </w:rPr>
      </w:pPr>
    </w:p>
    <w:p w14:paraId="20D94A4F">
      <w:pPr>
        <w:spacing w:line="579" w:lineRule="exact"/>
        <w:rPr>
          <w:rFonts w:hint="eastAsia" w:ascii="方正仿宋_GBK" w:hAnsi="方正仿宋_GBK" w:eastAsia="方正仿宋_GBK" w:cs="方正仿宋_GBK"/>
          <w:sz w:val="32"/>
          <w:szCs w:val="32"/>
          <w:lang w:val="en-US" w:eastAsia="zh-CN"/>
        </w:rPr>
      </w:pPr>
    </w:p>
    <w:p w14:paraId="1A01D572">
      <w:pPr>
        <w:spacing w:line="579" w:lineRule="exact"/>
        <w:rPr>
          <w:rFonts w:hint="eastAsia" w:ascii="方正仿宋_GBK" w:hAnsi="方正仿宋_GBK" w:eastAsia="方正仿宋_GBK" w:cs="方正仿宋_GBK"/>
          <w:sz w:val="32"/>
          <w:szCs w:val="32"/>
          <w:lang w:val="en-US" w:eastAsia="zh-CN"/>
        </w:rPr>
      </w:pPr>
    </w:p>
    <w:p w14:paraId="6941FCAB">
      <w:pPr>
        <w:spacing w:line="579" w:lineRule="exact"/>
        <w:rPr>
          <w:rFonts w:hint="eastAsia" w:ascii="方正仿宋_GBK" w:hAnsi="方正仿宋_GBK" w:eastAsia="方正仿宋_GBK" w:cs="方正仿宋_GBK"/>
          <w:sz w:val="32"/>
          <w:szCs w:val="32"/>
          <w:lang w:val="en-US" w:eastAsia="zh-CN"/>
        </w:rPr>
      </w:pPr>
    </w:p>
    <w:p w14:paraId="5997488A">
      <w:pPr>
        <w:spacing w:line="579" w:lineRule="exact"/>
        <w:rPr>
          <w:rFonts w:hint="eastAsia" w:ascii="方正仿宋_GBK" w:hAnsi="方正仿宋_GBK" w:eastAsia="方正仿宋_GBK" w:cs="方正仿宋_GBK"/>
          <w:sz w:val="32"/>
          <w:szCs w:val="32"/>
          <w:lang w:val="en-US" w:eastAsia="zh-CN"/>
        </w:rPr>
      </w:pPr>
    </w:p>
    <w:p w14:paraId="06C2F69D">
      <w:pPr>
        <w:spacing w:line="579" w:lineRule="exact"/>
        <w:rPr>
          <w:rFonts w:hint="eastAsia" w:ascii="方正仿宋_GBK" w:hAnsi="方正仿宋_GBK" w:eastAsia="方正仿宋_GBK" w:cs="方正仿宋_GBK"/>
          <w:sz w:val="32"/>
          <w:szCs w:val="32"/>
          <w:lang w:val="en-US" w:eastAsia="zh-CN"/>
        </w:rPr>
      </w:pPr>
    </w:p>
    <w:p w14:paraId="7DEB6852">
      <w:pPr>
        <w:spacing w:line="579" w:lineRule="exact"/>
        <w:rPr>
          <w:rFonts w:hint="eastAsia" w:ascii="方正仿宋_GBK" w:hAnsi="方正仿宋_GBK" w:eastAsia="方正仿宋_GBK" w:cs="方正仿宋_GBK"/>
          <w:sz w:val="32"/>
          <w:szCs w:val="32"/>
          <w:lang w:val="en-US" w:eastAsia="zh-CN"/>
        </w:rPr>
      </w:pPr>
    </w:p>
    <w:p w14:paraId="4B48DBBC">
      <w:pPr>
        <w:spacing w:line="579" w:lineRule="exact"/>
        <w:rPr>
          <w:rFonts w:hint="eastAsia" w:ascii="方正仿宋_GBK" w:hAnsi="方正仿宋_GBK" w:eastAsia="方正仿宋_GBK" w:cs="方正仿宋_GBK"/>
          <w:sz w:val="32"/>
          <w:szCs w:val="32"/>
          <w:lang w:val="en-US" w:eastAsia="zh-CN"/>
        </w:rPr>
      </w:pPr>
    </w:p>
    <w:p w14:paraId="5B04FD40">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jc w:val="both"/>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sz w:val="32"/>
          <w:szCs w:val="32"/>
          <w:lang w:val="en-US" w:eastAsia="zh-CN"/>
        </w:rPr>
        <w:t xml:space="preserve">附件1      </w:t>
      </w:r>
    </w:p>
    <w:p w14:paraId="5625FDC0">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有害生物防治</w:t>
      </w:r>
      <w:r>
        <w:rPr>
          <w:rFonts w:hint="eastAsia" w:ascii="方正小标宋_GBK" w:hAnsi="方正小标宋_GBK" w:eastAsia="方正小标宋_GBK" w:cs="方正小标宋_GBK"/>
          <w:b w:val="0"/>
          <w:bCs w:val="0"/>
          <w:sz w:val="44"/>
          <w:szCs w:val="44"/>
          <w:lang w:val="en-US" w:eastAsia="zh-CN"/>
        </w:rPr>
        <w:t>服务供应商评审评分表</w:t>
      </w:r>
    </w:p>
    <w:p w14:paraId="37823AE0">
      <w:pPr>
        <w:jc w:val="lef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供应商名称：</w:t>
      </w:r>
    </w:p>
    <w:tbl>
      <w:tblPr>
        <w:tblStyle w:val="8"/>
        <w:tblW w:w="93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562"/>
        <w:gridCol w:w="1315"/>
        <w:gridCol w:w="1140"/>
        <w:gridCol w:w="5727"/>
        <w:gridCol w:w="563"/>
      </w:tblGrid>
      <w:tr w14:paraId="64F2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blHeader/>
        </w:trPr>
        <w:tc>
          <w:tcPr>
            <w:tcW w:w="0" w:type="auto"/>
            <w:shd w:val="clear" w:color="auto" w:fill="F2F3F5"/>
            <w:tcMar>
              <w:top w:w="120" w:type="dxa"/>
              <w:left w:w="120" w:type="dxa"/>
              <w:bottom w:w="120" w:type="dxa"/>
              <w:right w:w="120" w:type="dxa"/>
            </w:tcMar>
            <w:vAlign w:val="top"/>
          </w:tcPr>
          <w:p w14:paraId="71208BA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序号</w:t>
            </w:r>
          </w:p>
        </w:tc>
        <w:tc>
          <w:tcPr>
            <w:tcW w:w="0" w:type="auto"/>
            <w:shd w:val="clear" w:color="auto" w:fill="F2F3F5"/>
            <w:tcMar>
              <w:top w:w="120" w:type="dxa"/>
              <w:left w:w="120" w:type="dxa"/>
              <w:bottom w:w="120" w:type="dxa"/>
              <w:right w:w="120" w:type="dxa"/>
            </w:tcMar>
            <w:vAlign w:val="top"/>
          </w:tcPr>
          <w:p w14:paraId="0B5BA6E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评审项目</w:t>
            </w:r>
          </w:p>
        </w:tc>
        <w:tc>
          <w:tcPr>
            <w:tcW w:w="0" w:type="auto"/>
            <w:shd w:val="clear" w:color="auto" w:fill="F2F3F5"/>
            <w:tcMar>
              <w:top w:w="120" w:type="dxa"/>
              <w:left w:w="120" w:type="dxa"/>
              <w:bottom w:w="120" w:type="dxa"/>
              <w:right w:w="120" w:type="dxa"/>
            </w:tcMar>
            <w:vAlign w:val="top"/>
          </w:tcPr>
          <w:p w14:paraId="614BC75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分值</w:t>
            </w:r>
          </w:p>
        </w:tc>
        <w:tc>
          <w:tcPr>
            <w:tcW w:w="0" w:type="auto"/>
            <w:shd w:val="clear" w:color="auto" w:fill="F2F3F5"/>
            <w:tcMar>
              <w:top w:w="120" w:type="dxa"/>
              <w:left w:w="120" w:type="dxa"/>
              <w:bottom w:w="120" w:type="dxa"/>
              <w:right w:w="120" w:type="dxa"/>
            </w:tcMar>
            <w:vAlign w:val="top"/>
          </w:tcPr>
          <w:p w14:paraId="34D0B79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评审评分标准</w:t>
            </w:r>
          </w:p>
        </w:tc>
        <w:tc>
          <w:tcPr>
            <w:tcW w:w="0" w:type="auto"/>
            <w:shd w:val="clear" w:color="auto" w:fill="F2F3F5"/>
            <w:tcMar>
              <w:top w:w="120" w:type="dxa"/>
              <w:left w:w="120" w:type="dxa"/>
              <w:bottom w:w="120" w:type="dxa"/>
              <w:right w:w="120" w:type="dxa"/>
            </w:tcMar>
            <w:vAlign w:val="top"/>
          </w:tcPr>
          <w:p w14:paraId="0F51F7D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kern w:val="0"/>
                <w:sz w:val="28"/>
                <w:szCs w:val="28"/>
                <w:lang w:val="en-US" w:eastAsia="zh-CN" w:bidi="ar"/>
              </w:rPr>
            </w:pPr>
            <w:r>
              <w:rPr>
                <w:rFonts w:hint="eastAsia" w:ascii="方正仿宋_GBK" w:hAnsi="方正仿宋_GBK" w:eastAsia="方正仿宋_GBK" w:cs="方正仿宋_GBK"/>
                <w:b w:val="0"/>
                <w:bCs w:val="0"/>
                <w:kern w:val="0"/>
                <w:sz w:val="28"/>
                <w:szCs w:val="28"/>
                <w:lang w:val="en-US" w:eastAsia="zh-CN" w:bidi="ar"/>
              </w:rPr>
              <w:t>得分</w:t>
            </w:r>
          </w:p>
        </w:tc>
      </w:tr>
      <w:tr w14:paraId="0AC2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F2E1D4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w:t>
            </w:r>
          </w:p>
        </w:tc>
        <w:tc>
          <w:tcPr>
            <w:tcW w:w="0" w:type="auto"/>
            <w:shd w:val="clear" w:color="auto" w:fill="auto"/>
            <w:tcMar>
              <w:top w:w="120" w:type="dxa"/>
              <w:left w:w="120" w:type="dxa"/>
              <w:bottom w:w="120" w:type="dxa"/>
              <w:right w:w="120" w:type="dxa"/>
            </w:tcMar>
            <w:vAlign w:val="top"/>
          </w:tcPr>
          <w:p w14:paraId="277B828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供应商资质</w:t>
            </w:r>
          </w:p>
        </w:tc>
        <w:tc>
          <w:tcPr>
            <w:tcW w:w="0" w:type="auto"/>
            <w:shd w:val="clear" w:color="auto" w:fill="auto"/>
            <w:tcMar>
              <w:top w:w="120" w:type="dxa"/>
              <w:left w:w="120" w:type="dxa"/>
              <w:bottom w:w="120" w:type="dxa"/>
              <w:right w:w="120" w:type="dxa"/>
            </w:tcMar>
            <w:vAlign w:val="top"/>
          </w:tcPr>
          <w:p w14:paraId="646D3B1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一票否决，不计入总分</w:t>
            </w:r>
          </w:p>
        </w:tc>
        <w:tc>
          <w:tcPr>
            <w:tcW w:w="0" w:type="auto"/>
            <w:shd w:val="clear" w:color="auto" w:fill="auto"/>
            <w:tcMar>
              <w:top w:w="120" w:type="dxa"/>
              <w:left w:w="120" w:type="dxa"/>
              <w:bottom w:w="120" w:type="dxa"/>
              <w:right w:w="120" w:type="dxa"/>
            </w:tcMar>
            <w:vAlign w:val="top"/>
          </w:tcPr>
          <w:p w14:paraId="6D3EF051">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具备有效的营业执照、有害生物防治相关行业备案资质、消杀服务能力认证，资质齐全</w:t>
            </w:r>
          </w:p>
        </w:tc>
        <w:tc>
          <w:tcPr>
            <w:tcW w:w="0" w:type="auto"/>
            <w:shd w:val="clear" w:color="auto" w:fill="auto"/>
            <w:tcMar>
              <w:top w:w="120" w:type="dxa"/>
              <w:left w:w="120" w:type="dxa"/>
              <w:bottom w:w="120" w:type="dxa"/>
              <w:right w:w="120" w:type="dxa"/>
            </w:tcMar>
            <w:vAlign w:val="top"/>
          </w:tcPr>
          <w:p w14:paraId="106B590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7B39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5BF1184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2</w:t>
            </w:r>
          </w:p>
        </w:tc>
        <w:tc>
          <w:tcPr>
            <w:tcW w:w="0" w:type="auto"/>
            <w:shd w:val="clear" w:color="auto" w:fill="auto"/>
            <w:tcMar>
              <w:top w:w="120" w:type="dxa"/>
              <w:left w:w="120" w:type="dxa"/>
              <w:bottom w:w="120" w:type="dxa"/>
              <w:right w:w="120" w:type="dxa"/>
            </w:tcMar>
            <w:vAlign w:val="top"/>
          </w:tcPr>
          <w:p w14:paraId="307EC6C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整体服务实施方案（30分）</w:t>
            </w:r>
          </w:p>
        </w:tc>
        <w:tc>
          <w:tcPr>
            <w:tcW w:w="0" w:type="auto"/>
            <w:shd w:val="clear" w:color="auto" w:fill="auto"/>
            <w:tcMar>
              <w:top w:w="120" w:type="dxa"/>
              <w:left w:w="120" w:type="dxa"/>
              <w:bottom w:w="120" w:type="dxa"/>
              <w:right w:w="120" w:type="dxa"/>
            </w:tcMar>
            <w:vAlign w:val="top"/>
          </w:tcPr>
          <w:p w14:paraId="356A73B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30</w:t>
            </w:r>
          </w:p>
        </w:tc>
        <w:tc>
          <w:tcPr>
            <w:tcW w:w="0" w:type="auto"/>
            <w:shd w:val="clear" w:color="auto" w:fill="auto"/>
            <w:tcMar>
              <w:top w:w="120" w:type="dxa"/>
              <w:left w:w="120" w:type="dxa"/>
              <w:bottom w:w="120" w:type="dxa"/>
              <w:right w:w="120" w:type="dxa"/>
            </w:tcMar>
            <w:vAlign w:val="top"/>
          </w:tcPr>
          <w:p w14:paraId="14D99BF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（1）基础虫害防治方案（15分）</w:t>
            </w:r>
            <w:r>
              <w:rPr>
                <w:rFonts w:hint="eastAsia" w:ascii="方正仿宋_GBK" w:hAnsi="方正仿宋_GBK" w:eastAsia="方正仿宋_GBK" w:cs="方正仿宋_GBK"/>
                <w:b w:val="0"/>
                <w:bCs w:val="0"/>
                <w:kern w:val="0"/>
                <w:sz w:val="28"/>
                <w:szCs w:val="28"/>
                <w:lang w:val="en-US" w:eastAsia="zh-CN" w:bidi="ar"/>
              </w:rPr>
              <w:t>：针对鼠类、蟑螂、蚊虫、苍蝇、蚂蚁、蜘蛛等卫生虫害，防治流程清晰、消杀频次合理、孳生地治理措施全面、蛛网清理常态化方案完善，措施详实完整得10分；</w:t>
            </w:r>
            <w:r>
              <w:rPr>
                <w:rStyle w:val="11"/>
                <w:rFonts w:hint="eastAsia" w:ascii="方正仿宋_GBK" w:hAnsi="方正仿宋_GBK" w:eastAsia="方正仿宋_GBK" w:cs="方正仿宋_GBK"/>
                <w:b w:val="0"/>
                <w:bCs w:val="0"/>
                <w:kern w:val="0"/>
                <w:sz w:val="28"/>
                <w:szCs w:val="28"/>
                <w:lang w:val="en-US" w:eastAsia="zh-CN" w:bidi="ar"/>
              </w:rPr>
              <w:t>（2）爬行类生物防控方案（10分）</w:t>
            </w:r>
            <w:r>
              <w:rPr>
                <w:rFonts w:hint="eastAsia" w:ascii="方正仿宋_GBK" w:hAnsi="方正仿宋_GBK" w:eastAsia="方正仿宋_GBK" w:cs="方正仿宋_GBK"/>
                <w:b w:val="0"/>
                <w:bCs w:val="0"/>
                <w:kern w:val="0"/>
                <w:sz w:val="28"/>
                <w:szCs w:val="28"/>
                <w:lang w:val="en-US" w:eastAsia="zh-CN" w:bidi="ar"/>
              </w:rPr>
              <w:t>：针对蛇类、壁虎排查、驱避、封堵、拦截制定专项方案，适配园区绿化带、排水渠、阴暗区域场景，方案完善、可操作性强得7分；</w:t>
            </w:r>
            <w:r>
              <w:rPr>
                <w:rStyle w:val="11"/>
                <w:rFonts w:hint="eastAsia" w:ascii="方正仿宋_GBK" w:hAnsi="方正仿宋_GBK" w:eastAsia="方正仿宋_GBK" w:cs="方正仿宋_GBK"/>
                <w:b w:val="0"/>
                <w:bCs w:val="0"/>
                <w:kern w:val="0"/>
                <w:sz w:val="28"/>
                <w:szCs w:val="28"/>
                <w:lang w:val="en-US" w:eastAsia="zh-CN" w:bidi="ar"/>
              </w:rPr>
              <w:t>（3）台账及常态化运维方案（5分）</w:t>
            </w:r>
            <w:r>
              <w:rPr>
                <w:rFonts w:hint="eastAsia" w:ascii="方正仿宋_GBK" w:hAnsi="方正仿宋_GBK" w:eastAsia="方正仿宋_GBK" w:cs="方正仿宋_GBK"/>
                <w:b w:val="0"/>
                <w:bCs w:val="0"/>
                <w:kern w:val="0"/>
                <w:sz w:val="28"/>
                <w:szCs w:val="28"/>
                <w:lang w:val="en-US" w:eastAsia="zh-CN" w:bidi="ar"/>
              </w:rPr>
              <w:t>：具备完整巡检、记录、报告、季度优化、科普宣传运维体系，台账管理制度规范。</w:t>
            </w:r>
          </w:p>
        </w:tc>
        <w:tc>
          <w:tcPr>
            <w:tcW w:w="0" w:type="auto"/>
            <w:shd w:val="clear" w:color="auto" w:fill="auto"/>
            <w:tcMar>
              <w:top w:w="120" w:type="dxa"/>
              <w:left w:w="120" w:type="dxa"/>
              <w:bottom w:w="120" w:type="dxa"/>
              <w:right w:w="120" w:type="dxa"/>
            </w:tcMar>
            <w:vAlign w:val="top"/>
          </w:tcPr>
          <w:p w14:paraId="226B9AE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Style w:val="11"/>
                <w:rFonts w:hint="eastAsia" w:ascii="方正仿宋_GBK" w:hAnsi="方正仿宋_GBK" w:eastAsia="方正仿宋_GBK" w:cs="方正仿宋_GBK"/>
                <w:b w:val="0"/>
                <w:bCs w:val="0"/>
                <w:kern w:val="0"/>
                <w:sz w:val="28"/>
                <w:szCs w:val="28"/>
                <w:lang w:val="en-US" w:eastAsia="zh-CN" w:bidi="ar"/>
              </w:rPr>
            </w:pPr>
          </w:p>
        </w:tc>
      </w:tr>
      <w:tr w14:paraId="11F5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95F4E3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3</w:t>
            </w:r>
          </w:p>
        </w:tc>
        <w:tc>
          <w:tcPr>
            <w:tcW w:w="0" w:type="auto"/>
            <w:shd w:val="clear" w:color="auto" w:fill="auto"/>
            <w:tcMar>
              <w:top w:w="120" w:type="dxa"/>
              <w:left w:w="120" w:type="dxa"/>
              <w:bottom w:w="120" w:type="dxa"/>
              <w:right w:w="120" w:type="dxa"/>
            </w:tcMar>
            <w:vAlign w:val="top"/>
          </w:tcPr>
          <w:p w14:paraId="4F88F64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专业人员与设备药剂（15分）</w:t>
            </w:r>
          </w:p>
        </w:tc>
        <w:tc>
          <w:tcPr>
            <w:tcW w:w="0" w:type="auto"/>
            <w:shd w:val="clear" w:color="auto" w:fill="auto"/>
            <w:tcMar>
              <w:top w:w="120" w:type="dxa"/>
              <w:left w:w="120" w:type="dxa"/>
              <w:bottom w:w="120" w:type="dxa"/>
              <w:right w:w="120" w:type="dxa"/>
            </w:tcMar>
            <w:vAlign w:val="top"/>
          </w:tcPr>
          <w:p w14:paraId="2B5AF55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15</w:t>
            </w:r>
          </w:p>
        </w:tc>
        <w:tc>
          <w:tcPr>
            <w:tcW w:w="0" w:type="auto"/>
            <w:shd w:val="clear" w:color="auto" w:fill="auto"/>
            <w:tcMar>
              <w:top w:w="120" w:type="dxa"/>
              <w:left w:w="120" w:type="dxa"/>
              <w:bottom w:w="120" w:type="dxa"/>
              <w:right w:w="120" w:type="dxa"/>
            </w:tcMar>
            <w:vAlign w:val="top"/>
          </w:tcPr>
          <w:p w14:paraId="7D33DEC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 配备固定持证上岗消杀作业人员，人员数量满足服务区域需求，全员持证得6分，人员不足、无证上岗每人次扣2分；2. 配备齐全的消杀器械、驱避设备、防护设备、捕鼠捕蛇专用工具，设备齐全完好得5分；3. 所用消杀药剂、驱避药剂符合国家环保、卫生安全标准，无毒无害、合规备案，提供检测及备案证明得4分，无证明、药剂不合规不得分。</w:t>
            </w:r>
          </w:p>
        </w:tc>
        <w:tc>
          <w:tcPr>
            <w:tcW w:w="0" w:type="auto"/>
            <w:shd w:val="clear" w:color="auto" w:fill="auto"/>
            <w:tcMar>
              <w:top w:w="120" w:type="dxa"/>
              <w:left w:w="120" w:type="dxa"/>
              <w:bottom w:w="120" w:type="dxa"/>
              <w:right w:w="120" w:type="dxa"/>
            </w:tcMar>
            <w:vAlign w:val="top"/>
          </w:tcPr>
          <w:p w14:paraId="17F7C8B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3B03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0FD6091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4</w:t>
            </w:r>
          </w:p>
        </w:tc>
        <w:tc>
          <w:tcPr>
            <w:tcW w:w="0" w:type="auto"/>
            <w:shd w:val="clear" w:color="auto" w:fill="auto"/>
            <w:tcMar>
              <w:top w:w="120" w:type="dxa"/>
              <w:left w:w="120" w:type="dxa"/>
              <w:bottom w:w="120" w:type="dxa"/>
              <w:right w:w="120" w:type="dxa"/>
            </w:tcMar>
            <w:vAlign w:val="top"/>
          </w:tcPr>
          <w:p w14:paraId="2869AA0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应急处置保障能力（10分）</w:t>
            </w:r>
          </w:p>
        </w:tc>
        <w:tc>
          <w:tcPr>
            <w:tcW w:w="0" w:type="auto"/>
            <w:shd w:val="clear" w:color="auto" w:fill="auto"/>
            <w:tcMar>
              <w:top w:w="120" w:type="dxa"/>
              <w:left w:w="120" w:type="dxa"/>
              <w:bottom w:w="120" w:type="dxa"/>
              <w:right w:w="120" w:type="dxa"/>
            </w:tcMar>
            <w:vAlign w:val="top"/>
          </w:tcPr>
          <w:p w14:paraId="589E9C0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10</w:t>
            </w:r>
          </w:p>
        </w:tc>
        <w:tc>
          <w:tcPr>
            <w:tcW w:w="0" w:type="auto"/>
            <w:shd w:val="clear" w:color="auto" w:fill="auto"/>
            <w:tcMar>
              <w:top w:w="120" w:type="dxa"/>
              <w:left w:w="120" w:type="dxa"/>
              <w:bottom w:w="120" w:type="dxa"/>
              <w:right w:w="120" w:type="dxa"/>
            </w:tcMar>
            <w:vAlign w:val="top"/>
          </w:tcPr>
          <w:p w14:paraId="48AB04A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 制定专项应急预案，包含虫害爆发、蛇类闯入等突发场景处置流程，预案完善、流程清晰得5分；2. 承诺24小时应急响应、快速到场处置，明确响应时限、处置人员、处置流程，保障机制完善得5分。</w:t>
            </w:r>
          </w:p>
        </w:tc>
        <w:tc>
          <w:tcPr>
            <w:tcW w:w="0" w:type="auto"/>
            <w:shd w:val="clear" w:color="auto" w:fill="auto"/>
            <w:tcMar>
              <w:top w:w="120" w:type="dxa"/>
              <w:left w:w="120" w:type="dxa"/>
              <w:bottom w:w="120" w:type="dxa"/>
              <w:right w:w="120" w:type="dxa"/>
            </w:tcMar>
            <w:vAlign w:val="top"/>
          </w:tcPr>
          <w:p w14:paraId="502E566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4CFF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34575B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5</w:t>
            </w:r>
          </w:p>
        </w:tc>
        <w:tc>
          <w:tcPr>
            <w:tcW w:w="0" w:type="auto"/>
            <w:shd w:val="clear" w:color="auto" w:fill="auto"/>
            <w:tcMar>
              <w:top w:w="120" w:type="dxa"/>
              <w:left w:w="120" w:type="dxa"/>
              <w:bottom w:w="120" w:type="dxa"/>
              <w:right w:w="120" w:type="dxa"/>
            </w:tcMar>
            <w:vAlign w:val="top"/>
          </w:tcPr>
          <w:p w14:paraId="2AA8EB0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同类项目业绩（10分）</w:t>
            </w:r>
          </w:p>
        </w:tc>
        <w:tc>
          <w:tcPr>
            <w:tcW w:w="0" w:type="auto"/>
            <w:shd w:val="clear" w:color="auto" w:fill="auto"/>
            <w:tcMar>
              <w:top w:w="120" w:type="dxa"/>
              <w:left w:w="120" w:type="dxa"/>
              <w:bottom w:w="120" w:type="dxa"/>
              <w:right w:w="120" w:type="dxa"/>
            </w:tcMar>
            <w:vAlign w:val="top"/>
          </w:tcPr>
          <w:p w14:paraId="311F98A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10</w:t>
            </w:r>
          </w:p>
        </w:tc>
        <w:tc>
          <w:tcPr>
            <w:tcW w:w="0" w:type="auto"/>
            <w:shd w:val="clear" w:color="auto" w:fill="auto"/>
            <w:tcMar>
              <w:top w:w="120" w:type="dxa"/>
              <w:left w:w="120" w:type="dxa"/>
              <w:bottom w:w="120" w:type="dxa"/>
              <w:right w:w="120" w:type="dxa"/>
            </w:tcMar>
            <w:vAlign w:val="top"/>
          </w:tcPr>
          <w:p w14:paraId="53EA396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供应商近3年内机关单位、园区、公共区域同类有害生物防治服务业绩，每提供1份有效合同及验收证明得2分，最高10分；无有效同类业绩本项不得分。（需提供合同、验收报告、发票等佐证）</w:t>
            </w:r>
          </w:p>
        </w:tc>
        <w:tc>
          <w:tcPr>
            <w:tcW w:w="0" w:type="auto"/>
            <w:shd w:val="clear" w:color="auto" w:fill="auto"/>
            <w:tcMar>
              <w:top w:w="120" w:type="dxa"/>
              <w:left w:w="120" w:type="dxa"/>
              <w:bottom w:w="120" w:type="dxa"/>
              <w:right w:w="120" w:type="dxa"/>
            </w:tcMar>
            <w:vAlign w:val="top"/>
          </w:tcPr>
          <w:p w14:paraId="43E5B99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4B3D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222A7A1">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6</w:t>
            </w:r>
          </w:p>
        </w:tc>
        <w:tc>
          <w:tcPr>
            <w:tcW w:w="0" w:type="auto"/>
            <w:shd w:val="clear" w:color="auto" w:fill="auto"/>
            <w:tcMar>
              <w:top w:w="120" w:type="dxa"/>
              <w:left w:w="120" w:type="dxa"/>
              <w:bottom w:w="120" w:type="dxa"/>
              <w:right w:w="120" w:type="dxa"/>
            </w:tcMar>
            <w:vAlign w:val="top"/>
          </w:tcPr>
          <w:p w14:paraId="01FF252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投标报价合理性（30分）</w:t>
            </w:r>
          </w:p>
        </w:tc>
        <w:tc>
          <w:tcPr>
            <w:tcW w:w="0" w:type="auto"/>
            <w:shd w:val="clear" w:color="auto" w:fill="auto"/>
            <w:tcMar>
              <w:top w:w="120" w:type="dxa"/>
              <w:left w:w="120" w:type="dxa"/>
              <w:bottom w:w="120" w:type="dxa"/>
              <w:right w:w="120" w:type="dxa"/>
            </w:tcMar>
            <w:vAlign w:val="top"/>
          </w:tcPr>
          <w:p w14:paraId="68C4F7A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方正仿宋_GBK" w:hAnsi="方正仿宋_GBK" w:eastAsia="方正仿宋_GBK" w:cs="方正仿宋_GBK"/>
                <w:b w:val="0"/>
                <w:bCs w:val="0"/>
                <w:sz w:val="28"/>
                <w:szCs w:val="28"/>
                <w:lang w:val="en-US"/>
              </w:rPr>
            </w:pPr>
            <w:r>
              <w:rPr>
                <w:rFonts w:hint="eastAsia" w:ascii="方正仿宋_GBK" w:hAnsi="方正仿宋_GBK" w:eastAsia="方正仿宋_GBK" w:cs="方正仿宋_GBK"/>
                <w:b w:val="0"/>
                <w:bCs w:val="0"/>
                <w:kern w:val="0"/>
                <w:sz w:val="28"/>
                <w:szCs w:val="28"/>
                <w:lang w:val="en-US" w:eastAsia="zh-CN" w:bidi="ar"/>
              </w:rPr>
              <w:t>30</w:t>
            </w:r>
          </w:p>
        </w:tc>
        <w:tc>
          <w:tcPr>
            <w:tcW w:w="0" w:type="auto"/>
            <w:shd w:val="clear" w:color="auto" w:fill="auto"/>
            <w:tcMar>
              <w:top w:w="120" w:type="dxa"/>
              <w:left w:w="120" w:type="dxa"/>
              <w:bottom w:w="120" w:type="dxa"/>
              <w:right w:w="120" w:type="dxa"/>
            </w:tcMar>
            <w:vAlign w:val="top"/>
          </w:tcPr>
          <w:p w14:paraId="67BE7B62">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以有效评审报价的算术平均值为基准价，投标报价等于基准价得满分30分；报价每高于基准价1%扣0.5分，每低于基准价1%扣0.3分，扣完为止；恶意低价、报价明细混乱、漏项缺项酌情扣分。</w:t>
            </w:r>
          </w:p>
        </w:tc>
        <w:tc>
          <w:tcPr>
            <w:tcW w:w="0" w:type="auto"/>
            <w:shd w:val="clear" w:color="auto" w:fill="auto"/>
            <w:tcMar>
              <w:top w:w="120" w:type="dxa"/>
              <w:left w:w="120" w:type="dxa"/>
              <w:bottom w:w="120" w:type="dxa"/>
              <w:right w:w="120" w:type="dxa"/>
            </w:tcMar>
            <w:vAlign w:val="top"/>
          </w:tcPr>
          <w:p w14:paraId="2A2E22B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1E1E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4CFB89E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7</w:t>
            </w:r>
          </w:p>
        </w:tc>
        <w:tc>
          <w:tcPr>
            <w:tcW w:w="0" w:type="auto"/>
            <w:shd w:val="clear" w:color="auto" w:fill="auto"/>
            <w:tcMar>
              <w:top w:w="120" w:type="dxa"/>
              <w:left w:w="120" w:type="dxa"/>
              <w:bottom w:w="120" w:type="dxa"/>
              <w:right w:w="120" w:type="dxa"/>
            </w:tcMar>
            <w:vAlign w:val="top"/>
          </w:tcPr>
          <w:p w14:paraId="3FF84C8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服务承诺与履约保障（5分）</w:t>
            </w:r>
          </w:p>
        </w:tc>
        <w:tc>
          <w:tcPr>
            <w:tcW w:w="0" w:type="auto"/>
            <w:shd w:val="clear" w:color="auto" w:fill="auto"/>
            <w:tcMar>
              <w:top w:w="120" w:type="dxa"/>
              <w:left w:w="120" w:type="dxa"/>
              <w:bottom w:w="120" w:type="dxa"/>
              <w:right w:w="120" w:type="dxa"/>
            </w:tcMar>
            <w:vAlign w:val="top"/>
          </w:tcPr>
          <w:p w14:paraId="189E02D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5</w:t>
            </w:r>
          </w:p>
        </w:tc>
        <w:tc>
          <w:tcPr>
            <w:tcW w:w="0" w:type="auto"/>
            <w:shd w:val="clear" w:color="auto" w:fill="auto"/>
            <w:tcMar>
              <w:top w:w="120" w:type="dxa"/>
              <w:left w:w="120" w:type="dxa"/>
              <w:bottom w:w="120" w:type="dxa"/>
              <w:right w:w="120" w:type="dxa"/>
            </w:tcMar>
            <w:vAlign w:val="top"/>
          </w:tcPr>
          <w:p w14:paraId="04572740">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 明确服务质量考核标准、整改机制、售后回访机制，承诺保质保量完成全域防治服务得3分；2. 提供履约保障、质量兜底承诺，出现服务不达标、虫害反弹、隐患未消除等问题无条件整改、返工，承诺完善得2分。</w:t>
            </w:r>
            <w:bookmarkStart w:id="14" w:name="_GoBack"/>
            <w:bookmarkEnd w:id="14"/>
          </w:p>
        </w:tc>
        <w:tc>
          <w:tcPr>
            <w:tcW w:w="0" w:type="auto"/>
            <w:shd w:val="clear" w:color="auto" w:fill="auto"/>
            <w:tcMar>
              <w:top w:w="120" w:type="dxa"/>
              <w:left w:w="120" w:type="dxa"/>
              <w:bottom w:w="120" w:type="dxa"/>
              <w:right w:w="120" w:type="dxa"/>
            </w:tcMar>
            <w:vAlign w:val="top"/>
          </w:tcPr>
          <w:p w14:paraId="5A98519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5157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rPr>
        <w:tc>
          <w:tcPr>
            <w:tcW w:w="0" w:type="auto"/>
            <w:gridSpan w:val="2"/>
            <w:shd w:val="clear" w:color="auto" w:fill="auto"/>
            <w:tcMar>
              <w:top w:w="120" w:type="dxa"/>
              <w:left w:w="120" w:type="dxa"/>
              <w:bottom w:w="120" w:type="dxa"/>
              <w:right w:w="120" w:type="dxa"/>
            </w:tcMar>
            <w:vAlign w:val="top"/>
          </w:tcPr>
          <w:p w14:paraId="6C12E4D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总分</w:t>
            </w:r>
          </w:p>
        </w:tc>
        <w:tc>
          <w:tcPr>
            <w:tcW w:w="0" w:type="auto"/>
            <w:shd w:val="clear" w:color="auto" w:fill="auto"/>
            <w:tcMar>
              <w:top w:w="120" w:type="dxa"/>
              <w:left w:w="120" w:type="dxa"/>
              <w:bottom w:w="120" w:type="dxa"/>
              <w:right w:w="120" w:type="dxa"/>
            </w:tcMar>
            <w:vAlign w:val="top"/>
          </w:tcPr>
          <w:p w14:paraId="269C1E1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100</w:t>
            </w:r>
          </w:p>
        </w:tc>
        <w:tc>
          <w:tcPr>
            <w:tcW w:w="0" w:type="auto"/>
            <w:shd w:val="clear" w:color="auto" w:fill="auto"/>
            <w:tcMar>
              <w:top w:w="120" w:type="dxa"/>
              <w:left w:w="120" w:type="dxa"/>
              <w:bottom w:w="120" w:type="dxa"/>
              <w:right w:w="120" w:type="dxa"/>
            </w:tcMar>
            <w:vAlign w:val="top"/>
          </w:tcPr>
          <w:p w14:paraId="07DE2A0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各项得分相加得出最终评审总分</w:t>
            </w:r>
          </w:p>
        </w:tc>
        <w:tc>
          <w:tcPr>
            <w:tcW w:w="0" w:type="auto"/>
            <w:shd w:val="clear" w:color="auto" w:fill="auto"/>
            <w:tcMar>
              <w:top w:w="120" w:type="dxa"/>
              <w:left w:w="120" w:type="dxa"/>
              <w:bottom w:w="120" w:type="dxa"/>
              <w:right w:w="120" w:type="dxa"/>
            </w:tcMar>
            <w:vAlign w:val="top"/>
          </w:tcPr>
          <w:p w14:paraId="730C2FA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bl>
    <w:p w14:paraId="12EB32CD">
      <w:pPr>
        <w:rPr>
          <w:rFonts w:hint="eastAsia" w:ascii="方正黑体_GBK" w:hAnsi="方正黑体_GBK" w:eastAsia="方正黑体_GBK" w:cs="方正黑体_GBK"/>
          <w:sz w:val="32"/>
          <w:szCs w:val="32"/>
          <w:lang w:val="en-US" w:eastAsia="zh-CN"/>
        </w:rPr>
      </w:pPr>
    </w:p>
    <w:p w14:paraId="49BCB8ED">
      <w:pPr>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评审人：</w:t>
      </w:r>
    </w:p>
    <w:p w14:paraId="07840C51">
      <w:pPr>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评审日期：</w:t>
      </w:r>
    </w:p>
    <w:p w14:paraId="3F800F03">
      <w:pPr>
        <w:spacing w:line="579" w:lineRule="exact"/>
        <w:rPr>
          <w:rFonts w:hint="default" w:ascii="方正仿宋_GBK" w:hAnsi="方正仿宋_GBK" w:eastAsia="方正仿宋_GBK" w:cs="方正仿宋_GBK"/>
          <w:sz w:val="32"/>
          <w:szCs w:val="32"/>
          <w:lang w:val="en-US" w:eastAsia="zh-CN"/>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74CB363-72F9-4DFC-A7EB-184831B4AE34}"/>
  </w:font>
  <w:font w:name="Arial">
    <w:panose1 w:val="020B0604020202020204"/>
    <w:charset w:val="01"/>
    <w:family w:val="swiss"/>
    <w:pitch w:val="default"/>
    <w:sig w:usb0="E0002EFF" w:usb1="C000785B" w:usb2="00000009" w:usb3="00000000" w:csb0="400001FF" w:csb1="FFFF0000"/>
    <w:embedRegular r:id="rId2" w:fontKey="{D42EC8D7-2ABF-42EF-9007-F7ABC28A893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6B526C41-5F7A-4E43-BCE6-86BB97D39C02}"/>
  </w:font>
  <w:font w:name="Symbol">
    <w:panose1 w:val="05050102010706020507"/>
    <w:charset w:val="02"/>
    <w:family w:val="roman"/>
    <w:pitch w:val="default"/>
    <w:sig w:usb0="00000000" w:usb1="00000000" w:usb2="00000000" w:usb3="00000000" w:csb0="80000000" w:csb1="00000000"/>
    <w:embedRegular r:id="rId4" w:fontKey="{88CE88B2-A768-4236-A582-566BA51DED5D}"/>
  </w:font>
  <w:font w:name="Calibri">
    <w:panose1 w:val="020F0502020204030204"/>
    <w:charset w:val="00"/>
    <w:family w:val="swiss"/>
    <w:pitch w:val="default"/>
    <w:sig w:usb0="E4002EFF" w:usb1="C000247B" w:usb2="00000009" w:usb3="00000000" w:csb0="200001FF" w:csb1="00000000"/>
    <w:embedRegular r:id="rId5" w:fontKey="{1E430356-79B5-43ED-8622-AF25D1E051A9}"/>
  </w:font>
  <w:font w:name="Calibri Light">
    <w:panose1 w:val="020F0302020204030204"/>
    <w:charset w:val="00"/>
    <w:family w:val="roman"/>
    <w:pitch w:val="default"/>
    <w:sig w:usb0="E4002EFF" w:usb1="C000247B" w:usb2="00000009" w:usb3="00000000" w:csb0="200001FF" w:csb1="00000000"/>
    <w:embedRegular r:id="rId6" w:fontKey="{D1319984-EC33-42E1-A453-54C83E85EA00}"/>
  </w:font>
  <w:font w:name="方正小标宋_GBK">
    <w:panose1 w:val="03000509000000000000"/>
    <w:charset w:val="86"/>
    <w:family w:val="script"/>
    <w:pitch w:val="default"/>
    <w:sig w:usb0="00000001" w:usb1="080E0000" w:usb2="00000000" w:usb3="00000000" w:csb0="00040000" w:csb1="00000000"/>
    <w:embedRegular r:id="rId7" w:fontKey="{02EF13C5-D533-45C3-A239-0B5BD28178EA}"/>
  </w:font>
  <w:font w:name="方正仿宋_GBK">
    <w:panose1 w:val="03000509000000000000"/>
    <w:charset w:val="86"/>
    <w:family w:val="script"/>
    <w:pitch w:val="default"/>
    <w:sig w:usb0="00000001" w:usb1="080E0000" w:usb2="00000000" w:usb3="00000000" w:csb0="00040000" w:csb1="00000000"/>
    <w:embedRegular r:id="rId8" w:fontKey="{97DBFE22-5C78-4CD3-BF7E-001481C5CF1D}"/>
  </w:font>
  <w:font w:name="方正黑体_GBK">
    <w:panose1 w:val="03000509000000000000"/>
    <w:charset w:val="86"/>
    <w:family w:val="script"/>
    <w:pitch w:val="default"/>
    <w:sig w:usb0="00000001" w:usb1="080E0000" w:usb2="00000000" w:usb3="00000000" w:csb0="00040000" w:csb1="00000000"/>
    <w:embedRegular r:id="rId9" w:fontKey="{CE2573E6-294E-4754-B744-FB04A1059F6D}"/>
  </w:font>
  <w:font w:name="方正楷体_GB2312">
    <w:panose1 w:val="02000000000000000000"/>
    <w:charset w:val="86"/>
    <w:family w:val="auto"/>
    <w:pitch w:val="default"/>
    <w:sig w:usb0="A00002BF" w:usb1="184F6CFA" w:usb2="00000012" w:usb3="00000000" w:csb0="00040001" w:csb1="00000000"/>
    <w:embedRegular r:id="rId10" w:fontKey="{ED9A2158-6A7C-4689-BBAC-43924D1E5828}"/>
  </w:font>
  <w:font w:name="方正楷体_GBK">
    <w:panose1 w:val="03000509000000000000"/>
    <w:charset w:val="86"/>
    <w:family w:val="script"/>
    <w:pitch w:val="default"/>
    <w:sig w:usb0="00000001" w:usb1="080E0000" w:usb2="00000000" w:usb3="00000000" w:csb0="00040000" w:csb1="00000000"/>
    <w:embedRegular r:id="rId11" w:fontKey="{1F89EF2D-7668-4E80-A51C-258C8B95AC2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EB70F7"/>
    <w:multiLevelType w:val="singleLevel"/>
    <w:tmpl w:val="3EEB70F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zZDczZDNiODhkZTU1NzdjOTFiZjliMmUwNzI0NTQifQ=="/>
  </w:docVars>
  <w:rsids>
    <w:rsidRoot w:val="0010781C"/>
    <w:rsid w:val="0010781C"/>
    <w:rsid w:val="002037AA"/>
    <w:rsid w:val="00217934"/>
    <w:rsid w:val="00240A7A"/>
    <w:rsid w:val="00271D78"/>
    <w:rsid w:val="002A0347"/>
    <w:rsid w:val="00303CC8"/>
    <w:rsid w:val="004E79F4"/>
    <w:rsid w:val="006F4FBC"/>
    <w:rsid w:val="006F532D"/>
    <w:rsid w:val="007163A1"/>
    <w:rsid w:val="00755168"/>
    <w:rsid w:val="008E414D"/>
    <w:rsid w:val="009E2964"/>
    <w:rsid w:val="009E43ED"/>
    <w:rsid w:val="00A2198B"/>
    <w:rsid w:val="00B501F1"/>
    <w:rsid w:val="00BB22A9"/>
    <w:rsid w:val="00C332E1"/>
    <w:rsid w:val="00CB7B2B"/>
    <w:rsid w:val="00DB7A83"/>
    <w:rsid w:val="00DD3F0D"/>
    <w:rsid w:val="00F13022"/>
    <w:rsid w:val="00FF317A"/>
    <w:rsid w:val="027619AC"/>
    <w:rsid w:val="04301D26"/>
    <w:rsid w:val="05EA07CF"/>
    <w:rsid w:val="07146C5F"/>
    <w:rsid w:val="077734FF"/>
    <w:rsid w:val="0891753F"/>
    <w:rsid w:val="08EB7245"/>
    <w:rsid w:val="0916610E"/>
    <w:rsid w:val="097F4AFA"/>
    <w:rsid w:val="0AAE43D8"/>
    <w:rsid w:val="0C714114"/>
    <w:rsid w:val="0DBA5CD4"/>
    <w:rsid w:val="0EE60500"/>
    <w:rsid w:val="105C0433"/>
    <w:rsid w:val="114E1020"/>
    <w:rsid w:val="11F9509D"/>
    <w:rsid w:val="124507B1"/>
    <w:rsid w:val="126A0F33"/>
    <w:rsid w:val="178E2FB9"/>
    <w:rsid w:val="18161A7A"/>
    <w:rsid w:val="19916236"/>
    <w:rsid w:val="1AA70C09"/>
    <w:rsid w:val="1CD967D4"/>
    <w:rsid w:val="1FB913FE"/>
    <w:rsid w:val="212B00D9"/>
    <w:rsid w:val="219E2485"/>
    <w:rsid w:val="24F12462"/>
    <w:rsid w:val="2798520E"/>
    <w:rsid w:val="2920497C"/>
    <w:rsid w:val="2A922F90"/>
    <w:rsid w:val="2CF72DD8"/>
    <w:rsid w:val="2D4848AF"/>
    <w:rsid w:val="300B7F31"/>
    <w:rsid w:val="30650DFC"/>
    <w:rsid w:val="313E02B9"/>
    <w:rsid w:val="322748ED"/>
    <w:rsid w:val="329D6F19"/>
    <w:rsid w:val="34265EA6"/>
    <w:rsid w:val="34F60C78"/>
    <w:rsid w:val="351D605E"/>
    <w:rsid w:val="3AC25C67"/>
    <w:rsid w:val="3AE9759C"/>
    <w:rsid w:val="3CCE6EC8"/>
    <w:rsid w:val="3D7329BF"/>
    <w:rsid w:val="3DA1767C"/>
    <w:rsid w:val="3E1249E2"/>
    <w:rsid w:val="3F1C3619"/>
    <w:rsid w:val="400A1E88"/>
    <w:rsid w:val="407E705F"/>
    <w:rsid w:val="40E51BFB"/>
    <w:rsid w:val="41265256"/>
    <w:rsid w:val="41AC1FA1"/>
    <w:rsid w:val="41BC6D0B"/>
    <w:rsid w:val="41CF2742"/>
    <w:rsid w:val="426B43C5"/>
    <w:rsid w:val="450A5CCF"/>
    <w:rsid w:val="497F7EE7"/>
    <w:rsid w:val="4A765F03"/>
    <w:rsid w:val="4AC7413B"/>
    <w:rsid w:val="4B5D6832"/>
    <w:rsid w:val="4C947BAF"/>
    <w:rsid w:val="4D215C36"/>
    <w:rsid w:val="50352375"/>
    <w:rsid w:val="529A09D1"/>
    <w:rsid w:val="529C3DE8"/>
    <w:rsid w:val="52BC2D34"/>
    <w:rsid w:val="53FF0277"/>
    <w:rsid w:val="543D66D6"/>
    <w:rsid w:val="56E62E0B"/>
    <w:rsid w:val="58D06F50"/>
    <w:rsid w:val="59443C82"/>
    <w:rsid w:val="597055D1"/>
    <w:rsid w:val="5C6A6008"/>
    <w:rsid w:val="5CA16EC6"/>
    <w:rsid w:val="5D550942"/>
    <w:rsid w:val="5E316028"/>
    <w:rsid w:val="5FFE5945"/>
    <w:rsid w:val="608C44A2"/>
    <w:rsid w:val="609322FA"/>
    <w:rsid w:val="60A03FFC"/>
    <w:rsid w:val="622B4A5C"/>
    <w:rsid w:val="62642593"/>
    <w:rsid w:val="660B3602"/>
    <w:rsid w:val="68D160C2"/>
    <w:rsid w:val="69BD2132"/>
    <w:rsid w:val="6B366C56"/>
    <w:rsid w:val="6B526393"/>
    <w:rsid w:val="6D611D5A"/>
    <w:rsid w:val="6D67290A"/>
    <w:rsid w:val="70F83103"/>
    <w:rsid w:val="71526589"/>
    <w:rsid w:val="71D657B6"/>
    <w:rsid w:val="727163D8"/>
    <w:rsid w:val="775B4474"/>
    <w:rsid w:val="79627A37"/>
    <w:rsid w:val="7A05700A"/>
    <w:rsid w:val="7A826BCF"/>
    <w:rsid w:val="7A9F70AC"/>
    <w:rsid w:val="7AF11C95"/>
    <w:rsid w:val="7B5F28F8"/>
    <w:rsid w:val="7C0B3F04"/>
    <w:rsid w:val="7D1D5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semiHidden/>
    <w:unhideWhenUsed/>
    <w:qFormat/>
    <w:uiPriority w:val="99"/>
    <w:pPr>
      <w:spacing w:after="120"/>
    </w:pPr>
  </w:style>
  <w:style w:type="paragraph" w:styleId="3">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Title"/>
    <w:basedOn w:val="1"/>
    <w:next w:val="1"/>
    <w:link w:val="16"/>
    <w:qFormat/>
    <w:uiPriority w:val="10"/>
    <w:pPr>
      <w:spacing w:before="240" w:after="60"/>
      <w:jc w:val="center"/>
      <w:outlineLvl w:val="0"/>
    </w:pPr>
    <w:rPr>
      <w:rFonts w:asciiTheme="majorHAnsi" w:hAnsiTheme="majorHAnsi" w:cstheme="majorBidi"/>
      <w:b/>
      <w:bCs/>
      <w:sz w:val="32"/>
      <w:szCs w:val="32"/>
    </w:rPr>
  </w:style>
  <w:style w:type="paragraph" w:styleId="7">
    <w:name w:val="Body Text First Indent"/>
    <w:basedOn w:val="2"/>
    <w:link w:val="15"/>
    <w:autoRedefine/>
    <w:unhideWhenUsed/>
    <w:qFormat/>
    <w:uiPriority w:val="99"/>
    <w:pPr>
      <w:ind w:firstLine="420" w:firstLineChars="100"/>
    </w:p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customStyle="1" w:styleId="12">
    <w:name w:val="页眉 Char"/>
    <w:basedOn w:val="10"/>
    <w:link w:val="4"/>
    <w:autoRedefine/>
    <w:qFormat/>
    <w:uiPriority w:val="99"/>
    <w:rPr>
      <w:sz w:val="18"/>
      <w:szCs w:val="18"/>
    </w:rPr>
  </w:style>
  <w:style w:type="character" w:customStyle="1" w:styleId="13">
    <w:name w:val="页脚 Char"/>
    <w:basedOn w:val="10"/>
    <w:link w:val="3"/>
    <w:autoRedefine/>
    <w:qFormat/>
    <w:uiPriority w:val="99"/>
    <w:rPr>
      <w:sz w:val="18"/>
      <w:szCs w:val="18"/>
    </w:rPr>
  </w:style>
  <w:style w:type="character" w:customStyle="1" w:styleId="14">
    <w:name w:val="正文文本 Char"/>
    <w:basedOn w:val="10"/>
    <w:link w:val="2"/>
    <w:autoRedefine/>
    <w:semiHidden/>
    <w:qFormat/>
    <w:uiPriority w:val="99"/>
    <w:rPr>
      <w:rFonts w:ascii="Times New Roman" w:hAnsi="Times New Roman" w:eastAsia="宋体" w:cs="Times New Roman"/>
      <w:szCs w:val="24"/>
    </w:rPr>
  </w:style>
  <w:style w:type="character" w:customStyle="1" w:styleId="15">
    <w:name w:val="正文首行缩进 Char"/>
    <w:basedOn w:val="14"/>
    <w:link w:val="7"/>
    <w:qFormat/>
    <w:uiPriority w:val="99"/>
    <w:rPr>
      <w:rFonts w:ascii="Times New Roman" w:hAnsi="Times New Roman" w:eastAsia="宋体" w:cs="Times New Roman"/>
      <w:szCs w:val="24"/>
    </w:rPr>
  </w:style>
  <w:style w:type="character" w:customStyle="1" w:styleId="16">
    <w:name w:val="标题 Char"/>
    <w:basedOn w:val="10"/>
    <w:link w:val="6"/>
    <w:qFormat/>
    <w:uiPriority w:val="10"/>
    <w:rPr>
      <w:rFonts w:eastAsia="宋体"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2319</Words>
  <Characters>2397</Characters>
  <Lines>21</Lines>
  <Paragraphs>6</Paragraphs>
  <TotalTime>39</TotalTime>
  <ScaleCrop>false</ScaleCrop>
  <LinksUpToDate>false</LinksUpToDate>
  <CharactersWithSpaces>2429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2021-04-20T01:53:00Z</dcterms:created>
  <dc:creator>zhangliqun</dc:creator>
  <cp:lastModifiedBy>巫山酒店管理员</cp:lastModifiedBy>
  <cp:lastPrinted>2026-04-15T07:53:00Z</cp:lastPrinted>
  <dcterms:modified xsi:type="dcterms:W3CDTF">2026-10-08T07:30:13Z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62614138B3B24149BD60C17E4594EC86_13</vt:lpwstr>
  </property>
  <property fmtid="{D5CDD505-2E9C-101B-9397-08002B2CF9AE}" pid="4" name="KSOSaveFontToCloudKey">
    <vt:lpwstr>0_embed</vt:lpwstr>
  </property>
  <property fmtid="{D5CDD505-2E9C-101B-9397-08002B2CF9AE}" pid="5" name="KSOTemplateDocerSaveRecord">
    <vt:lpwstr>eyJoZGlkIjoiN2NjYTkyOTRjYzdhMTlmMjE5OTFmYTYzYWM5MzAwMzkiLCJ1c2VySWQiOiI3NzM5NDcxMDUifQ==</vt:lpwstr>
  </property>
</Properties>
</file>