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7E494">
      <w:pPr>
        <w:spacing w:line="480" w:lineRule="exact"/>
        <w:ind w:firstLine="482" w:firstLineChars="200"/>
        <w:jc w:val="center"/>
        <w:rPr>
          <w:rFonts w:hint="eastAsia" w:ascii="仿宋" w:hAnsi="仿宋" w:eastAsia="仿宋" w:cs="仿宋"/>
          <w:bCs/>
          <w:color w:val="auto"/>
          <w:sz w:val="24"/>
          <w:szCs w:val="24"/>
          <w:highlight w:val="yellow"/>
          <w:lang w:eastAsia="zh-CN"/>
        </w:rPr>
      </w:pPr>
      <w:r>
        <w:rPr>
          <w:rFonts w:hint="eastAsia" w:ascii="仿宋" w:hAnsi="仿宋" w:eastAsia="仿宋" w:cs="仿宋"/>
          <w:b/>
          <w:color w:val="auto"/>
          <w:sz w:val="24"/>
          <w:szCs w:val="24"/>
          <w:highlight w:val="none"/>
          <w:lang w:eastAsia="zh-CN"/>
        </w:rPr>
        <w:t>服务要求</w:t>
      </w:r>
    </w:p>
    <w:p w14:paraId="7C6195C9">
      <w:pPr>
        <w:spacing w:line="50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基本情况：</w:t>
      </w:r>
    </w:p>
    <w:p w14:paraId="292F67AB">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城区范围的</w:t>
      </w:r>
      <w:r>
        <w:rPr>
          <w:rFonts w:hint="eastAsia" w:ascii="仿宋" w:hAnsi="仿宋" w:eastAsia="仿宋" w:cs="仿宋"/>
          <w:color w:val="auto"/>
          <w:kern w:val="0"/>
          <w:sz w:val="24"/>
          <w:szCs w:val="24"/>
          <w:lang w:eastAsia="zh-CN"/>
        </w:rPr>
        <w:t>城乡结合部、</w:t>
      </w:r>
      <w:r>
        <w:rPr>
          <w:rFonts w:hint="eastAsia" w:ascii="仿宋" w:hAnsi="仿宋" w:eastAsia="仿宋" w:cs="宋体"/>
          <w:color w:val="auto"/>
          <w:kern w:val="0"/>
          <w:sz w:val="24"/>
          <w:szCs w:val="24"/>
        </w:rPr>
        <w:t>城中村、</w:t>
      </w:r>
      <w:r>
        <w:rPr>
          <w:rFonts w:hint="eastAsia" w:ascii="仿宋" w:hAnsi="仿宋" w:eastAsia="仿宋" w:cs="仿宋"/>
          <w:color w:val="auto"/>
          <w:kern w:val="0"/>
          <w:sz w:val="24"/>
          <w:szCs w:val="24"/>
          <w:lang w:val="en-US" w:eastAsia="zh-CN"/>
        </w:rPr>
        <w:t>背街小巷、</w:t>
      </w:r>
      <w:r>
        <w:rPr>
          <w:rFonts w:hint="eastAsia" w:ascii="仿宋" w:hAnsi="仿宋" w:eastAsia="仿宋" w:cs="宋体"/>
          <w:color w:val="auto"/>
          <w:kern w:val="0"/>
          <w:sz w:val="24"/>
          <w:szCs w:val="24"/>
        </w:rPr>
        <w:t>老旧社区、</w:t>
      </w:r>
      <w:r>
        <w:rPr>
          <w:rFonts w:hint="eastAsia" w:ascii="仿宋" w:hAnsi="仿宋" w:eastAsia="仿宋" w:cs="仿宋"/>
          <w:color w:val="auto"/>
          <w:kern w:val="0"/>
          <w:sz w:val="24"/>
          <w:szCs w:val="24"/>
        </w:rPr>
        <w:t>城市道路、</w:t>
      </w:r>
      <w:r>
        <w:rPr>
          <w:rFonts w:hint="eastAsia" w:ascii="仿宋" w:hAnsi="仿宋" w:eastAsia="仿宋" w:cs="宋体"/>
          <w:color w:val="auto"/>
          <w:kern w:val="0"/>
          <w:sz w:val="24"/>
          <w:szCs w:val="24"/>
        </w:rPr>
        <w:t>主、次干道道路、</w:t>
      </w:r>
      <w:r>
        <w:rPr>
          <w:rFonts w:hint="eastAsia" w:ascii="仿宋" w:hAnsi="仿宋" w:eastAsia="仿宋" w:cs="仿宋"/>
          <w:color w:val="auto"/>
          <w:kern w:val="0"/>
          <w:sz w:val="24"/>
          <w:szCs w:val="24"/>
        </w:rPr>
        <w:t>河流湖泊及沿岸、下水道、建筑工地周边、农贸市场</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居民住宅区（不含物管</w:t>
      </w:r>
      <w:r>
        <w:rPr>
          <w:rFonts w:hint="eastAsia" w:ascii="仿宋" w:hAnsi="仿宋" w:eastAsia="仿宋" w:cs="仿宋"/>
          <w:color w:val="auto"/>
          <w:kern w:val="0"/>
          <w:sz w:val="24"/>
          <w:szCs w:val="24"/>
          <w:lang w:val="en-US" w:eastAsia="zh-CN"/>
        </w:rPr>
        <w:t>和成立业主委员会</w:t>
      </w:r>
      <w:r>
        <w:rPr>
          <w:rFonts w:hint="eastAsia" w:ascii="仿宋" w:hAnsi="仿宋" w:eastAsia="仿宋" w:cs="仿宋"/>
          <w:color w:val="auto"/>
          <w:kern w:val="0"/>
          <w:sz w:val="24"/>
          <w:szCs w:val="24"/>
        </w:rPr>
        <w:t>小区）、住宅间空地</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汽（火）车站周边、</w:t>
      </w:r>
      <w:r>
        <w:rPr>
          <w:rFonts w:hint="eastAsia" w:ascii="仿宋" w:hAnsi="仿宋" w:eastAsia="仿宋" w:cs="仿宋"/>
          <w:color w:val="auto"/>
          <w:kern w:val="0"/>
          <w:sz w:val="24"/>
          <w:szCs w:val="24"/>
        </w:rPr>
        <w:t>公园、广场、河</w:t>
      </w:r>
      <w:r>
        <w:rPr>
          <w:rFonts w:hint="eastAsia" w:ascii="仿宋" w:hAnsi="仿宋" w:eastAsia="仿宋" w:cs="仿宋"/>
          <w:color w:val="auto"/>
          <w:kern w:val="0"/>
          <w:sz w:val="24"/>
          <w:szCs w:val="24"/>
          <w:lang w:val="en-US" w:eastAsia="zh-CN"/>
        </w:rPr>
        <w:t>堤</w:t>
      </w:r>
      <w:r>
        <w:rPr>
          <w:rFonts w:hint="eastAsia" w:ascii="仿宋" w:hAnsi="仿宋" w:eastAsia="仿宋" w:cs="仿宋"/>
          <w:color w:val="auto"/>
          <w:kern w:val="0"/>
          <w:sz w:val="24"/>
          <w:szCs w:val="24"/>
        </w:rPr>
        <w:t>、水体、垃圾堆放点、公共绿化带、蚊虫孳生水体、苍蝇孳生地</w:t>
      </w:r>
      <w:r>
        <w:rPr>
          <w:rFonts w:hint="eastAsia" w:ascii="仿宋" w:hAnsi="仿宋" w:eastAsia="仿宋" w:cs="宋体"/>
          <w:color w:val="auto"/>
          <w:kern w:val="0"/>
          <w:sz w:val="24"/>
          <w:szCs w:val="24"/>
        </w:rPr>
        <w:t>、农贸市场、公厕的公共外环境区域</w:t>
      </w:r>
      <w:r>
        <w:rPr>
          <w:rFonts w:hint="eastAsia" w:ascii="仿宋" w:hAnsi="仿宋" w:eastAsia="仿宋" w:cs="宋体"/>
          <w:color w:val="auto"/>
          <w:kern w:val="0"/>
          <w:sz w:val="24"/>
          <w:szCs w:val="24"/>
          <w:lang w:val="en-US" w:eastAsia="zh-CN"/>
        </w:rPr>
        <w:t>及城区外的垃圾填埋场</w:t>
      </w:r>
      <w:r>
        <w:rPr>
          <w:rFonts w:hint="eastAsia" w:ascii="仿宋" w:hAnsi="仿宋" w:eastAsia="仿宋" w:cs="仿宋"/>
          <w:color w:val="auto"/>
          <w:kern w:val="0"/>
          <w:sz w:val="24"/>
          <w:szCs w:val="24"/>
        </w:rPr>
        <w:t>。</w:t>
      </w:r>
    </w:p>
    <w:p w14:paraId="021DF398">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目标：</w:t>
      </w:r>
    </w:p>
    <w:p w14:paraId="60C5F305">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确保区域范围内的病媒生物密度标准达到国家标准</w:t>
      </w:r>
      <w:r>
        <w:rPr>
          <w:rFonts w:hint="eastAsia" w:ascii="仿宋" w:hAnsi="仿宋" w:eastAsia="仿宋" w:cs="仿宋"/>
          <w:color w:val="auto"/>
          <w:kern w:val="0"/>
          <w:sz w:val="24"/>
          <w:szCs w:val="24"/>
          <w:lang w:val="en-US" w:eastAsia="zh-CN"/>
        </w:rPr>
        <w:t>要求</w:t>
      </w:r>
      <w:r>
        <w:rPr>
          <w:rFonts w:hint="eastAsia" w:ascii="仿宋" w:hAnsi="仿宋" w:eastAsia="仿宋" w:cs="仿宋"/>
          <w:color w:val="auto"/>
          <w:kern w:val="0"/>
          <w:sz w:val="24"/>
          <w:szCs w:val="24"/>
        </w:rPr>
        <w:t>。</w:t>
      </w:r>
    </w:p>
    <w:p w14:paraId="4399BA5E">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项目实施计划：</w:t>
      </w:r>
    </w:p>
    <w:p w14:paraId="6142FD9E">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3.1</w:t>
      </w:r>
      <w:r>
        <w:rPr>
          <w:rFonts w:hint="eastAsia" w:ascii="仿宋" w:hAnsi="仿宋" w:eastAsia="仿宋" w:cs="仿宋"/>
          <w:color w:val="auto"/>
          <w:kern w:val="0"/>
          <w:sz w:val="24"/>
          <w:szCs w:val="24"/>
          <w:highlight w:val="none"/>
        </w:rPr>
        <w:t>本底和孳生地调查</w:t>
      </w:r>
      <w:r>
        <w:rPr>
          <w:rFonts w:hint="eastAsia" w:ascii="仿宋" w:hAnsi="仿宋" w:eastAsia="仿宋" w:cs="仿宋"/>
          <w:color w:val="auto"/>
          <w:kern w:val="0"/>
          <w:sz w:val="24"/>
          <w:szCs w:val="24"/>
        </w:rPr>
        <w:t>：</w:t>
      </w:r>
    </w:p>
    <w:p w14:paraId="7A7DFF80">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为科学有效制订病媒生物防制工作计划，切合实际有效展开相关综合防治工作，在开始病媒生物防制服务消杀工作之前必须先开展</w:t>
      </w:r>
      <w:r>
        <w:rPr>
          <w:rFonts w:hint="eastAsia" w:ascii="仿宋" w:hAnsi="仿宋" w:eastAsia="仿宋" w:cs="仿宋"/>
          <w:color w:val="auto"/>
          <w:kern w:val="0"/>
          <w:sz w:val="24"/>
          <w:szCs w:val="24"/>
          <w:lang w:eastAsia="zh-CN"/>
        </w:rPr>
        <w:t>以上</w:t>
      </w:r>
      <w:r>
        <w:rPr>
          <w:rFonts w:hint="eastAsia" w:ascii="仿宋" w:hAnsi="仿宋" w:eastAsia="仿宋" w:cs="仿宋"/>
          <w:color w:val="auto"/>
          <w:kern w:val="0"/>
          <w:sz w:val="24"/>
          <w:szCs w:val="24"/>
        </w:rPr>
        <w:t>范围病媒生物密度和孳生地调查，在消杀过程中自评防治效果，并依据评估情况进行及时纠偏，确保综合防制效果。同时形成病媒生物防制台账资料，收集归档。</w:t>
      </w:r>
    </w:p>
    <w:p w14:paraId="36A016BB">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3.2消杀范围：</w:t>
      </w:r>
    </w:p>
    <w:p w14:paraId="1B594BE2">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城区范围内的</w:t>
      </w:r>
      <w:r>
        <w:rPr>
          <w:rFonts w:hint="eastAsia" w:ascii="仿宋" w:hAnsi="仿宋" w:eastAsia="仿宋" w:cs="仿宋"/>
          <w:color w:val="auto"/>
          <w:kern w:val="0"/>
          <w:sz w:val="24"/>
          <w:szCs w:val="24"/>
          <w:lang w:eastAsia="zh-CN"/>
        </w:rPr>
        <w:t>城乡结合部、</w:t>
      </w:r>
      <w:r>
        <w:rPr>
          <w:rFonts w:hint="eastAsia" w:ascii="仿宋" w:hAnsi="仿宋" w:eastAsia="仿宋" w:cs="宋体"/>
          <w:color w:val="auto"/>
          <w:kern w:val="0"/>
          <w:sz w:val="24"/>
          <w:szCs w:val="24"/>
        </w:rPr>
        <w:t>城中村、</w:t>
      </w:r>
      <w:r>
        <w:rPr>
          <w:rFonts w:hint="eastAsia" w:ascii="仿宋" w:hAnsi="仿宋" w:eastAsia="仿宋" w:cs="仿宋"/>
          <w:color w:val="auto"/>
          <w:kern w:val="0"/>
          <w:sz w:val="24"/>
          <w:szCs w:val="24"/>
          <w:lang w:val="en-US" w:eastAsia="zh-CN"/>
        </w:rPr>
        <w:t>背街小巷、</w:t>
      </w:r>
      <w:r>
        <w:rPr>
          <w:rFonts w:hint="eastAsia" w:ascii="仿宋" w:hAnsi="仿宋" w:eastAsia="仿宋" w:cs="宋体"/>
          <w:color w:val="auto"/>
          <w:kern w:val="0"/>
          <w:sz w:val="24"/>
          <w:szCs w:val="24"/>
        </w:rPr>
        <w:t>老旧社区、</w:t>
      </w:r>
      <w:r>
        <w:rPr>
          <w:rFonts w:hint="eastAsia" w:ascii="仿宋" w:hAnsi="仿宋" w:eastAsia="仿宋" w:cs="仿宋"/>
          <w:color w:val="auto"/>
          <w:kern w:val="0"/>
          <w:sz w:val="24"/>
          <w:szCs w:val="24"/>
        </w:rPr>
        <w:t>城市道路</w:t>
      </w:r>
      <w:r>
        <w:rPr>
          <w:rFonts w:hint="eastAsia" w:ascii="仿宋" w:hAnsi="仿宋" w:eastAsia="仿宋" w:cs="宋体"/>
          <w:color w:val="auto"/>
          <w:kern w:val="0"/>
          <w:sz w:val="24"/>
          <w:szCs w:val="24"/>
        </w:rPr>
        <w:t>、主、次干道道路、</w:t>
      </w:r>
      <w:r>
        <w:rPr>
          <w:rFonts w:hint="eastAsia" w:ascii="仿宋" w:hAnsi="仿宋" w:eastAsia="仿宋" w:cs="仿宋"/>
          <w:color w:val="auto"/>
          <w:kern w:val="0"/>
          <w:sz w:val="24"/>
          <w:szCs w:val="24"/>
        </w:rPr>
        <w:t>河流湖泊及沿岸、下水道、建筑工地周边、农贸市场</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居民住宅区（不含物管</w:t>
      </w:r>
      <w:r>
        <w:rPr>
          <w:rFonts w:hint="eastAsia" w:ascii="仿宋" w:hAnsi="仿宋" w:eastAsia="仿宋" w:cs="仿宋"/>
          <w:color w:val="auto"/>
          <w:kern w:val="0"/>
          <w:sz w:val="24"/>
          <w:szCs w:val="24"/>
          <w:lang w:val="en-US" w:eastAsia="zh-CN"/>
        </w:rPr>
        <w:t>和成立业主委员会</w:t>
      </w:r>
      <w:r>
        <w:rPr>
          <w:rFonts w:hint="eastAsia" w:ascii="仿宋" w:hAnsi="仿宋" w:eastAsia="仿宋" w:cs="仿宋"/>
          <w:color w:val="auto"/>
          <w:kern w:val="0"/>
          <w:sz w:val="24"/>
          <w:szCs w:val="24"/>
        </w:rPr>
        <w:t>小区）、住宅间空地</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汽（火）车站周边、</w:t>
      </w:r>
      <w:r>
        <w:rPr>
          <w:rFonts w:hint="eastAsia" w:ascii="仿宋" w:hAnsi="仿宋" w:eastAsia="仿宋" w:cs="仿宋"/>
          <w:color w:val="auto"/>
          <w:kern w:val="0"/>
          <w:sz w:val="24"/>
          <w:szCs w:val="24"/>
        </w:rPr>
        <w:t>公园、广场、河</w:t>
      </w:r>
      <w:r>
        <w:rPr>
          <w:rFonts w:hint="eastAsia" w:ascii="仿宋" w:hAnsi="仿宋" w:eastAsia="仿宋" w:cs="仿宋"/>
          <w:color w:val="auto"/>
          <w:kern w:val="0"/>
          <w:sz w:val="24"/>
          <w:szCs w:val="24"/>
          <w:lang w:val="en-US" w:eastAsia="zh-CN"/>
        </w:rPr>
        <w:t>堤</w:t>
      </w:r>
      <w:r>
        <w:rPr>
          <w:rFonts w:hint="eastAsia" w:ascii="仿宋" w:hAnsi="仿宋" w:eastAsia="仿宋" w:cs="仿宋"/>
          <w:color w:val="auto"/>
          <w:kern w:val="0"/>
          <w:sz w:val="24"/>
          <w:szCs w:val="24"/>
        </w:rPr>
        <w:t>、水体、垃圾堆放点、公共绿化带、蚊虫孳生水体、苍蝇孳生地</w:t>
      </w:r>
      <w:r>
        <w:rPr>
          <w:rFonts w:hint="eastAsia" w:ascii="仿宋" w:hAnsi="仿宋" w:eastAsia="仿宋" w:cs="宋体"/>
          <w:color w:val="auto"/>
          <w:kern w:val="0"/>
          <w:sz w:val="24"/>
          <w:szCs w:val="24"/>
        </w:rPr>
        <w:t>、农贸市场、公厕的公共外环境区域</w:t>
      </w:r>
      <w:r>
        <w:rPr>
          <w:rFonts w:hint="eastAsia" w:ascii="仿宋" w:hAnsi="仿宋" w:eastAsia="仿宋" w:cs="宋体"/>
          <w:color w:val="auto"/>
          <w:kern w:val="0"/>
          <w:sz w:val="24"/>
          <w:szCs w:val="24"/>
          <w:lang w:val="en-US" w:eastAsia="zh-CN"/>
        </w:rPr>
        <w:t>及城区外的垃圾填埋场</w:t>
      </w:r>
      <w:r>
        <w:rPr>
          <w:rFonts w:hint="eastAsia" w:ascii="仿宋" w:hAnsi="仿宋" w:eastAsia="仿宋" w:cs="仿宋"/>
          <w:color w:val="auto"/>
          <w:kern w:val="0"/>
          <w:sz w:val="24"/>
          <w:szCs w:val="24"/>
        </w:rPr>
        <w:t>。</w:t>
      </w:r>
    </w:p>
    <w:p w14:paraId="46CF0CCE">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3.3病媒生物防制作业要求：</w:t>
      </w:r>
    </w:p>
    <w:p w14:paraId="5C9E5A1B">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（1）落实建</w:t>
      </w:r>
      <w:r>
        <w:rPr>
          <w:rFonts w:hint="eastAsia" w:ascii="仿宋" w:hAnsi="仿宋" w:eastAsia="仿宋" w:cs="仿宋"/>
          <w:color w:val="auto"/>
          <w:kern w:val="0"/>
          <w:sz w:val="24"/>
          <w:szCs w:val="24"/>
          <w:lang w:val="en-US" w:eastAsia="zh-CN"/>
        </w:rPr>
        <w:t>成</w:t>
      </w:r>
      <w:r>
        <w:rPr>
          <w:rFonts w:hint="eastAsia" w:ascii="仿宋" w:hAnsi="仿宋" w:eastAsia="仿宋" w:cs="仿宋"/>
          <w:color w:val="auto"/>
          <w:kern w:val="0"/>
          <w:sz w:val="24"/>
          <w:szCs w:val="24"/>
        </w:rPr>
        <w:t>区域的公共外环境病媒生物防制工作，确保按计划在各区域进行全方位的灭鼠、灭蚊、灭蝇、灭蟑螂</w:t>
      </w:r>
      <w:r>
        <w:rPr>
          <w:rFonts w:hint="eastAsia" w:ascii="仿宋" w:hAnsi="仿宋" w:eastAsia="仿宋" w:cs="仿宋"/>
          <w:color w:val="auto"/>
          <w:kern w:val="0"/>
          <w:sz w:val="24"/>
          <w:szCs w:val="24"/>
          <w:lang w:val="en-US" w:eastAsia="zh-CN"/>
        </w:rPr>
        <w:t>等</w:t>
      </w:r>
      <w:r>
        <w:rPr>
          <w:rFonts w:hint="eastAsia" w:ascii="仿宋" w:hAnsi="仿宋" w:eastAsia="仿宋" w:cs="仿宋"/>
          <w:color w:val="auto"/>
          <w:kern w:val="0"/>
          <w:sz w:val="24"/>
          <w:szCs w:val="24"/>
        </w:rPr>
        <w:t>作业，确保达到国家标准。</w:t>
      </w:r>
    </w:p>
    <w:p w14:paraId="0C559679">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（2）坚持“预防为主，综合防治”的消杀方针，确保使用国家规定或爱卫会认定和推荐的药物。对病媒生物防制药物建立进出登记台账，并取得“三证（</w:t>
      </w:r>
      <w:r>
        <w:rPr>
          <w:rFonts w:hint="eastAsia" w:ascii="仿宋" w:hAnsi="仿宋" w:eastAsia="仿宋" w:cs="仿宋"/>
          <w:color w:val="auto"/>
          <w:kern w:val="0"/>
          <w:sz w:val="24"/>
          <w:szCs w:val="24"/>
          <w:lang w:val="zh-CN"/>
        </w:rPr>
        <w:t>产品农药登记证、生产许可证或农药生产批准证书、企业执行标准证书</w:t>
      </w:r>
      <w:r>
        <w:rPr>
          <w:rFonts w:hint="eastAsia" w:ascii="仿宋" w:hAnsi="仿宋" w:eastAsia="仿宋" w:cs="仿宋"/>
          <w:color w:val="auto"/>
          <w:kern w:val="0"/>
          <w:sz w:val="24"/>
          <w:szCs w:val="24"/>
        </w:rPr>
        <w:t>）”。病媒生物防制作业时要注意安全用药，废弃药物及死鼠等要妥善处理，防止污染。</w:t>
      </w:r>
    </w:p>
    <w:p w14:paraId="33C300B4">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（3）病媒生物防制工作人员需经培训后持证上岗，按照病媒生物防制工作的法规标准，规范操作。作业时必须统一服装、统一标准，做到安全作业、文明作业。</w:t>
      </w:r>
    </w:p>
    <w:p w14:paraId="72EE6103">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）做好每次病媒生物防制工作的记录，登记时间、处理位置、用药量等数据，并拍摄现场照片。</w:t>
      </w:r>
    </w:p>
    <w:p w14:paraId="0A2D934C">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）根据</w:t>
      </w:r>
      <w:r>
        <w:rPr>
          <w:rFonts w:hint="eastAsia" w:ascii="仿宋" w:hAnsi="仿宋" w:eastAsia="仿宋" w:cs="仿宋"/>
          <w:color w:val="auto"/>
          <w:kern w:val="0"/>
          <w:sz w:val="24"/>
          <w:szCs w:val="24"/>
          <w:lang w:val="en-US" w:eastAsia="zh-CN"/>
        </w:rPr>
        <w:t>工作需要开展</w:t>
      </w:r>
      <w:r>
        <w:rPr>
          <w:rFonts w:hint="eastAsia" w:ascii="仿宋" w:hAnsi="仿宋" w:eastAsia="仿宋" w:cs="仿宋"/>
          <w:color w:val="auto"/>
          <w:kern w:val="0"/>
          <w:sz w:val="24"/>
          <w:szCs w:val="24"/>
        </w:rPr>
        <w:t>重点病媒生物防制和突击治理工作。</w:t>
      </w:r>
    </w:p>
    <w:p w14:paraId="0C6F5F6D">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）合同期间应配合</w:t>
      </w:r>
      <w:r>
        <w:rPr>
          <w:rFonts w:hint="eastAsia" w:ascii="仿宋" w:hAnsi="仿宋" w:eastAsia="仿宋" w:cs="仿宋"/>
          <w:color w:val="auto"/>
          <w:kern w:val="0"/>
          <w:sz w:val="24"/>
          <w:szCs w:val="24"/>
          <w:lang w:val="en-US" w:eastAsia="zh-CN"/>
        </w:rPr>
        <w:t>卫健委</w:t>
      </w:r>
      <w:r>
        <w:rPr>
          <w:rFonts w:hint="eastAsia" w:ascii="仿宋" w:hAnsi="仿宋" w:eastAsia="仿宋" w:cs="仿宋"/>
          <w:color w:val="auto"/>
          <w:kern w:val="0"/>
          <w:sz w:val="24"/>
          <w:szCs w:val="24"/>
        </w:rPr>
        <w:t>组织的大规模环境整治行动</w:t>
      </w:r>
      <w:r>
        <w:rPr>
          <w:rFonts w:hint="eastAsia" w:ascii="仿宋" w:hAnsi="仿宋" w:eastAsia="仿宋" w:cs="仿宋"/>
          <w:color w:val="auto"/>
          <w:kern w:val="0"/>
          <w:sz w:val="24"/>
          <w:szCs w:val="24"/>
          <w:lang w:val="en-US" w:eastAsia="zh-CN"/>
        </w:rPr>
        <w:t>和临时性</w:t>
      </w:r>
      <w:r>
        <w:rPr>
          <w:rFonts w:hint="eastAsia" w:ascii="仿宋" w:hAnsi="仿宋" w:eastAsia="仿宋" w:cs="仿宋"/>
          <w:color w:val="auto"/>
          <w:kern w:val="0"/>
          <w:sz w:val="24"/>
          <w:szCs w:val="24"/>
        </w:rPr>
        <w:t>病媒生物防制工作。</w:t>
      </w:r>
    </w:p>
    <w:p w14:paraId="369C7CEA">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服务内容和要求：</w:t>
      </w:r>
    </w:p>
    <w:p w14:paraId="13892755">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4.1在服务期限内至少</w:t>
      </w:r>
      <w:r>
        <w:rPr>
          <w:rFonts w:hint="eastAsia" w:ascii="仿宋" w:hAnsi="仿宋" w:eastAsia="仿宋" w:cs="仿宋"/>
          <w:color w:val="auto"/>
          <w:kern w:val="0"/>
          <w:sz w:val="24"/>
          <w:szCs w:val="24"/>
        </w:rPr>
        <w:t>开展</w:t>
      </w: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lang w:eastAsia="zh-CN"/>
        </w:rPr>
        <w:t>次以上</w:t>
      </w:r>
      <w:r>
        <w:rPr>
          <w:rFonts w:hint="eastAsia" w:ascii="仿宋" w:hAnsi="仿宋" w:eastAsia="仿宋" w:cs="仿宋"/>
          <w:color w:val="auto"/>
          <w:kern w:val="0"/>
          <w:sz w:val="24"/>
          <w:szCs w:val="24"/>
        </w:rPr>
        <w:t>的大面积防治，即：</w:t>
      </w:r>
      <w:r>
        <w:rPr>
          <w:rFonts w:hint="eastAsia" w:ascii="仿宋" w:hAnsi="仿宋" w:eastAsia="仿宋" w:cs="仿宋"/>
          <w:color w:val="auto"/>
          <w:kern w:val="0"/>
          <w:sz w:val="24"/>
          <w:szCs w:val="24"/>
          <w:lang w:eastAsia="zh-CN"/>
        </w:rPr>
        <w:t>基础为</w:t>
      </w:r>
      <w:r>
        <w:rPr>
          <w:rFonts w:hint="eastAsia" w:ascii="仿宋" w:hAnsi="仿宋" w:eastAsia="仿宋" w:cs="仿宋"/>
          <w:color w:val="auto"/>
          <w:kern w:val="0"/>
          <w:sz w:val="24"/>
          <w:szCs w:val="24"/>
          <w:lang w:val="en-US" w:eastAsia="zh-CN"/>
        </w:rPr>
        <w:t>春</w:t>
      </w:r>
      <w:r>
        <w:rPr>
          <w:rFonts w:hint="eastAsia" w:ascii="仿宋" w:hAnsi="仿宋" w:eastAsia="仿宋" w:cs="仿宋"/>
          <w:color w:val="auto"/>
          <w:kern w:val="0"/>
          <w:sz w:val="24"/>
          <w:szCs w:val="24"/>
        </w:rPr>
        <w:t>季</w:t>
      </w: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夏季6</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9</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eastAsia="zh-CN"/>
        </w:rPr>
        <w:t>、秋</w:t>
      </w:r>
      <w:r>
        <w:rPr>
          <w:rFonts w:hint="eastAsia" w:ascii="仿宋" w:hAnsi="仿宋" w:eastAsia="仿宋" w:cs="仿宋"/>
          <w:color w:val="auto"/>
          <w:kern w:val="0"/>
          <w:sz w:val="24"/>
          <w:szCs w:val="24"/>
        </w:rPr>
        <w:t>季</w:t>
      </w:r>
      <w:r>
        <w:rPr>
          <w:rFonts w:hint="eastAsia" w:ascii="仿宋" w:hAnsi="仿宋" w:eastAsia="仿宋" w:cs="仿宋"/>
          <w:color w:val="auto"/>
          <w:kern w:val="0"/>
          <w:sz w:val="24"/>
          <w:szCs w:val="24"/>
          <w:lang w:val="en-US" w:eastAsia="zh-CN"/>
        </w:rPr>
        <w:t>10</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11</w:t>
      </w:r>
      <w:r>
        <w:rPr>
          <w:rFonts w:hint="eastAsia" w:ascii="仿宋" w:hAnsi="仿宋" w:eastAsia="仿宋" w:cs="仿宋"/>
          <w:color w:val="auto"/>
          <w:kern w:val="0"/>
          <w:sz w:val="24"/>
          <w:szCs w:val="24"/>
        </w:rPr>
        <w:t>月灭鼠蚊蝇、蟑螂工作，</w:t>
      </w:r>
      <w:r>
        <w:rPr>
          <w:rFonts w:hint="eastAsia" w:ascii="仿宋" w:hAnsi="仿宋" w:eastAsia="仿宋" w:cs="仿宋"/>
          <w:color w:val="auto"/>
          <w:kern w:val="0"/>
          <w:sz w:val="24"/>
          <w:szCs w:val="24"/>
          <w:lang w:eastAsia="zh-CN"/>
        </w:rPr>
        <w:t>其他视情况需要开展。</w:t>
      </w:r>
      <w:r>
        <w:rPr>
          <w:rFonts w:hint="eastAsia" w:ascii="仿宋" w:hAnsi="仿宋" w:eastAsia="仿宋" w:cs="仿宋"/>
          <w:color w:val="auto"/>
          <w:kern w:val="0"/>
          <w:sz w:val="24"/>
          <w:szCs w:val="24"/>
        </w:rPr>
        <w:t>期间</w:t>
      </w:r>
      <w:r>
        <w:rPr>
          <w:rFonts w:hint="eastAsia" w:ascii="仿宋" w:hAnsi="仿宋" w:eastAsia="仿宋" w:cs="仿宋"/>
          <w:color w:val="auto"/>
          <w:kern w:val="0"/>
          <w:sz w:val="24"/>
          <w:szCs w:val="24"/>
          <w:lang w:val="en-US" w:eastAsia="zh-CN"/>
        </w:rPr>
        <w:t>要确保建成</w:t>
      </w:r>
      <w:r>
        <w:rPr>
          <w:rFonts w:hint="eastAsia" w:ascii="仿宋" w:hAnsi="仿宋" w:eastAsia="仿宋" w:cs="仿宋"/>
          <w:color w:val="auto"/>
          <w:kern w:val="0"/>
          <w:sz w:val="24"/>
          <w:szCs w:val="24"/>
        </w:rPr>
        <w:t>区公共外环境场所开展病媒生物防</w:t>
      </w:r>
      <w:r>
        <w:rPr>
          <w:rFonts w:hint="eastAsia" w:ascii="仿宋" w:hAnsi="仿宋" w:eastAsia="仿宋" w:cs="仿宋"/>
          <w:color w:val="auto"/>
          <w:kern w:val="0"/>
          <w:sz w:val="24"/>
          <w:szCs w:val="24"/>
          <w:lang w:val="en-US" w:eastAsia="zh-CN"/>
        </w:rPr>
        <w:t>制的效果达到全国健康县标准要求</w:t>
      </w:r>
      <w:r>
        <w:rPr>
          <w:rFonts w:hint="eastAsia" w:ascii="仿宋" w:hAnsi="仿宋" w:eastAsia="仿宋" w:cs="仿宋"/>
          <w:color w:val="auto"/>
          <w:kern w:val="0"/>
          <w:sz w:val="24"/>
          <w:szCs w:val="24"/>
        </w:rPr>
        <w:t>。</w:t>
      </w:r>
    </w:p>
    <w:p w14:paraId="46B7EA86">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4.2</w:t>
      </w:r>
      <w:r>
        <w:rPr>
          <w:rFonts w:hint="eastAsia" w:ascii="仿宋" w:hAnsi="仿宋" w:eastAsia="仿宋" w:cs="仿宋"/>
          <w:color w:val="auto"/>
          <w:kern w:val="0"/>
          <w:sz w:val="24"/>
          <w:szCs w:val="24"/>
        </w:rPr>
        <w:t>在服务区</w:t>
      </w:r>
      <w:r>
        <w:rPr>
          <w:rFonts w:hint="eastAsia" w:ascii="仿宋" w:hAnsi="仿宋" w:eastAsia="仿宋" w:cs="仿宋"/>
          <w:color w:val="auto"/>
          <w:kern w:val="0"/>
          <w:sz w:val="24"/>
          <w:szCs w:val="24"/>
          <w:lang w:eastAsia="zh-CN"/>
        </w:rPr>
        <w:t>域</w:t>
      </w:r>
      <w:r>
        <w:rPr>
          <w:rFonts w:hint="eastAsia" w:ascii="仿宋" w:hAnsi="仿宋" w:eastAsia="仿宋" w:cs="仿宋"/>
          <w:color w:val="auto"/>
          <w:kern w:val="0"/>
          <w:sz w:val="24"/>
          <w:szCs w:val="24"/>
        </w:rPr>
        <w:t>内全面开</w:t>
      </w:r>
      <w:r>
        <w:rPr>
          <w:rFonts w:hint="eastAsia" w:ascii="仿宋" w:hAnsi="仿宋" w:eastAsia="仿宋" w:cs="仿宋"/>
          <w:color w:val="auto"/>
          <w:kern w:val="0"/>
          <w:sz w:val="24"/>
          <w:szCs w:val="24"/>
          <w:lang w:eastAsia="zh-CN"/>
        </w:rPr>
        <w:t>展</w:t>
      </w:r>
      <w:r>
        <w:rPr>
          <w:rFonts w:hint="eastAsia" w:ascii="仿宋" w:hAnsi="仿宋" w:eastAsia="仿宋" w:cs="仿宋"/>
          <w:color w:val="auto"/>
          <w:kern w:val="0"/>
          <w:sz w:val="24"/>
          <w:szCs w:val="24"/>
        </w:rPr>
        <w:t>病媒生物防制，投放灭鼠药饵，开展蚊、蝇、蟑的药物消杀，包括喷洒灭蚊蝇药物，下水道</w:t>
      </w:r>
      <w:r>
        <w:rPr>
          <w:rFonts w:hint="eastAsia" w:ascii="仿宋" w:hAnsi="仿宋" w:eastAsia="仿宋" w:cs="仿宋"/>
          <w:color w:val="auto"/>
          <w:kern w:val="0"/>
          <w:sz w:val="24"/>
          <w:szCs w:val="24"/>
          <w:lang w:eastAsia="zh-CN"/>
        </w:rPr>
        <w:t>灭</w:t>
      </w:r>
      <w:r>
        <w:rPr>
          <w:rFonts w:hint="eastAsia" w:ascii="仿宋" w:hAnsi="仿宋" w:eastAsia="仿宋" w:cs="仿宋"/>
          <w:color w:val="auto"/>
          <w:kern w:val="0"/>
          <w:sz w:val="24"/>
          <w:szCs w:val="24"/>
        </w:rPr>
        <w:t>蟑螂，道路两侧灭蚊、蝇、公共区域积水等水体灭蚊子孑、垃圾等孳生地灭蝇幼虫。按相关要求布放灭鼠毒饵站。毒饵站应根据孳生地调查设置在有鼠迹、位置隐蔽、人员稀少、不引人注目的地方沿墙等位置布放，在主次街路、人行道等人员集中的地方布放时应慎重；布放毒饵站时应张贴醒目警示标志，毒饵施放应准确到位防止人、畜、禽、鸟等误食误服。</w:t>
      </w:r>
    </w:p>
    <w:p w14:paraId="34CE6CAB">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相关服务标准：</w:t>
      </w:r>
    </w:p>
    <w:p w14:paraId="0D9714EF">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5.1</w:t>
      </w:r>
      <w:r>
        <w:rPr>
          <w:rFonts w:hint="eastAsia" w:ascii="仿宋" w:hAnsi="仿宋" w:eastAsia="仿宋" w:cs="仿宋"/>
          <w:color w:val="auto"/>
          <w:kern w:val="0"/>
          <w:sz w:val="24"/>
          <w:szCs w:val="24"/>
        </w:rPr>
        <w:t>病媒生物防制质量标准</w:t>
      </w:r>
    </w:p>
    <w:p w14:paraId="6A9A3619">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监测标准：《中华人民共和国国家标准（GB/T 23796-2009）病媒生物密度监测方法蝇类》、《中华人民共和国国家标准GB/T 23797-2020病媒生物密度监测方法蚊虫》、《中华人民共和国国家标准（GB/T 23798-2009）病媒生物密度监测方法鼠类》、《中华人民共和国国家标准（GB/T 23795-2009）病媒生物密度监测方法蜚蠊》。</w:t>
      </w:r>
    </w:p>
    <w:p w14:paraId="71661B93">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控制水平标准：《中华人民共和国国家标准（GB/T 27773-2011）病媒生物密度控制水平蜚蠊》、《中华人民共和国国家标准（</w:t>
      </w:r>
      <w:r>
        <w:rPr>
          <w:rFonts w:hint="eastAsia" w:ascii="仿宋" w:hAnsi="仿宋" w:eastAsia="仿宋" w:cs="仿宋"/>
          <w:color w:val="auto"/>
          <w:kern w:val="0"/>
          <w:sz w:val="24"/>
          <w:szCs w:val="24"/>
          <w:highlight w:val="none"/>
          <w:lang w:val="en-US" w:eastAsia="zh-CN"/>
        </w:rPr>
        <w:t>GB/T 27772-2025</w:t>
      </w:r>
      <w:r>
        <w:rPr>
          <w:rFonts w:hint="eastAsia" w:ascii="仿宋" w:hAnsi="仿宋" w:eastAsia="仿宋" w:cs="仿宋"/>
          <w:color w:val="auto"/>
          <w:kern w:val="0"/>
          <w:sz w:val="24"/>
          <w:szCs w:val="24"/>
        </w:rPr>
        <w:t>病媒生物密度控制水平蝇类》、《中华人民共和国国家标准（GB/T 27771-2011）病媒生物密度控制水平蚊虫》、《中华人民共和国国家标准（GB/T 27770-2011）病媒生物密度控制水平鼠类》。</w:t>
      </w:r>
    </w:p>
    <w:p w14:paraId="5A9BAD4E">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5.2</w:t>
      </w:r>
      <w:r>
        <w:rPr>
          <w:rFonts w:hint="eastAsia" w:ascii="仿宋" w:hAnsi="仿宋" w:eastAsia="仿宋" w:cs="仿宋"/>
          <w:color w:val="auto"/>
          <w:kern w:val="0"/>
          <w:sz w:val="24"/>
          <w:szCs w:val="24"/>
        </w:rPr>
        <w:t>蚊、蝇消杀：孳生地投放灭幼药剂，重点部位及害虫栖息场所进行药物滞留喷洒和空间喷雾，药品均采用国家相关部门批准使用的高效低毒卫生杀虫药剂；宣传并指导相关村民和居民做好防蚊、防蝇工作，消除孳生地，做到重点区域重点监控，发现问题及时处理的施工原则。</w:t>
      </w:r>
    </w:p>
    <w:p w14:paraId="34BF201C">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5.3</w:t>
      </w:r>
      <w:r>
        <w:rPr>
          <w:rFonts w:hint="eastAsia" w:ascii="仿宋" w:hAnsi="仿宋" w:eastAsia="仿宋" w:cs="仿宋"/>
          <w:color w:val="auto"/>
          <w:kern w:val="0"/>
          <w:sz w:val="24"/>
          <w:szCs w:val="24"/>
        </w:rPr>
        <w:t>灭鼠药械统一投放，进行多轮统一投药，即：灭鼠重点区域</w:t>
      </w:r>
      <w:r>
        <w:rPr>
          <w:rFonts w:hint="eastAsia" w:ascii="仿宋" w:hAnsi="仿宋" w:eastAsia="仿宋" w:cs="仿宋"/>
          <w:color w:val="auto"/>
          <w:kern w:val="0"/>
          <w:sz w:val="24"/>
          <w:szCs w:val="24"/>
          <w:lang w:eastAsia="zh-CN"/>
        </w:rPr>
        <w:t>为</w:t>
      </w:r>
      <w:r>
        <w:rPr>
          <w:rFonts w:hint="eastAsia" w:ascii="仿宋" w:hAnsi="仿宋" w:eastAsia="仿宋" w:cs="仿宋"/>
          <w:color w:val="auto"/>
          <w:kern w:val="0"/>
          <w:sz w:val="24"/>
          <w:szCs w:val="24"/>
        </w:rPr>
        <w:t>老鼠活动和容易孳生栖息的地点等作为灭鼠防鼠工作重点，原则上投药必须投入固定鼠穴、毒鼠屋或相对隐蔽的区域和地点，选用药物为第二代抗凝血剂灭鼠毒饵，确保安全高效，严禁使用国家禁止使用的灭鼠药物，并将加大对服务范围内各单位、各居民区人员的宣传介绍，提供药物保障和24小时的技术支撑。</w:t>
      </w:r>
    </w:p>
    <w:p w14:paraId="6CF4AF6F">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5.4</w:t>
      </w:r>
      <w:r>
        <w:rPr>
          <w:rFonts w:hint="eastAsia" w:ascii="仿宋" w:hAnsi="仿宋" w:eastAsia="仿宋" w:cs="仿宋"/>
          <w:color w:val="auto"/>
          <w:kern w:val="0"/>
          <w:sz w:val="24"/>
          <w:szCs w:val="24"/>
        </w:rPr>
        <w:t>下水道的灭蟑：害虫侵犯点需进行下水道的灭蟑工作，药品采用国家相关部门批准使用的卫生杀虫药剂；这些街道四害孳生的点主要是下水道及周边、公共绿化带及周边等。</w:t>
      </w:r>
    </w:p>
    <w:p w14:paraId="08ED6D60">
      <w:pPr>
        <w:numPr>
          <w:ilvl w:val="0"/>
          <w:numId w:val="1"/>
        </w:num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病媒生物防制项目人员、设备配置要求：</w:t>
      </w:r>
    </w:p>
    <w:p w14:paraId="2D687BC8">
      <w:pPr>
        <w:numPr>
          <w:ilvl w:val="0"/>
          <w:numId w:val="0"/>
        </w:num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6.1</w:t>
      </w:r>
      <w:r>
        <w:rPr>
          <w:rFonts w:hint="eastAsia" w:ascii="仿宋" w:hAnsi="仿宋" w:eastAsia="仿宋" w:cs="仿宋"/>
          <w:color w:val="auto"/>
          <w:kern w:val="0"/>
          <w:sz w:val="24"/>
          <w:szCs w:val="24"/>
        </w:rPr>
        <w:t>病媒生物防制项目人员配置表</w:t>
      </w:r>
    </w:p>
    <w:tbl>
      <w:tblPr>
        <w:tblStyle w:val="4"/>
        <w:tblpPr w:leftFromText="180" w:rightFromText="180" w:vertAnchor="text" w:horzAnchor="page" w:tblpX="1023" w:tblpY="818"/>
        <w:tblOverlap w:val="never"/>
        <w:tblW w:w="98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96"/>
        <w:gridCol w:w="2514"/>
        <w:gridCol w:w="1558"/>
        <w:gridCol w:w="4390"/>
      </w:tblGrid>
      <w:tr w14:paraId="7E84E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6" w:hRule="atLeast"/>
        </w:trPr>
        <w:tc>
          <w:tcPr>
            <w:tcW w:w="1396" w:type="dxa"/>
            <w:tcBorders>
              <w:bottom w:val="single" w:color="auto" w:sz="4" w:space="0"/>
              <w:right w:val="single" w:color="auto" w:sz="4" w:space="0"/>
            </w:tcBorders>
            <w:shd w:val="clear" w:color="auto" w:fill="F2F2F2"/>
            <w:noWrap w:val="0"/>
            <w:vAlign w:val="center"/>
          </w:tcPr>
          <w:p w14:paraId="52F4020D">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序号</w:t>
            </w:r>
          </w:p>
        </w:tc>
        <w:tc>
          <w:tcPr>
            <w:tcW w:w="2514" w:type="dxa"/>
            <w:tcBorders>
              <w:left w:val="single" w:color="auto" w:sz="4" w:space="0"/>
              <w:right w:val="single" w:color="auto" w:sz="4" w:space="0"/>
            </w:tcBorders>
            <w:shd w:val="clear" w:color="auto" w:fill="F2F2F2"/>
            <w:noWrap w:val="0"/>
            <w:vAlign w:val="center"/>
          </w:tcPr>
          <w:p w14:paraId="692CEDB7">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岗位</w:t>
            </w:r>
          </w:p>
        </w:tc>
        <w:tc>
          <w:tcPr>
            <w:tcW w:w="1558" w:type="dxa"/>
            <w:tcBorders>
              <w:left w:val="single" w:color="auto" w:sz="4" w:space="0"/>
              <w:right w:val="single" w:color="auto" w:sz="4" w:space="0"/>
            </w:tcBorders>
            <w:shd w:val="clear" w:color="auto" w:fill="F2F2F2"/>
            <w:noWrap w:val="0"/>
            <w:vAlign w:val="center"/>
          </w:tcPr>
          <w:p w14:paraId="473D3F39">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人数</w:t>
            </w:r>
          </w:p>
        </w:tc>
        <w:tc>
          <w:tcPr>
            <w:tcW w:w="4390" w:type="dxa"/>
            <w:shd w:val="clear" w:color="auto" w:fill="F2F2F2"/>
            <w:noWrap w:val="0"/>
            <w:vAlign w:val="center"/>
          </w:tcPr>
          <w:p w14:paraId="1DE69912">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备注</w:t>
            </w:r>
          </w:p>
        </w:tc>
      </w:tr>
      <w:tr w14:paraId="62200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1396" w:type="dxa"/>
            <w:tcBorders>
              <w:top w:val="single" w:color="auto" w:sz="4" w:space="0"/>
              <w:right w:val="single" w:color="auto" w:sz="4" w:space="0"/>
            </w:tcBorders>
            <w:noWrap w:val="0"/>
            <w:vAlign w:val="center"/>
          </w:tcPr>
          <w:p w14:paraId="3E147E15">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w:t>
            </w:r>
          </w:p>
        </w:tc>
        <w:tc>
          <w:tcPr>
            <w:tcW w:w="2514" w:type="dxa"/>
            <w:tcBorders>
              <w:left w:val="single" w:color="auto" w:sz="4" w:space="0"/>
              <w:right w:val="single" w:color="auto" w:sz="4" w:space="0"/>
            </w:tcBorders>
            <w:noWrap w:val="0"/>
            <w:vAlign w:val="center"/>
          </w:tcPr>
          <w:p w14:paraId="0FE31809">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负责人</w:t>
            </w:r>
          </w:p>
        </w:tc>
        <w:tc>
          <w:tcPr>
            <w:tcW w:w="1558" w:type="dxa"/>
            <w:tcBorders>
              <w:left w:val="single" w:color="auto" w:sz="4" w:space="0"/>
              <w:right w:val="single" w:color="auto" w:sz="4" w:space="0"/>
            </w:tcBorders>
            <w:noWrap w:val="0"/>
            <w:vAlign w:val="center"/>
          </w:tcPr>
          <w:p w14:paraId="3BA7883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1人</w:t>
            </w:r>
          </w:p>
        </w:tc>
        <w:tc>
          <w:tcPr>
            <w:tcW w:w="4390" w:type="dxa"/>
            <w:noWrap w:val="0"/>
            <w:vAlign w:val="center"/>
          </w:tcPr>
          <w:p w14:paraId="162508F2">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负责全面工作</w:t>
            </w:r>
          </w:p>
        </w:tc>
      </w:tr>
      <w:tr w14:paraId="79BC3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trPr>
        <w:tc>
          <w:tcPr>
            <w:tcW w:w="1396" w:type="dxa"/>
            <w:tcBorders>
              <w:top w:val="single" w:color="auto" w:sz="4" w:space="0"/>
              <w:right w:val="single" w:color="auto" w:sz="4" w:space="0"/>
            </w:tcBorders>
            <w:noWrap w:val="0"/>
            <w:vAlign w:val="center"/>
          </w:tcPr>
          <w:p w14:paraId="3248A958">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w:t>
            </w:r>
          </w:p>
        </w:tc>
        <w:tc>
          <w:tcPr>
            <w:tcW w:w="2514" w:type="dxa"/>
            <w:tcBorders>
              <w:left w:val="single" w:color="auto" w:sz="4" w:space="0"/>
              <w:right w:val="single" w:color="auto" w:sz="4" w:space="0"/>
            </w:tcBorders>
            <w:noWrap w:val="0"/>
            <w:vAlign w:val="center"/>
          </w:tcPr>
          <w:p w14:paraId="2E71E68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组长</w:t>
            </w:r>
          </w:p>
        </w:tc>
        <w:tc>
          <w:tcPr>
            <w:tcW w:w="1558" w:type="dxa"/>
            <w:tcBorders>
              <w:left w:val="single" w:color="auto" w:sz="4" w:space="0"/>
              <w:right w:val="single" w:color="auto" w:sz="4" w:space="0"/>
            </w:tcBorders>
            <w:noWrap w:val="0"/>
            <w:vAlign w:val="center"/>
          </w:tcPr>
          <w:p w14:paraId="7CC28F72">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1</w:t>
            </w:r>
            <w:r>
              <w:rPr>
                <w:rFonts w:hint="eastAsia" w:ascii="仿宋" w:hAnsi="仿宋" w:eastAsia="仿宋" w:cs="仿宋"/>
                <w:color w:val="auto"/>
                <w:kern w:val="2"/>
                <w:sz w:val="24"/>
                <w:szCs w:val="24"/>
              </w:rPr>
              <w:t>人</w:t>
            </w:r>
          </w:p>
        </w:tc>
        <w:tc>
          <w:tcPr>
            <w:tcW w:w="4390" w:type="dxa"/>
            <w:noWrap w:val="0"/>
            <w:vAlign w:val="center"/>
          </w:tcPr>
          <w:p w14:paraId="79ADA6BB">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负责小组安排、指导和参与日常施工作</w:t>
            </w:r>
          </w:p>
        </w:tc>
      </w:tr>
      <w:tr w14:paraId="26DDC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1396" w:type="dxa"/>
            <w:tcBorders>
              <w:top w:val="single" w:color="auto" w:sz="4" w:space="0"/>
              <w:right w:val="single" w:color="auto" w:sz="4" w:space="0"/>
            </w:tcBorders>
            <w:noWrap w:val="0"/>
            <w:vAlign w:val="center"/>
          </w:tcPr>
          <w:p w14:paraId="1BAEF11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3</w:t>
            </w:r>
          </w:p>
        </w:tc>
        <w:tc>
          <w:tcPr>
            <w:tcW w:w="2514" w:type="dxa"/>
            <w:tcBorders>
              <w:left w:val="single" w:color="auto" w:sz="4" w:space="0"/>
              <w:right w:val="single" w:color="auto" w:sz="4" w:space="0"/>
            </w:tcBorders>
            <w:noWrap w:val="0"/>
            <w:vAlign w:val="center"/>
          </w:tcPr>
          <w:p w14:paraId="62C958CB">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施工员</w:t>
            </w:r>
          </w:p>
        </w:tc>
        <w:tc>
          <w:tcPr>
            <w:tcW w:w="1558" w:type="dxa"/>
            <w:tcBorders>
              <w:left w:val="single" w:color="auto" w:sz="4" w:space="0"/>
              <w:right w:val="single" w:color="auto" w:sz="4" w:space="0"/>
            </w:tcBorders>
            <w:noWrap w:val="0"/>
            <w:vAlign w:val="center"/>
          </w:tcPr>
          <w:p w14:paraId="2179475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7</w:t>
            </w:r>
            <w:r>
              <w:rPr>
                <w:rFonts w:hint="eastAsia" w:ascii="仿宋" w:hAnsi="仿宋" w:eastAsia="仿宋" w:cs="仿宋"/>
                <w:color w:val="auto"/>
                <w:kern w:val="2"/>
                <w:sz w:val="24"/>
                <w:szCs w:val="24"/>
              </w:rPr>
              <w:t>人</w:t>
            </w:r>
          </w:p>
        </w:tc>
        <w:tc>
          <w:tcPr>
            <w:tcW w:w="4390" w:type="dxa"/>
            <w:noWrap w:val="0"/>
            <w:vAlign w:val="center"/>
          </w:tcPr>
          <w:p w14:paraId="3E7D40EB">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负责现场作业</w:t>
            </w:r>
          </w:p>
        </w:tc>
      </w:tr>
      <w:tr w14:paraId="5CA20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1396" w:type="dxa"/>
            <w:tcBorders>
              <w:top w:val="single" w:color="auto" w:sz="4" w:space="0"/>
              <w:bottom w:val="single" w:color="auto" w:sz="4" w:space="0"/>
              <w:right w:val="single" w:color="auto" w:sz="4" w:space="0"/>
            </w:tcBorders>
            <w:shd w:val="clear" w:color="auto" w:fill="FFFFFF"/>
            <w:noWrap w:val="0"/>
            <w:vAlign w:val="center"/>
          </w:tcPr>
          <w:p w14:paraId="4BA7083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4</w:t>
            </w:r>
          </w:p>
        </w:tc>
        <w:tc>
          <w:tcPr>
            <w:tcW w:w="2514" w:type="dxa"/>
            <w:tcBorders>
              <w:left w:val="single" w:color="auto" w:sz="4" w:space="0"/>
              <w:right w:val="single" w:color="auto" w:sz="4" w:space="0"/>
            </w:tcBorders>
            <w:shd w:val="clear" w:color="auto" w:fill="FFFFFF"/>
            <w:noWrap w:val="0"/>
            <w:vAlign w:val="center"/>
          </w:tcPr>
          <w:p w14:paraId="555F6BBE">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技术巡查员</w:t>
            </w:r>
          </w:p>
        </w:tc>
        <w:tc>
          <w:tcPr>
            <w:tcW w:w="1558" w:type="dxa"/>
            <w:tcBorders>
              <w:left w:val="single" w:color="auto" w:sz="4" w:space="0"/>
              <w:right w:val="single" w:color="auto" w:sz="4" w:space="0"/>
            </w:tcBorders>
            <w:shd w:val="clear" w:color="auto" w:fill="FFFFFF"/>
            <w:noWrap w:val="0"/>
            <w:vAlign w:val="center"/>
          </w:tcPr>
          <w:p w14:paraId="2225BA1F">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1人</w:t>
            </w:r>
          </w:p>
        </w:tc>
        <w:tc>
          <w:tcPr>
            <w:tcW w:w="4390" w:type="dxa"/>
            <w:shd w:val="clear" w:color="auto" w:fill="FFFFFF"/>
            <w:noWrap w:val="0"/>
            <w:vAlign w:val="center"/>
          </w:tcPr>
          <w:p w14:paraId="4E35561A">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负责巡查、监督、监测记录工作</w:t>
            </w:r>
          </w:p>
        </w:tc>
      </w:tr>
      <w:tr w14:paraId="5F22F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3910" w:type="dxa"/>
            <w:gridSpan w:val="2"/>
            <w:tcBorders>
              <w:top w:val="single" w:color="auto" w:sz="4" w:space="0"/>
              <w:right w:val="single" w:color="auto" w:sz="4" w:space="0"/>
            </w:tcBorders>
            <w:shd w:val="clear" w:color="auto" w:fill="FFFFFF"/>
            <w:noWrap w:val="0"/>
            <w:vAlign w:val="center"/>
          </w:tcPr>
          <w:p w14:paraId="225E6A5E">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合计</w:t>
            </w:r>
          </w:p>
        </w:tc>
        <w:tc>
          <w:tcPr>
            <w:tcW w:w="1558" w:type="dxa"/>
            <w:tcBorders>
              <w:left w:val="single" w:color="auto" w:sz="4" w:space="0"/>
              <w:right w:val="single" w:color="auto" w:sz="4" w:space="0"/>
            </w:tcBorders>
            <w:shd w:val="clear" w:color="auto" w:fill="FFFFFF"/>
            <w:noWrap w:val="0"/>
            <w:vAlign w:val="center"/>
          </w:tcPr>
          <w:p w14:paraId="62C6EC6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10</w:t>
            </w:r>
            <w:r>
              <w:rPr>
                <w:rFonts w:hint="eastAsia" w:ascii="仿宋" w:hAnsi="仿宋" w:eastAsia="仿宋" w:cs="仿宋"/>
                <w:color w:val="auto"/>
                <w:kern w:val="2"/>
                <w:sz w:val="24"/>
                <w:szCs w:val="24"/>
              </w:rPr>
              <w:t>人</w:t>
            </w:r>
          </w:p>
        </w:tc>
        <w:tc>
          <w:tcPr>
            <w:tcW w:w="4390" w:type="dxa"/>
            <w:shd w:val="clear" w:color="auto" w:fill="FFFFFF"/>
            <w:noWrap w:val="0"/>
            <w:vAlign w:val="center"/>
          </w:tcPr>
          <w:p w14:paraId="5776BFA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p>
        </w:tc>
      </w:tr>
    </w:tbl>
    <w:p w14:paraId="75770991">
      <w:pPr>
        <w:spacing w:line="500" w:lineRule="exact"/>
        <w:ind w:firstLine="480" w:firstLineChars="20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病媒生物防制项目人员</w:t>
      </w:r>
      <w:r>
        <w:rPr>
          <w:rFonts w:hint="eastAsia" w:ascii="仿宋" w:hAnsi="仿宋" w:eastAsia="仿宋" w:cs="仿宋"/>
          <w:color w:val="auto"/>
          <w:kern w:val="0"/>
          <w:sz w:val="24"/>
          <w:szCs w:val="24"/>
          <w:lang w:val="en-US" w:eastAsia="zh-CN"/>
        </w:rPr>
        <w:t>须</w:t>
      </w:r>
      <w:r>
        <w:rPr>
          <w:rFonts w:hint="eastAsia" w:ascii="仿宋" w:hAnsi="仿宋" w:eastAsia="仿宋" w:cs="仿宋"/>
          <w:color w:val="auto"/>
          <w:kern w:val="0"/>
          <w:sz w:val="24"/>
          <w:szCs w:val="24"/>
        </w:rPr>
        <w:t>具有《有害生物防制专业技术水平评价证书》</w:t>
      </w:r>
      <w:r>
        <w:rPr>
          <w:rFonts w:hint="eastAsia" w:ascii="仿宋" w:hAnsi="仿宋" w:eastAsia="仿宋" w:cs="仿宋"/>
          <w:color w:val="auto"/>
          <w:kern w:val="0"/>
          <w:sz w:val="24"/>
          <w:szCs w:val="24"/>
          <w:lang w:val="en-US" w:eastAsia="zh-CN"/>
        </w:rPr>
        <w:t>或</w:t>
      </w:r>
      <w:r>
        <w:rPr>
          <w:rFonts w:hint="eastAsia" w:ascii="仿宋" w:hAnsi="仿宋" w:eastAsia="仿宋" w:cs="仿宋"/>
          <w:color w:val="auto"/>
          <w:kern w:val="0"/>
          <w:sz w:val="24"/>
          <w:szCs w:val="24"/>
        </w:rPr>
        <w:t>《有害生物防制职业</w:t>
      </w:r>
      <w:r>
        <w:rPr>
          <w:rFonts w:hint="eastAsia" w:ascii="仿宋" w:hAnsi="仿宋" w:eastAsia="仿宋" w:cs="仿宋"/>
          <w:color w:val="auto"/>
          <w:kern w:val="0"/>
          <w:sz w:val="24"/>
          <w:szCs w:val="24"/>
          <w:lang w:val="en-US" w:eastAsia="zh-CN"/>
        </w:rPr>
        <w:t>技能等级</w:t>
      </w:r>
      <w:r>
        <w:rPr>
          <w:rFonts w:hint="eastAsia" w:ascii="仿宋" w:hAnsi="仿宋" w:eastAsia="仿宋" w:cs="仿宋"/>
          <w:color w:val="auto"/>
          <w:kern w:val="0"/>
          <w:sz w:val="24"/>
          <w:szCs w:val="24"/>
        </w:rPr>
        <w:t>证书》（含原《中华人民共和国有害生物防制员职业资格证书》）</w:t>
      </w:r>
      <w:r>
        <w:rPr>
          <w:rFonts w:hint="eastAsia" w:ascii="仿宋" w:hAnsi="仿宋" w:eastAsia="仿宋" w:cs="仿宋"/>
          <w:color w:val="auto"/>
          <w:kern w:val="0"/>
          <w:sz w:val="24"/>
          <w:szCs w:val="24"/>
          <w:lang w:val="en-US" w:eastAsia="zh-CN"/>
        </w:rPr>
        <w:t>。</w:t>
      </w:r>
    </w:p>
    <w:p w14:paraId="12AFDF2D">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6.2</w:t>
      </w:r>
      <w:r>
        <w:rPr>
          <w:rFonts w:hint="eastAsia" w:ascii="仿宋" w:hAnsi="仿宋" w:eastAsia="仿宋" w:cs="仿宋"/>
          <w:color w:val="auto"/>
          <w:kern w:val="0"/>
          <w:sz w:val="24"/>
          <w:szCs w:val="24"/>
        </w:rPr>
        <w:t>本项目要具备必要的机械设备及工具数量（须严格按照下表要求）：</w:t>
      </w:r>
    </w:p>
    <w:tbl>
      <w:tblPr>
        <w:tblStyle w:val="4"/>
        <w:tblW w:w="98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93"/>
        <w:gridCol w:w="4065"/>
        <w:gridCol w:w="1074"/>
        <w:gridCol w:w="3305"/>
      </w:tblGrid>
      <w:tr w14:paraId="68D09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393" w:type="dxa"/>
            <w:tcBorders>
              <w:bottom w:val="single" w:color="auto" w:sz="4" w:space="0"/>
              <w:right w:val="single" w:color="auto" w:sz="4" w:space="0"/>
            </w:tcBorders>
            <w:shd w:val="clear" w:color="auto" w:fill="F2F2F2"/>
            <w:noWrap w:val="0"/>
            <w:vAlign w:val="center"/>
          </w:tcPr>
          <w:p w14:paraId="274F7CE1">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序号</w:t>
            </w:r>
          </w:p>
        </w:tc>
        <w:tc>
          <w:tcPr>
            <w:tcW w:w="4065" w:type="dxa"/>
            <w:tcBorders>
              <w:left w:val="single" w:color="auto" w:sz="4" w:space="0"/>
              <w:right w:val="single" w:color="auto" w:sz="4" w:space="0"/>
            </w:tcBorders>
            <w:shd w:val="clear" w:color="auto" w:fill="F2F2F2"/>
            <w:noWrap w:val="0"/>
            <w:vAlign w:val="center"/>
          </w:tcPr>
          <w:p w14:paraId="402971B8">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岗位</w:t>
            </w:r>
          </w:p>
        </w:tc>
        <w:tc>
          <w:tcPr>
            <w:tcW w:w="1074" w:type="dxa"/>
            <w:tcBorders>
              <w:left w:val="single" w:color="auto" w:sz="4" w:space="0"/>
              <w:right w:val="single" w:color="auto" w:sz="4" w:space="0"/>
            </w:tcBorders>
            <w:shd w:val="clear" w:color="auto" w:fill="F2F2F2"/>
            <w:noWrap w:val="0"/>
            <w:vAlign w:val="center"/>
          </w:tcPr>
          <w:p w14:paraId="42545BC2">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单位</w:t>
            </w:r>
          </w:p>
        </w:tc>
        <w:tc>
          <w:tcPr>
            <w:tcW w:w="3305" w:type="dxa"/>
            <w:shd w:val="clear" w:color="auto" w:fill="F2F2F2"/>
            <w:noWrap w:val="0"/>
            <w:vAlign w:val="center"/>
          </w:tcPr>
          <w:p w14:paraId="0E9B019F">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2"/>
                <w:sz w:val="24"/>
                <w:szCs w:val="24"/>
              </w:rPr>
            </w:pPr>
            <w:r>
              <w:rPr>
                <w:rFonts w:hint="eastAsia" w:ascii="仿宋" w:hAnsi="仿宋" w:eastAsia="仿宋" w:cs="仿宋"/>
                <w:b/>
                <w:color w:val="auto"/>
                <w:kern w:val="2"/>
                <w:sz w:val="24"/>
                <w:szCs w:val="24"/>
              </w:rPr>
              <w:t>数量</w:t>
            </w:r>
          </w:p>
        </w:tc>
      </w:tr>
      <w:tr w14:paraId="3FE5F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393" w:type="dxa"/>
            <w:tcBorders>
              <w:top w:val="single" w:color="auto" w:sz="4" w:space="0"/>
              <w:right w:val="single" w:color="auto" w:sz="4" w:space="0"/>
            </w:tcBorders>
            <w:noWrap w:val="0"/>
            <w:vAlign w:val="center"/>
          </w:tcPr>
          <w:p w14:paraId="4C6EAACA">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w:t>
            </w:r>
          </w:p>
        </w:tc>
        <w:tc>
          <w:tcPr>
            <w:tcW w:w="4065" w:type="dxa"/>
            <w:tcBorders>
              <w:left w:val="single" w:color="auto" w:sz="4" w:space="0"/>
              <w:right w:val="single" w:color="auto" w:sz="4" w:space="0"/>
            </w:tcBorders>
            <w:noWrap w:val="0"/>
            <w:vAlign w:val="center"/>
          </w:tcPr>
          <w:p w14:paraId="023B12B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热烟雾机</w:t>
            </w:r>
          </w:p>
        </w:tc>
        <w:tc>
          <w:tcPr>
            <w:tcW w:w="1074" w:type="dxa"/>
            <w:tcBorders>
              <w:left w:val="single" w:color="auto" w:sz="4" w:space="0"/>
              <w:right w:val="single" w:color="auto" w:sz="4" w:space="0"/>
            </w:tcBorders>
            <w:noWrap w:val="0"/>
            <w:vAlign w:val="center"/>
          </w:tcPr>
          <w:p w14:paraId="1E77C8B4">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台</w:t>
            </w:r>
          </w:p>
        </w:tc>
        <w:tc>
          <w:tcPr>
            <w:tcW w:w="3305" w:type="dxa"/>
            <w:noWrap w:val="0"/>
            <w:vAlign w:val="center"/>
          </w:tcPr>
          <w:p w14:paraId="36C2123C">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w:t>
            </w:r>
          </w:p>
        </w:tc>
      </w:tr>
      <w:tr w14:paraId="0F37D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393" w:type="dxa"/>
            <w:tcBorders>
              <w:top w:val="single" w:color="auto" w:sz="4" w:space="0"/>
              <w:right w:val="single" w:color="auto" w:sz="4" w:space="0"/>
            </w:tcBorders>
            <w:noWrap w:val="0"/>
            <w:vAlign w:val="center"/>
          </w:tcPr>
          <w:p w14:paraId="292070DE">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w:t>
            </w:r>
          </w:p>
        </w:tc>
        <w:tc>
          <w:tcPr>
            <w:tcW w:w="4065" w:type="dxa"/>
            <w:tcBorders>
              <w:left w:val="single" w:color="auto" w:sz="4" w:space="0"/>
              <w:right w:val="single" w:color="auto" w:sz="4" w:space="0"/>
            </w:tcBorders>
            <w:noWrap w:val="0"/>
            <w:vAlign w:val="center"/>
          </w:tcPr>
          <w:p w14:paraId="219E2E6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背负式喷雾器</w:t>
            </w:r>
          </w:p>
        </w:tc>
        <w:tc>
          <w:tcPr>
            <w:tcW w:w="1074" w:type="dxa"/>
            <w:tcBorders>
              <w:left w:val="single" w:color="auto" w:sz="4" w:space="0"/>
              <w:right w:val="single" w:color="auto" w:sz="4" w:space="0"/>
            </w:tcBorders>
            <w:noWrap w:val="0"/>
            <w:vAlign w:val="center"/>
          </w:tcPr>
          <w:p w14:paraId="2614C346">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台</w:t>
            </w:r>
          </w:p>
        </w:tc>
        <w:tc>
          <w:tcPr>
            <w:tcW w:w="3305" w:type="dxa"/>
            <w:noWrap w:val="0"/>
            <w:vAlign w:val="center"/>
          </w:tcPr>
          <w:p w14:paraId="1165A9D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w:t>
            </w:r>
          </w:p>
        </w:tc>
      </w:tr>
      <w:tr w14:paraId="33109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393" w:type="dxa"/>
            <w:tcBorders>
              <w:top w:val="single" w:color="auto" w:sz="4" w:space="0"/>
              <w:right w:val="single" w:color="auto" w:sz="4" w:space="0"/>
            </w:tcBorders>
            <w:noWrap w:val="0"/>
            <w:vAlign w:val="center"/>
          </w:tcPr>
          <w:p w14:paraId="7C65E46E">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w:t>
            </w:r>
          </w:p>
        </w:tc>
        <w:tc>
          <w:tcPr>
            <w:tcW w:w="4065" w:type="dxa"/>
            <w:tcBorders>
              <w:left w:val="single" w:color="auto" w:sz="4" w:space="0"/>
              <w:right w:val="single" w:color="auto" w:sz="4" w:space="0"/>
            </w:tcBorders>
            <w:noWrap w:val="0"/>
            <w:vAlign w:val="center"/>
          </w:tcPr>
          <w:p w14:paraId="0483FA98">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超低容量电动/机动喷雾机</w:t>
            </w:r>
          </w:p>
        </w:tc>
        <w:tc>
          <w:tcPr>
            <w:tcW w:w="1074" w:type="dxa"/>
            <w:tcBorders>
              <w:left w:val="single" w:color="auto" w:sz="4" w:space="0"/>
              <w:right w:val="single" w:color="auto" w:sz="4" w:space="0"/>
            </w:tcBorders>
            <w:noWrap w:val="0"/>
            <w:vAlign w:val="center"/>
          </w:tcPr>
          <w:p w14:paraId="41BAA2FF">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台</w:t>
            </w:r>
          </w:p>
        </w:tc>
        <w:tc>
          <w:tcPr>
            <w:tcW w:w="3305" w:type="dxa"/>
            <w:noWrap w:val="0"/>
            <w:vAlign w:val="center"/>
          </w:tcPr>
          <w:p w14:paraId="26328D9E">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w:t>
            </w:r>
          </w:p>
        </w:tc>
      </w:tr>
      <w:tr w14:paraId="12615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393" w:type="dxa"/>
            <w:tcBorders>
              <w:top w:val="single" w:color="auto" w:sz="4" w:space="0"/>
              <w:right w:val="single" w:color="auto" w:sz="4" w:space="0"/>
            </w:tcBorders>
            <w:noWrap w:val="0"/>
            <w:vAlign w:val="center"/>
          </w:tcPr>
          <w:p w14:paraId="2A1AF935">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4</w:t>
            </w:r>
          </w:p>
        </w:tc>
        <w:tc>
          <w:tcPr>
            <w:tcW w:w="4065" w:type="dxa"/>
            <w:tcBorders>
              <w:left w:val="single" w:color="auto" w:sz="4" w:space="0"/>
              <w:right w:val="single" w:color="auto" w:sz="4" w:space="0"/>
            </w:tcBorders>
            <w:noWrap w:val="0"/>
            <w:vAlign w:val="center"/>
          </w:tcPr>
          <w:p w14:paraId="47D83EE8">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背负式超微颗粒雾化喷雾器</w:t>
            </w:r>
          </w:p>
        </w:tc>
        <w:tc>
          <w:tcPr>
            <w:tcW w:w="1074" w:type="dxa"/>
            <w:tcBorders>
              <w:left w:val="single" w:color="auto" w:sz="4" w:space="0"/>
              <w:right w:val="single" w:color="auto" w:sz="4" w:space="0"/>
            </w:tcBorders>
            <w:noWrap w:val="0"/>
            <w:vAlign w:val="center"/>
          </w:tcPr>
          <w:p w14:paraId="28BDE40C">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台</w:t>
            </w:r>
          </w:p>
        </w:tc>
        <w:tc>
          <w:tcPr>
            <w:tcW w:w="3305" w:type="dxa"/>
            <w:noWrap w:val="0"/>
            <w:vAlign w:val="center"/>
          </w:tcPr>
          <w:p w14:paraId="49A9EA12">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w:t>
            </w:r>
          </w:p>
        </w:tc>
      </w:tr>
      <w:tr w14:paraId="6334E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393" w:type="dxa"/>
            <w:tcBorders>
              <w:top w:val="single" w:color="auto" w:sz="4" w:space="0"/>
              <w:right w:val="single" w:color="auto" w:sz="4" w:space="0"/>
            </w:tcBorders>
            <w:noWrap w:val="0"/>
            <w:vAlign w:val="center"/>
          </w:tcPr>
          <w:p w14:paraId="72E372C0">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w:t>
            </w:r>
          </w:p>
        </w:tc>
        <w:tc>
          <w:tcPr>
            <w:tcW w:w="4065" w:type="dxa"/>
            <w:tcBorders>
              <w:left w:val="single" w:color="auto" w:sz="4" w:space="0"/>
              <w:right w:val="single" w:color="auto" w:sz="4" w:space="0"/>
            </w:tcBorders>
            <w:noWrap w:val="0"/>
            <w:vAlign w:val="center"/>
          </w:tcPr>
          <w:p w14:paraId="1AE81D30">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车载式喷雾机</w:t>
            </w:r>
          </w:p>
        </w:tc>
        <w:tc>
          <w:tcPr>
            <w:tcW w:w="1074" w:type="dxa"/>
            <w:tcBorders>
              <w:left w:val="single" w:color="auto" w:sz="4" w:space="0"/>
              <w:right w:val="single" w:color="auto" w:sz="4" w:space="0"/>
            </w:tcBorders>
            <w:noWrap w:val="0"/>
            <w:vAlign w:val="center"/>
          </w:tcPr>
          <w:p w14:paraId="47D5E3FC">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台</w:t>
            </w:r>
          </w:p>
        </w:tc>
        <w:tc>
          <w:tcPr>
            <w:tcW w:w="3305" w:type="dxa"/>
            <w:noWrap w:val="0"/>
            <w:vAlign w:val="center"/>
          </w:tcPr>
          <w:p w14:paraId="61395D37">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1</w:t>
            </w:r>
          </w:p>
        </w:tc>
      </w:tr>
      <w:tr w14:paraId="50D90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7" w:hRule="atLeast"/>
          <w:jc w:val="center"/>
        </w:trPr>
        <w:tc>
          <w:tcPr>
            <w:tcW w:w="1393" w:type="dxa"/>
            <w:tcBorders>
              <w:top w:val="single" w:color="auto" w:sz="4" w:space="0"/>
              <w:bottom w:val="single" w:color="auto" w:sz="4" w:space="0"/>
              <w:right w:val="single" w:color="auto" w:sz="4" w:space="0"/>
            </w:tcBorders>
            <w:shd w:val="clear" w:color="auto" w:fill="FFFFFF"/>
            <w:noWrap w:val="0"/>
            <w:vAlign w:val="center"/>
          </w:tcPr>
          <w:p w14:paraId="4AEA976B">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lang w:val="en-US" w:eastAsia="zh-CN"/>
              </w:rPr>
              <w:t>6</w:t>
            </w:r>
          </w:p>
        </w:tc>
        <w:tc>
          <w:tcPr>
            <w:tcW w:w="4065" w:type="dxa"/>
            <w:tcBorders>
              <w:left w:val="single" w:color="auto" w:sz="4" w:space="0"/>
              <w:right w:val="single" w:color="auto" w:sz="4" w:space="0"/>
            </w:tcBorders>
            <w:shd w:val="clear" w:color="auto" w:fill="FFFFFF"/>
            <w:noWrap w:val="0"/>
            <w:vAlign w:val="center"/>
          </w:tcPr>
          <w:p w14:paraId="392A3C5A">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工程服务车</w:t>
            </w:r>
          </w:p>
        </w:tc>
        <w:tc>
          <w:tcPr>
            <w:tcW w:w="1074" w:type="dxa"/>
            <w:tcBorders>
              <w:left w:val="single" w:color="auto" w:sz="4" w:space="0"/>
              <w:right w:val="single" w:color="auto" w:sz="4" w:space="0"/>
            </w:tcBorders>
            <w:shd w:val="clear" w:color="auto" w:fill="FFFFFF"/>
            <w:noWrap w:val="0"/>
            <w:vAlign w:val="center"/>
          </w:tcPr>
          <w:p w14:paraId="5D40F6D7">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辆</w:t>
            </w:r>
          </w:p>
        </w:tc>
        <w:tc>
          <w:tcPr>
            <w:tcW w:w="3305" w:type="dxa"/>
            <w:shd w:val="clear" w:color="auto" w:fill="FFFFFF"/>
            <w:noWrap w:val="0"/>
            <w:vAlign w:val="center"/>
          </w:tcPr>
          <w:p w14:paraId="70ECA4B9">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w:t>
            </w:r>
          </w:p>
        </w:tc>
      </w:tr>
    </w:tbl>
    <w:p w14:paraId="54C4DFD5">
      <w:pPr>
        <w:numPr>
          <w:ilvl w:val="0"/>
          <w:numId w:val="0"/>
        </w:num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bidi="ar-SA"/>
        </w:rPr>
        <w:t>7.</w:t>
      </w:r>
      <w:r>
        <w:rPr>
          <w:rFonts w:hint="eastAsia" w:ascii="仿宋" w:hAnsi="仿宋" w:eastAsia="仿宋" w:cs="仿宋"/>
          <w:color w:val="auto"/>
          <w:kern w:val="0"/>
          <w:sz w:val="24"/>
          <w:szCs w:val="24"/>
        </w:rPr>
        <w:t>用药要求：</w:t>
      </w:r>
    </w:p>
    <w:p w14:paraId="2412AA2A">
      <w:pPr>
        <w:spacing w:line="500" w:lineRule="exact"/>
        <w:ind w:firstLine="480" w:firstLineChars="200"/>
        <w:rPr>
          <w:rFonts w:hint="eastAsia" w:ascii="仿宋" w:hAnsi="仿宋" w:eastAsia="仿宋" w:cs="仿宋"/>
          <w:b/>
          <w:bCs/>
          <w:color w:val="auto"/>
          <w:sz w:val="24"/>
          <w:szCs w:val="24"/>
        </w:rPr>
      </w:pPr>
      <w:r>
        <w:rPr>
          <w:rFonts w:hint="eastAsia" w:ascii="仿宋" w:hAnsi="仿宋" w:eastAsia="仿宋" w:cs="仿宋"/>
          <w:color w:val="auto"/>
          <w:sz w:val="24"/>
          <w:szCs w:val="24"/>
        </w:rPr>
        <w:t>成交供应商</w:t>
      </w:r>
      <w:r>
        <w:rPr>
          <w:rFonts w:hint="eastAsia" w:ascii="仿宋" w:hAnsi="仿宋" w:eastAsia="仿宋" w:cs="仿宋"/>
          <w:color w:val="auto"/>
          <w:kern w:val="0"/>
          <w:sz w:val="24"/>
          <w:szCs w:val="24"/>
        </w:rPr>
        <w:t>须注重科学合理用药，不得使用国家禁用的药物，并须确保药物来源和质量正当可靠。使用的药物和器械必须符合国家规定的相关要求，达到“科学、安全、高效、环保”。为保证用药质量，确保</w:t>
      </w:r>
      <w:r>
        <w:rPr>
          <w:rFonts w:hint="eastAsia" w:ascii="仿宋" w:hAnsi="仿宋" w:eastAsia="仿宋" w:cs="仿宋"/>
          <w:color w:val="auto"/>
          <w:kern w:val="0"/>
          <w:sz w:val="24"/>
          <w:szCs w:val="24"/>
          <w:lang w:val="en-US" w:eastAsia="zh-CN"/>
        </w:rPr>
        <w:t>病媒生物防制效果</w:t>
      </w:r>
      <w:r>
        <w:rPr>
          <w:rFonts w:hint="eastAsia" w:ascii="仿宋" w:hAnsi="仿宋" w:eastAsia="仿宋" w:cs="仿宋"/>
          <w:color w:val="auto"/>
          <w:kern w:val="0"/>
          <w:sz w:val="24"/>
          <w:szCs w:val="24"/>
        </w:rPr>
        <w:t>，使用药物</w:t>
      </w:r>
      <w:r>
        <w:rPr>
          <w:rFonts w:hint="eastAsia" w:ascii="仿宋" w:hAnsi="仿宋" w:eastAsia="仿宋" w:cs="仿宋"/>
          <w:color w:val="auto"/>
          <w:kern w:val="0"/>
          <w:sz w:val="24"/>
          <w:szCs w:val="24"/>
          <w:lang w:eastAsia="zh-CN"/>
        </w:rPr>
        <w:t>可以按</w:t>
      </w:r>
      <w:r>
        <w:rPr>
          <w:rFonts w:hint="eastAsia" w:ascii="仿宋" w:hAnsi="仿宋" w:eastAsia="仿宋" w:cs="仿宋"/>
          <w:color w:val="auto"/>
          <w:kern w:val="0"/>
          <w:sz w:val="24"/>
          <w:szCs w:val="24"/>
        </w:rPr>
        <w:t>要求</w:t>
      </w:r>
      <w:r>
        <w:rPr>
          <w:rFonts w:hint="eastAsia" w:ascii="仿宋" w:hAnsi="仿宋" w:eastAsia="仿宋" w:cs="仿宋"/>
          <w:color w:val="auto"/>
          <w:kern w:val="0"/>
          <w:sz w:val="24"/>
          <w:szCs w:val="24"/>
          <w:lang w:eastAsia="zh-CN"/>
        </w:rPr>
        <w:t>选</w:t>
      </w:r>
      <w:r>
        <w:rPr>
          <w:rFonts w:hint="eastAsia" w:ascii="仿宋" w:hAnsi="仿宋" w:eastAsia="仿宋" w:cs="仿宋"/>
          <w:color w:val="auto"/>
          <w:kern w:val="0"/>
          <w:sz w:val="24"/>
          <w:szCs w:val="24"/>
        </w:rPr>
        <w:t>用</w:t>
      </w:r>
      <w:r>
        <w:rPr>
          <w:rFonts w:hint="eastAsia" w:ascii="仿宋" w:hAnsi="仿宋" w:eastAsia="仿宋" w:cs="仿宋"/>
          <w:color w:val="auto"/>
          <w:kern w:val="0"/>
          <w:sz w:val="24"/>
          <w:szCs w:val="24"/>
          <w:lang w:eastAsia="zh-CN"/>
        </w:rPr>
        <w:t>，使用的药品应有药品三证（</w:t>
      </w:r>
      <w:r>
        <w:rPr>
          <w:rFonts w:hint="eastAsia" w:ascii="仿宋" w:hAnsi="仿宋" w:eastAsia="仿宋" w:cs="仿宋"/>
          <w:color w:val="auto"/>
          <w:kern w:val="0"/>
          <w:sz w:val="24"/>
          <w:szCs w:val="24"/>
        </w:rPr>
        <w:t>农业部颁发的农药登记证</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农药生产批准证书</w:t>
      </w:r>
      <w:r>
        <w:rPr>
          <w:rFonts w:hint="eastAsia" w:ascii="仿宋" w:hAnsi="仿宋" w:eastAsia="仿宋" w:cs="仿宋"/>
          <w:color w:val="auto"/>
          <w:kern w:val="0"/>
          <w:sz w:val="24"/>
          <w:szCs w:val="24"/>
          <w:lang w:eastAsia="zh-CN"/>
        </w:rPr>
        <w:t>或农药生产许可证、</w:t>
      </w:r>
      <w:r>
        <w:rPr>
          <w:rFonts w:hint="eastAsia" w:ascii="仿宋" w:hAnsi="仿宋" w:eastAsia="仿宋" w:cs="仿宋"/>
          <w:color w:val="auto"/>
          <w:kern w:val="0"/>
          <w:sz w:val="24"/>
          <w:szCs w:val="24"/>
        </w:rPr>
        <w:t>企业标准信息公共服务平台备案的企业标准</w:t>
      </w:r>
      <w:r>
        <w:rPr>
          <w:rFonts w:hint="eastAsia" w:ascii="仿宋" w:hAnsi="仿宋" w:eastAsia="仿宋" w:cs="仿宋"/>
          <w:color w:val="auto"/>
          <w:kern w:val="0"/>
          <w:sz w:val="24"/>
          <w:szCs w:val="24"/>
          <w:lang w:eastAsia="zh-CN"/>
        </w:rPr>
        <w:t>），</w:t>
      </w:r>
      <w:r>
        <w:rPr>
          <w:rFonts w:hint="eastAsia" w:ascii="仿宋" w:hAnsi="仿宋" w:eastAsia="仿宋" w:cs="仿宋"/>
          <w:b/>
          <w:bCs/>
          <w:color w:val="auto"/>
          <w:kern w:val="0"/>
          <w:sz w:val="24"/>
          <w:szCs w:val="24"/>
        </w:rPr>
        <w:t>响应文件中须提供</w:t>
      </w:r>
      <w:r>
        <w:rPr>
          <w:rFonts w:hint="eastAsia" w:ascii="仿宋" w:hAnsi="仿宋" w:eastAsia="仿宋" w:cs="仿宋"/>
          <w:b/>
          <w:bCs/>
          <w:color w:val="auto"/>
          <w:kern w:val="0"/>
          <w:sz w:val="24"/>
          <w:szCs w:val="24"/>
          <w:lang w:val="en-US" w:eastAsia="zh-CN"/>
        </w:rPr>
        <w:t>所投</w:t>
      </w:r>
      <w:r>
        <w:rPr>
          <w:rFonts w:hint="eastAsia" w:ascii="仿宋" w:hAnsi="仿宋" w:eastAsia="仿宋" w:cs="仿宋"/>
          <w:b/>
          <w:bCs/>
          <w:color w:val="auto"/>
          <w:kern w:val="0"/>
          <w:sz w:val="24"/>
          <w:szCs w:val="24"/>
        </w:rPr>
        <w:t>药品</w:t>
      </w:r>
      <w:r>
        <w:rPr>
          <w:rFonts w:hint="eastAsia" w:ascii="仿宋" w:hAnsi="仿宋" w:eastAsia="仿宋" w:cs="仿宋"/>
          <w:b/>
          <w:bCs/>
          <w:color w:val="auto"/>
          <w:kern w:val="0"/>
          <w:sz w:val="24"/>
          <w:szCs w:val="24"/>
          <w:lang w:val="en-US" w:eastAsia="zh-CN"/>
        </w:rPr>
        <w:t>的三证扫描件</w:t>
      </w:r>
      <w:r>
        <w:rPr>
          <w:rFonts w:hint="eastAsia" w:ascii="仿宋" w:hAnsi="仿宋" w:eastAsia="仿宋" w:cs="仿宋"/>
          <w:b/>
          <w:bCs/>
          <w:color w:val="auto"/>
          <w:kern w:val="0"/>
          <w:sz w:val="24"/>
          <w:szCs w:val="24"/>
        </w:rPr>
        <w:t>并加盖</w:t>
      </w:r>
      <w:r>
        <w:rPr>
          <w:rFonts w:hint="eastAsia" w:ascii="仿宋" w:hAnsi="仿宋" w:eastAsia="仿宋" w:cs="仿宋"/>
          <w:b/>
          <w:bCs/>
          <w:color w:val="auto"/>
          <w:kern w:val="0"/>
          <w:sz w:val="24"/>
          <w:szCs w:val="24"/>
          <w:lang w:val="en-US" w:eastAsia="zh-CN"/>
        </w:rPr>
        <w:t>供应商</w:t>
      </w:r>
      <w:r>
        <w:rPr>
          <w:rFonts w:hint="eastAsia" w:ascii="仿宋" w:hAnsi="仿宋" w:eastAsia="仿宋" w:cs="仿宋"/>
          <w:b/>
          <w:bCs/>
          <w:color w:val="auto"/>
          <w:kern w:val="0"/>
          <w:sz w:val="24"/>
          <w:szCs w:val="24"/>
        </w:rPr>
        <w:t>公章。</w:t>
      </w:r>
    </w:p>
    <w:p w14:paraId="110CE54B">
      <w:pPr>
        <w:numPr>
          <w:ilvl w:val="0"/>
          <w:numId w:val="0"/>
        </w:numPr>
        <w:spacing w:line="5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7.1</w:t>
      </w:r>
      <w:r>
        <w:rPr>
          <w:rFonts w:hint="eastAsia" w:ascii="仿宋" w:hAnsi="仿宋" w:eastAsia="仿宋" w:cs="仿宋"/>
          <w:color w:val="auto"/>
          <w:sz w:val="24"/>
          <w:szCs w:val="24"/>
        </w:rPr>
        <w:t>本项目</w:t>
      </w:r>
      <w:r>
        <w:rPr>
          <w:rFonts w:hint="eastAsia" w:ascii="仿宋" w:hAnsi="仿宋" w:eastAsia="仿宋" w:cs="仿宋"/>
          <w:color w:val="auto"/>
          <w:sz w:val="24"/>
          <w:szCs w:val="24"/>
          <w:lang w:eastAsia="zh-CN"/>
        </w:rPr>
        <w:t>可按以下药品选用</w:t>
      </w:r>
      <w:r>
        <w:rPr>
          <w:rFonts w:hint="eastAsia" w:ascii="仿宋" w:hAnsi="仿宋" w:eastAsia="仿宋" w:cs="仿宋"/>
          <w:color w:val="auto"/>
          <w:sz w:val="24"/>
          <w:szCs w:val="24"/>
        </w:rPr>
        <w:t>：</w:t>
      </w:r>
    </w:p>
    <w:tbl>
      <w:tblPr>
        <w:tblStyle w:val="7"/>
        <w:tblW w:w="9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9"/>
        <w:gridCol w:w="2023"/>
        <w:gridCol w:w="2121"/>
        <w:gridCol w:w="988"/>
        <w:gridCol w:w="1460"/>
        <w:gridCol w:w="2354"/>
      </w:tblGrid>
      <w:tr w14:paraId="2D95E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4CD64AF1">
            <w:pPr>
              <w:pStyle w:val="6"/>
              <w:spacing w:before="32" w:line="206" w:lineRule="auto"/>
              <w:ind w:left="154"/>
              <w:jc w:val="both"/>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序号</w:t>
            </w:r>
          </w:p>
        </w:tc>
        <w:tc>
          <w:tcPr>
            <w:tcW w:w="2023" w:type="dxa"/>
            <w:noWrap w:val="0"/>
            <w:vAlign w:val="center"/>
          </w:tcPr>
          <w:p w14:paraId="1372084D">
            <w:pPr>
              <w:pStyle w:val="6"/>
              <w:spacing w:before="32" w:line="206" w:lineRule="auto"/>
              <w:ind w:left="594"/>
              <w:jc w:val="both"/>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药品名称</w:t>
            </w:r>
          </w:p>
        </w:tc>
        <w:tc>
          <w:tcPr>
            <w:tcW w:w="2121" w:type="dxa"/>
            <w:noWrap w:val="0"/>
            <w:vAlign w:val="center"/>
          </w:tcPr>
          <w:p w14:paraId="119CB68B">
            <w:pPr>
              <w:pStyle w:val="6"/>
              <w:spacing w:before="32" w:line="206" w:lineRule="auto"/>
              <w:ind w:left="320"/>
              <w:jc w:val="both"/>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药品有效成分</w:t>
            </w:r>
          </w:p>
        </w:tc>
        <w:tc>
          <w:tcPr>
            <w:tcW w:w="988" w:type="dxa"/>
            <w:noWrap w:val="0"/>
            <w:vAlign w:val="center"/>
          </w:tcPr>
          <w:p w14:paraId="5BE97972">
            <w:pPr>
              <w:pStyle w:val="6"/>
              <w:spacing w:before="32" w:line="206" w:lineRule="auto"/>
              <w:ind w:left="404"/>
              <w:jc w:val="both"/>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剂型</w:t>
            </w:r>
          </w:p>
        </w:tc>
        <w:tc>
          <w:tcPr>
            <w:tcW w:w="1460" w:type="dxa"/>
            <w:noWrap w:val="0"/>
            <w:vAlign w:val="center"/>
          </w:tcPr>
          <w:p w14:paraId="19700979">
            <w:pPr>
              <w:pStyle w:val="6"/>
              <w:spacing w:before="32" w:line="206" w:lineRule="auto"/>
              <w:ind w:left="329"/>
              <w:jc w:val="both"/>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防治对象</w:t>
            </w:r>
          </w:p>
        </w:tc>
        <w:tc>
          <w:tcPr>
            <w:tcW w:w="2354" w:type="dxa"/>
            <w:noWrap w:val="0"/>
            <w:vAlign w:val="center"/>
          </w:tcPr>
          <w:p w14:paraId="30827FED">
            <w:pPr>
              <w:pStyle w:val="6"/>
              <w:spacing w:before="32" w:line="206" w:lineRule="auto"/>
              <w:ind w:left="570"/>
              <w:jc w:val="both"/>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药物用途</w:t>
            </w:r>
          </w:p>
        </w:tc>
      </w:tr>
      <w:tr w14:paraId="57D56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187A5834">
            <w:pPr>
              <w:spacing w:before="51" w:line="186" w:lineRule="auto"/>
              <w:ind w:left="309"/>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2023" w:type="dxa"/>
            <w:noWrap w:val="0"/>
            <w:vAlign w:val="center"/>
          </w:tcPr>
          <w:p w14:paraId="3CF9887F">
            <w:pPr>
              <w:pStyle w:val="6"/>
              <w:spacing w:before="136" w:line="219" w:lineRule="auto"/>
              <w:ind w:left="466"/>
              <w:jc w:val="both"/>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高氯.毒死蜱</w:t>
            </w:r>
          </w:p>
        </w:tc>
        <w:tc>
          <w:tcPr>
            <w:tcW w:w="2121" w:type="dxa"/>
            <w:noWrap w:val="0"/>
            <w:vAlign w:val="center"/>
          </w:tcPr>
          <w:p w14:paraId="488B3DCA">
            <w:pPr>
              <w:pStyle w:val="6"/>
              <w:spacing w:before="137" w:line="353" w:lineRule="auto"/>
              <w:ind w:right="202"/>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lang w:val="en-US" w:eastAsia="zh-CN"/>
              </w:rPr>
              <w:t>≥</w:t>
            </w:r>
            <w:r>
              <w:rPr>
                <w:rFonts w:hint="eastAsia" w:ascii="仿宋" w:hAnsi="仿宋" w:eastAsia="仿宋" w:cs="仿宋"/>
                <w:color w:val="auto"/>
                <w:spacing w:val="-3"/>
                <w:sz w:val="24"/>
                <w:szCs w:val="24"/>
                <w:highlight w:val="none"/>
              </w:rPr>
              <w:t>12%高</w:t>
            </w:r>
            <w:r>
              <w:rPr>
                <w:rFonts w:hint="eastAsia" w:ascii="仿宋" w:hAnsi="仿宋" w:eastAsia="仿宋" w:cs="仿宋"/>
                <w:color w:val="auto"/>
                <w:spacing w:val="-3"/>
                <w:sz w:val="24"/>
                <w:szCs w:val="24"/>
                <w:highlight w:val="none"/>
                <w:lang w:val="en-US" w:eastAsia="zh-CN"/>
              </w:rPr>
              <w:t>氯</w:t>
            </w:r>
            <w:r>
              <w:rPr>
                <w:rFonts w:hint="eastAsia" w:ascii="仿宋" w:hAnsi="仿宋" w:eastAsia="仿宋" w:cs="仿宋"/>
                <w:color w:val="auto"/>
                <w:spacing w:val="-3"/>
                <w:sz w:val="24"/>
                <w:szCs w:val="24"/>
                <w:highlight w:val="none"/>
              </w:rPr>
              <w:t>.毒死</w:t>
            </w:r>
            <w:r>
              <w:rPr>
                <w:rFonts w:hint="eastAsia" w:ascii="仿宋" w:hAnsi="仿宋" w:eastAsia="仿宋" w:cs="仿宋"/>
                <w:color w:val="auto"/>
                <w:sz w:val="24"/>
                <w:szCs w:val="24"/>
                <w:highlight w:val="none"/>
              </w:rPr>
              <w:t>蜱</w:t>
            </w:r>
          </w:p>
        </w:tc>
        <w:tc>
          <w:tcPr>
            <w:tcW w:w="988" w:type="dxa"/>
            <w:noWrap w:val="0"/>
            <w:vAlign w:val="center"/>
          </w:tcPr>
          <w:p w14:paraId="24E66593">
            <w:pPr>
              <w:pStyle w:val="6"/>
              <w:spacing w:before="29" w:line="221"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乳油</w:t>
            </w:r>
          </w:p>
        </w:tc>
        <w:tc>
          <w:tcPr>
            <w:tcW w:w="1460" w:type="dxa"/>
            <w:noWrap w:val="0"/>
            <w:vAlign w:val="center"/>
          </w:tcPr>
          <w:p w14:paraId="0F26E1AF">
            <w:pPr>
              <w:pStyle w:val="6"/>
              <w:spacing w:before="29" w:line="220" w:lineRule="auto"/>
              <w:ind w:left="112"/>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蚊、蝇</w:t>
            </w:r>
          </w:p>
        </w:tc>
        <w:tc>
          <w:tcPr>
            <w:tcW w:w="2354" w:type="dxa"/>
            <w:noWrap w:val="0"/>
            <w:vAlign w:val="center"/>
          </w:tcPr>
          <w:p w14:paraId="4A1F5BCB">
            <w:pPr>
              <w:jc w:val="center"/>
              <w:rPr>
                <w:rFonts w:hint="eastAsia" w:ascii="仿宋" w:hAnsi="仿宋" w:eastAsia="仿宋" w:cs="仿宋"/>
                <w:color w:val="auto"/>
                <w:sz w:val="24"/>
                <w:szCs w:val="24"/>
              </w:rPr>
            </w:pPr>
            <w:r>
              <w:rPr>
                <w:rFonts w:hint="eastAsia" w:ascii="仿宋" w:hAnsi="仿宋" w:eastAsia="仿宋" w:cs="仿宋"/>
                <w:color w:val="auto"/>
                <w:sz w:val="24"/>
                <w:szCs w:val="24"/>
              </w:rPr>
              <w:t>室外各类环境使用</w:t>
            </w:r>
          </w:p>
        </w:tc>
      </w:tr>
      <w:tr w14:paraId="41E70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3665E2B6">
            <w:pPr>
              <w:spacing w:before="51" w:line="186" w:lineRule="auto"/>
              <w:ind w:left="309" w:leftChars="0"/>
              <w:jc w:val="both"/>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color w:val="auto"/>
                <w:sz w:val="24"/>
                <w:szCs w:val="24"/>
                <w:highlight w:val="none"/>
              </w:rPr>
              <w:t>2</w:t>
            </w:r>
          </w:p>
        </w:tc>
        <w:tc>
          <w:tcPr>
            <w:tcW w:w="2023" w:type="dxa"/>
            <w:noWrap w:val="0"/>
            <w:vAlign w:val="center"/>
          </w:tcPr>
          <w:p w14:paraId="0769BBD6">
            <w:pPr>
              <w:pStyle w:val="6"/>
              <w:spacing w:before="30" w:line="220" w:lineRule="auto"/>
              <w:ind w:left="282"/>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高效氟氯氰菊酯</w:t>
            </w:r>
          </w:p>
        </w:tc>
        <w:tc>
          <w:tcPr>
            <w:tcW w:w="2121" w:type="dxa"/>
            <w:noWrap w:val="0"/>
            <w:vAlign w:val="center"/>
          </w:tcPr>
          <w:p w14:paraId="5841FC57">
            <w:pPr>
              <w:pStyle w:val="6"/>
              <w:spacing w:before="31" w:line="221" w:lineRule="auto"/>
              <w:ind w:right="202"/>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lang w:val="en-US" w:eastAsia="zh-CN"/>
              </w:rPr>
              <w:t>≥</w:t>
            </w:r>
            <w:r>
              <w:rPr>
                <w:rFonts w:hint="eastAsia" w:ascii="仿宋" w:hAnsi="仿宋" w:eastAsia="仿宋" w:cs="仿宋"/>
                <w:color w:val="auto"/>
                <w:spacing w:val="-3"/>
                <w:sz w:val="24"/>
                <w:szCs w:val="24"/>
                <w:highlight w:val="none"/>
              </w:rPr>
              <w:t>7.5%高效氟氯</w:t>
            </w:r>
            <w:r>
              <w:rPr>
                <w:rFonts w:hint="eastAsia" w:ascii="仿宋" w:hAnsi="仿宋" w:eastAsia="仿宋" w:cs="仿宋"/>
                <w:color w:val="auto"/>
                <w:spacing w:val="-2"/>
                <w:sz w:val="24"/>
                <w:szCs w:val="24"/>
                <w:highlight w:val="none"/>
              </w:rPr>
              <w:t>氰菊酯</w:t>
            </w:r>
          </w:p>
        </w:tc>
        <w:tc>
          <w:tcPr>
            <w:tcW w:w="988" w:type="dxa"/>
            <w:noWrap w:val="0"/>
            <w:vAlign w:val="center"/>
          </w:tcPr>
          <w:p w14:paraId="38FE0F69">
            <w:pPr>
              <w:pStyle w:val="6"/>
              <w:spacing w:before="30"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悬浮剂</w:t>
            </w:r>
          </w:p>
        </w:tc>
        <w:tc>
          <w:tcPr>
            <w:tcW w:w="1460" w:type="dxa"/>
            <w:noWrap w:val="0"/>
            <w:vAlign w:val="center"/>
          </w:tcPr>
          <w:p w14:paraId="194DC2E4">
            <w:pPr>
              <w:pStyle w:val="6"/>
              <w:spacing w:before="30" w:line="220" w:lineRule="auto"/>
              <w:ind w:left="112"/>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蚊、蝇、</w:t>
            </w:r>
            <w:r>
              <w:rPr>
                <w:rFonts w:hint="eastAsia" w:ascii="仿宋" w:hAnsi="仿宋" w:eastAsia="仿宋" w:cs="仿宋"/>
                <w:color w:val="auto"/>
                <w:spacing w:val="-4"/>
                <w:sz w:val="24"/>
                <w:szCs w:val="24"/>
                <w:highlight w:val="none"/>
                <w:lang w:val="en-US" w:eastAsia="zh-CN"/>
              </w:rPr>
              <w:t>蜚蠊</w:t>
            </w:r>
          </w:p>
        </w:tc>
        <w:tc>
          <w:tcPr>
            <w:tcW w:w="2354" w:type="dxa"/>
            <w:noWrap w:val="0"/>
            <w:vAlign w:val="center"/>
          </w:tcPr>
          <w:p w14:paraId="4A82C4F8">
            <w:pPr>
              <w:jc w:val="center"/>
              <w:rPr>
                <w:rFonts w:hint="eastAsia" w:ascii="仿宋" w:hAnsi="仿宋" w:eastAsia="仿宋" w:cs="仿宋"/>
                <w:color w:val="auto"/>
                <w:sz w:val="24"/>
                <w:szCs w:val="24"/>
              </w:rPr>
            </w:pPr>
            <w:r>
              <w:rPr>
                <w:rFonts w:hint="eastAsia" w:ascii="仿宋" w:hAnsi="仿宋" w:eastAsia="仿宋" w:cs="仿宋"/>
                <w:color w:val="auto"/>
                <w:sz w:val="24"/>
                <w:szCs w:val="24"/>
              </w:rPr>
              <w:t>室内外灭蚊、蝇、</w:t>
            </w:r>
            <w:r>
              <w:rPr>
                <w:rFonts w:hint="eastAsia" w:ascii="仿宋" w:hAnsi="仿宋" w:eastAsia="仿宋" w:cs="仿宋"/>
                <w:color w:val="auto"/>
                <w:sz w:val="24"/>
                <w:szCs w:val="24"/>
                <w:lang w:val="en-US" w:eastAsia="zh-CN"/>
              </w:rPr>
              <w:t>蜚蠊</w:t>
            </w:r>
            <w:r>
              <w:rPr>
                <w:rFonts w:hint="eastAsia" w:ascii="仿宋" w:hAnsi="仿宋" w:eastAsia="仿宋" w:cs="仿宋"/>
                <w:color w:val="auto"/>
                <w:sz w:val="24"/>
                <w:szCs w:val="24"/>
              </w:rPr>
              <w:t>用药</w:t>
            </w:r>
          </w:p>
        </w:tc>
      </w:tr>
      <w:tr w14:paraId="5787C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48E6D56F">
            <w:pPr>
              <w:spacing w:before="52" w:line="186" w:lineRule="auto"/>
              <w:ind w:left="313"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2023" w:type="dxa"/>
            <w:noWrap w:val="0"/>
            <w:vAlign w:val="center"/>
          </w:tcPr>
          <w:p w14:paraId="513CFF24">
            <w:pPr>
              <w:pStyle w:val="6"/>
              <w:spacing w:before="31" w:line="221" w:lineRule="auto"/>
              <w:ind w:left="631" w:right="202" w:hanging="409"/>
              <w:jc w:val="center"/>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溴敌隆</w:t>
            </w:r>
          </w:p>
        </w:tc>
        <w:tc>
          <w:tcPr>
            <w:tcW w:w="2121" w:type="dxa"/>
            <w:noWrap w:val="0"/>
            <w:vAlign w:val="center"/>
          </w:tcPr>
          <w:p w14:paraId="33992E8F">
            <w:pPr>
              <w:pStyle w:val="6"/>
              <w:spacing w:before="31" w:line="221" w:lineRule="auto"/>
              <w:ind w:left="631" w:right="202" w:hanging="409"/>
              <w:jc w:val="center"/>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≥0.005%溴敌隆</w:t>
            </w:r>
          </w:p>
        </w:tc>
        <w:tc>
          <w:tcPr>
            <w:tcW w:w="988" w:type="dxa"/>
            <w:noWrap w:val="0"/>
            <w:vAlign w:val="center"/>
          </w:tcPr>
          <w:p w14:paraId="6B83ECA7">
            <w:pPr>
              <w:pStyle w:val="6"/>
              <w:spacing w:before="31" w:line="221" w:lineRule="auto"/>
              <w:ind w:left="631" w:right="202" w:hanging="409"/>
              <w:jc w:val="center"/>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毒饵</w:t>
            </w:r>
          </w:p>
        </w:tc>
        <w:tc>
          <w:tcPr>
            <w:tcW w:w="1460" w:type="dxa"/>
            <w:noWrap w:val="0"/>
            <w:vAlign w:val="center"/>
          </w:tcPr>
          <w:p w14:paraId="16F7DFFF">
            <w:pPr>
              <w:pStyle w:val="6"/>
              <w:spacing w:before="31" w:line="220" w:lineRule="auto"/>
              <w:ind w:left="112"/>
              <w:jc w:val="center"/>
              <w:rPr>
                <w:rFonts w:hint="eastAsia" w:ascii="仿宋" w:hAnsi="仿宋" w:eastAsia="仿宋" w:cs="仿宋"/>
                <w:color w:val="auto"/>
                <w:spacing w:val="-4"/>
                <w:sz w:val="24"/>
                <w:szCs w:val="24"/>
                <w:highlight w:val="none"/>
                <w:lang w:val="en-US" w:eastAsia="zh-CN"/>
              </w:rPr>
            </w:pPr>
            <w:r>
              <w:rPr>
                <w:rFonts w:hint="eastAsia" w:ascii="仿宋" w:hAnsi="仿宋" w:eastAsia="仿宋" w:cs="仿宋"/>
                <w:color w:val="auto"/>
                <w:spacing w:val="-3"/>
                <w:sz w:val="24"/>
                <w:szCs w:val="24"/>
                <w:highlight w:val="none"/>
                <w:lang w:val="en-US" w:eastAsia="zh-CN"/>
              </w:rPr>
              <w:t>家</w:t>
            </w:r>
            <w:r>
              <w:rPr>
                <w:rFonts w:hint="eastAsia" w:ascii="仿宋" w:hAnsi="仿宋" w:eastAsia="仿宋" w:cs="仿宋"/>
                <w:color w:val="auto"/>
                <w:spacing w:val="-3"/>
                <w:sz w:val="24"/>
                <w:szCs w:val="24"/>
                <w:highlight w:val="none"/>
              </w:rPr>
              <w:t>鼠</w:t>
            </w:r>
          </w:p>
        </w:tc>
        <w:tc>
          <w:tcPr>
            <w:tcW w:w="2354" w:type="dxa"/>
            <w:noWrap w:val="0"/>
            <w:vAlign w:val="center"/>
          </w:tcPr>
          <w:p w14:paraId="145F2CFC">
            <w:pPr>
              <w:jc w:val="center"/>
              <w:rPr>
                <w:rFonts w:hint="eastAsia" w:ascii="仿宋" w:hAnsi="仿宋" w:eastAsia="仿宋" w:cs="仿宋"/>
                <w:color w:val="auto"/>
                <w:sz w:val="24"/>
                <w:szCs w:val="24"/>
              </w:rPr>
            </w:pPr>
            <w:r>
              <w:rPr>
                <w:rFonts w:hint="eastAsia" w:ascii="仿宋" w:hAnsi="仿宋" w:eastAsia="仿宋" w:cs="仿宋"/>
                <w:color w:val="auto"/>
                <w:sz w:val="24"/>
                <w:szCs w:val="24"/>
              </w:rPr>
              <w:t>灭鼠药物，各类环境使用</w:t>
            </w:r>
          </w:p>
        </w:tc>
      </w:tr>
      <w:tr w14:paraId="0E1E7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0553D445">
            <w:pPr>
              <w:spacing w:before="52" w:line="186" w:lineRule="auto"/>
              <w:ind w:left="313" w:leftChars="0"/>
              <w:jc w:val="both"/>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4</w:t>
            </w:r>
          </w:p>
        </w:tc>
        <w:tc>
          <w:tcPr>
            <w:tcW w:w="2023" w:type="dxa"/>
            <w:noWrap w:val="0"/>
            <w:vAlign w:val="center"/>
          </w:tcPr>
          <w:p w14:paraId="125DC7B0">
            <w:pPr>
              <w:pStyle w:val="6"/>
              <w:spacing w:before="31" w:line="219" w:lineRule="auto"/>
              <w:ind w:left="490"/>
              <w:jc w:val="left"/>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杀虫热雾剂</w:t>
            </w:r>
          </w:p>
        </w:tc>
        <w:tc>
          <w:tcPr>
            <w:tcW w:w="2121" w:type="dxa"/>
            <w:noWrap w:val="0"/>
            <w:vAlign w:val="center"/>
          </w:tcPr>
          <w:p w14:paraId="73175C45">
            <w:pPr>
              <w:pStyle w:val="6"/>
              <w:spacing w:before="30" w:line="335" w:lineRule="auto"/>
              <w:ind w:left="176" w:right="166" w:firstLine="19"/>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w:t>
            </w:r>
            <w:r>
              <w:rPr>
                <w:rFonts w:hint="eastAsia" w:ascii="仿宋" w:hAnsi="仿宋" w:eastAsia="仿宋" w:cs="仿宋"/>
                <w:color w:val="auto"/>
                <w:sz w:val="24"/>
                <w:szCs w:val="24"/>
                <w:highlight w:val="none"/>
              </w:rPr>
              <w:t>残杀威</w:t>
            </w:r>
            <w:r>
              <w:rPr>
                <w:rFonts w:hint="eastAsia" w:ascii="仿宋" w:hAnsi="仿宋" w:eastAsia="仿宋" w:cs="仿宋"/>
                <w:b/>
                <w:bCs/>
                <w:color w:val="auto"/>
                <w:sz w:val="24"/>
                <w:szCs w:val="24"/>
                <w:highlight w:val="none"/>
              </w:rPr>
              <w:t>.</w:t>
            </w:r>
            <w:r>
              <w:rPr>
                <w:rFonts w:hint="eastAsia" w:ascii="仿宋" w:hAnsi="仿宋" w:eastAsia="仿宋" w:cs="仿宋"/>
                <w:color w:val="auto"/>
                <w:spacing w:val="-3"/>
                <w:sz w:val="24"/>
                <w:szCs w:val="24"/>
                <w:highlight w:val="none"/>
              </w:rPr>
              <w:t>右旋反式氯</w:t>
            </w:r>
            <w:r>
              <w:rPr>
                <w:rFonts w:hint="eastAsia" w:ascii="仿宋" w:hAnsi="仿宋" w:eastAsia="仿宋" w:cs="仿宋"/>
                <w:color w:val="auto"/>
                <w:sz w:val="24"/>
                <w:szCs w:val="24"/>
                <w:highlight w:val="none"/>
              </w:rPr>
              <w:t>丙炔菊酯</w:t>
            </w:r>
          </w:p>
        </w:tc>
        <w:tc>
          <w:tcPr>
            <w:tcW w:w="988" w:type="dxa"/>
            <w:noWrap w:val="0"/>
            <w:vAlign w:val="center"/>
          </w:tcPr>
          <w:p w14:paraId="594DE6A5">
            <w:pPr>
              <w:pStyle w:val="6"/>
              <w:spacing w:before="31"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热雾剂</w:t>
            </w:r>
          </w:p>
        </w:tc>
        <w:tc>
          <w:tcPr>
            <w:tcW w:w="1460" w:type="dxa"/>
            <w:noWrap w:val="0"/>
            <w:vAlign w:val="center"/>
          </w:tcPr>
          <w:p w14:paraId="3A014C30">
            <w:pPr>
              <w:pStyle w:val="6"/>
              <w:spacing w:before="31" w:line="220" w:lineRule="auto"/>
              <w:ind w:left="112"/>
              <w:jc w:val="distribut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蚊</w:t>
            </w:r>
          </w:p>
        </w:tc>
        <w:tc>
          <w:tcPr>
            <w:tcW w:w="2354" w:type="dxa"/>
            <w:noWrap w:val="0"/>
            <w:vAlign w:val="center"/>
          </w:tcPr>
          <w:p w14:paraId="5226A1CF">
            <w:pPr>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室外</w:t>
            </w:r>
            <w:r>
              <w:rPr>
                <w:rFonts w:hint="eastAsia" w:ascii="仿宋" w:hAnsi="仿宋" w:eastAsia="仿宋" w:cs="仿宋"/>
                <w:color w:val="auto"/>
                <w:sz w:val="24"/>
                <w:szCs w:val="24"/>
              </w:rPr>
              <w:t>灭蚊热烟雾处理用药</w:t>
            </w:r>
          </w:p>
        </w:tc>
      </w:tr>
      <w:tr w14:paraId="229A7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230BD71F">
            <w:pPr>
              <w:spacing w:before="56" w:line="183" w:lineRule="auto"/>
              <w:ind w:left="315" w:leftChars="0"/>
              <w:jc w:val="both"/>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color w:val="auto"/>
                <w:sz w:val="24"/>
                <w:szCs w:val="24"/>
                <w:highlight w:val="none"/>
              </w:rPr>
              <w:t>5</w:t>
            </w:r>
          </w:p>
        </w:tc>
        <w:tc>
          <w:tcPr>
            <w:tcW w:w="2023" w:type="dxa"/>
            <w:noWrap w:val="0"/>
            <w:vAlign w:val="center"/>
          </w:tcPr>
          <w:p w14:paraId="47363B2E">
            <w:pPr>
              <w:pStyle w:val="6"/>
              <w:spacing w:before="42"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lang w:val="en-US" w:eastAsia="zh-CN"/>
              </w:rPr>
              <w:t>杀虫</w:t>
            </w:r>
            <w:r>
              <w:rPr>
                <w:rFonts w:hint="eastAsia" w:ascii="仿宋" w:hAnsi="仿宋" w:eastAsia="仿宋" w:cs="仿宋"/>
                <w:color w:val="auto"/>
                <w:spacing w:val="-2"/>
                <w:sz w:val="24"/>
                <w:szCs w:val="24"/>
                <w:highlight w:val="none"/>
              </w:rPr>
              <w:t>颗粒剂</w:t>
            </w:r>
          </w:p>
        </w:tc>
        <w:tc>
          <w:tcPr>
            <w:tcW w:w="2121" w:type="dxa"/>
            <w:noWrap w:val="0"/>
            <w:vAlign w:val="center"/>
          </w:tcPr>
          <w:p w14:paraId="3153AF76">
            <w:pPr>
              <w:pStyle w:val="6"/>
              <w:spacing w:before="140" w:line="285" w:lineRule="auto"/>
              <w:ind w:right="176"/>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lang w:val="en-US" w:eastAsia="zh-CN"/>
              </w:rPr>
              <w:t>≥</w:t>
            </w:r>
            <w:r>
              <w:rPr>
                <w:rFonts w:hint="eastAsia" w:ascii="仿宋" w:hAnsi="仿宋" w:eastAsia="仿宋" w:cs="仿宋"/>
                <w:color w:val="auto"/>
                <w:spacing w:val="-3"/>
                <w:sz w:val="24"/>
                <w:szCs w:val="24"/>
                <w:highlight w:val="none"/>
              </w:rPr>
              <w:t>5%吡丙醚倍硫</w:t>
            </w:r>
            <w:r>
              <w:rPr>
                <w:rFonts w:hint="eastAsia" w:ascii="仿宋" w:hAnsi="仿宋" w:eastAsia="仿宋" w:cs="仿宋"/>
                <w:color w:val="auto"/>
                <w:sz w:val="24"/>
                <w:szCs w:val="24"/>
                <w:highlight w:val="none"/>
              </w:rPr>
              <w:t>磷</w:t>
            </w:r>
          </w:p>
        </w:tc>
        <w:tc>
          <w:tcPr>
            <w:tcW w:w="988" w:type="dxa"/>
            <w:noWrap w:val="0"/>
            <w:vAlign w:val="center"/>
          </w:tcPr>
          <w:p w14:paraId="58CE4AE1">
            <w:pPr>
              <w:pStyle w:val="6"/>
              <w:spacing w:before="33"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颗粒剂</w:t>
            </w:r>
          </w:p>
        </w:tc>
        <w:tc>
          <w:tcPr>
            <w:tcW w:w="1460" w:type="dxa"/>
            <w:noWrap w:val="0"/>
            <w:vAlign w:val="center"/>
          </w:tcPr>
          <w:p w14:paraId="0173D87C">
            <w:pPr>
              <w:pStyle w:val="6"/>
              <w:spacing w:before="33" w:line="22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2"/>
                <w:sz w:val="24"/>
                <w:szCs w:val="24"/>
                <w:highlight w:val="none"/>
              </w:rPr>
              <w:t>蚊</w:t>
            </w:r>
            <w:r>
              <w:rPr>
                <w:rFonts w:hint="eastAsia" w:ascii="仿宋" w:hAnsi="仿宋" w:eastAsia="仿宋" w:cs="仿宋"/>
                <w:color w:val="auto"/>
                <w:spacing w:val="-2"/>
                <w:sz w:val="24"/>
                <w:szCs w:val="24"/>
                <w:highlight w:val="none"/>
                <w:lang w:eastAsia="zh-CN"/>
              </w:rPr>
              <w:t>（</w:t>
            </w:r>
            <w:r>
              <w:rPr>
                <w:rFonts w:hint="eastAsia" w:ascii="仿宋" w:hAnsi="仿宋" w:eastAsia="仿宋" w:cs="仿宋"/>
                <w:color w:val="auto"/>
                <w:spacing w:val="-2"/>
                <w:sz w:val="24"/>
                <w:szCs w:val="24"/>
                <w:highlight w:val="none"/>
                <w:lang w:val="en-US" w:eastAsia="zh-CN"/>
              </w:rPr>
              <w:t>幼虫</w:t>
            </w:r>
            <w:r>
              <w:rPr>
                <w:rFonts w:hint="eastAsia" w:ascii="仿宋" w:hAnsi="仿宋" w:eastAsia="仿宋" w:cs="仿宋"/>
                <w:color w:val="auto"/>
                <w:spacing w:val="-2"/>
                <w:sz w:val="24"/>
                <w:szCs w:val="24"/>
                <w:highlight w:val="none"/>
                <w:lang w:eastAsia="zh-CN"/>
              </w:rPr>
              <w:t>）、</w:t>
            </w:r>
            <w:r>
              <w:rPr>
                <w:rFonts w:hint="eastAsia" w:ascii="仿宋" w:hAnsi="仿宋" w:eastAsia="仿宋" w:cs="仿宋"/>
                <w:color w:val="auto"/>
                <w:spacing w:val="-2"/>
                <w:sz w:val="24"/>
                <w:szCs w:val="24"/>
                <w:highlight w:val="none"/>
                <w:lang w:val="en-US" w:eastAsia="zh-CN"/>
              </w:rPr>
              <w:t>蝇（幼虫）</w:t>
            </w:r>
          </w:p>
        </w:tc>
        <w:tc>
          <w:tcPr>
            <w:tcW w:w="2354" w:type="dxa"/>
            <w:noWrap w:val="0"/>
            <w:vAlign w:val="center"/>
          </w:tcPr>
          <w:p w14:paraId="1B6EDCDC">
            <w:pPr>
              <w:jc w:val="center"/>
              <w:rPr>
                <w:rFonts w:hint="eastAsia" w:ascii="仿宋" w:hAnsi="仿宋" w:eastAsia="仿宋" w:cs="仿宋"/>
                <w:color w:val="auto"/>
                <w:sz w:val="24"/>
                <w:szCs w:val="24"/>
              </w:rPr>
            </w:pPr>
            <w:r>
              <w:rPr>
                <w:rFonts w:hint="eastAsia" w:ascii="仿宋" w:hAnsi="仿宋" w:eastAsia="仿宋" w:cs="仿宋"/>
                <w:color w:val="auto"/>
                <w:sz w:val="24"/>
                <w:szCs w:val="24"/>
              </w:rPr>
              <w:t>灭蚊</w:t>
            </w:r>
            <w:r>
              <w:rPr>
                <w:rFonts w:hint="eastAsia" w:ascii="仿宋" w:hAnsi="仿宋" w:eastAsia="仿宋" w:cs="仿宋"/>
                <w:color w:val="auto"/>
                <w:sz w:val="24"/>
                <w:szCs w:val="24"/>
                <w:lang w:val="en-US" w:eastAsia="zh-CN"/>
              </w:rPr>
              <w:t>蝇幼虫</w:t>
            </w:r>
            <w:r>
              <w:rPr>
                <w:rFonts w:hint="eastAsia" w:ascii="仿宋" w:hAnsi="仿宋" w:eastAsia="仿宋" w:cs="仿宋"/>
                <w:color w:val="auto"/>
                <w:sz w:val="24"/>
                <w:szCs w:val="24"/>
              </w:rPr>
              <w:t>药物</w:t>
            </w:r>
          </w:p>
        </w:tc>
      </w:tr>
      <w:tr w14:paraId="14F40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0F5F0D75">
            <w:pPr>
              <w:spacing w:before="55" w:line="186" w:lineRule="auto"/>
              <w:ind w:left="314" w:leftChars="0"/>
              <w:jc w:val="both"/>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color w:val="auto"/>
                <w:sz w:val="24"/>
                <w:szCs w:val="24"/>
                <w:highlight w:val="none"/>
              </w:rPr>
              <w:t>6</w:t>
            </w:r>
          </w:p>
        </w:tc>
        <w:tc>
          <w:tcPr>
            <w:tcW w:w="2023" w:type="dxa"/>
            <w:noWrap w:val="0"/>
            <w:vAlign w:val="center"/>
          </w:tcPr>
          <w:p w14:paraId="798E34DA">
            <w:pPr>
              <w:pStyle w:val="6"/>
              <w:spacing w:before="34" w:line="220" w:lineRule="auto"/>
              <w:ind w:left="148"/>
              <w:jc w:val="center"/>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氯氟醚菊酯.氯菊酯</w:t>
            </w:r>
          </w:p>
        </w:tc>
        <w:tc>
          <w:tcPr>
            <w:tcW w:w="2121" w:type="dxa"/>
            <w:noWrap w:val="0"/>
            <w:vAlign w:val="center"/>
          </w:tcPr>
          <w:p w14:paraId="5F62C04E">
            <w:pPr>
              <w:pStyle w:val="6"/>
              <w:spacing w:before="182" w:line="212" w:lineRule="auto"/>
              <w:ind w:right="64"/>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lang w:val="en-US" w:eastAsia="zh-CN"/>
              </w:rPr>
              <w:t>≥</w:t>
            </w:r>
            <w:r>
              <w:rPr>
                <w:rFonts w:hint="eastAsia" w:ascii="仿宋" w:hAnsi="仿宋" w:eastAsia="仿宋" w:cs="仿宋"/>
                <w:color w:val="auto"/>
                <w:spacing w:val="-1"/>
                <w:sz w:val="24"/>
                <w:szCs w:val="24"/>
                <w:highlight w:val="none"/>
              </w:rPr>
              <w:t>10%</w:t>
            </w:r>
            <w:r>
              <w:rPr>
                <w:rFonts w:hint="eastAsia" w:ascii="仿宋" w:hAnsi="仿宋" w:eastAsia="仿宋" w:cs="仿宋"/>
                <w:color w:val="auto"/>
                <w:spacing w:val="-3"/>
                <w:sz w:val="24"/>
                <w:szCs w:val="24"/>
                <w:highlight w:val="none"/>
              </w:rPr>
              <w:t>氯菊酯</w:t>
            </w:r>
            <w:r>
              <w:rPr>
                <w:rFonts w:hint="eastAsia" w:ascii="仿宋" w:hAnsi="仿宋" w:eastAsia="仿宋" w:cs="仿宋"/>
                <w:b/>
                <w:bCs/>
                <w:color w:val="auto"/>
                <w:spacing w:val="-1"/>
                <w:sz w:val="24"/>
                <w:szCs w:val="24"/>
                <w:highlight w:val="none"/>
              </w:rPr>
              <w:t>.</w:t>
            </w:r>
            <w:r>
              <w:rPr>
                <w:rFonts w:hint="eastAsia" w:ascii="仿宋" w:hAnsi="仿宋" w:eastAsia="仿宋" w:cs="仿宋"/>
                <w:color w:val="auto"/>
                <w:spacing w:val="-1"/>
                <w:sz w:val="24"/>
                <w:szCs w:val="24"/>
                <w:highlight w:val="none"/>
              </w:rPr>
              <w:t>氯氟醚菊酯</w:t>
            </w:r>
            <w:r>
              <w:rPr>
                <w:rFonts w:hint="eastAsia" w:ascii="仿宋" w:hAnsi="仿宋" w:eastAsia="仿宋" w:cs="仿宋"/>
                <w:b/>
                <w:bCs/>
                <w:color w:val="auto"/>
                <w:spacing w:val="7"/>
                <w:sz w:val="24"/>
                <w:szCs w:val="24"/>
                <w:highlight w:val="none"/>
              </w:rPr>
              <w:t xml:space="preserve"> </w:t>
            </w:r>
          </w:p>
        </w:tc>
        <w:tc>
          <w:tcPr>
            <w:tcW w:w="988" w:type="dxa"/>
            <w:noWrap w:val="0"/>
            <w:vAlign w:val="center"/>
          </w:tcPr>
          <w:p w14:paraId="01AC2289">
            <w:pPr>
              <w:pStyle w:val="6"/>
              <w:spacing w:before="34"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水乳剂</w:t>
            </w:r>
          </w:p>
        </w:tc>
        <w:tc>
          <w:tcPr>
            <w:tcW w:w="1460" w:type="dxa"/>
            <w:noWrap w:val="0"/>
            <w:vAlign w:val="center"/>
          </w:tcPr>
          <w:p w14:paraId="3ADBD85C">
            <w:pPr>
              <w:pStyle w:val="6"/>
              <w:spacing w:before="34" w:line="220" w:lineRule="auto"/>
              <w:ind w:left="525"/>
              <w:jc w:val="both"/>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蚊</w:t>
            </w:r>
            <w:r>
              <w:rPr>
                <w:rFonts w:hint="eastAsia" w:ascii="仿宋" w:hAnsi="仿宋" w:eastAsia="仿宋" w:cs="仿宋"/>
                <w:color w:val="auto"/>
                <w:spacing w:val="-2"/>
                <w:sz w:val="24"/>
                <w:szCs w:val="24"/>
                <w:highlight w:val="none"/>
                <w:lang w:eastAsia="zh-CN"/>
              </w:rPr>
              <w:t>、</w:t>
            </w:r>
            <w:r>
              <w:rPr>
                <w:rFonts w:hint="eastAsia" w:ascii="仿宋" w:hAnsi="仿宋" w:eastAsia="仿宋" w:cs="仿宋"/>
                <w:color w:val="auto"/>
                <w:spacing w:val="-2"/>
                <w:sz w:val="24"/>
                <w:szCs w:val="24"/>
                <w:highlight w:val="none"/>
              </w:rPr>
              <w:t>蝇</w:t>
            </w:r>
          </w:p>
        </w:tc>
        <w:tc>
          <w:tcPr>
            <w:tcW w:w="2354" w:type="dxa"/>
            <w:noWrap w:val="0"/>
            <w:vAlign w:val="center"/>
          </w:tcPr>
          <w:p w14:paraId="2703B33D">
            <w:pPr>
              <w:jc w:val="center"/>
              <w:rPr>
                <w:rFonts w:hint="eastAsia" w:ascii="仿宋" w:hAnsi="仿宋" w:eastAsia="仿宋" w:cs="仿宋"/>
                <w:color w:val="auto"/>
                <w:sz w:val="24"/>
                <w:szCs w:val="24"/>
              </w:rPr>
            </w:pPr>
            <w:r>
              <w:rPr>
                <w:rFonts w:hint="eastAsia" w:ascii="仿宋" w:hAnsi="仿宋" w:eastAsia="仿宋" w:cs="仿宋"/>
                <w:color w:val="auto"/>
                <w:sz w:val="24"/>
                <w:szCs w:val="24"/>
              </w:rPr>
              <w:t>室外各类环境使用</w:t>
            </w:r>
          </w:p>
        </w:tc>
      </w:tr>
      <w:tr w14:paraId="7BF6B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73073AAA">
            <w:pPr>
              <w:spacing w:before="59" w:line="183" w:lineRule="auto"/>
              <w:ind w:left="312" w:leftChars="0"/>
              <w:jc w:val="both"/>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color w:val="auto"/>
                <w:sz w:val="24"/>
                <w:szCs w:val="24"/>
                <w:highlight w:val="none"/>
              </w:rPr>
              <w:t>7</w:t>
            </w:r>
          </w:p>
        </w:tc>
        <w:tc>
          <w:tcPr>
            <w:tcW w:w="2023" w:type="dxa"/>
            <w:noWrap w:val="0"/>
            <w:vAlign w:val="center"/>
          </w:tcPr>
          <w:p w14:paraId="316E5E3D">
            <w:pPr>
              <w:pStyle w:val="6"/>
              <w:spacing w:before="35" w:line="219" w:lineRule="auto"/>
              <w:ind w:left="490"/>
              <w:jc w:val="both"/>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杀虫热雾剂</w:t>
            </w:r>
          </w:p>
        </w:tc>
        <w:tc>
          <w:tcPr>
            <w:tcW w:w="2121" w:type="dxa"/>
            <w:noWrap w:val="0"/>
            <w:vAlign w:val="center"/>
          </w:tcPr>
          <w:p w14:paraId="29DF8E4A">
            <w:pPr>
              <w:pStyle w:val="6"/>
              <w:spacing w:before="35" w:line="334" w:lineRule="auto"/>
              <w:ind w:left="279" w:right="176" w:hanging="83"/>
              <w:jc w:val="both"/>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lang w:val="en-US" w:eastAsia="zh-CN"/>
              </w:rPr>
              <w:t>≥</w:t>
            </w:r>
            <w:r>
              <w:rPr>
                <w:rFonts w:hint="eastAsia" w:ascii="仿宋" w:hAnsi="仿宋" w:eastAsia="仿宋" w:cs="仿宋"/>
                <w:color w:val="auto"/>
                <w:spacing w:val="-3"/>
                <w:sz w:val="24"/>
                <w:szCs w:val="24"/>
                <w:highlight w:val="none"/>
              </w:rPr>
              <w:t>1%高效氯氰菊</w:t>
            </w:r>
            <w:r>
              <w:rPr>
                <w:rFonts w:hint="eastAsia" w:ascii="仿宋" w:hAnsi="仿宋" w:eastAsia="仿宋" w:cs="仿宋"/>
                <w:color w:val="auto"/>
                <w:spacing w:val="1"/>
                <w:sz w:val="24"/>
                <w:szCs w:val="24"/>
                <w:highlight w:val="none"/>
              </w:rPr>
              <w:t xml:space="preserve"> </w:t>
            </w:r>
            <w:r>
              <w:rPr>
                <w:rFonts w:hint="eastAsia" w:ascii="仿宋" w:hAnsi="仿宋" w:eastAsia="仿宋" w:cs="仿宋"/>
                <w:color w:val="auto"/>
                <w:spacing w:val="-2"/>
                <w:sz w:val="24"/>
                <w:szCs w:val="24"/>
                <w:highlight w:val="none"/>
              </w:rPr>
              <w:t>酯</w:t>
            </w:r>
            <w:r>
              <w:rPr>
                <w:rFonts w:hint="eastAsia" w:ascii="仿宋" w:hAnsi="仿宋" w:eastAsia="仿宋" w:cs="仿宋"/>
                <w:b/>
                <w:bCs/>
                <w:color w:val="auto"/>
                <w:spacing w:val="-2"/>
                <w:sz w:val="24"/>
                <w:szCs w:val="24"/>
                <w:highlight w:val="none"/>
              </w:rPr>
              <w:t>.</w:t>
            </w:r>
            <w:r>
              <w:rPr>
                <w:rFonts w:hint="eastAsia" w:ascii="仿宋" w:hAnsi="仿宋" w:eastAsia="仿宋" w:cs="仿宋"/>
                <w:b/>
                <w:bCs/>
                <w:color w:val="auto"/>
                <w:spacing w:val="-34"/>
                <w:sz w:val="24"/>
                <w:szCs w:val="24"/>
                <w:highlight w:val="none"/>
              </w:rPr>
              <w:t xml:space="preserve"> </w:t>
            </w:r>
            <w:r>
              <w:rPr>
                <w:rFonts w:hint="eastAsia" w:ascii="仿宋" w:hAnsi="仿宋" w:eastAsia="仿宋" w:cs="仿宋"/>
                <w:color w:val="auto"/>
                <w:spacing w:val="-2"/>
                <w:sz w:val="24"/>
                <w:szCs w:val="24"/>
                <w:highlight w:val="none"/>
              </w:rPr>
              <w:t>四氟苯菊酯</w:t>
            </w:r>
          </w:p>
        </w:tc>
        <w:tc>
          <w:tcPr>
            <w:tcW w:w="988" w:type="dxa"/>
            <w:noWrap w:val="0"/>
            <w:vAlign w:val="center"/>
          </w:tcPr>
          <w:p w14:paraId="1C521950">
            <w:pPr>
              <w:pStyle w:val="6"/>
              <w:spacing w:before="35"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热雾剂</w:t>
            </w:r>
          </w:p>
        </w:tc>
        <w:tc>
          <w:tcPr>
            <w:tcW w:w="1460" w:type="dxa"/>
            <w:noWrap w:val="0"/>
            <w:vAlign w:val="center"/>
          </w:tcPr>
          <w:p w14:paraId="1CE9761B">
            <w:pPr>
              <w:pStyle w:val="6"/>
              <w:spacing w:before="34" w:line="220" w:lineRule="auto"/>
              <w:ind w:left="112"/>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蚊、蝇</w:t>
            </w:r>
          </w:p>
        </w:tc>
        <w:tc>
          <w:tcPr>
            <w:tcW w:w="2354" w:type="dxa"/>
            <w:noWrap w:val="0"/>
            <w:vAlign w:val="center"/>
          </w:tcPr>
          <w:p w14:paraId="5D55A0D1">
            <w:pPr>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室外</w:t>
            </w:r>
            <w:r>
              <w:rPr>
                <w:rFonts w:hint="eastAsia" w:ascii="仿宋" w:hAnsi="仿宋" w:eastAsia="仿宋" w:cs="仿宋"/>
                <w:color w:val="auto"/>
                <w:sz w:val="24"/>
                <w:szCs w:val="24"/>
              </w:rPr>
              <w:t>灭蚊</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蝇</w:t>
            </w:r>
            <w:r>
              <w:rPr>
                <w:rFonts w:hint="eastAsia" w:ascii="仿宋" w:hAnsi="仿宋" w:eastAsia="仿宋" w:cs="仿宋"/>
                <w:color w:val="auto"/>
                <w:sz w:val="24"/>
                <w:szCs w:val="24"/>
              </w:rPr>
              <w:t>热烟雾处理用药</w:t>
            </w:r>
          </w:p>
        </w:tc>
      </w:tr>
      <w:tr w14:paraId="3D3CC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729" w:type="dxa"/>
            <w:noWrap w:val="0"/>
            <w:vAlign w:val="center"/>
          </w:tcPr>
          <w:p w14:paraId="25A79B45">
            <w:pPr>
              <w:spacing w:before="58" w:line="186" w:lineRule="auto"/>
              <w:ind w:left="313"/>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p>
        </w:tc>
        <w:tc>
          <w:tcPr>
            <w:tcW w:w="2023" w:type="dxa"/>
            <w:noWrap w:val="0"/>
            <w:vAlign w:val="center"/>
          </w:tcPr>
          <w:p w14:paraId="415FBA41">
            <w:pPr>
              <w:pStyle w:val="6"/>
              <w:spacing w:before="36" w:line="22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氟鼠灵</w:t>
            </w:r>
          </w:p>
        </w:tc>
        <w:tc>
          <w:tcPr>
            <w:tcW w:w="2121" w:type="dxa"/>
            <w:noWrap w:val="0"/>
            <w:vAlign w:val="center"/>
          </w:tcPr>
          <w:p w14:paraId="1BCB2FFB">
            <w:pPr>
              <w:pStyle w:val="6"/>
              <w:spacing w:before="36" w:line="220" w:lineRule="auto"/>
              <w:ind w:left="122"/>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≤0.005%氟鼠灵</w:t>
            </w:r>
          </w:p>
        </w:tc>
        <w:tc>
          <w:tcPr>
            <w:tcW w:w="988" w:type="dxa"/>
            <w:noWrap w:val="0"/>
            <w:vAlign w:val="center"/>
          </w:tcPr>
          <w:p w14:paraId="50E4B2B2">
            <w:pPr>
              <w:pStyle w:val="6"/>
              <w:spacing w:before="36" w:line="22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val="en-US" w:eastAsia="zh-CN"/>
              </w:rPr>
              <w:t>饵剂</w:t>
            </w:r>
          </w:p>
        </w:tc>
        <w:tc>
          <w:tcPr>
            <w:tcW w:w="1460" w:type="dxa"/>
            <w:noWrap w:val="0"/>
            <w:vAlign w:val="center"/>
          </w:tcPr>
          <w:p w14:paraId="12187391">
            <w:pPr>
              <w:pStyle w:val="6"/>
              <w:spacing w:before="37" w:line="223"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3"/>
                <w:sz w:val="24"/>
                <w:szCs w:val="24"/>
                <w:highlight w:val="none"/>
                <w:lang w:val="en-US" w:eastAsia="zh-CN"/>
              </w:rPr>
              <w:t>田鼠、家</w:t>
            </w:r>
            <w:r>
              <w:rPr>
                <w:rFonts w:hint="eastAsia" w:ascii="仿宋" w:hAnsi="仿宋" w:eastAsia="仿宋" w:cs="仿宋"/>
                <w:color w:val="auto"/>
                <w:spacing w:val="-3"/>
                <w:sz w:val="24"/>
                <w:szCs w:val="24"/>
                <w:highlight w:val="none"/>
              </w:rPr>
              <w:t>鼠</w:t>
            </w:r>
          </w:p>
        </w:tc>
        <w:tc>
          <w:tcPr>
            <w:tcW w:w="2354" w:type="dxa"/>
            <w:noWrap w:val="0"/>
            <w:vAlign w:val="center"/>
          </w:tcPr>
          <w:p w14:paraId="572355DD">
            <w:pPr>
              <w:jc w:val="center"/>
              <w:rPr>
                <w:rFonts w:hint="eastAsia" w:ascii="仿宋" w:hAnsi="仿宋" w:eastAsia="仿宋" w:cs="仿宋"/>
                <w:color w:val="auto"/>
                <w:sz w:val="24"/>
                <w:szCs w:val="24"/>
              </w:rPr>
            </w:pPr>
            <w:r>
              <w:rPr>
                <w:rFonts w:hint="eastAsia" w:ascii="仿宋" w:hAnsi="仿宋" w:eastAsia="仿宋" w:cs="仿宋"/>
                <w:color w:val="auto"/>
                <w:sz w:val="24"/>
                <w:szCs w:val="24"/>
              </w:rPr>
              <w:t>灭鼠药物，各类环境使用</w:t>
            </w:r>
          </w:p>
        </w:tc>
      </w:tr>
    </w:tbl>
    <w:p w14:paraId="337293D4">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8.</w:t>
      </w:r>
      <w:r>
        <w:rPr>
          <w:rFonts w:hint="eastAsia" w:ascii="仿宋" w:hAnsi="仿宋" w:eastAsia="仿宋" w:cs="仿宋"/>
          <w:color w:val="auto"/>
          <w:kern w:val="0"/>
          <w:sz w:val="24"/>
          <w:szCs w:val="24"/>
        </w:rPr>
        <w:t>承包方式：</w:t>
      </w:r>
    </w:p>
    <w:p w14:paraId="1DE99B30">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采用全包干形式，即业务包干、经费包干。采购单位将城区的公共外环境场所等的病媒生物防制相应经费交给成交供应商，成交供应商按采购单位的管理要求和标准组织开展病媒生物防制工作，并接受采购单位的指导、监督、抽查、考核。</w:t>
      </w:r>
    </w:p>
    <w:p w14:paraId="38D9CDF7">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9.</w:t>
      </w:r>
      <w:r>
        <w:rPr>
          <w:rFonts w:hint="eastAsia" w:ascii="仿宋" w:hAnsi="仿宋" w:eastAsia="仿宋" w:cs="仿宋"/>
          <w:color w:val="auto"/>
          <w:kern w:val="0"/>
          <w:sz w:val="24"/>
          <w:szCs w:val="24"/>
        </w:rPr>
        <w:t>灭鼠毒饵站要求：</w:t>
      </w:r>
    </w:p>
    <w:p w14:paraId="6AA6A4BC">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9.1</w:t>
      </w:r>
      <w:r>
        <w:rPr>
          <w:rFonts w:hint="eastAsia" w:ascii="仿宋" w:hAnsi="仿宋" w:eastAsia="仿宋" w:cs="仿宋"/>
          <w:color w:val="auto"/>
          <w:kern w:val="0"/>
          <w:sz w:val="24"/>
          <w:szCs w:val="24"/>
        </w:rPr>
        <w:t>灭鼠毒饵站：陶瓷毒饵站表面上釉，</w:t>
      </w:r>
      <w:r>
        <w:rPr>
          <w:rFonts w:hint="eastAsia" w:ascii="仿宋" w:hAnsi="仿宋" w:eastAsia="仿宋" w:cs="仿宋"/>
          <w:color w:val="auto"/>
          <w:kern w:val="0"/>
          <w:sz w:val="24"/>
          <w:szCs w:val="24"/>
          <w:lang w:val="en-US" w:eastAsia="zh-CN"/>
        </w:rPr>
        <w:t>规格不低于</w:t>
      </w:r>
      <w:r>
        <w:rPr>
          <w:rFonts w:hint="eastAsia" w:ascii="仿宋" w:hAnsi="仿宋" w:eastAsia="仿宋" w:cs="仿宋"/>
          <w:color w:val="auto"/>
          <w:kern w:val="0"/>
          <w:sz w:val="24"/>
          <w:szCs w:val="24"/>
        </w:rPr>
        <w:t>30cm</w:t>
      </w: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rPr>
        <w:t>10cm</w:t>
      </w: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rPr>
        <w:t>10cm，毒饵站外表面应有彩色的警示标示。毒饵站应按合同约定足量投放，且合同约定量为暂估数量，以投放区域实际需求量为准，并及时对遗失、损坏的毒饵站进行补充，保证毒饵站的总量。</w:t>
      </w:r>
    </w:p>
    <w:p w14:paraId="5B586F5A">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9.2成交供应商</w:t>
      </w:r>
      <w:r>
        <w:rPr>
          <w:rFonts w:hint="eastAsia" w:ascii="仿宋" w:hAnsi="仿宋" w:eastAsia="仿宋" w:cs="仿宋"/>
          <w:color w:val="auto"/>
          <w:kern w:val="0"/>
          <w:sz w:val="24"/>
          <w:szCs w:val="24"/>
        </w:rPr>
        <w:t>提供的灭鼠服务，毒饵投放覆盖率、到位率、饱和率及灭效均≥80%；</w:t>
      </w:r>
    </w:p>
    <w:p w14:paraId="22374903">
      <w:pPr>
        <w:spacing w:line="500" w:lineRule="exact"/>
        <w:ind w:firstLine="480" w:firstLineChars="200"/>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9.3</w:t>
      </w:r>
      <w:r>
        <w:rPr>
          <w:rFonts w:hint="eastAsia" w:ascii="仿宋" w:hAnsi="仿宋" w:eastAsia="仿宋" w:cs="仿宋"/>
          <w:color w:val="auto"/>
          <w:kern w:val="0"/>
          <w:sz w:val="24"/>
          <w:szCs w:val="24"/>
        </w:rPr>
        <w:t>毒饵施</w:t>
      </w:r>
      <w:bookmarkStart w:id="0" w:name="_GoBack"/>
      <w:bookmarkEnd w:id="0"/>
      <w:r>
        <w:rPr>
          <w:rFonts w:hint="eastAsia" w:ascii="仿宋" w:hAnsi="仿宋" w:eastAsia="仿宋" w:cs="仿宋"/>
          <w:color w:val="auto"/>
          <w:kern w:val="0"/>
          <w:sz w:val="24"/>
          <w:szCs w:val="24"/>
        </w:rPr>
        <w:t>放应准确到位</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防止人、畜、禽、鸟等误食误服。保证作业安全、规范，无责任事故发生</w:t>
      </w:r>
      <w:r>
        <w:rPr>
          <w:rFonts w:hint="eastAsia" w:ascii="仿宋" w:hAnsi="仿宋" w:eastAsia="仿宋" w:cs="仿宋"/>
          <w:color w:val="auto"/>
          <w:kern w:val="0"/>
          <w:sz w:val="24"/>
          <w:szCs w:val="24"/>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7BEA86"/>
    <w:multiLevelType w:val="singleLevel"/>
    <w:tmpl w:val="B37BEA86"/>
    <w:lvl w:ilvl="0" w:tentative="0">
      <w:start w:val="6"/>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2D4CED"/>
    <w:rsid w:val="612D4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rPr>
      <w:rFonts w:ascii="仿宋" w:hAnsi="仿宋" w:eastAsia="仿宋" w:cs="仿宋"/>
      <w:sz w:val="30"/>
      <w:szCs w:val="30"/>
    </w:rPr>
  </w:style>
  <w:style w:type="paragraph" w:styleId="3">
    <w:name w:val="Body Text First Indent"/>
    <w:basedOn w:val="2"/>
    <w:qFormat/>
    <w:uiPriority w:val="0"/>
    <w:pPr>
      <w:ind w:firstLine="420" w:firstLineChars="100"/>
    </w:pPr>
  </w:style>
  <w:style w:type="paragraph" w:customStyle="1" w:styleId="6">
    <w:name w:val="Table Text"/>
    <w:basedOn w:val="1"/>
    <w:semiHidden/>
    <w:qFormat/>
    <w:uiPriority w:val="0"/>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2026-09-21T07:28:00Z</dcterms:created>
  <dc:creator>lenovo</dc:creator>
  <cp:lastModifiedBy>lenovo</cp:lastModifiedBy>
  <dcterms:modified xsi:type="dcterms:W3CDTF">2026-09-21T07:28:47Z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459B53EF0A354CC3BD66CFBA537B8202_11</vt:lpwstr>
  </property>
  <property fmtid="{D5CDD505-2E9C-101B-9397-08002B2CF9AE}" pid="4" name="KSOTemplateDocerSaveRecord">
    <vt:lpwstr>eyJoZGlkIjoiMTE3MTQ0ZjMxY2UyNjI5Mjk4NjM3NGFkOGU2Y2M2MzMiLCJ1c2VySWQiOiIzODE0Nzc1MjUifQ==</vt:lpwstr>
  </property>
</Properties>
</file>