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5" w:lineRule="auto"/>
        <w:jc w:val="both"/>
        <w:rPr>
          <w:rFonts w:hint="eastAsia" w:ascii="宋体" w:hAnsi="宋体" w:eastAsia="宋体" w:cs="宋体"/>
          <w:b w:val="0"/>
          <w:bCs w:val="0"/>
          <w:spacing w:val="23"/>
          <w:sz w:val="11"/>
          <w:szCs w:val="11"/>
          <w:lang w:val="en-US" w:eastAsia="zh-CN"/>
        </w:rPr>
      </w:pPr>
    </w:p>
    <w:p>
      <w:pPr>
        <w:pStyle w:val="4"/>
        <w:jc w:val="center"/>
        <w:rPr>
          <w:rFonts w:hint="eastAsia" w:ascii="微软雅黑" w:eastAsia="微软雅黑"/>
          <w:spacing w:val="20"/>
          <w:sz w:val="44"/>
        </w:rPr>
      </w:pPr>
      <w:bookmarkStart w:id="0" w:name="OLE_LINK1"/>
      <w:r>
        <w:rPr>
          <w:rFonts w:hint="eastAsia" w:ascii="微软雅黑" w:eastAsia="微软雅黑"/>
          <w:spacing w:val="20"/>
          <w:sz w:val="44"/>
          <w:lang w:eastAsia="zh-CN"/>
        </w:rPr>
        <w:t>兰花路邻里中心环境科技病媒生物</w:t>
      </w:r>
      <w:r>
        <w:rPr>
          <w:rFonts w:hint="eastAsia" w:ascii="微软雅黑" w:eastAsia="微软雅黑"/>
          <w:spacing w:val="20"/>
          <w:sz w:val="44"/>
        </w:rPr>
        <w:t>防制</w:t>
      </w:r>
    </w:p>
    <w:p>
      <w:pPr>
        <w:pStyle w:val="4"/>
        <w:jc w:val="center"/>
        <w:rPr>
          <w:rFonts w:hint="eastAsia" w:ascii="微软雅黑" w:eastAsia="微软雅黑"/>
          <w:spacing w:val="20"/>
          <w:sz w:val="44"/>
        </w:rPr>
      </w:pPr>
      <w:r>
        <w:rPr>
          <w:rFonts w:hint="eastAsia" w:ascii="微软雅黑" w:eastAsia="微软雅黑"/>
          <w:spacing w:val="20"/>
          <w:sz w:val="44"/>
        </w:rPr>
        <w:t>服务</w:t>
      </w:r>
      <w:r>
        <w:rPr>
          <w:rFonts w:hint="eastAsia" w:ascii="微软雅黑" w:eastAsia="微软雅黑"/>
          <w:spacing w:val="20"/>
          <w:sz w:val="44"/>
          <w:lang w:eastAsia="zh-CN"/>
        </w:rPr>
        <w:t>协议</w:t>
      </w:r>
      <w:bookmarkEnd w:id="0"/>
    </w:p>
    <w:p>
      <w:pPr>
        <w:pStyle w:val="4"/>
        <w:rPr>
          <w:rFonts w:ascii="方正小标宋简体"/>
          <w:sz w:val="31"/>
        </w:rPr>
      </w:pPr>
    </w:p>
    <w:p>
      <w:pPr>
        <w:pStyle w:val="4"/>
        <w:tabs>
          <w:tab w:val="left" w:pos="6420"/>
        </w:tabs>
        <w:spacing w:before="149"/>
        <w:ind w:left="500"/>
      </w:pPr>
      <w:r>
        <w:t>委托方：</w:t>
      </w:r>
      <w:r>
        <w:rPr>
          <w:rFonts w:hint="eastAsia"/>
          <w:lang w:eastAsia="zh-CN"/>
        </w:rPr>
        <w:t>兰溪市中兴房地产物业管理有限公司</w:t>
      </w:r>
      <w:r>
        <w:t>（以下简称甲方）</w:t>
      </w:r>
    </w:p>
    <w:p>
      <w:pPr>
        <w:pStyle w:val="4"/>
        <w:tabs>
          <w:tab w:val="left" w:pos="6648"/>
        </w:tabs>
        <w:spacing w:before="149" w:line="328" w:lineRule="auto"/>
        <w:ind w:left="1140" w:right="659" w:hanging="641"/>
      </w:pPr>
      <w:r>
        <w:rPr>
          <w:spacing w:val="-12"/>
        </w:rPr>
        <w:t>受</w:t>
      </w:r>
      <w:r>
        <w:rPr>
          <w:spacing w:val="-10"/>
        </w:rPr>
        <w:t>托</w:t>
      </w:r>
      <w:r>
        <w:rPr>
          <w:spacing w:val="-12"/>
        </w:rPr>
        <w:t>方：</w:t>
      </w:r>
      <w:r>
        <w:rPr>
          <w:rFonts w:hint="eastAsia"/>
          <w:spacing w:val="-12"/>
          <w:lang w:val="en-US" w:eastAsia="zh-CN"/>
        </w:rPr>
        <w:t xml:space="preserve">    </w:t>
      </w:r>
      <w:r>
        <w:tab/>
      </w:r>
      <w:r>
        <w:rPr>
          <w:rFonts w:hint="eastAsia"/>
          <w:lang w:val="en-US" w:eastAsia="zh-CN"/>
        </w:rPr>
        <w:t xml:space="preserve">  </w:t>
      </w:r>
      <w:r>
        <w:rPr>
          <w:spacing w:val="-12"/>
        </w:rPr>
        <w:t>（</w:t>
      </w:r>
      <w:r>
        <w:rPr>
          <w:spacing w:val="-10"/>
        </w:rPr>
        <w:t>以</w:t>
      </w:r>
      <w:r>
        <w:rPr>
          <w:spacing w:val="-12"/>
        </w:rPr>
        <w:t>下简</w:t>
      </w:r>
      <w:r>
        <w:rPr>
          <w:spacing w:val="-10"/>
        </w:rPr>
        <w:t>称</w:t>
      </w:r>
      <w:r>
        <w:rPr>
          <w:spacing w:val="-12"/>
        </w:rPr>
        <w:t>乙方</w:t>
      </w:r>
      <w:r>
        <w:t xml:space="preserve">） </w:t>
      </w:r>
    </w:p>
    <w:p>
      <w:pPr>
        <w:pStyle w:val="4"/>
        <w:tabs>
          <w:tab w:val="left" w:pos="6648"/>
        </w:tabs>
        <w:spacing w:line="329" w:lineRule="auto"/>
        <w:ind w:firstLine="668" w:firstLineChars="209"/>
      </w:pPr>
      <w:r>
        <w:t>根</w:t>
      </w:r>
      <w:r>
        <w:rPr>
          <w:spacing w:val="5"/>
        </w:rPr>
        <w:t>据</w:t>
      </w:r>
      <w:r>
        <w:t>《中</w:t>
      </w:r>
      <w:r>
        <w:rPr>
          <w:spacing w:val="5"/>
        </w:rPr>
        <w:t>华</w:t>
      </w:r>
      <w:r>
        <w:t>人</w:t>
      </w:r>
      <w:r>
        <w:rPr>
          <w:spacing w:val="5"/>
        </w:rPr>
        <w:t>民</w:t>
      </w:r>
      <w:r>
        <w:t>共和</w:t>
      </w:r>
      <w:r>
        <w:rPr>
          <w:spacing w:val="5"/>
        </w:rPr>
        <w:t>国</w:t>
      </w:r>
      <w:r>
        <w:rPr>
          <w:rFonts w:hint="eastAsia"/>
          <w:lang w:val="en-US"/>
        </w:rPr>
        <w:t>民典法</w:t>
      </w:r>
      <w:r>
        <w:t>》</w:t>
      </w:r>
      <w:r>
        <w:rPr>
          <w:spacing w:val="5"/>
        </w:rPr>
        <w:t>及</w:t>
      </w:r>
      <w:r>
        <w:t>有</w:t>
      </w:r>
      <w:r>
        <w:rPr>
          <w:spacing w:val="5"/>
        </w:rPr>
        <w:t>关</w:t>
      </w:r>
      <w:r>
        <w:t>法律</w:t>
      </w:r>
      <w:r>
        <w:rPr>
          <w:spacing w:val="5"/>
        </w:rPr>
        <w:t>、</w:t>
      </w:r>
      <w:r>
        <w:t>法</w:t>
      </w:r>
      <w:r>
        <w:rPr>
          <w:spacing w:val="5"/>
        </w:rPr>
        <w:t>规</w:t>
      </w:r>
      <w:r>
        <w:t>的</w:t>
      </w:r>
      <w:r>
        <w:rPr>
          <w:spacing w:val="5"/>
        </w:rPr>
        <w:t>规</w:t>
      </w:r>
      <w:r>
        <w:t>定</w:t>
      </w:r>
      <w:r>
        <w:rPr>
          <w:rFonts w:hint="eastAsia"/>
        </w:rPr>
        <w:t>，</w:t>
      </w:r>
      <w:r>
        <w:t>甲乙双方本着平等、自愿的原则，经协商一致，就甲方委托乙方实施有害生物防制服务事宜，订立本协议。</w:t>
      </w:r>
    </w:p>
    <w:p>
      <w:pPr>
        <w:pStyle w:val="4"/>
        <w:spacing w:before="3"/>
        <w:ind w:firstLine="608" w:firstLineChars="200"/>
        <w:rPr>
          <w:rFonts w:hint="eastAsia" w:ascii="黑体" w:eastAsia="黑体"/>
        </w:rPr>
      </w:pPr>
      <w:r>
        <w:rPr>
          <w:rFonts w:hint="eastAsia" w:ascii="黑体" w:eastAsia="黑体"/>
          <w:w w:val="95"/>
        </w:rPr>
        <w:t>第一条：服务目标</w:t>
      </w:r>
    </w:p>
    <w:p>
      <w:pPr>
        <w:pStyle w:val="4"/>
        <w:spacing w:before="150" w:line="328" w:lineRule="auto"/>
        <w:ind w:right="659" w:firstLine="640" w:firstLineChars="200"/>
        <w:jc w:val="both"/>
      </w:pPr>
      <w:r>
        <w:t>乙方根据甲方单位的特点和虫害侵害的状况，有针对性的采取科学、规范、综合性杀灭措施，有效降低和控制虫害密度，达到</w:t>
      </w:r>
      <w:r>
        <w:rPr>
          <w:rFonts w:hint="eastAsia"/>
        </w:rPr>
        <w:t>兰溪市爱卫办</w:t>
      </w:r>
      <w:r>
        <w:rPr>
          <w:spacing w:val="1"/>
        </w:rPr>
        <w:t>规定和相关除四害工作管理</w:t>
      </w:r>
      <w:r>
        <w:rPr>
          <w:rFonts w:hint="eastAsia"/>
          <w:spacing w:val="1"/>
        </w:rPr>
        <w:t>办法</w:t>
      </w:r>
      <w:r>
        <w:rPr>
          <w:spacing w:val="1"/>
        </w:rPr>
        <w:t>。</w:t>
      </w:r>
    </w:p>
    <w:p>
      <w:pPr>
        <w:pStyle w:val="4"/>
        <w:spacing w:line="388" w:lineRule="exact"/>
        <w:ind w:firstLine="608" w:firstLineChars="200"/>
        <w:rPr>
          <w:rFonts w:hint="eastAsia" w:ascii="黑体" w:eastAsia="黑体"/>
        </w:rPr>
      </w:pPr>
      <w:r>
        <w:rPr>
          <w:rFonts w:hint="eastAsia" w:ascii="黑体" w:eastAsia="黑体"/>
          <w:w w:val="95"/>
        </w:rPr>
        <w:t>第二条：服务项目</w:t>
      </w:r>
    </w:p>
    <w:p>
      <w:pPr>
        <w:pStyle w:val="4"/>
        <w:spacing w:before="7"/>
        <w:rPr>
          <w:rFonts w:ascii="黑体"/>
          <w:sz w:val="8"/>
        </w:rPr>
      </w:pPr>
    </w:p>
    <w:tbl>
      <w:tblPr>
        <w:tblStyle w:val="7"/>
        <w:tblW w:w="10104" w:type="dxa"/>
        <w:tblInd w:w="-3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97"/>
        <w:gridCol w:w="850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2" w:hRule="atLeast"/>
        </w:trPr>
        <w:tc>
          <w:tcPr>
            <w:tcW w:w="1597" w:type="dxa"/>
            <w:noWrap w:val="0"/>
            <w:vAlign w:val="top"/>
          </w:tcPr>
          <w:p>
            <w:pPr>
              <w:pStyle w:val="9"/>
              <w:spacing w:before="195"/>
              <w:ind w:left="176"/>
              <w:rPr>
                <w:sz w:val="32"/>
              </w:rPr>
            </w:pPr>
            <w:r>
              <w:rPr>
                <w:sz w:val="32"/>
              </w:rPr>
              <w:t>防制项目</w:t>
            </w:r>
          </w:p>
        </w:tc>
        <w:tc>
          <w:tcPr>
            <w:tcW w:w="8507" w:type="dxa"/>
            <w:noWrap w:val="0"/>
            <w:vAlign w:val="top"/>
          </w:tcPr>
          <w:p>
            <w:pPr>
              <w:pStyle w:val="9"/>
              <w:spacing w:before="7" w:line="211" w:lineRule="auto"/>
              <w:ind w:left="106" w:right="98"/>
              <w:rPr>
                <w:sz w:val="32"/>
              </w:rPr>
            </w:pPr>
            <w:r>
              <w:rPr>
                <w:spacing w:val="-14"/>
                <w:sz w:val="32"/>
              </w:rPr>
              <w:t>蟑螂、老鼠、蚊子、苍蝇。</w:t>
            </w:r>
            <w:r>
              <w:rPr>
                <w:sz w:val="32"/>
              </w:rPr>
              <w:t>（友善处理蚂蚁、跳蚤、飞虫等常见虫害）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</w:trPr>
        <w:tc>
          <w:tcPr>
            <w:tcW w:w="1597" w:type="dxa"/>
            <w:noWrap w:val="0"/>
            <w:vAlign w:val="top"/>
          </w:tcPr>
          <w:p>
            <w:pPr>
              <w:pStyle w:val="9"/>
              <w:spacing w:before="155"/>
              <w:ind w:left="176"/>
              <w:rPr>
                <w:sz w:val="32"/>
              </w:rPr>
            </w:pPr>
            <w:r>
              <w:rPr>
                <w:sz w:val="32"/>
              </w:rPr>
              <w:t>服务场所</w:t>
            </w:r>
          </w:p>
        </w:tc>
        <w:tc>
          <w:tcPr>
            <w:tcW w:w="8507" w:type="dxa"/>
            <w:noWrap w:val="0"/>
            <w:vAlign w:val="top"/>
          </w:tcPr>
          <w:p>
            <w:pPr>
              <w:pStyle w:val="9"/>
              <w:spacing w:before="112"/>
              <w:rPr>
                <w:sz w:val="32"/>
              </w:rPr>
            </w:pPr>
            <w:r>
              <w:rPr>
                <w:rFonts w:hint="eastAsia" w:ascii="Times New Roman" w:eastAsia="宋体"/>
                <w:sz w:val="28"/>
                <w:szCs w:val="28"/>
                <w:u w:val="single"/>
                <w:lang w:val="en-US" w:eastAsia="zh-CN"/>
              </w:rPr>
              <w:t xml:space="preserve">       兰花路邻里中心       </w:t>
            </w:r>
            <w:r>
              <w:rPr>
                <w:rFonts w:hint="eastAsia"/>
                <w:sz w:val="32"/>
                <w:lang w:val="en-US"/>
              </w:rPr>
              <w:t>所属区域。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597" w:type="dxa"/>
            <w:noWrap w:val="0"/>
            <w:vAlign w:val="top"/>
          </w:tcPr>
          <w:p>
            <w:pPr>
              <w:pStyle w:val="9"/>
              <w:spacing w:before="117"/>
              <w:ind w:left="176"/>
              <w:rPr>
                <w:sz w:val="32"/>
              </w:rPr>
            </w:pPr>
            <w:r>
              <w:rPr>
                <w:sz w:val="32"/>
              </w:rPr>
              <w:t>服务周期</w:t>
            </w:r>
          </w:p>
        </w:tc>
        <w:tc>
          <w:tcPr>
            <w:tcW w:w="8507" w:type="dxa"/>
            <w:noWrap w:val="0"/>
            <w:vAlign w:val="top"/>
          </w:tcPr>
          <w:p>
            <w:pPr>
              <w:pStyle w:val="9"/>
              <w:spacing w:before="113"/>
              <w:rPr>
                <w:rFonts w:hint="default" w:eastAsia="仿宋_GB2312"/>
                <w:sz w:val="32"/>
                <w:u w:val="single"/>
                <w:lang w:val="en-US" w:eastAsia="zh-CN"/>
              </w:rPr>
            </w:pPr>
            <w:r>
              <w:rPr>
                <w:rFonts w:hint="eastAsia"/>
                <w:sz w:val="32"/>
                <w:lang w:val="en-US"/>
              </w:rPr>
              <w:t>合同期限</w:t>
            </w:r>
            <w:r>
              <w:rPr>
                <w:rFonts w:hint="eastAsia"/>
                <w:sz w:val="32"/>
                <w:u w:val="single"/>
                <w:lang w:val="en-US" w:eastAsia="zh-CN"/>
              </w:rPr>
              <w:t xml:space="preserve">  1  </w:t>
            </w:r>
            <w:r>
              <w:rPr>
                <w:rFonts w:hint="eastAsia"/>
                <w:sz w:val="32"/>
                <w:u w:val="none"/>
                <w:lang w:val="en-US" w:eastAsia="zh-Hans"/>
              </w:rPr>
              <w:t>年</w:t>
            </w:r>
            <w:r>
              <w:rPr>
                <w:rFonts w:hint="eastAsia"/>
                <w:sz w:val="32"/>
                <w:u w:val="none"/>
                <w:lang w:val="en-US" w:eastAsia="zh-CN"/>
              </w:rPr>
              <w:t>，年次数不少于</w:t>
            </w:r>
            <w:r>
              <w:rPr>
                <w:rFonts w:hint="eastAsia"/>
                <w:sz w:val="32"/>
                <w:u w:val="single"/>
                <w:lang w:val="en-US" w:eastAsia="zh-CN"/>
              </w:rPr>
              <w:t xml:space="preserve">  12  </w:t>
            </w:r>
            <w:r>
              <w:rPr>
                <w:rFonts w:hint="eastAsia"/>
                <w:sz w:val="32"/>
                <w:u w:val="none"/>
                <w:lang w:val="en-US" w:eastAsia="zh-CN"/>
              </w:rPr>
              <w:t>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</w:trPr>
        <w:tc>
          <w:tcPr>
            <w:tcW w:w="1597" w:type="dxa"/>
            <w:noWrap w:val="0"/>
            <w:vAlign w:val="top"/>
          </w:tcPr>
          <w:p>
            <w:pPr>
              <w:pStyle w:val="9"/>
              <w:spacing w:before="140"/>
              <w:ind w:left="176"/>
              <w:rPr>
                <w:sz w:val="32"/>
              </w:rPr>
            </w:pPr>
            <w:r>
              <w:rPr>
                <w:sz w:val="32"/>
              </w:rPr>
              <w:t>服务期限</w:t>
            </w:r>
          </w:p>
        </w:tc>
        <w:tc>
          <w:tcPr>
            <w:tcW w:w="8507" w:type="dxa"/>
            <w:noWrap w:val="0"/>
            <w:vAlign w:val="top"/>
          </w:tcPr>
          <w:p>
            <w:pPr>
              <w:pStyle w:val="9"/>
              <w:spacing w:before="114"/>
              <w:rPr>
                <w:sz w:val="32"/>
              </w:rPr>
            </w:pPr>
            <w:r>
              <w:rPr>
                <w:rFonts w:hint="eastAsia"/>
                <w:sz w:val="32"/>
                <w:u w:val="single"/>
                <w:lang w:val="en-US" w:eastAsia="zh-CN"/>
              </w:rPr>
              <w:t xml:space="preserve">       </w:t>
            </w:r>
            <w:r>
              <w:rPr>
                <w:sz w:val="32"/>
              </w:rPr>
              <w:t>年</w:t>
            </w:r>
            <w:r>
              <w:rPr>
                <w:rFonts w:hint="eastAsia"/>
                <w:sz w:val="32"/>
                <w:u w:val="single"/>
                <w:lang w:val="en-US" w:eastAsia="zh-CN"/>
              </w:rPr>
              <w:t xml:space="preserve">   </w:t>
            </w:r>
            <w:r>
              <w:rPr>
                <w:rFonts w:hint="default"/>
                <w:sz w:val="32"/>
                <w:u w:val="single"/>
                <w:lang w:eastAsia="zh-CN"/>
              </w:rPr>
              <w:t xml:space="preserve"> </w:t>
            </w:r>
            <w:r>
              <w:rPr>
                <w:sz w:val="32"/>
              </w:rPr>
              <w:t>月</w:t>
            </w:r>
            <w:r>
              <w:rPr>
                <w:rFonts w:hint="eastAsia"/>
                <w:sz w:val="32"/>
                <w:u w:val="single"/>
                <w:lang w:val="en-US" w:eastAsia="zh-CN"/>
              </w:rPr>
              <w:t xml:space="preserve"> </w:t>
            </w:r>
            <w:r>
              <w:rPr>
                <w:rFonts w:hint="default"/>
                <w:sz w:val="32"/>
                <w:u w:val="single"/>
                <w:lang w:eastAsia="zh-CN"/>
              </w:rPr>
              <w:t xml:space="preserve"> </w:t>
            </w:r>
            <w:r>
              <w:rPr>
                <w:rFonts w:hint="eastAsia"/>
                <w:sz w:val="32"/>
                <w:u w:val="single"/>
                <w:lang w:val="en-US" w:eastAsia="zh-CN"/>
              </w:rPr>
              <w:t xml:space="preserve">  </w:t>
            </w:r>
            <w:r>
              <w:rPr>
                <w:sz w:val="32"/>
              </w:rPr>
              <w:t>日至</w:t>
            </w:r>
            <w:r>
              <w:rPr>
                <w:rFonts w:hint="eastAsia"/>
                <w:sz w:val="32"/>
                <w:u w:val="single"/>
                <w:lang w:val="en-US" w:eastAsia="zh-CN"/>
              </w:rPr>
              <w:t xml:space="preserve">       </w:t>
            </w:r>
            <w:r>
              <w:rPr>
                <w:sz w:val="32"/>
              </w:rPr>
              <w:t>年</w:t>
            </w:r>
            <w:r>
              <w:rPr>
                <w:rFonts w:hint="eastAsia"/>
                <w:sz w:val="32"/>
                <w:u w:val="single"/>
                <w:lang w:val="en-US" w:eastAsia="zh-CN"/>
              </w:rPr>
              <w:t xml:space="preserve">  </w:t>
            </w:r>
            <w:r>
              <w:rPr>
                <w:rFonts w:hint="default"/>
                <w:sz w:val="32"/>
                <w:u w:val="single"/>
                <w:lang w:eastAsia="zh-CN"/>
              </w:rPr>
              <w:t xml:space="preserve"> </w:t>
            </w:r>
            <w:r>
              <w:rPr>
                <w:rFonts w:hint="eastAsia"/>
                <w:sz w:val="32"/>
                <w:u w:val="single"/>
                <w:lang w:val="en-US" w:eastAsia="zh-CN"/>
              </w:rPr>
              <w:t xml:space="preserve"> </w:t>
            </w:r>
            <w:r>
              <w:rPr>
                <w:sz w:val="32"/>
              </w:rPr>
              <w:t>月</w:t>
            </w:r>
            <w:r>
              <w:rPr>
                <w:rFonts w:hint="eastAsia"/>
                <w:sz w:val="32"/>
                <w:u w:val="single"/>
                <w:lang w:val="en-US" w:eastAsia="zh-CN"/>
              </w:rPr>
              <w:t xml:space="preserve">    </w:t>
            </w:r>
            <w:r>
              <w:rPr>
                <w:sz w:val="32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4" w:hRule="atLeast"/>
        </w:trPr>
        <w:tc>
          <w:tcPr>
            <w:tcW w:w="1597" w:type="dxa"/>
            <w:noWrap w:val="0"/>
            <w:vAlign w:val="top"/>
          </w:tcPr>
          <w:p>
            <w:pPr>
              <w:pStyle w:val="9"/>
              <w:spacing w:before="113"/>
              <w:ind w:left="176"/>
              <w:rPr>
                <w:sz w:val="32"/>
              </w:rPr>
            </w:pPr>
            <w:r>
              <w:rPr>
                <w:sz w:val="32"/>
              </w:rPr>
              <w:t>服务费用</w:t>
            </w:r>
          </w:p>
        </w:tc>
        <w:tc>
          <w:tcPr>
            <w:tcW w:w="8507" w:type="dxa"/>
            <w:noWrap w:val="0"/>
            <w:vAlign w:val="center"/>
          </w:tcPr>
          <w:p>
            <w:pPr>
              <w:pStyle w:val="9"/>
              <w:spacing w:before="113"/>
              <w:jc w:val="both"/>
              <w:rPr>
                <w:rFonts w:hint="eastAsia" w:eastAsia="仿宋_GB2312"/>
                <w:sz w:val="32"/>
                <w:u w:val="singl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1597" w:type="dxa"/>
            <w:noWrap w:val="0"/>
            <w:vAlign w:val="top"/>
          </w:tcPr>
          <w:p>
            <w:pPr>
              <w:pStyle w:val="9"/>
              <w:spacing w:before="208"/>
              <w:ind w:left="176"/>
              <w:rPr>
                <w:sz w:val="32"/>
              </w:rPr>
            </w:pPr>
            <w:r>
              <w:rPr>
                <w:sz w:val="32"/>
              </w:rPr>
              <w:t>付款方式</w:t>
            </w:r>
          </w:p>
        </w:tc>
        <w:tc>
          <w:tcPr>
            <w:tcW w:w="8507" w:type="dxa"/>
            <w:noWrap w:val="0"/>
            <w:vAlign w:val="center"/>
          </w:tcPr>
          <w:p>
            <w:pPr>
              <w:jc w:val="both"/>
              <w:rPr>
                <w:sz w:val="32"/>
              </w:rPr>
            </w:pPr>
            <w:r>
              <w:rPr>
                <w:rFonts w:hint="eastAsia" w:cs="仿宋_GB2312"/>
                <w:sz w:val="32"/>
                <w:szCs w:val="22"/>
                <w:lang w:val="en-US" w:eastAsia="zh-CN" w:bidi="zh-CN"/>
              </w:rPr>
              <w:t>自合同签订后一个月内支付总额的50%，合同最后一个月内支付剩余50%（乙方需提前20日提供同等金额的增值税普通发票）</w:t>
            </w:r>
          </w:p>
        </w:tc>
      </w:tr>
    </w:tbl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right="0" w:firstLine="640" w:firstLineChars="200"/>
        <w:textAlignment w:val="auto"/>
        <w:rPr>
          <w:rFonts w:hint="eastAsia"/>
          <w:lang w:val="en-US"/>
        </w:rPr>
      </w:pPr>
      <w:r>
        <w:rPr>
          <w:rFonts w:hint="eastAsia"/>
        </w:rPr>
        <w:t>注：</w:t>
      </w:r>
      <w:r>
        <w:rPr>
          <w:rFonts w:hint="eastAsia"/>
          <w:lang w:val="en-US"/>
        </w:rPr>
        <w:t>1</w:t>
      </w:r>
      <w:r>
        <w:rPr>
          <w:rFonts w:hint="eastAsia"/>
          <w:lang w:val="en-US" w:eastAsia="zh-CN"/>
        </w:rPr>
        <w:t>.</w:t>
      </w:r>
      <w:r>
        <w:rPr>
          <w:rFonts w:hint="eastAsia"/>
          <w:lang w:val="en-US"/>
        </w:rPr>
        <w:t>为防止虫害抗药性，药物轮换使用。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right="0" w:firstLine="1280" w:firstLineChars="400"/>
        <w:textAlignment w:val="auto"/>
        <w:rPr>
          <w:rFonts w:hint="eastAsia"/>
        </w:rPr>
      </w:pPr>
      <w:r>
        <w:rPr>
          <w:rFonts w:hint="eastAsia"/>
          <w:lang w:val="en-US"/>
        </w:rPr>
        <w:t>2</w:t>
      </w:r>
      <w:r>
        <w:rPr>
          <w:rFonts w:hint="eastAsia"/>
          <w:lang w:val="en-US" w:eastAsia="zh-CN"/>
        </w:rPr>
        <w:t>.</w:t>
      </w:r>
      <w:r>
        <w:rPr>
          <w:rFonts w:hint="eastAsia"/>
        </w:rPr>
        <w:t>如遇特殊情况（虫害密度增高或上级检查等），增加消杀频率，不计另外收费。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right="0" w:firstLine="1280" w:firstLineChars="400"/>
        <w:textAlignment w:val="auto"/>
        <w:rPr>
          <w:rFonts w:hint="eastAsia" w:ascii="黑体" w:eastAsia="黑体"/>
          <w:w w:val="95"/>
        </w:rPr>
      </w:pPr>
      <w:r>
        <w:rPr>
          <w:rFonts w:hint="eastAsia"/>
          <w:lang w:val="en-US"/>
        </w:rPr>
        <w:t>3</w:t>
      </w:r>
      <w:r>
        <w:rPr>
          <w:rFonts w:hint="eastAsia"/>
          <w:lang w:val="en-US" w:eastAsia="zh-CN"/>
        </w:rPr>
        <w:t>.</w:t>
      </w:r>
      <w:r>
        <w:rPr>
          <w:rFonts w:hint="eastAsia"/>
        </w:rPr>
        <w:t>人员配置</w:t>
      </w:r>
      <w:r>
        <w:rPr>
          <w:rFonts w:hint="eastAsia"/>
          <w:lang w:val="en-US" w:eastAsia="zh-CN"/>
        </w:rPr>
        <w:t>2-3</w:t>
      </w:r>
      <w:r>
        <w:rPr>
          <w:rFonts w:hint="eastAsia"/>
          <w:lang w:val="en-US"/>
        </w:rPr>
        <w:t>人。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right="0" w:firstLine="608" w:firstLineChars="200"/>
        <w:textAlignment w:val="auto"/>
        <w:rPr>
          <w:rFonts w:hint="eastAsia" w:ascii="黑体" w:eastAsia="黑体"/>
        </w:rPr>
      </w:pPr>
      <w:r>
        <w:rPr>
          <w:rFonts w:hint="eastAsia" w:ascii="黑体" w:eastAsia="黑体"/>
          <w:w w:val="95"/>
        </w:rPr>
        <w:t>第三条：服务方式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right="0" w:firstLine="640" w:firstLineChars="200"/>
        <w:textAlignment w:val="auto"/>
      </w:pPr>
      <w:r>
        <w:t>乙方在确定范围内以包工、包料、包机械工具、包质量、包安全的方式承接甲方委托的虫害作业。乙方进行作业所用的专用机械、工具及各种杀虫剂等物品均自行负责，但必须符合国家有关病媒生物防制规程、规范的要求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right="0" w:firstLine="640" w:firstLineChars="200"/>
        <w:textAlignment w:val="auto"/>
        <w:rPr>
          <w:rFonts w:hint="eastAsia" w:ascii="黑体" w:eastAsia="黑体"/>
        </w:rPr>
      </w:pPr>
      <w:r>
        <w:rPr>
          <w:rFonts w:hint="eastAsia" w:ascii="黑体" w:eastAsia="黑体"/>
        </w:rPr>
        <w:t>第四条：甲方的职责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right="0" w:firstLine="640" w:firstLineChars="200"/>
        <w:textAlignment w:val="auto"/>
      </w:pPr>
      <w:r>
        <w:rPr>
          <w:rFonts w:hint="eastAsia"/>
          <w:lang w:val="en-US" w:eastAsia="zh-CN"/>
        </w:rPr>
        <w:t>1.</w:t>
      </w:r>
      <w:r>
        <w:t>有权对乙方的服务工作质量进行监督考核，提出意见。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right="0" w:firstLine="640" w:firstLineChars="200"/>
        <w:textAlignment w:val="auto"/>
      </w:pPr>
      <w:r>
        <w:t>2</w:t>
      </w:r>
      <w:r>
        <w:rPr>
          <w:rFonts w:hint="eastAsia"/>
          <w:lang w:val="en-US" w:eastAsia="zh-CN"/>
        </w:rPr>
        <w:t>.</w:t>
      </w:r>
      <w:r>
        <w:t>指定人员配合乙方人员开展服务工作，提供工作便利。乙方每次服务后，甲方应当在乙方的工作记录上签字确认。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right="0" w:firstLine="652" w:firstLineChars="200"/>
        <w:textAlignment w:val="auto"/>
        <w:rPr>
          <w:spacing w:val="-28"/>
          <w:w w:val="95"/>
        </w:rPr>
      </w:pPr>
      <w:r>
        <w:rPr>
          <w:spacing w:val="3"/>
        </w:rPr>
        <w:t>3</w:t>
      </w:r>
      <w:r>
        <w:rPr>
          <w:rFonts w:hint="eastAsia"/>
          <w:lang w:val="en-US" w:eastAsia="zh-CN"/>
        </w:rPr>
        <w:t>.</w:t>
      </w:r>
      <w:r>
        <w:t>负责搞好本单位的环境卫生，清除虫害尸体，并在乙方的</w:t>
      </w:r>
      <w:r>
        <w:rPr>
          <w:spacing w:val="-10"/>
        </w:rPr>
        <w:t>指导下，落实蚊、蝇、鼠、蟑螂等虫害的综合防范措施。如清</w:t>
      </w:r>
      <w:r>
        <w:rPr>
          <w:spacing w:val="-28"/>
          <w:w w:val="95"/>
        </w:rPr>
        <w:t xml:space="preserve">除积水、疏通水沟、堵洞抹缝，防蝇、防鼠设施安装并保持完好。 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right="0" w:firstLine="652" w:firstLineChars="200"/>
        <w:textAlignment w:val="auto"/>
      </w:pPr>
      <w:r>
        <w:rPr>
          <w:spacing w:val="3"/>
        </w:rPr>
        <w:t>4</w:t>
      </w:r>
      <w:r>
        <w:rPr>
          <w:rFonts w:hint="eastAsia"/>
          <w:lang w:val="en-US" w:eastAsia="zh-CN"/>
        </w:rPr>
        <w:t>.</w:t>
      </w:r>
      <w:r>
        <w:t>对所有摆放药物之区域，须设立明显之警示标识，应当设立警示标识。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right="0" w:firstLine="640" w:firstLineChars="200"/>
        <w:textAlignment w:val="auto"/>
      </w:pPr>
      <w:r>
        <w:t>5</w:t>
      </w:r>
      <w:r>
        <w:rPr>
          <w:rFonts w:hint="eastAsia"/>
          <w:lang w:val="en-US" w:eastAsia="zh-CN"/>
        </w:rPr>
        <w:t>.</w:t>
      </w:r>
      <w:r>
        <w:t>按时足额支付服务费。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right="0" w:firstLine="640" w:firstLineChars="200"/>
        <w:textAlignment w:val="auto"/>
        <w:rPr>
          <w:rFonts w:hint="eastAsia" w:ascii="黑体" w:eastAsia="黑体"/>
        </w:rPr>
      </w:pPr>
      <w:r>
        <w:rPr>
          <w:rFonts w:hint="eastAsia" w:ascii="黑体" w:eastAsia="黑体"/>
        </w:rPr>
        <w:t>第五条：乙方的职责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right="0" w:firstLine="560" w:firstLineChars="200"/>
        <w:textAlignment w:val="auto"/>
        <w:rPr>
          <w:b w:val="0"/>
          <w:spacing w:val="-20"/>
          <w:sz w:val="32"/>
        </w:rPr>
      </w:pPr>
      <w:r>
        <w:rPr>
          <w:b w:val="0"/>
          <w:spacing w:val="-20"/>
          <w:sz w:val="32"/>
        </w:rPr>
        <w:t>1</w:t>
      </w:r>
      <w:r>
        <w:rPr>
          <w:rFonts w:hint="eastAsia"/>
          <w:b w:val="0"/>
          <w:spacing w:val="-20"/>
          <w:sz w:val="32"/>
          <w:lang w:val="en-US" w:eastAsia="zh-CN"/>
        </w:rPr>
        <w:t>.</w:t>
      </w:r>
      <w:r>
        <w:rPr>
          <w:b w:val="0"/>
          <w:spacing w:val="-20"/>
          <w:sz w:val="32"/>
        </w:rPr>
        <w:t>确保服务质量，使虫害密度控制在</w:t>
      </w:r>
      <w:r>
        <w:rPr>
          <w:rFonts w:hint="eastAsia"/>
          <w:b w:val="0"/>
          <w:spacing w:val="-20"/>
          <w:sz w:val="32"/>
        </w:rPr>
        <w:t>兰溪市</w:t>
      </w:r>
      <w:r>
        <w:rPr>
          <w:b w:val="0"/>
          <w:spacing w:val="-20"/>
          <w:sz w:val="32"/>
        </w:rPr>
        <w:t>爱卫</w:t>
      </w:r>
      <w:r>
        <w:rPr>
          <w:rFonts w:hint="eastAsia"/>
          <w:b w:val="0"/>
          <w:spacing w:val="-20"/>
          <w:sz w:val="32"/>
        </w:rPr>
        <w:t>办</w:t>
      </w:r>
      <w:r>
        <w:rPr>
          <w:b w:val="0"/>
          <w:spacing w:val="-20"/>
          <w:sz w:val="32"/>
        </w:rPr>
        <w:t>规定的标准之内。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right="0" w:firstLine="640" w:firstLineChars="200"/>
        <w:textAlignment w:val="auto"/>
      </w:pPr>
      <w:r>
        <w:t>2</w:t>
      </w:r>
      <w:r>
        <w:rPr>
          <w:rFonts w:hint="eastAsia"/>
          <w:lang w:val="en-US" w:eastAsia="zh-CN"/>
        </w:rPr>
        <w:t>.</w:t>
      </w:r>
      <w:r>
        <w:t>定期进行除害服务工作，负责质量跟踪，并以书面形式向甲方反馈。接受甲方对除害质量的监督和检查。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right="0" w:firstLine="640" w:firstLineChars="200"/>
        <w:textAlignment w:val="auto"/>
      </w:pPr>
      <w:r>
        <w:t>3</w:t>
      </w:r>
      <w:r>
        <w:rPr>
          <w:rFonts w:hint="eastAsia"/>
          <w:lang w:val="en-US" w:eastAsia="zh-CN"/>
        </w:rPr>
        <w:t>.</w:t>
      </w:r>
      <w:r>
        <w:t>现场服务时，要遵守甲方有关规章制度，做到安全操作。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right="0" w:firstLine="640" w:firstLineChars="200"/>
        <w:textAlignment w:val="auto"/>
      </w:pPr>
      <w:r>
        <w:rPr>
          <w:rFonts w:hint="eastAsia"/>
          <w:lang w:val="en-US" w:eastAsia="zh-CN"/>
        </w:rPr>
        <w:t>4.</w:t>
      </w:r>
      <w:r>
        <w:t>接受甲方提出的合理建议和意见，并及时整改。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right="0" w:firstLine="640" w:firstLineChars="200"/>
        <w:textAlignment w:val="auto"/>
      </w:pPr>
      <w:r>
        <w:rPr>
          <w:rFonts w:hint="eastAsia"/>
          <w:lang w:val="en-US" w:eastAsia="zh-CN"/>
        </w:rPr>
        <w:t>5.</w:t>
      </w:r>
      <w:r>
        <w:t>督促甲方落实除害的综合防范措施，提出改进意见。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right="0" w:firstLine="640" w:firstLineChars="200"/>
        <w:textAlignment w:val="auto"/>
      </w:pPr>
      <w:r>
        <w:rPr>
          <w:rFonts w:hint="eastAsia"/>
          <w:lang w:val="en-US" w:eastAsia="zh-CN"/>
        </w:rPr>
        <w:t>6.</w:t>
      </w:r>
      <w:r>
        <w:t>提前告</w:t>
      </w:r>
      <w:r>
        <w:rPr>
          <w:rFonts w:hint="eastAsia"/>
          <w:lang w:eastAsia="zh-CN"/>
        </w:rPr>
        <w:t>知</w:t>
      </w:r>
      <w:r>
        <w:t>甲方月工作计划，经甲方同意后按计划实施。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right="0" w:firstLine="636" w:firstLineChars="200"/>
        <w:textAlignment w:val="auto"/>
        <w:rPr>
          <w:spacing w:val="-22"/>
        </w:rPr>
      </w:pPr>
      <w:r>
        <w:rPr>
          <w:rFonts w:hint="eastAsia"/>
          <w:spacing w:val="-1"/>
          <w:lang w:val="en-US" w:eastAsia="zh-CN"/>
        </w:rPr>
        <w:t>7.</w:t>
      </w:r>
      <w:r>
        <w:rPr>
          <w:spacing w:val="-1"/>
        </w:rPr>
        <w:t>乙方在公共区域内采用物理灭鼠的方式进行灭鼠，并按市</w:t>
      </w:r>
      <w:r>
        <w:rPr>
          <w:spacing w:val="-22"/>
        </w:rPr>
        <w:t>爱卫</w:t>
      </w:r>
      <w:r>
        <w:rPr>
          <w:rFonts w:hint="eastAsia"/>
          <w:spacing w:val="-22"/>
        </w:rPr>
        <w:t>办</w:t>
      </w:r>
      <w:r>
        <w:rPr>
          <w:spacing w:val="-22"/>
        </w:rPr>
        <w:t>要求于春秋二季采用</w:t>
      </w:r>
      <w:r>
        <w:rPr>
          <w:rFonts w:hint="eastAsia"/>
          <w:spacing w:val="-22"/>
        </w:rPr>
        <w:t>科学物理有效方式</w:t>
      </w:r>
      <w:r>
        <w:rPr>
          <w:spacing w:val="-22"/>
        </w:rPr>
        <w:t>进行统一</w:t>
      </w:r>
      <w:r>
        <w:rPr>
          <w:rFonts w:hint="eastAsia"/>
          <w:spacing w:val="-22"/>
        </w:rPr>
        <w:t>的</w:t>
      </w:r>
      <w:r>
        <w:rPr>
          <w:spacing w:val="-22"/>
        </w:rPr>
        <w:t>突击灭鼠。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right="0" w:firstLine="552" w:firstLineChars="200"/>
        <w:textAlignment w:val="auto"/>
      </w:pPr>
      <w:r>
        <w:rPr>
          <w:rFonts w:hint="eastAsia"/>
          <w:spacing w:val="-22"/>
          <w:lang w:val="en-US" w:eastAsia="zh-CN"/>
        </w:rPr>
        <w:t>8.</w:t>
      </w:r>
      <w:r>
        <w:rPr>
          <w:spacing w:val="-22"/>
        </w:rPr>
        <w:t>友善作业，未收取服务费用，不列入考核项目。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right="0" w:firstLine="640" w:firstLineChars="200"/>
        <w:textAlignment w:val="auto"/>
        <w:rPr>
          <w:rFonts w:hint="eastAsia" w:ascii="黑体" w:eastAsia="黑体"/>
        </w:rPr>
      </w:pPr>
      <w:r>
        <w:rPr>
          <w:rFonts w:hint="eastAsia" w:ascii="黑体" w:eastAsia="黑体"/>
        </w:rPr>
        <w:t>第六条：违约责任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right="0" w:firstLine="560" w:firstLineChars="200"/>
        <w:jc w:val="both"/>
        <w:textAlignment w:val="auto"/>
        <w:rPr>
          <w:spacing w:val="-20"/>
          <w:sz w:val="32"/>
        </w:rPr>
      </w:pPr>
      <w:r>
        <w:rPr>
          <w:spacing w:val="-20"/>
          <w:sz w:val="32"/>
        </w:rPr>
        <w:t>1</w:t>
      </w:r>
      <w:r>
        <w:rPr>
          <w:rFonts w:hint="eastAsia"/>
          <w:spacing w:val="-20"/>
          <w:sz w:val="32"/>
          <w:lang w:val="en-US" w:eastAsia="zh-CN"/>
        </w:rPr>
        <w:t>.</w:t>
      </w:r>
      <w:r>
        <w:rPr>
          <w:spacing w:val="-20"/>
          <w:sz w:val="32"/>
        </w:rPr>
        <w:t>甲方如不履行本协议规定的职责，影响乙方正常开展服务</w:t>
      </w:r>
      <w:r>
        <w:rPr>
          <w:spacing w:val="-20"/>
          <w:w w:val="95"/>
          <w:sz w:val="32"/>
        </w:rPr>
        <w:t>工作的，乙方有权单方面通知甲方终止协议，甲方已支付的服</w:t>
      </w:r>
      <w:r>
        <w:rPr>
          <w:spacing w:val="-20"/>
          <w:sz w:val="32"/>
        </w:rPr>
        <w:t>务费不再退还。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right="0" w:firstLine="572" w:firstLineChars="200"/>
        <w:textAlignment w:val="auto"/>
      </w:pPr>
      <w:r>
        <w:rPr>
          <w:spacing w:val="-9"/>
          <w:w w:val="95"/>
        </w:rPr>
        <w:t>2</w:t>
      </w:r>
      <w:r>
        <w:rPr>
          <w:rFonts w:hint="eastAsia"/>
          <w:spacing w:val="-19"/>
          <w:w w:val="95"/>
          <w:lang w:val="en-US" w:eastAsia="zh-CN"/>
        </w:rPr>
        <w:t>.</w:t>
      </w:r>
      <w:r>
        <w:rPr>
          <w:spacing w:val="-19"/>
          <w:w w:val="95"/>
        </w:rPr>
        <w:t>乙方如未按协议的约定完成服务工作的，应退还甲</w:t>
      </w:r>
      <w:r>
        <w:rPr>
          <w:spacing w:val="-22"/>
        </w:rPr>
        <w:t>方已支付的服务费，同时甲方有权单方面通知乙方解除协议。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right="0" w:firstLine="620" w:firstLineChars="200"/>
        <w:jc w:val="both"/>
        <w:textAlignment w:val="auto"/>
      </w:pPr>
      <w:r>
        <w:rPr>
          <w:spacing w:val="3"/>
          <w:w w:val="95"/>
        </w:rPr>
        <w:t>3</w:t>
      </w:r>
      <w:r>
        <w:rPr>
          <w:rFonts w:hint="eastAsia"/>
          <w:spacing w:val="4"/>
          <w:w w:val="95"/>
          <w:lang w:val="en-US" w:eastAsia="zh-CN"/>
        </w:rPr>
        <w:t>.</w:t>
      </w:r>
      <w:r>
        <w:rPr>
          <w:spacing w:val="4"/>
          <w:w w:val="95"/>
        </w:rPr>
        <w:t>如因乙方服务质量原因，经考核认定未达到除害效果的，</w:t>
      </w:r>
      <w:r>
        <w:rPr>
          <w:spacing w:val="-5"/>
        </w:rPr>
        <w:t>应当按照《</w:t>
      </w:r>
      <w:r>
        <w:rPr>
          <w:rFonts w:hint="eastAsia"/>
          <w:spacing w:val="-5"/>
        </w:rPr>
        <w:t>浙江省</w:t>
      </w:r>
      <w:r>
        <w:rPr>
          <w:spacing w:val="-5"/>
        </w:rPr>
        <w:t>除四害工作管理</w:t>
      </w:r>
      <w:r>
        <w:rPr>
          <w:rFonts w:hint="eastAsia"/>
          <w:spacing w:val="-5"/>
        </w:rPr>
        <w:t>办法</w:t>
      </w:r>
      <w:r>
        <w:rPr>
          <w:spacing w:val="-5"/>
        </w:rPr>
        <w:t>》的规定承担相应</w:t>
      </w:r>
      <w:r>
        <w:rPr>
          <w:spacing w:val="-11"/>
        </w:rPr>
        <w:t>的责任。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right="0" w:firstLine="640" w:firstLineChars="200"/>
        <w:textAlignment w:val="auto"/>
        <w:rPr>
          <w:rFonts w:hint="eastAsia" w:ascii="黑体" w:eastAsia="黑体"/>
        </w:rPr>
      </w:pPr>
      <w:r>
        <w:rPr>
          <w:rFonts w:hint="eastAsia" w:ascii="黑体" w:eastAsia="黑体"/>
        </w:rPr>
        <w:t>第七条：争议的解决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right="0" w:firstLine="500" w:firstLineChars="200"/>
        <w:textAlignment w:val="auto"/>
      </w:pPr>
      <w:r>
        <w:rPr>
          <w:spacing w:val="-27"/>
          <w:w w:val="95"/>
        </w:rPr>
        <w:t>如因本协议而产生争议，甲乙双方应友好协商解决。如协商不成，</w:t>
      </w:r>
      <w:r>
        <w:rPr>
          <w:spacing w:val="-28"/>
          <w:w w:val="95"/>
        </w:rPr>
        <w:t>需要通过诉讼方式解决的，任何一方应向</w:t>
      </w:r>
      <w:r>
        <w:rPr>
          <w:rFonts w:hint="eastAsia"/>
          <w:spacing w:val="-28"/>
          <w:w w:val="95"/>
        </w:rPr>
        <w:t>甲</w:t>
      </w:r>
      <w:r>
        <w:rPr>
          <w:spacing w:val="-28"/>
          <w:w w:val="95"/>
        </w:rPr>
        <w:t>乙</w:t>
      </w:r>
      <w:r>
        <w:rPr>
          <w:rFonts w:hint="eastAsia"/>
          <w:spacing w:val="-28"/>
          <w:w w:val="95"/>
        </w:rPr>
        <w:t>双</w:t>
      </w:r>
      <w:r>
        <w:rPr>
          <w:spacing w:val="-28"/>
          <w:w w:val="95"/>
        </w:rPr>
        <w:t>方所在地的人民法院起诉。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right="0" w:firstLine="640" w:firstLineChars="200"/>
        <w:textAlignment w:val="auto"/>
        <w:rPr>
          <w:rFonts w:hint="eastAsia" w:ascii="黑体" w:eastAsia="黑体"/>
        </w:rPr>
      </w:pPr>
      <w:r>
        <w:rPr>
          <w:rFonts w:hint="eastAsia" w:ascii="黑体" w:eastAsia="黑体"/>
        </w:rPr>
        <w:t>第八条：协议的生效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right="0" w:firstLine="500" w:firstLineChars="200"/>
        <w:textAlignment w:val="auto"/>
        <w:rPr>
          <w:rFonts w:hint="eastAsia"/>
          <w:spacing w:val="-27"/>
          <w:w w:val="95"/>
          <w:lang w:val="en-US" w:eastAsia="zh-CN"/>
        </w:rPr>
      </w:pPr>
      <w:r>
        <w:rPr>
          <w:rFonts w:hint="eastAsia"/>
          <w:spacing w:val="-27"/>
          <w:w w:val="95"/>
          <w:lang w:val="en-US" w:eastAsia="zh-CN"/>
        </w:rPr>
        <w:t>合同期限到期后，如果双方无异议的，可以约定按原合同延续，按原合同继续履行，并就延续的期限作出约定，比如延续一年或两年等。如果有一方不同意延续，可以在合同到期前向对方提出本合同不再延续的通知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right="0" w:firstLine="472" w:firstLineChars="200"/>
        <w:textAlignment w:val="auto"/>
        <w:rPr>
          <w:spacing w:val="-34"/>
          <w:w w:val="95"/>
          <w:sz w:val="32"/>
        </w:rPr>
      </w:pPr>
      <w:r>
        <w:rPr>
          <w:spacing w:val="-34"/>
          <w:w w:val="95"/>
          <w:sz w:val="32"/>
        </w:rPr>
        <w:t>本协议一式二份，甲乙</w:t>
      </w:r>
      <w:r>
        <w:rPr>
          <w:rFonts w:hint="eastAsia"/>
          <w:spacing w:val="-34"/>
          <w:w w:val="95"/>
          <w:sz w:val="32"/>
          <w:lang w:eastAsia="zh-CN"/>
        </w:rPr>
        <w:t>双</w:t>
      </w:r>
      <w:r>
        <w:rPr>
          <w:spacing w:val="-34"/>
          <w:w w:val="95"/>
          <w:sz w:val="32"/>
        </w:rPr>
        <w:t>方各执一份，自双方代表签字或单位盖章后生效。</w:t>
      </w:r>
    </w:p>
    <w:p>
      <w:pPr>
        <w:pStyle w:val="4"/>
        <w:rPr>
          <w:sz w:val="20"/>
        </w:rPr>
      </w:pPr>
    </w:p>
    <w:p>
      <w:pPr>
        <w:pStyle w:val="4"/>
        <w:rPr>
          <w:sz w:val="20"/>
        </w:rPr>
      </w:pPr>
    </w:p>
    <w:tbl>
      <w:tblPr>
        <w:tblStyle w:val="7"/>
        <w:tblpPr w:leftFromText="180" w:rightFromText="180" w:vertAnchor="text" w:horzAnchor="page" w:tblpX="1798" w:tblpY="136"/>
        <w:tblOverlap w:val="never"/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860"/>
        <w:gridCol w:w="4390"/>
      </w:tblGrid>
      <w:tr>
        <w:trPr>
          <w:trHeight w:val="428" w:hRule="atLeast"/>
        </w:trPr>
        <w:tc>
          <w:tcPr>
            <w:tcW w:w="3860" w:type="dxa"/>
            <w:noWrap w:val="0"/>
            <w:vAlign w:val="top"/>
          </w:tcPr>
          <w:p>
            <w:pPr>
              <w:pStyle w:val="9"/>
              <w:spacing w:before="0" w:line="364" w:lineRule="exact"/>
              <w:ind w:left="1648" w:leftChars="22" w:hanging="1600" w:hangingChars="500"/>
              <w:rPr>
                <w:rFonts w:hint="default"/>
                <w:sz w:val="32"/>
                <w:lang w:val="en-US" w:eastAsia="zh-CN"/>
              </w:rPr>
            </w:pPr>
            <w:r>
              <w:rPr>
                <w:sz w:val="32"/>
              </w:rPr>
              <w:t>甲方：</w:t>
            </w:r>
          </w:p>
        </w:tc>
        <w:tc>
          <w:tcPr>
            <w:tcW w:w="4390" w:type="dxa"/>
            <w:noWrap w:val="0"/>
            <w:vAlign w:val="top"/>
          </w:tcPr>
          <w:p>
            <w:pPr>
              <w:pStyle w:val="9"/>
              <w:spacing w:before="0" w:line="364" w:lineRule="exact"/>
              <w:ind w:right="47"/>
              <w:jc w:val="left"/>
              <w:rPr>
                <w:rFonts w:hint="eastAsia" w:eastAsia="仿宋_GB2312"/>
                <w:sz w:val="32"/>
                <w:lang w:eastAsia="zh-CN"/>
              </w:rPr>
            </w:pPr>
            <w:r>
              <w:rPr>
                <w:w w:val="95"/>
                <w:sz w:val="32"/>
              </w:rPr>
              <w:t>乙方：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3860" w:type="dxa"/>
            <w:noWrap w:val="0"/>
            <w:vAlign w:val="top"/>
          </w:tcPr>
          <w:p>
            <w:pPr>
              <w:pStyle w:val="9"/>
              <w:ind w:left="50"/>
              <w:rPr>
                <w:sz w:val="32"/>
              </w:rPr>
            </w:pPr>
            <w:r>
              <w:rPr>
                <w:sz w:val="32"/>
              </w:rPr>
              <w:t>代表：</w:t>
            </w:r>
          </w:p>
        </w:tc>
        <w:tc>
          <w:tcPr>
            <w:tcW w:w="4390" w:type="dxa"/>
            <w:noWrap w:val="0"/>
            <w:vAlign w:val="top"/>
          </w:tcPr>
          <w:p>
            <w:pPr>
              <w:pStyle w:val="9"/>
              <w:ind w:right="47"/>
              <w:jc w:val="left"/>
              <w:rPr>
                <w:sz w:val="32"/>
              </w:rPr>
            </w:pPr>
            <w:r>
              <w:rPr>
                <w:w w:val="95"/>
                <w:sz w:val="32"/>
              </w:rPr>
              <w:t>代表：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3860" w:type="dxa"/>
            <w:noWrap w:val="0"/>
            <w:vAlign w:val="top"/>
          </w:tcPr>
          <w:p>
            <w:pPr>
              <w:pStyle w:val="9"/>
              <w:ind w:left="50"/>
              <w:rPr>
                <w:sz w:val="32"/>
              </w:rPr>
            </w:pPr>
            <w:r>
              <w:rPr>
                <w:sz w:val="32"/>
              </w:rPr>
              <w:t>日期：</w:t>
            </w:r>
          </w:p>
        </w:tc>
        <w:tc>
          <w:tcPr>
            <w:tcW w:w="4390" w:type="dxa"/>
            <w:noWrap w:val="0"/>
            <w:vAlign w:val="top"/>
          </w:tcPr>
          <w:p>
            <w:pPr>
              <w:pStyle w:val="9"/>
              <w:ind w:right="47"/>
              <w:jc w:val="left"/>
              <w:rPr>
                <w:sz w:val="32"/>
              </w:rPr>
            </w:pPr>
            <w:r>
              <w:rPr>
                <w:w w:val="95"/>
                <w:sz w:val="32"/>
              </w:rPr>
              <w:t>日期：</w:t>
            </w:r>
          </w:p>
        </w:tc>
      </w:tr>
      <w:tr>
        <w:trPr>
          <w:trHeight w:val="560" w:hRule="atLeast"/>
        </w:trPr>
        <w:tc>
          <w:tcPr>
            <w:tcW w:w="3860" w:type="dxa"/>
            <w:noWrap w:val="0"/>
            <w:vAlign w:val="top"/>
          </w:tcPr>
          <w:p>
            <w:pPr>
              <w:pStyle w:val="9"/>
              <w:spacing w:before="75"/>
              <w:ind w:left="50"/>
              <w:rPr>
                <w:sz w:val="32"/>
              </w:rPr>
            </w:pPr>
            <w:r>
              <w:rPr>
                <w:sz w:val="32"/>
              </w:rPr>
              <w:t>地址：</w:t>
            </w:r>
          </w:p>
        </w:tc>
        <w:tc>
          <w:tcPr>
            <w:tcW w:w="4390" w:type="dxa"/>
            <w:noWrap w:val="0"/>
            <w:vAlign w:val="top"/>
          </w:tcPr>
          <w:p>
            <w:pPr>
              <w:pStyle w:val="9"/>
              <w:spacing w:before="75"/>
              <w:ind w:right="47"/>
              <w:jc w:val="left"/>
              <w:rPr>
                <w:rFonts w:hint="default" w:eastAsia="仿宋_GB2312"/>
                <w:sz w:val="32"/>
                <w:lang w:val="en-US" w:eastAsia="zh-CN"/>
              </w:rPr>
            </w:pPr>
            <w:r>
              <w:rPr>
                <w:w w:val="95"/>
                <w:sz w:val="32"/>
              </w:rPr>
              <w:t>地址：</w:t>
            </w:r>
          </w:p>
        </w:tc>
      </w:tr>
      <w:tr>
        <w:trPr>
          <w:trHeight w:val="439" w:hRule="atLeast"/>
        </w:trPr>
        <w:tc>
          <w:tcPr>
            <w:tcW w:w="3860" w:type="dxa"/>
            <w:noWrap w:val="0"/>
            <w:vAlign w:val="top"/>
          </w:tcPr>
          <w:p>
            <w:pPr>
              <w:pStyle w:val="9"/>
              <w:spacing w:line="345" w:lineRule="exact"/>
              <w:ind w:left="50"/>
              <w:rPr>
                <w:sz w:val="32"/>
              </w:rPr>
            </w:pPr>
            <w:r>
              <w:rPr>
                <w:sz w:val="32"/>
              </w:rPr>
              <w:t>电话：</w:t>
            </w:r>
          </w:p>
        </w:tc>
        <w:tc>
          <w:tcPr>
            <w:tcW w:w="4390" w:type="dxa"/>
            <w:noWrap w:val="0"/>
            <w:vAlign w:val="top"/>
          </w:tcPr>
          <w:p>
            <w:pPr>
              <w:pStyle w:val="9"/>
              <w:spacing w:line="345" w:lineRule="exact"/>
              <w:ind w:right="47"/>
              <w:jc w:val="left"/>
              <w:rPr>
                <w:rFonts w:hint="default" w:eastAsia="仿宋_GB2312"/>
                <w:sz w:val="32"/>
                <w:lang w:val="en-US" w:eastAsia="zh-CN"/>
              </w:rPr>
            </w:pPr>
            <w:r>
              <w:rPr>
                <w:w w:val="95"/>
                <w:sz w:val="32"/>
              </w:rPr>
              <w:t>电话：</w:t>
            </w:r>
            <w:bookmarkStart w:id="1" w:name="_GoBack"/>
            <w:bookmarkEnd w:id="1"/>
          </w:p>
        </w:tc>
      </w:tr>
    </w:tbl>
    <w:p>
      <w:pPr>
        <w:pStyle w:val="4"/>
        <w:rPr>
          <w:sz w:val="20"/>
        </w:rPr>
      </w:pPr>
    </w:p>
    <w:p>
      <w:pPr>
        <w:pStyle w:val="4"/>
        <w:rPr>
          <w:sz w:val="20"/>
        </w:rPr>
      </w:pPr>
    </w:p>
    <w:p>
      <w:pPr>
        <w:pStyle w:val="4"/>
        <w:rPr>
          <w:sz w:val="20"/>
        </w:rPr>
      </w:pPr>
    </w:p>
    <w:p>
      <w:pPr>
        <w:pStyle w:val="4"/>
        <w:spacing w:before="11"/>
        <w:rPr>
          <w:sz w:val="10"/>
        </w:rPr>
      </w:pPr>
    </w:p>
    <w:p>
      <w:pPr>
        <w:pStyle w:val="4"/>
        <w:rPr>
          <w:sz w:val="20"/>
        </w:rPr>
      </w:pPr>
    </w:p>
    <w:p>
      <w:pPr>
        <w:pStyle w:val="4"/>
        <w:rPr>
          <w:sz w:val="20"/>
        </w:rPr>
      </w:pPr>
    </w:p>
    <w:p>
      <w:pPr>
        <w:pStyle w:val="4"/>
        <w:spacing w:before="7"/>
        <w:rPr>
          <w:sz w:val="29"/>
        </w:rPr>
      </w:pPr>
    </w:p>
    <w:sectPr>
      <w:footerReference r:id="rId3" w:type="default"/>
      <w:pgSz w:w="11910" w:h="16840"/>
      <w:pgMar w:top="1582" w:right="1020" w:bottom="278" w:left="1020" w:header="720" w:footer="720" w:gutter="0"/>
      <w:pgNumType w:fmt="decimal"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文鼎CS長美黑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文鼎CS長美黑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altName w:val="黑体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文鼎CS長美黑">
    <w:panose1 w:val="02010609010101010101"/>
    <w:charset w:val="00"/>
    <w:family w:val="auto"/>
    <w:pitch w:val="default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tabs>
        <w:tab w:val="center" w:pos="4935"/>
        <w:tab w:val="clear" w:pos="4153"/>
      </w:tabs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WAAAAZHJzL1BLAQIUABQAAAAIAIdO4kDO&#10;qXm5zwAAAAUBAAAPAAAAAAAAAAEAIAAAADgAAABkcnMvZG93bnJldi54bWxQSwECFAAUAAAACACH&#10;TuJAaw0+Gd4BAAC+AwAADgAAAAAAAAABACAAAAA0AQAAZHJzL2Uyb0RvYy54bWxQSwUGAAAAAAYA&#10;BgBZAQAAh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1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lang w:eastAsia="zh-CN"/>
      </w:rPr>
      <w:tab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360"/>
  <w:drawingGridHorizontalSpacing w:val="110"/>
  <w:displayHorizontalDrawingGridEvery w:val="2"/>
  <w:displayVerticalDrawingGridEvery w:val="1"/>
  <w:characterSpacingControl w:val="doNotCompress"/>
  <w:compat>
    <w:doNotLeaveBackslashAlone/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VmMDI4NzVjZDE1YjM5ZDZmNmE1YzNjZDg1YzQxMDIifQ=="/>
    <w:docVar w:name="KSO_WPS_MARK_KEY" w:val="08027fb0-3595-48fd-8149-dcbb16c4f643"/>
  </w:docVars>
  <w:rsids>
    <w:rsidRoot w:val="00BC7A63"/>
    <w:rsid w:val="007C021D"/>
    <w:rsid w:val="00BC7A63"/>
    <w:rsid w:val="00DE3995"/>
    <w:rsid w:val="029479DF"/>
    <w:rsid w:val="03EF7A7C"/>
    <w:rsid w:val="041901C7"/>
    <w:rsid w:val="04D523A9"/>
    <w:rsid w:val="0B676BC5"/>
    <w:rsid w:val="0D0879A5"/>
    <w:rsid w:val="0E075317"/>
    <w:rsid w:val="0EB12960"/>
    <w:rsid w:val="0F0148B0"/>
    <w:rsid w:val="0F0B0917"/>
    <w:rsid w:val="13104004"/>
    <w:rsid w:val="134241DA"/>
    <w:rsid w:val="135C4039"/>
    <w:rsid w:val="136D203E"/>
    <w:rsid w:val="13C21746"/>
    <w:rsid w:val="18775F53"/>
    <w:rsid w:val="191F03DA"/>
    <w:rsid w:val="1B7E13FC"/>
    <w:rsid w:val="1DE06B47"/>
    <w:rsid w:val="1F5544E0"/>
    <w:rsid w:val="1F5D7D0C"/>
    <w:rsid w:val="20B835D7"/>
    <w:rsid w:val="21335655"/>
    <w:rsid w:val="21490B21"/>
    <w:rsid w:val="23A80489"/>
    <w:rsid w:val="26BD74ED"/>
    <w:rsid w:val="2A7D74CC"/>
    <w:rsid w:val="2DBBB876"/>
    <w:rsid w:val="307F6C6D"/>
    <w:rsid w:val="30F5651E"/>
    <w:rsid w:val="311D1689"/>
    <w:rsid w:val="31EC6AF2"/>
    <w:rsid w:val="34FF2E70"/>
    <w:rsid w:val="36CE5337"/>
    <w:rsid w:val="3B832730"/>
    <w:rsid w:val="3BDE1422"/>
    <w:rsid w:val="40CD2549"/>
    <w:rsid w:val="4110211A"/>
    <w:rsid w:val="428222F5"/>
    <w:rsid w:val="42F85C50"/>
    <w:rsid w:val="46157A45"/>
    <w:rsid w:val="48D70776"/>
    <w:rsid w:val="49E0457C"/>
    <w:rsid w:val="4AFF7E16"/>
    <w:rsid w:val="4B0C4228"/>
    <w:rsid w:val="4C2420AC"/>
    <w:rsid w:val="4C765DFD"/>
    <w:rsid w:val="4EFB5724"/>
    <w:rsid w:val="52ED6F99"/>
    <w:rsid w:val="532645A7"/>
    <w:rsid w:val="57E979AA"/>
    <w:rsid w:val="5ADE487E"/>
    <w:rsid w:val="5C9D49DE"/>
    <w:rsid w:val="60DD7680"/>
    <w:rsid w:val="632F2412"/>
    <w:rsid w:val="63F32FF4"/>
    <w:rsid w:val="645F764D"/>
    <w:rsid w:val="651275EB"/>
    <w:rsid w:val="6C13313B"/>
    <w:rsid w:val="6DAC5C67"/>
    <w:rsid w:val="6DBE1953"/>
    <w:rsid w:val="6EBD1471"/>
    <w:rsid w:val="71A1287F"/>
    <w:rsid w:val="757D6E3C"/>
    <w:rsid w:val="76294539"/>
    <w:rsid w:val="7829224F"/>
    <w:rsid w:val="7D234493"/>
    <w:rsid w:val="9BFF7087"/>
    <w:rsid w:val="F7DF880B"/>
    <w:rsid w:val="FFFFDE0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</w:pPr>
    <w:rPr>
      <w:rFonts w:ascii="仿宋_GB2312" w:hAnsi="仿宋_GB2312" w:eastAsia="仿宋_GB2312" w:cs="仿宋_GB2312"/>
      <w:sz w:val="22"/>
      <w:szCs w:val="22"/>
      <w:lang w:val="zh-CN" w:eastAsia="zh-CN" w:bidi="zh-CN"/>
    </w:rPr>
  </w:style>
  <w:style w:type="character" w:default="1" w:styleId="8">
    <w:name w:val="Default Paragraph Font"/>
    <w:unhideWhenUsed/>
    <w:qFormat/>
    <w:uiPriority w:val="1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autoSpaceDE w:val="0"/>
      <w:autoSpaceDN w:val="0"/>
      <w:adjustRightInd w:val="0"/>
      <w:spacing w:after="120"/>
      <w:ind w:left="420" w:leftChars="200" w:firstLine="420" w:firstLineChars="200"/>
      <w:jc w:val="left"/>
    </w:p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styleId="4">
    <w:name w:val="Body Text"/>
    <w:basedOn w:val="1"/>
    <w:qFormat/>
    <w:uiPriority w:val="1"/>
    <w:rPr>
      <w:rFonts w:ascii="仿宋_GB2312" w:hAnsi="仿宋_GB2312" w:eastAsia="仿宋_GB2312" w:cs="仿宋_GB2312"/>
      <w:sz w:val="32"/>
      <w:szCs w:val="32"/>
      <w:lang w:val="zh-CN" w:eastAsia="zh-CN" w:bidi="zh-CN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9">
    <w:name w:val="Table Paragraph"/>
    <w:basedOn w:val="1"/>
    <w:qFormat/>
    <w:uiPriority w:val="1"/>
    <w:pPr>
      <w:spacing w:before="74"/>
    </w:pPr>
    <w:rPr>
      <w:rFonts w:ascii="仿宋_GB2312" w:hAnsi="仿宋_GB2312" w:eastAsia="仿宋_GB2312" w:cs="仿宋_GB2312"/>
      <w:lang w:val="zh-CN" w:eastAsia="zh-CN" w:bidi="zh-CN"/>
    </w:rPr>
  </w:style>
  <w:style w:type="paragraph" w:customStyle="1" w:styleId="10">
    <w:name w:val="List Paragraph"/>
    <w:basedOn w:val="1"/>
    <w:qFormat/>
    <w:uiPriority w:val="1"/>
    <w:rPr>
      <w:lang w:val="zh-CN" w:eastAsia="zh-CN" w:bidi="zh-CN"/>
    </w:rPr>
  </w:style>
  <w:style w:type="table" w:customStyle="1" w:styleId="11">
    <w:name w:val="Table Normal"/>
    <w:unhideWhenUsed/>
    <w:qFormat/>
    <w:uiPriority w:val="2"/>
    <w:rPr>
      <w:lang w:val="en-US" w:eastAsia="zh-CN" w:bidi="ar-S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70</Words>
  <Characters>72</Characters>
  <Lines>10</Lines>
  <Paragraphs>3</Paragraphs>
  <TotalTime>8</TotalTime>
  <ScaleCrop>false</ScaleCrop>
  <LinksUpToDate>false</LinksUpToDate>
  <CharactersWithSpaces>200</CharactersWithSpaces>
  <Application>WPS Office_11.8.2.12313_F1E327BC-269C-435d-A152-05C5408002CA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2020-08-14T15:19:00Z</dcterms:created>
  <dc:creator>lijuncheng</dc:creator>
  <cp:lastModifiedBy>uos</cp:lastModifiedBy>
  <cp:lastPrinted>2026-08-12T08:34:24Z</cp:lastPrinted>
  <dcterms:modified xsi:type="dcterms:W3CDTF">2026-08-12T08:34:27Z</dcterms:modified>
  <dc:title>上海市有害生物防制服务协议书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2020-04-16T00:00:00Z</vt:filetime>
  </property>
  <property fmtid="{D5CDD505-2E9C-101B-9397-08002B2CF9AE}" pid="3" name="Creator">
    <vt:lpwstr>WPS 文字</vt:lpwstr>
  </property>
  <property fmtid="{D5CDD505-2E9C-101B-9397-08002B2CF9AE}" pid="4" name="LastSaved">
    <vt:filetime>2020-08-13T00:00:00Z</vt:filetime>
  </property>
  <property fmtid="{D5CDD505-2E9C-101B-9397-08002B2CF9AE}" pid="5" name="KSOProductBuildVer">
    <vt:lpwstr>2052-11.8.2.12313</vt:lpwstr>
  </property>
  <property fmtid="{D5CDD505-2E9C-101B-9397-08002B2CF9AE}" pid="6" name="ICV">
    <vt:lpwstr>0C8A4C8DFA01430792975BDD2D25DB9D_13</vt:lpwstr>
  </property>
  <property fmtid="{D5CDD505-2E9C-101B-9397-08002B2CF9AE}" pid="7" name="KSOTemplateDocerSaveRecord">
    <vt:lpwstr>eyJoZGlkIjoiOWQwNDQ3MDkzYWUyMGNlMGFkZDA0NjE5NWZkNzIwNGYiLCJ1c2VySWQiOiI0ODMxMDA5NzAifQ==</vt:lpwstr>
  </property>
</Properties>
</file>