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0" w:after="0" w:line="570" w:lineRule="exact"/>
        <w:jc w:val="center"/>
        <w:textAlignment w:val="auto"/>
        <w:outlineLvl w:val="9"/>
        <w:rPr>
          <w:rFonts w:hint="eastAsia" w:ascii="方正小标宋_GBK" w:hAnsi="方正小标宋_GBK" w:eastAsia="方正小标宋_GBK" w:cs="方正小标宋_GBK"/>
          <w:b/>
          <w:bCs/>
          <w:color w:val="auto"/>
          <w:sz w:val="32"/>
          <w:szCs w:val="32"/>
          <w:highlight w:val="none"/>
          <w:lang w:val="en-US" w:eastAsia="zh-CN"/>
        </w:rPr>
      </w:pPr>
      <w:r>
        <w:rPr>
          <w:rFonts w:hint="eastAsia" w:ascii="方正小标宋_GBK" w:hAnsi="方正小标宋_GBK" w:eastAsia="方正小标宋_GBK" w:cs="方正小标宋_GBK"/>
          <w:b/>
          <w:bCs/>
          <w:color w:val="auto"/>
          <w:sz w:val="44"/>
          <w:szCs w:val="44"/>
          <w:highlight w:val="none"/>
          <w:lang w:val="en-US" w:eastAsia="zh-CN"/>
        </w:rPr>
        <w:t>泽普县人民医院病媒生物防制服务（除四害）项目竞价文件</w:t>
      </w:r>
    </w:p>
    <w:p>
      <w:pPr>
        <w:keepNext w:val="0"/>
        <w:keepLines w:val="0"/>
        <w:pageBreakBefore w:val="0"/>
        <w:widowControl/>
        <w:kinsoku/>
        <w:wordWrap/>
        <w:overflowPunct/>
        <w:topLinePunct w:val="0"/>
        <w:autoSpaceDE/>
        <w:autoSpaceDN/>
        <w:bidi w:val="0"/>
        <w:adjustRightInd/>
        <w:snapToGrid/>
        <w:spacing w:before="0" w:after="0" w:line="570" w:lineRule="exact"/>
        <w:jc w:val="center"/>
        <w:textAlignment w:val="auto"/>
        <w:outlineLvl w:val="9"/>
        <w:rPr>
          <w:rFonts w:hint="eastAsia" w:ascii="方正小标宋_GBK" w:hAnsi="方正小标宋_GBK" w:eastAsia="方正小标宋_GBK" w:cs="方正小标宋_GBK"/>
          <w:color w:val="000000" w:themeColor="text1"/>
          <w:kern w:val="0"/>
          <w:sz w:val="44"/>
          <w:szCs w:val="44"/>
          <w:lang w:val="en-US" w:eastAsia="zh-CN"/>
          <w14:textFill>
            <w14:solidFill>
              <w14:schemeClr w14:val="tx1"/>
            </w14:solidFill>
          </w14:textFill>
        </w:rPr>
      </w:pPr>
    </w:p>
    <w:p>
      <w:pPr>
        <w:pStyle w:val="5"/>
        <w:jc w:val="center"/>
        <w:rPr>
          <w:rFonts w:hint="eastAsia" w:ascii="方正小标宋_GBK" w:hAnsi="方正小标宋_GBK" w:eastAsia="方正小标宋_GBK" w:cs="方正小标宋_GBK"/>
          <w:sz w:val="44"/>
          <w:szCs w:val="44"/>
          <w:lang w:val="en-US" w:eastAsia="zh-CN"/>
        </w:rPr>
      </w:pPr>
    </w:p>
    <w:p>
      <w:pPr>
        <w:rPr>
          <w:rFonts w:hint="eastAsia" w:ascii="微软雅黑" w:hAnsi="微软雅黑" w:eastAsia="微软雅黑" w:cs="微软雅黑"/>
          <w:b/>
          <w:bCs/>
          <w:color w:val="auto"/>
          <w:sz w:val="36"/>
          <w:szCs w:val="21"/>
          <w:highlight w:val="none"/>
          <w:lang w:val="en-US" w:eastAsia="zh-CN"/>
        </w:rPr>
      </w:pPr>
    </w:p>
    <w:p>
      <w:pPr>
        <w:rPr>
          <w:rFonts w:hint="eastAsia" w:ascii="微软雅黑" w:hAnsi="微软雅黑" w:eastAsia="微软雅黑" w:cs="微软雅黑"/>
          <w:b/>
          <w:bCs/>
          <w:color w:val="auto"/>
          <w:sz w:val="36"/>
          <w:szCs w:val="21"/>
          <w:highlight w:val="none"/>
          <w:lang w:val="en-US" w:eastAsia="zh-CN"/>
        </w:rPr>
      </w:pPr>
    </w:p>
    <w:p>
      <w:pPr>
        <w:rPr>
          <w:rFonts w:hint="eastAsia" w:ascii="微软雅黑" w:hAnsi="微软雅黑" w:eastAsia="微软雅黑" w:cs="微软雅黑"/>
          <w:b/>
          <w:bCs/>
          <w:color w:val="auto"/>
          <w:sz w:val="36"/>
          <w:szCs w:val="21"/>
          <w:highlight w:val="none"/>
          <w:lang w:val="en-US" w:eastAsia="zh-CN"/>
        </w:rPr>
      </w:pPr>
    </w:p>
    <w:p>
      <w:pPr>
        <w:jc w:val="center"/>
        <w:rPr>
          <w:rFonts w:hint="eastAsia" w:ascii="微软雅黑" w:hAnsi="微软雅黑" w:eastAsia="微软雅黑" w:cs="微软雅黑"/>
          <w:b/>
          <w:bCs/>
          <w:color w:val="auto"/>
          <w:sz w:val="36"/>
          <w:szCs w:val="21"/>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微软雅黑" w:hAnsi="微软雅黑" w:eastAsia="微软雅黑" w:cs="微软雅黑"/>
          <w:color w:val="auto"/>
          <w:sz w:val="32"/>
          <w:szCs w:val="32"/>
          <w:highlight w:val="none"/>
        </w:rPr>
      </w:pP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微软雅黑" w:hAnsi="微软雅黑" w:eastAsia="微软雅黑" w:cs="微软雅黑"/>
          <w:color w:val="auto"/>
          <w:sz w:val="32"/>
          <w:szCs w:val="32"/>
          <w:highlight w:val="none"/>
        </w:rPr>
      </w:pP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微软雅黑" w:hAnsi="微软雅黑" w:eastAsia="微软雅黑" w:cs="微软雅黑"/>
          <w:color w:val="auto"/>
          <w:sz w:val="32"/>
          <w:szCs w:val="32"/>
          <w:highlight w:val="none"/>
        </w:rPr>
      </w:pP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微软雅黑" w:hAnsi="微软雅黑" w:eastAsia="微软雅黑" w:cs="微软雅黑"/>
          <w:color w:val="auto"/>
          <w:sz w:val="32"/>
          <w:szCs w:val="32"/>
          <w:highlight w:val="none"/>
        </w:rPr>
      </w:pP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微软雅黑" w:hAnsi="微软雅黑" w:eastAsia="微软雅黑" w:cs="微软雅黑"/>
          <w:color w:val="auto"/>
          <w:sz w:val="32"/>
          <w:szCs w:val="32"/>
          <w:highlight w:val="none"/>
        </w:rPr>
      </w:pP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微软雅黑" w:hAnsi="微软雅黑" w:eastAsia="微软雅黑" w:cs="微软雅黑"/>
          <w:color w:val="auto"/>
          <w:sz w:val="32"/>
          <w:szCs w:val="32"/>
          <w:highlight w:val="none"/>
        </w:rPr>
      </w:pP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微软雅黑" w:hAnsi="微软雅黑" w:eastAsia="微软雅黑" w:cs="微软雅黑"/>
          <w:color w:val="auto"/>
          <w:sz w:val="32"/>
          <w:szCs w:val="32"/>
          <w:highlight w:val="none"/>
        </w:rPr>
      </w:pPr>
    </w:p>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微软雅黑" w:hAnsi="微软雅黑" w:eastAsia="微软雅黑" w:cs="微软雅黑"/>
          <w:color w:val="auto"/>
          <w:sz w:val="32"/>
          <w:szCs w:val="32"/>
          <w:highlight w:val="none"/>
        </w:rPr>
      </w:pPr>
    </w:p>
    <w:p>
      <w:pPr>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color w:val="auto"/>
          <w:sz w:val="32"/>
          <w:szCs w:val="32"/>
          <w:highlight w:val="none"/>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color w:val="auto"/>
          <w:sz w:val="32"/>
          <w:szCs w:val="32"/>
          <w:highlight w:val="none"/>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color w:val="auto"/>
          <w:sz w:val="32"/>
          <w:szCs w:val="32"/>
          <w:highlight w:val="none"/>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color w:val="auto"/>
          <w:sz w:val="32"/>
          <w:szCs w:val="32"/>
          <w:highlight w:val="none"/>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color w:val="auto"/>
          <w:sz w:val="32"/>
          <w:szCs w:val="32"/>
          <w:highlight w:val="none"/>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color w:val="auto"/>
          <w:sz w:val="32"/>
          <w:szCs w:val="32"/>
          <w:highlight w:val="none"/>
          <w:u w:val="single"/>
          <w:lang w:val="en-US" w:eastAsia="zh-CN"/>
        </w:rPr>
      </w:pPr>
      <w:r>
        <w:rPr>
          <w:rFonts w:hint="eastAsia" w:ascii="方正仿宋_GB2312" w:hAnsi="方正仿宋_GB2312" w:eastAsia="方正仿宋_GB2312" w:cs="方正仿宋_GB2312"/>
          <w:color w:val="auto"/>
          <w:sz w:val="32"/>
          <w:szCs w:val="32"/>
          <w:highlight w:val="none"/>
          <w:lang w:val="en-US" w:eastAsia="zh-CN"/>
        </w:rPr>
        <w:t xml:space="preserve">采购人： </w:t>
      </w:r>
      <w:r>
        <w:rPr>
          <w:rFonts w:hint="eastAsia" w:ascii="方正仿宋_GB2312" w:hAnsi="方正仿宋_GB2312" w:eastAsia="方正仿宋_GB2312" w:cs="方正仿宋_GB2312"/>
          <w:color w:val="auto"/>
          <w:sz w:val="32"/>
          <w:szCs w:val="32"/>
          <w:highlight w:val="none"/>
          <w:u w:val="single"/>
          <w:lang w:val="en-US" w:eastAsia="zh-CN"/>
        </w:rPr>
        <w:t>泽普县人民医院</w:t>
      </w:r>
    </w:p>
    <w:p>
      <w:pPr>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eastAsia" w:ascii="方正仿宋_GB2312" w:hAnsi="方正仿宋_GB2312" w:eastAsia="方正仿宋_GB2312" w:cs="方正仿宋_GB2312"/>
          <w:color w:val="auto"/>
          <w:sz w:val="32"/>
          <w:szCs w:val="32"/>
          <w:highlight w:val="none"/>
          <w:u w:val="single"/>
          <w:lang w:val="en-US" w:eastAsia="zh-CN"/>
        </w:rPr>
      </w:pPr>
      <w:r>
        <w:rPr>
          <w:rFonts w:hint="eastAsia" w:ascii="方正仿宋_GB2312" w:hAnsi="方正仿宋_GB2312" w:eastAsia="方正仿宋_GB2312" w:cs="方正仿宋_GB2312"/>
          <w:color w:val="auto"/>
          <w:sz w:val="32"/>
          <w:szCs w:val="32"/>
          <w:highlight w:val="none"/>
          <w:lang w:val="en-US" w:eastAsia="zh-CN"/>
        </w:rPr>
        <w:t xml:space="preserve">联系人： </w:t>
      </w:r>
      <w:r>
        <w:rPr>
          <w:rFonts w:hint="eastAsia" w:ascii="方正仿宋_GB2312" w:hAnsi="方正仿宋_GB2312" w:eastAsia="方正仿宋_GB2312" w:cs="方正仿宋_GB2312"/>
          <w:color w:val="auto"/>
          <w:sz w:val="32"/>
          <w:szCs w:val="32"/>
          <w:highlight w:val="none"/>
          <w:u w:val="single"/>
          <w:lang w:val="en-US" w:eastAsia="zh-CN"/>
        </w:rPr>
        <w:t>艾尔西丁</w:t>
      </w:r>
    </w:p>
    <w:p>
      <w:pPr>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default"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highlight w:val="none"/>
          <w:lang w:val="en-US" w:eastAsia="zh-CN"/>
        </w:rPr>
        <w:t>联系电话：</w:t>
      </w:r>
      <w:r>
        <w:rPr>
          <w:rFonts w:hint="eastAsia" w:ascii="方正仿宋_GB2312" w:hAnsi="方正仿宋_GB2312" w:eastAsia="方正仿宋_GB2312" w:cs="方正仿宋_GB2312"/>
          <w:color w:val="auto"/>
          <w:sz w:val="32"/>
          <w:szCs w:val="32"/>
          <w:highlight w:val="none"/>
          <w:u w:val="single"/>
          <w:lang w:val="en-US" w:eastAsia="zh-CN"/>
        </w:rPr>
        <w:t>13899184050</w:t>
      </w:r>
    </w:p>
    <w:p>
      <w:pPr>
        <w:rPr>
          <w:rFonts w:hint="eastAsia" w:ascii="微软雅黑" w:hAnsi="微软雅黑" w:eastAsia="微软雅黑" w:cs="微软雅黑"/>
          <w:b/>
          <w:bCs/>
          <w:color w:val="auto"/>
          <w:sz w:val="48"/>
          <w:szCs w:val="28"/>
          <w:highlight w:val="none"/>
          <w:lang w:val="en-US" w:eastAsia="zh-CN"/>
        </w:rPr>
      </w:pPr>
    </w:p>
    <w:p>
      <w:pPr>
        <w:keepNext w:val="0"/>
        <w:keepLines w:val="0"/>
        <w:pageBreakBefore w:val="0"/>
        <w:widowControl/>
        <w:kinsoku/>
        <w:wordWrap/>
        <w:overflowPunct/>
        <w:topLinePunct w:val="0"/>
        <w:autoSpaceDE/>
        <w:autoSpaceDN/>
        <w:bidi w:val="0"/>
        <w:adjustRightInd/>
        <w:snapToGrid/>
        <w:spacing w:before="0" w:after="0" w:line="570" w:lineRule="exact"/>
        <w:ind w:left="3080" w:hanging="3080" w:hangingChars="700"/>
        <w:jc w:val="both"/>
        <w:textAlignment w:val="auto"/>
        <w:outlineLvl w:val="9"/>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t>泽普县人民医院病媒生物防制服务（除四害）</w:t>
      </w:r>
      <w:bookmarkStart w:id="0" w:name="_GoBack"/>
      <w:bookmarkEnd w:id="0"/>
      <w:r>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t>项目竞价文件</w:t>
      </w:r>
    </w:p>
    <w:p>
      <w:pPr>
        <w:pStyle w:val="4"/>
        <w:keepNext w:val="0"/>
        <w:keepLines w:val="0"/>
        <w:pageBreakBefore w:val="0"/>
        <w:widowControl/>
        <w:kinsoku/>
        <w:wordWrap/>
        <w:overflowPunct/>
        <w:topLinePunct w:val="0"/>
        <w:autoSpaceDE/>
        <w:autoSpaceDN/>
        <w:bidi w:val="0"/>
        <w:adjustRightInd/>
        <w:snapToGrid/>
        <w:spacing w:before="0" w:after="0" w:line="570" w:lineRule="exact"/>
        <w:jc w:val="center"/>
        <w:textAlignment w:val="auto"/>
        <w:outlineLvl w:val="9"/>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pPr>
    </w:p>
    <w:p>
      <w:pPr>
        <w:rPr>
          <w:rFonts w:hint="eastAsia" w:ascii="华文仿宋" w:hAnsi="华文仿宋" w:eastAsia="华文仿宋" w:cs="华文仿宋"/>
          <w:sz w:val="32"/>
          <w:szCs w:val="32"/>
          <w:lang w:val="en-US" w:eastAsia="zh-CN"/>
        </w:rPr>
      </w:pPr>
      <w:r>
        <w:rPr>
          <w:rFonts w:hint="eastAsia" w:ascii="华文仿宋" w:hAnsi="华文仿宋" w:eastAsia="华文仿宋" w:cs="华文仿宋"/>
          <w:b/>
          <w:bCs/>
          <w:color w:val="auto"/>
          <w:sz w:val="32"/>
          <w:szCs w:val="32"/>
          <w:highlight w:val="none"/>
          <w:lang w:val="en-US" w:eastAsia="zh-CN"/>
        </w:rPr>
        <w:t>一、</w:t>
      </w:r>
      <w:r>
        <w:rPr>
          <w:rFonts w:hint="eastAsia" w:ascii="华文仿宋" w:hAnsi="华文仿宋" w:eastAsia="华文仿宋" w:cs="华文仿宋"/>
          <w:b/>
          <w:bCs/>
          <w:color w:val="auto"/>
          <w:sz w:val="32"/>
          <w:szCs w:val="32"/>
          <w:highlight w:val="none"/>
        </w:rPr>
        <w:t>供应商须知</w:t>
      </w:r>
      <w:r>
        <w:rPr>
          <w:rFonts w:hint="eastAsia" w:ascii="华文仿宋" w:hAnsi="华文仿宋" w:eastAsia="华文仿宋" w:cs="华文仿宋"/>
          <w:b/>
          <w:bCs/>
          <w:color w:val="auto"/>
          <w:sz w:val="32"/>
          <w:szCs w:val="32"/>
          <w:highlight w:val="none"/>
          <w:lang w:val="en-US" w:eastAsia="zh-CN"/>
        </w:rPr>
        <w:t>并需提交的</w:t>
      </w:r>
      <w:r>
        <w:rPr>
          <w:rFonts w:hint="eastAsia" w:ascii="华文仿宋" w:hAnsi="华文仿宋" w:eastAsia="华文仿宋" w:cs="华文仿宋"/>
          <w:b/>
          <w:bCs/>
          <w:color w:val="auto"/>
          <w:sz w:val="32"/>
          <w:szCs w:val="32"/>
          <w:highlight w:val="none"/>
        </w:rPr>
        <w:t>资料表</w:t>
      </w:r>
    </w:p>
    <w:tbl>
      <w:tblPr>
        <w:tblStyle w:val="2"/>
        <w:tblW w:w="9260" w:type="dxa"/>
        <w:tblInd w:w="-31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378"/>
        <w:gridCol w:w="788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6" w:hRule="atLeast"/>
        </w:trPr>
        <w:tc>
          <w:tcPr>
            <w:tcW w:w="1378" w:type="dxa"/>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华文仿宋" w:hAnsi="华文仿宋" w:eastAsia="华文仿宋" w:cs="华文仿宋"/>
                <w:color w:val="auto"/>
                <w:sz w:val="28"/>
                <w:szCs w:val="28"/>
                <w:highlight w:val="none"/>
              </w:rPr>
            </w:pPr>
            <w:r>
              <w:rPr>
                <w:rFonts w:hint="eastAsia" w:ascii="华文仿宋" w:hAnsi="华文仿宋" w:eastAsia="华文仿宋" w:cs="华文仿宋"/>
                <w:color w:val="auto"/>
                <w:sz w:val="28"/>
                <w:szCs w:val="28"/>
                <w:highlight w:val="none"/>
              </w:rPr>
              <w:t>条款号</w:t>
            </w:r>
          </w:p>
        </w:tc>
        <w:tc>
          <w:tcPr>
            <w:tcW w:w="7882" w:type="dxa"/>
            <w:vAlign w:val="center"/>
          </w:tcPr>
          <w:p>
            <w:pPr>
              <w:keepNext w:val="0"/>
              <w:keepLines w:val="0"/>
              <w:pageBreakBefore w:val="0"/>
              <w:kinsoku/>
              <w:wordWrap/>
              <w:overflowPunct/>
              <w:topLinePunct w:val="0"/>
              <w:autoSpaceDE/>
              <w:autoSpaceDN/>
              <w:bidi w:val="0"/>
              <w:adjustRightInd/>
              <w:snapToGrid/>
              <w:spacing w:line="360" w:lineRule="exact"/>
              <w:ind w:left="1080" w:leftChars="257" w:hanging="540"/>
              <w:textAlignment w:val="auto"/>
              <w:rPr>
                <w:rFonts w:hint="eastAsia" w:ascii="华文仿宋" w:hAnsi="华文仿宋" w:eastAsia="华文仿宋" w:cs="华文仿宋"/>
                <w:b/>
                <w:color w:val="auto"/>
                <w:sz w:val="28"/>
                <w:szCs w:val="28"/>
                <w:highlight w:val="none"/>
              </w:rPr>
            </w:pPr>
            <w:r>
              <w:rPr>
                <w:rFonts w:hint="eastAsia" w:ascii="华文仿宋" w:hAnsi="华文仿宋" w:eastAsia="华文仿宋" w:cs="华文仿宋"/>
                <w:b/>
                <w:color w:val="auto"/>
                <w:sz w:val="28"/>
                <w:szCs w:val="28"/>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775" w:hRule="atLeast"/>
        </w:trPr>
        <w:tc>
          <w:tcPr>
            <w:tcW w:w="1378" w:type="dxa"/>
            <w:vAlign w:val="center"/>
          </w:tcPr>
          <w:p>
            <w:pPr>
              <w:keepNext w:val="0"/>
              <w:keepLines w:val="0"/>
              <w:pageBreakBefore w:val="0"/>
              <w:kinsoku/>
              <w:wordWrap/>
              <w:overflowPunct/>
              <w:topLinePunct w:val="0"/>
              <w:autoSpaceDE/>
              <w:autoSpaceDN/>
              <w:bidi w:val="0"/>
              <w:adjustRightInd/>
              <w:snapToGrid/>
              <w:spacing w:line="360" w:lineRule="exact"/>
              <w:ind w:left="1080" w:leftChars="257" w:hanging="540"/>
              <w:textAlignment w:val="auto"/>
              <w:rPr>
                <w:rFonts w:hint="eastAsia" w:ascii="华文仿宋" w:hAnsi="华文仿宋" w:eastAsia="华文仿宋" w:cs="华文仿宋"/>
                <w:color w:val="auto"/>
                <w:sz w:val="28"/>
                <w:szCs w:val="28"/>
                <w:highlight w:val="none"/>
                <w:lang w:eastAsia="zh-CN"/>
              </w:rPr>
            </w:pPr>
            <w:r>
              <w:rPr>
                <w:rFonts w:hint="eastAsia" w:ascii="华文仿宋" w:hAnsi="华文仿宋" w:eastAsia="华文仿宋" w:cs="华文仿宋"/>
                <w:color w:val="auto"/>
                <w:sz w:val="28"/>
                <w:szCs w:val="28"/>
                <w:highlight w:val="none"/>
              </w:rPr>
              <w:t>1.</w:t>
            </w:r>
            <w:r>
              <w:rPr>
                <w:rFonts w:hint="eastAsia" w:ascii="华文仿宋" w:hAnsi="华文仿宋" w:eastAsia="华文仿宋" w:cs="华文仿宋"/>
                <w:color w:val="auto"/>
                <w:sz w:val="28"/>
                <w:szCs w:val="28"/>
                <w:highlight w:val="none"/>
                <w:lang w:val="en-US" w:eastAsia="zh-CN"/>
              </w:rPr>
              <w:t>1</w:t>
            </w:r>
          </w:p>
        </w:tc>
        <w:tc>
          <w:tcPr>
            <w:tcW w:w="7882" w:type="dxa"/>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ind w:left="0" w:leftChars="0"/>
              <w:jc w:val="left"/>
              <w:textAlignment w:val="auto"/>
              <w:rPr>
                <w:rFonts w:hint="eastAsia" w:ascii="华文仿宋" w:hAnsi="华文仿宋" w:eastAsia="方正仿宋_GBK" w:cs="华文仿宋"/>
                <w:b w:val="0"/>
                <w:bCs w:val="0"/>
                <w:i w:val="0"/>
                <w:caps w:val="0"/>
                <w:color w:val="auto"/>
                <w:spacing w:val="0"/>
                <w:w w:val="100"/>
                <w:sz w:val="28"/>
                <w:szCs w:val="28"/>
                <w:highlight w:val="none"/>
                <w:lang w:eastAsia="zh-CN"/>
              </w:rPr>
            </w:pPr>
            <w:r>
              <w:rPr>
                <w:rFonts w:hint="eastAsia" w:ascii="华文仿宋" w:hAnsi="华文仿宋" w:eastAsia="华文仿宋" w:cs="华文仿宋"/>
                <w:b w:val="0"/>
                <w:bCs w:val="0"/>
                <w:i w:val="0"/>
                <w:caps w:val="0"/>
                <w:color w:val="auto"/>
                <w:spacing w:val="0"/>
                <w:w w:val="100"/>
                <w:sz w:val="28"/>
                <w:szCs w:val="28"/>
                <w:highlight w:val="none"/>
              </w:rPr>
              <w:t>1、</w:t>
            </w:r>
            <w:r>
              <w:rPr>
                <w:rFonts w:hint="eastAsia" w:ascii="华文仿宋" w:hAnsi="华文仿宋" w:eastAsia="华文仿宋" w:cs="华文仿宋"/>
                <w:b w:val="0"/>
                <w:bCs w:val="0"/>
                <w:i w:val="0"/>
                <w:caps w:val="0"/>
                <w:color w:val="auto"/>
                <w:spacing w:val="0"/>
                <w:w w:val="100"/>
                <w:sz w:val="28"/>
                <w:szCs w:val="28"/>
                <w:highlight w:val="none"/>
                <w:lang w:eastAsia="zh-CN"/>
              </w:rPr>
              <w:t>具有有效的营业执照；（</w:t>
            </w:r>
            <w:r>
              <w:rPr>
                <w:rFonts w:hint="eastAsia" w:ascii="方正仿宋_GBK" w:hAnsi="方正仿宋_GBK" w:eastAsia="方正仿宋_GBK" w:cs="方正仿宋_GBK"/>
                <w:sz w:val="32"/>
                <w:szCs w:val="32"/>
              </w:rPr>
              <w:t>经营范围包含有害生物防制或病媒生物防制相关服务内容，并满足《中华人民共和国政府采购法》第二十二条规定的全部资格条件</w:t>
            </w:r>
            <w:r>
              <w:rPr>
                <w:rFonts w:hint="eastAsia" w:ascii="方正仿宋_GBK" w:hAnsi="方正仿宋_GBK" w:eastAsia="方正仿宋_GBK" w:cs="方正仿宋_GBK"/>
                <w:sz w:val="32"/>
                <w:szCs w:val="32"/>
                <w:lang w:eastAsia="zh-CN"/>
              </w:rPr>
              <w:t>）</w:t>
            </w:r>
          </w:p>
          <w:p>
            <w:pPr>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ind w:left="0" w:leftChars="0"/>
              <w:jc w:val="left"/>
              <w:textAlignment w:val="auto"/>
              <w:rPr>
                <w:rFonts w:hint="eastAsia" w:ascii="华文仿宋" w:hAnsi="华文仿宋" w:eastAsia="华文仿宋" w:cs="华文仿宋"/>
                <w:b w:val="0"/>
                <w:bCs w:val="0"/>
                <w:i w:val="0"/>
                <w:caps w:val="0"/>
                <w:color w:val="auto"/>
                <w:spacing w:val="0"/>
                <w:w w:val="100"/>
                <w:sz w:val="28"/>
                <w:szCs w:val="28"/>
                <w:highlight w:val="none"/>
                <w:lang w:eastAsia="zh-CN"/>
              </w:rPr>
            </w:pPr>
            <w:r>
              <w:rPr>
                <w:rFonts w:hint="eastAsia" w:ascii="华文仿宋" w:hAnsi="华文仿宋" w:eastAsia="华文仿宋" w:cs="华文仿宋"/>
                <w:b w:val="0"/>
                <w:bCs w:val="0"/>
                <w:i w:val="0"/>
                <w:caps w:val="0"/>
                <w:color w:val="auto"/>
                <w:spacing w:val="0"/>
                <w:w w:val="100"/>
                <w:sz w:val="28"/>
                <w:szCs w:val="28"/>
                <w:highlight w:val="none"/>
              </w:rPr>
              <w:t>2、</w:t>
            </w:r>
            <w:r>
              <w:rPr>
                <w:rFonts w:hint="eastAsia" w:ascii="华文仿宋" w:hAnsi="华文仿宋" w:eastAsia="华文仿宋" w:cs="华文仿宋"/>
                <w:b w:val="0"/>
                <w:bCs w:val="0"/>
                <w:i w:val="0"/>
                <w:caps w:val="0"/>
                <w:color w:val="auto"/>
                <w:spacing w:val="0"/>
                <w:w w:val="100"/>
                <w:sz w:val="28"/>
                <w:szCs w:val="28"/>
                <w:highlight w:val="none"/>
                <w:lang w:eastAsia="zh-CN"/>
              </w:rPr>
              <w:t>法定代表人本人投标需提供法定代表人身份证及法定代表人资格证明书;授权委托人投标需提供法定代表人授权委托书、法定代表人身份证及被授权委托人身份证；</w:t>
            </w:r>
          </w:p>
          <w:p>
            <w:pPr>
              <w:keepNext w:val="0"/>
              <w:keepLines w:val="0"/>
              <w:pageBreakBefore w:val="0"/>
              <w:widowControl/>
              <w:kinsoku/>
              <w:wordWrap w:val="0"/>
              <w:overflowPunct/>
              <w:topLinePunct w:val="0"/>
              <w:autoSpaceDE/>
              <w:autoSpaceDN/>
              <w:bidi w:val="0"/>
              <w:adjustRightInd/>
              <w:snapToGrid/>
              <w:spacing w:before="0" w:beforeAutospacing="0" w:after="0" w:afterAutospacing="0" w:line="340" w:lineRule="exact"/>
              <w:ind w:left="0" w:leftChars="0"/>
              <w:jc w:val="left"/>
              <w:textAlignment w:val="auto"/>
              <w:rPr>
                <w:rFonts w:hint="eastAsia" w:ascii="华文仿宋" w:hAnsi="华文仿宋" w:eastAsia="华文仿宋" w:cs="华文仿宋"/>
                <w:b w:val="0"/>
                <w:bCs w:val="0"/>
                <w:i w:val="0"/>
                <w:caps w:val="0"/>
                <w:color w:val="auto"/>
                <w:spacing w:val="0"/>
                <w:w w:val="100"/>
                <w:sz w:val="28"/>
                <w:szCs w:val="28"/>
                <w:highlight w:val="none"/>
                <w:lang w:val="en-US" w:eastAsia="zh-CN"/>
              </w:rPr>
            </w:pPr>
            <w:r>
              <w:rPr>
                <w:rFonts w:hint="eastAsia" w:ascii="华文仿宋" w:hAnsi="华文仿宋" w:eastAsia="华文仿宋" w:cs="华文仿宋"/>
                <w:b w:val="0"/>
                <w:bCs w:val="0"/>
                <w:i w:val="0"/>
                <w:caps w:val="0"/>
                <w:color w:val="auto"/>
                <w:spacing w:val="0"/>
                <w:w w:val="100"/>
                <w:sz w:val="28"/>
                <w:szCs w:val="28"/>
                <w:highlight w:val="none"/>
                <w:lang w:val="en-US" w:eastAsia="zh-CN"/>
              </w:rPr>
              <w:t>3</w:t>
            </w:r>
            <w:r>
              <w:rPr>
                <w:rFonts w:hint="eastAsia" w:ascii="华文仿宋" w:hAnsi="华文仿宋" w:eastAsia="华文仿宋" w:cs="华文仿宋"/>
                <w:b w:val="0"/>
                <w:bCs w:val="0"/>
                <w:i w:val="0"/>
                <w:caps w:val="0"/>
                <w:color w:val="auto"/>
                <w:spacing w:val="0"/>
                <w:w w:val="100"/>
                <w:sz w:val="28"/>
                <w:szCs w:val="28"/>
                <w:highlight w:val="none"/>
              </w:rPr>
              <w:t>、</w:t>
            </w:r>
            <w:r>
              <w:rPr>
                <w:rFonts w:hint="eastAsia" w:ascii="华文仿宋" w:hAnsi="华文仿宋" w:eastAsia="华文仿宋" w:cs="华文仿宋"/>
                <w:b w:val="0"/>
                <w:bCs w:val="0"/>
                <w:i w:val="0"/>
                <w:caps w:val="0"/>
                <w:color w:val="auto"/>
                <w:spacing w:val="0"/>
                <w:w w:val="100"/>
                <w:sz w:val="28"/>
                <w:szCs w:val="28"/>
                <w:highlight w:val="none"/>
                <w:lang w:val="en-US" w:eastAsia="zh-CN"/>
              </w:rPr>
              <w:t>根据《财政部关于在政府采购活动中查询及使用信用记录有关问题的通知》（财库﹝2016﹞125号）的要求，凡拟参加本次招标项目的供应商，如在“信用中国（https://www.creditchina.gov.cn/）”被列入严重失信主体名单、重大税收违法失信主体名单（首页-信用公示-严重失信主体名单查询/重大税收违法失信主体名单-搜索栏输入单位全称）、“中国政府采购网（https://www.ccgp.gov.cn/search/cr/）”严重违法失信行为信息记录名单（尚在处罚期内的）、“国家企业信用信息公示系统（https://www.gsxt.gov.cn/）”列入经营异常名录信息、严重违法失信名单（黑名单）信息的，将拒绝其参加本次招标活动（以代理机构或采购人查询为准）</w:t>
            </w:r>
          </w:p>
          <w:p>
            <w:pPr>
              <w:keepNext w:val="0"/>
              <w:keepLines w:val="0"/>
              <w:pageBreakBefore w:val="0"/>
              <w:widowControl/>
              <w:kinsoku/>
              <w:wordWrap w:val="0"/>
              <w:overflowPunct/>
              <w:topLinePunct w:val="0"/>
              <w:autoSpaceDE/>
              <w:autoSpaceDN/>
              <w:bidi w:val="0"/>
              <w:adjustRightInd/>
              <w:snapToGrid/>
              <w:spacing w:before="0" w:beforeAutospacing="0" w:after="0" w:afterAutospacing="0" w:line="340" w:lineRule="exact"/>
              <w:ind w:left="0" w:leftChars="0"/>
              <w:jc w:val="left"/>
              <w:textAlignment w:val="auto"/>
              <w:rPr>
                <w:rFonts w:hint="eastAsia" w:ascii="华文仿宋" w:hAnsi="华文仿宋" w:eastAsia="华文仿宋" w:cs="华文仿宋"/>
                <w:b w:val="0"/>
                <w:bCs w:val="0"/>
                <w:i w:val="0"/>
                <w:caps w:val="0"/>
                <w:color w:val="auto"/>
                <w:spacing w:val="0"/>
                <w:w w:val="100"/>
                <w:sz w:val="28"/>
                <w:szCs w:val="28"/>
                <w:highlight w:val="none"/>
                <w:lang w:val="en-US" w:eastAsia="zh-CN"/>
              </w:rPr>
            </w:pPr>
            <w:r>
              <w:rPr>
                <w:rFonts w:hint="eastAsia" w:ascii="华文仿宋" w:hAnsi="华文仿宋" w:eastAsia="华文仿宋" w:cs="华文仿宋"/>
                <w:b w:val="0"/>
                <w:bCs w:val="0"/>
                <w:i w:val="0"/>
                <w:caps w:val="0"/>
                <w:color w:val="auto"/>
                <w:spacing w:val="0"/>
                <w:w w:val="100"/>
                <w:sz w:val="28"/>
                <w:szCs w:val="28"/>
                <w:highlight w:val="none"/>
                <w:lang w:val="en-US" w:eastAsia="zh-CN"/>
              </w:rPr>
              <w:t>4、依法缴纳近六个月中任意一个月的社保凭证；</w:t>
            </w:r>
          </w:p>
          <w:p>
            <w:pPr>
              <w:keepNext w:val="0"/>
              <w:keepLines w:val="0"/>
              <w:pageBreakBefore w:val="0"/>
              <w:widowControl/>
              <w:kinsoku/>
              <w:wordWrap w:val="0"/>
              <w:overflowPunct/>
              <w:topLinePunct w:val="0"/>
              <w:autoSpaceDE/>
              <w:autoSpaceDN/>
              <w:bidi w:val="0"/>
              <w:adjustRightInd/>
              <w:snapToGrid/>
              <w:spacing w:before="0" w:beforeAutospacing="0" w:after="0" w:afterAutospacing="0" w:line="340" w:lineRule="exact"/>
              <w:ind w:left="0" w:leftChars="0"/>
              <w:jc w:val="left"/>
              <w:textAlignment w:val="auto"/>
              <w:rPr>
                <w:rFonts w:hint="eastAsia" w:ascii="华文仿宋" w:hAnsi="华文仿宋" w:eastAsia="华文仿宋" w:cs="华文仿宋"/>
                <w:b w:val="0"/>
                <w:bCs w:val="0"/>
                <w:i w:val="0"/>
                <w:caps w:val="0"/>
                <w:color w:val="auto"/>
                <w:spacing w:val="0"/>
                <w:w w:val="100"/>
                <w:sz w:val="28"/>
                <w:szCs w:val="28"/>
                <w:highlight w:val="none"/>
                <w:lang w:val="en-US" w:eastAsia="zh-CN"/>
              </w:rPr>
            </w:pPr>
            <w:r>
              <w:rPr>
                <w:rFonts w:hint="eastAsia" w:ascii="华文仿宋" w:hAnsi="华文仿宋" w:eastAsia="华文仿宋" w:cs="华文仿宋"/>
                <w:b w:val="0"/>
                <w:bCs w:val="0"/>
                <w:i w:val="0"/>
                <w:caps w:val="0"/>
                <w:color w:val="auto"/>
                <w:spacing w:val="0"/>
                <w:w w:val="100"/>
                <w:sz w:val="28"/>
                <w:szCs w:val="28"/>
                <w:highlight w:val="none"/>
                <w:lang w:val="en-US" w:eastAsia="zh-CN"/>
              </w:rPr>
              <w:t>5、依法缴纳近六个月任意一个月的税收良好记录证明（零申报需加盖税务机关章、无拖欠税收证明需加盖税务机关章、完税证明为非社保缴纳明细）；</w:t>
            </w:r>
          </w:p>
          <w:p>
            <w:pPr>
              <w:keepNext w:val="0"/>
              <w:keepLines w:val="0"/>
              <w:pageBreakBefore w:val="0"/>
              <w:widowControl/>
              <w:kinsoku/>
              <w:wordWrap w:val="0"/>
              <w:overflowPunct/>
              <w:topLinePunct w:val="0"/>
              <w:autoSpaceDE/>
              <w:autoSpaceDN/>
              <w:bidi w:val="0"/>
              <w:adjustRightInd/>
              <w:snapToGrid/>
              <w:spacing w:before="0" w:beforeAutospacing="0" w:after="0" w:afterAutospacing="0" w:line="340" w:lineRule="exact"/>
              <w:ind w:left="0" w:leftChars="0"/>
              <w:jc w:val="left"/>
              <w:textAlignment w:val="auto"/>
              <w:rPr>
                <w:rFonts w:hint="eastAsia" w:ascii="华文仿宋" w:hAnsi="华文仿宋" w:eastAsia="华文仿宋" w:cs="华文仿宋"/>
                <w:b w:val="0"/>
                <w:bCs w:val="0"/>
                <w:i w:val="0"/>
                <w:caps w:val="0"/>
                <w:color w:val="auto"/>
                <w:spacing w:val="0"/>
                <w:w w:val="100"/>
                <w:sz w:val="28"/>
                <w:szCs w:val="28"/>
                <w:highlight w:val="none"/>
                <w:lang w:val="en-US" w:eastAsia="zh-CN"/>
              </w:rPr>
            </w:pPr>
            <w:r>
              <w:rPr>
                <w:rFonts w:hint="eastAsia" w:ascii="华文仿宋" w:hAnsi="华文仿宋" w:eastAsia="华文仿宋" w:cs="华文仿宋"/>
                <w:b w:val="0"/>
                <w:bCs w:val="0"/>
                <w:i w:val="0"/>
                <w:caps w:val="0"/>
                <w:color w:val="auto"/>
                <w:spacing w:val="0"/>
                <w:w w:val="100"/>
                <w:sz w:val="28"/>
                <w:szCs w:val="28"/>
                <w:highlight w:val="none"/>
                <w:lang w:val="en-US" w:eastAsia="zh-CN"/>
              </w:rPr>
              <w:t>6、2024年度或2025年度经会计师事务所出具财务审计报告（2026年新成立的公司须提供近三个月任意一个月的银行资信证明）；</w:t>
            </w:r>
          </w:p>
          <w:p>
            <w:pPr>
              <w:keepNext w:val="0"/>
              <w:keepLines w:val="0"/>
              <w:pageBreakBefore w:val="0"/>
              <w:widowControl/>
              <w:kinsoku/>
              <w:wordWrap w:val="0"/>
              <w:overflowPunct/>
              <w:topLinePunct w:val="0"/>
              <w:autoSpaceDE/>
              <w:autoSpaceDN/>
              <w:bidi w:val="0"/>
              <w:adjustRightInd/>
              <w:snapToGrid/>
              <w:spacing w:before="0" w:beforeAutospacing="0" w:after="0" w:afterAutospacing="0" w:line="340" w:lineRule="exact"/>
              <w:ind w:left="0" w:leftChars="0"/>
              <w:jc w:val="left"/>
              <w:textAlignment w:val="auto"/>
              <w:rPr>
                <w:rFonts w:hint="eastAsia" w:ascii="华文仿宋" w:hAnsi="华文仿宋" w:eastAsia="华文仿宋" w:cs="华文仿宋"/>
                <w:b w:val="0"/>
                <w:bCs w:val="0"/>
                <w:i w:val="0"/>
                <w:caps w:val="0"/>
                <w:color w:val="auto"/>
                <w:spacing w:val="0"/>
                <w:w w:val="100"/>
                <w:sz w:val="28"/>
                <w:szCs w:val="28"/>
                <w:highlight w:val="none"/>
                <w:lang w:val="en-US" w:eastAsia="zh-CN"/>
              </w:rPr>
            </w:pPr>
            <w:r>
              <w:rPr>
                <w:rFonts w:hint="eastAsia" w:ascii="华文仿宋" w:hAnsi="华文仿宋" w:eastAsia="华文仿宋" w:cs="华文仿宋"/>
                <w:b w:val="0"/>
                <w:bCs w:val="0"/>
                <w:i w:val="0"/>
                <w:caps w:val="0"/>
                <w:color w:val="auto"/>
                <w:spacing w:val="0"/>
                <w:w w:val="100"/>
                <w:sz w:val="28"/>
                <w:szCs w:val="28"/>
                <w:highlight w:val="none"/>
                <w:lang w:val="en-US" w:eastAsia="zh-CN"/>
              </w:rPr>
              <w:t>7、具有良好的商业信誉和健全的财务会计制度。（提供承诺函）</w:t>
            </w:r>
          </w:p>
          <w:p>
            <w:pPr>
              <w:keepNext w:val="0"/>
              <w:keepLines w:val="0"/>
              <w:pageBreakBefore w:val="0"/>
              <w:widowControl/>
              <w:kinsoku/>
              <w:wordWrap w:val="0"/>
              <w:overflowPunct/>
              <w:topLinePunct w:val="0"/>
              <w:autoSpaceDE/>
              <w:autoSpaceDN/>
              <w:bidi w:val="0"/>
              <w:adjustRightInd/>
              <w:snapToGrid/>
              <w:spacing w:before="0" w:beforeAutospacing="0" w:after="0" w:afterAutospacing="0" w:line="340" w:lineRule="exact"/>
              <w:ind w:left="0" w:leftChars="0"/>
              <w:jc w:val="left"/>
              <w:textAlignment w:val="auto"/>
              <w:rPr>
                <w:rFonts w:hint="eastAsia" w:ascii="华文仿宋" w:hAnsi="华文仿宋" w:eastAsia="华文仿宋" w:cs="华文仿宋"/>
                <w:b w:val="0"/>
                <w:bCs w:val="0"/>
                <w:i w:val="0"/>
                <w:caps w:val="0"/>
                <w:color w:val="auto"/>
                <w:spacing w:val="0"/>
                <w:w w:val="100"/>
                <w:sz w:val="28"/>
                <w:szCs w:val="28"/>
                <w:highlight w:val="none"/>
                <w:lang w:val="en-US" w:eastAsia="zh-CN"/>
              </w:rPr>
            </w:pPr>
            <w:r>
              <w:rPr>
                <w:rFonts w:hint="eastAsia" w:ascii="华文仿宋" w:hAnsi="华文仿宋" w:eastAsia="华文仿宋" w:cs="华文仿宋"/>
                <w:b w:val="0"/>
                <w:bCs w:val="0"/>
                <w:i w:val="0"/>
                <w:caps w:val="0"/>
                <w:color w:val="auto"/>
                <w:spacing w:val="0"/>
                <w:w w:val="100"/>
                <w:sz w:val="28"/>
                <w:szCs w:val="28"/>
                <w:highlight w:val="none"/>
                <w:lang w:val="en-US" w:eastAsia="zh-CN"/>
              </w:rPr>
              <w:t>8、具有履行合同所必需的设备和专业技术能力。（提供承诺函）</w:t>
            </w:r>
          </w:p>
          <w:p>
            <w:pPr>
              <w:keepNext w:val="0"/>
              <w:keepLines w:val="0"/>
              <w:pageBreakBefore w:val="0"/>
              <w:widowControl/>
              <w:kinsoku/>
              <w:wordWrap w:val="0"/>
              <w:overflowPunct/>
              <w:topLinePunct w:val="0"/>
              <w:autoSpaceDE/>
              <w:autoSpaceDN/>
              <w:bidi w:val="0"/>
              <w:adjustRightInd/>
              <w:snapToGrid/>
              <w:spacing w:before="0" w:beforeAutospacing="0" w:after="0" w:afterAutospacing="0" w:line="340" w:lineRule="exact"/>
              <w:ind w:left="0" w:leftChars="0"/>
              <w:jc w:val="left"/>
              <w:textAlignment w:val="auto"/>
              <w:rPr>
                <w:rFonts w:hint="eastAsia" w:ascii="华文仿宋" w:hAnsi="华文仿宋" w:eastAsia="华文仿宋" w:cs="华文仿宋"/>
                <w:b w:val="0"/>
                <w:bCs w:val="0"/>
                <w:i w:val="0"/>
                <w:caps w:val="0"/>
                <w:color w:val="auto"/>
                <w:spacing w:val="0"/>
                <w:w w:val="100"/>
                <w:sz w:val="28"/>
                <w:szCs w:val="28"/>
                <w:highlight w:val="none"/>
              </w:rPr>
            </w:pPr>
            <w:r>
              <w:rPr>
                <w:rFonts w:hint="eastAsia" w:ascii="华文仿宋" w:hAnsi="华文仿宋" w:eastAsia="华文仿宋" w:cs="华文仿宋"/>
                <w:b w:val="0"/>
                <w:bCs w:val="0"/>
                <w:i w:val="0"/>
                <w:caps w:val="0"/>
                <w:color w:val="auto"/>
                <w:spacing w:val="0"/>
                <w:w w:val="100"/>
                <w:sz w:val="28"/>
                <w:szCs w:val="28"/>
                <w:highlight w:val="none"/>
                <w:lang w:val="en-US" w:eastAsia="zh-CN"/>
              </w:rPr>
              <w:t>9</w:t>
            </w:r>
            <w:r>
              <w:rPr>
                <w:rFonts w:hint="eastAsia" w:ascii="华文仿宋" w:hAnsi="华文仿宋" w:eastAsia="华文仿宋" w:cs="华文仿宋"/>
                <w:b w:val="0"/>
                <w:bCs w:val="0"/>
                <w:i w:val="0"/>
                <w:caps w:val="0"/>
                <w:color w:val="auto"/>
                <w:spacing w:val="0"/>
                <w:w w:val="100"/>
                <w:sz w:val="28"/>
                <w:szCs w:val="28"/>
                <w:highlight w:val="none"/>
              </w:rPr>
              <w:t>、投标单位（供应商）提供针对本次项目《反商业贿赂承诺书》</w:t>
            </w:r>
          </w:p>
          <w:p>
            <w:pPr>
              <w:keepNext w:val="0"/>
              <w:keepLines w:val="0"/>
              <w:pageBreakBefore w:val="0"/>
              <w:widowControl/>
              <w:kinsoku/>
              <w:wordWrap w:val="0"/>
              <w:overflowPunct/>
              <w:topLinePunct w:val="0"/>
              <w:autoSpaceDE/>
              <w:autoSpaceDN/>
              <w:bidi w:val="0"/>
              <w:adjustRightInd/>
              <w:snapToGrid/>
              <w:spacing w:before="0" w:beforeAutospacing="0" w:after="0" w:afterAutospacing="0" w:line="340" w:lineRule="exact"/>
              <w:ind w:left="0" w:leftChars="0"/>
              <w:jc w:val="left"/>
              <w:textAlignment w:val="auto"/>
              <w:rPr>
                <w:rFonts w:hint="eastAsia" w:ascii="华文仿宋" w:hAnsi="华文仿宋" w:eastAsia="华文仿宋" w:cs="华文仿宋"/>
                <w:b/>
                <w:bCs/>
                <w:i w:val="0"/>
                <w:caps w:val="0"/>
                <w:color w:val="auto"/>
                <w:spacing w:val="0"/>
                <w:w w:val="100"/>
                <w:sz w:val="28"/>
                <w:szCs w:val="28"/>
                <w:highlight w:val="none"/>
              </w:rPr>
            </w:pPr>
            <w:r>
              <w:rPr>
                <w:rFonts w:hint="eastAsia" w:ascii="华文仿宋" w:hAnsi="华文仿宋" w:eastAsia="华文仿宋" w:cs="华文仿宋"/>
                <w:b w:val="0"/>
                <w:bCs w:val="0"/>
                <w:i w:val="0"/>
                <w:caps w:val="0"/>
                <w:color w:val="auto"/>
                <w:spacing w:val="0"/>
                <w:w w:val="100"/>
                <w:sz w:val="28"/>
                <w:szCs w:val="28"/>
                <w:highlight w:val="none"/>
                <w:lang w:val="en-US" w:eastAsia="zh-CN"/>
              </w:rPr>
              <w:t>10、</w:t>
            </w:r>
            <w:r>
              <w:rPr>
                <w:rFonts w:hint="eastAsia" w:ascii="华文仿宋" w:hAnsi="华文仿宋" w:eastAsia="华文仿宋" w:cs="华文仿宋"/>
                <w:b w:val="0"/>
                <w:bCs w:val="0"/>
                <w:i w:val="0"/>
                <w:caps w:val="0"/>
                <w:color w:val="auto"/>
                <w:spacing w:val="0"/>
                <w:w w:val="100"/>
                <w:sz w:val="28"/>
                <w:szCs w:val="28"/>
                <w:highlight w:val="none"/>
                <w:lang w:eastAsia="zh-CN"/>
              </w:rPr>
              <w:t>提供参加政府采购活动前3年内在经营活动中没有重大违法记录的书面声明函</w:t>
            </w:r>
            <w:r>
              <w:rPr>
                <w:rFonts w:hint="eastAsia" w:ascii="华文仿宋" w:hAnsi="华文仿宋" w:eastAsia="华文仿宋" w:cs="华文仿宋"/>
                <w:b w:val="0"/>
                <w:bCs w:val="0"/>
                <w:i w:val="0"/>
                <w:caps w:val="0"/>
                <w:color w:val="auto"/>
                <w:spacing w:val="0"/>
                <w:w w:val="100"/>
                <w:sz w:val="28"/>
                <w:szCs w:val="28"/>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2" w:hRule="atLeast"/>
        </w:trPr>
        <w:tc>
          <w:tcPr>
            <w:tcW w:w="1378" w:type="dxa"/>
            <w:vAlign w:val="center"/>
          </w:tcPr>
          <w:p>
            <w:pPr>
              <w:keepNext w:val="0"/>
              <w:keepLines w:val="0"/>
              <w:pageBreakBefore w:val="0"/>
              <w:kinsoku/>
              <w:wordWrap/>
              <w:overflowPunct/>
              <w:topLinePunct w:val="0"/>
              <w:autoSpaceDE/>
              <w:autoSpaceDN/>
              <w:bidi w:val="0"/>
              <w:adjustRightInd/>
              <w:snapToGrid/>
              <w:spacing w:line="360" w:lineRule="exact"/>
              <w:ind w:left="1080" w:leftChars="257" w:hanging="540" w:firstLineChars="0"/>
              <w:textAlignment w:val="auto"/>
              <w:rPr>
                <w:rFonts w:hint="eastAsia" w:ascii="华文仿宋" w:hAnsi="华文仿宋" w:eastAsia="华文仿宋" w:cs="华文仿宋"/>
                <w:b w:val="0"/>
                <w:bCs w:val="0"/>
                <w:color w:val="auto"/>
                <w:sz w:val="28"/>
                <w:szCs w:val="28"/>
                <w:highlight w:val="none"/>
                <w:lang w:eastAsia="zh-CN"/>
              </w:rPr>
            </w:pPr>
            <w:r>
              <w:rPr>
                <w:rFonts w:hint="eastAsia" w:ascii="华文仿宋" w:hAnsi="华文仿宋" w:eastAsia="华文仿宋" w:cs="华文仿宋"/>
                <w:color w:val="auto"/>
                <w:sz w:val="28"/>
                <w:szCs w:val="28"/>
                <w:highlight w:val="none"/>
              </w:rPr>
              <w:t>1.</w:t>
            </w:r>
            <w:r>
              <w:rPr>
                <w:rFonts w:hint="eastAsia" w:ascii="华文仿宋" w:hAnsi="华文仿宋" w:eastAsia="华文仿宋" w:cs="华文仿宋"/>
                <w:color w:val="auto"/>
                <w:sz w:val="28"/>
                <w:szCs w:val="28"/>
                <w:highlight w:val="none"/>
                <w:lang w:val="en-US" w:eastAsia="zh-CN"/>
              </w:rPr>
              <w:t>2</w:t>
            </w:r>
          </w:p>
        </w:tc>
        <w:tc>
          <w:tcPr>
            <w:tcW w:w="7882" w:type="dxa"/>
            <w:vAlign w:val="center"/>
          </w:tcPr>
          <w:p>
            <w:pPr>
              <w:keepNext w:val="0"/>
              <w:keepLines w:val="0"/>
              <w:pageBreakBefore w:val="0"/>
              <w:kinsoku/>
              <w:wordWrap/>
              <w:overflowPunct/>
              <w:topLinePunct w:val="0"/>
              <w:autoSpaceDE/>
              <w:autoSpaceDN/>
              <w:bidi w:val="0"/>
              <w:adjustRightInd/>
              <w:snapToGrid/>
              <w:spacing w:line="360" w:lineRule="exact"/>
              <w:textAlignment w:val="auto"/>
              <w:rPr>
                <w:rFonts w:hint="eastAsia" w:ascii="华文仿宋" w:hAnsi="华文仿宋" w:eastAsia="华文仿宋" w:cs="华文仿宋"/>
                <w:color w:val="auto"/>
                <w:sz w:val="28"/>
                <w:szCs w:val="28"/>
                <w:highlight w:val="none"/>
              </w:rPr>
            </w:pPr>
            <w:r>
              <w:rPr>
                <w:rFonts w:hint="eastAsia" w:ascii="华文仿宋" w:hAnsi="华文仿宋" w:eastAsia="华文仿宋" w:cs="华文仿宋"/>
                <w:color w:val="auto"/>
                <w:sz w:val="28"/>
                <w:szCs w:val="28"/>
                <w:highlight w:val="none"/>
                <w:lang w:eastAsia="zh-CN"/>
              </w:rPr>
              <w:t>是否为专门面向中小企业采购：</w:t>
            </w:r>
            <w:r>
              <w:rPr>
                <w:rFonts w:hint="eastAsia" w:ascii="华文仿宋" w:hAnsi="华文仿宋" w:eastAsia="华文仿宋" w:cs="华文仿宋"/>
                <w:color w:val="auto"/>
                <w:sz w:val="28"/>
                <w:szCs w:val="28"/>
                <w:highlight w:val="none"/>
                <w:u w:val="single"/>
                <w:lang w:val="en-US" w:eastAsia="zh-CN"/>
              </w:rPr>
              <w:t xml:space="preserve">  是  </w:t>
            </w:r>
            <w:r>
              <w:rPr>
                <w:rFonts w:hint="eastAsia" w:ascii="华文仿宋" w:hAnsi="华文仿宋" w:eastAsia="华文仿宋" w:cs="华文仿宋"/>
                <w:color w:val="auto"/>
                <w:sz w:val="28"/>
                <w:szCs w:val="28"/>
                <w:highlight w:val="none"/>
                <w:lang w:eastAsia="zh-CN"/>
              </w:rPr>
              <w:t>（是、否）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9" w:hRule="atLeast"/>
        </w:trPr>
        <w:tc>
          <w:tcPr>
            <w:tcW w:w="1378" w:type="dxa"/>
            <w:vAlign w:val="center"/>
          </w:tcPr>
          <w:p>
            <w:pPr>
              <w:keepNext w:val="0"/>
              <w:keepLines w:val="0"/>
              <w:pageBreakBefore w:val="0"/>
              <w:kinsoku/>
              <w:wordWrap/>
              <w:overflowPunct/>
              <w:topLinePunct w:val="0"/>
              <w:autoSpaceDE/>
              <w:autoSpaceDN/>
              <w:bidi w:val="0"/>
              <w:adjustRightInd/>
              <w:snapToGrid/>
              <w:spacing w:line="360" w:lineRule="exact"/>
              <w:ind w:left="1080" w:leftChars="257" w:hanging="540"/>
              <w:textAlignment w:val="auto"/>
              <w:rPr>
                <w:rFonts w:hint="eastAsia" w:ascii="华文仿宋" w:hAnsi="华文仿宋" w:eastAsia="华文仿宋" w:cs="华文仿宋"/>
                <w:color w:val="auto"/>
                <w:sz w:val="28"/>
                <w:szCs w:val="28"/>
                <w:highlight w:val="none"/>
                <w:lang w:eastAsia="zh-CN"/>
              </w:rPr>
            </w:pPr>
            <w:r>
              <w:rPr>
                <w:rFonts w:hint="eastAsia" w:ascii="华文仿宋" w:hAnsi="华文仿宋" w:eastAsia="华文仿宋" w:cs="华文仿宋"/>
                <w:color w:val="auto"/>
                <w:sz w:val="28"/>
                <w:szCs w:val="28"/>
                <w:highlight w:val="none"/>
              </w:rPr>
              <w:t>1</w:t>
            </w:r>
            <w:r>
              <w:rPr>
                <w:rFonts w:hint="eastAsia" w:ascii="华文仿宋" w:hAnsi="华文仿宋" w:eastAsia="华文仿宋" w:cs="华文仿宋"/>
                <w:color w:val="auto"/>
                <w:sz w:val="28"/>
                <w:szCs w:val="28"/>
                <w:highlight w:val="none"/>
                <w:lang w:val="en-US" w:eastAsia="zh-CN"/>
              </w:rPr>
              <w:t>.3</w:t>
            </w:r>
          </w:p>
        </w:tc>
        <w:tc>
          <w:tcPr>
            <w:tcW w:w="7882" w:type="dxa"/>
            <w:vAlign w:val="center"/>
          </w:tcPr>
          <w:p>
            <w:pPr>
              <w:keepNext w:val="0"/>
              <w:keepLines w:val="0"/>
              <w:pageBreakBefore w:val="0"/>
              <w:kinsoku/>
              <w:wordWrap/>
              <w:overflowPunct/>
              <w:topLinePunct w:val="0"/>
              <w:autoSpaceDE/>
              <w:autoSpaceDN/>
              <w:bidi w:val="0"/>
              <w:adjustRightInd/>
              <w:snapToGrid/>
              <w:spacing w:line="360" w:lineRule="exact"/>
              <w:textAlignment w:val="auto"/>
              <w:rPr>
                <w:rFonts w:hint="eastAsia" w:ascii="华文仿宋" w:hAnsi="华文仿宋" w:eastAsia="华文仿宋" w:cs="华文仿宋"/>
                <w:color w:val="auto"/>
                <w:sz w:val="28"/>
                <w:szCs w:val="28"/>
                <w:highlight w:val="none"/>
              </w:rPr>
            </w:pPr>
            <w:r>
              <w:rPr>
                <w:rFonts w:hint="eastAsia" w:ascii="华文仿宋" w:hAnsi="华文仿宋" w:eastAsia="华文仿宋" w:cs="华文仿宋"/>
                <w:color w:val="auto"/>
                <w:sz w:val="28"/>
                <w:szCs w:val="28"/>
                <w:highlight w:val="none"/>
              </w:rPr>
              <w:t>是否允许联合体投标：</w:t>
            </w:r>
            <w:r>
              <w:rPr>
                <w:rFonts w:hint="eastAsia" w:ascii="华文仿宋" w:hAnsi="华文仿宋" w:eastAsia="华文仿宋" w:cs="华文仿宋"/>
                <w:color w:val="auto"/>
                <w:sz w:val="28"/>
                <w:szCs w:val="28"/>
                <w:highlight w:val="none"/>
                <w:u w:val="single"/>
              </w:rPr>
              <w:t xml:space="preserve">  否  </w:t>
            </w:r>
            <w:r>
              <w:rPr>
                <w:rFonts w:hint="eastAsia" w:ascii="华文仿宋" w:hAnsi="华文仿宋" w:eastAsia="华文仿宋" w:cs="华文仿宋"/>
                <w:i/>
                <w:color w:val="auto"/>
                <w:sz w:val="28"/>
                <w:szCs w:val="28"/>
                <w:highlight w:val="none"/>
              </w:rPr>
              <w:t>（是、否）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trPr>
        <w:tc>
          <w:tcPr>
            <w:tcW w:w="1378" w:type="dxa"/>
            <w:vAlign w:val="center"/>
          </w:tcPr>
          <w:p>
            <w:pPr>
              <w:keepNext w:val="0"/>
              <w:keepLines w:val="0"/>
              <w:pageBreakBefore w:val="0"/>
              <w:kinsoku/>
              <w:wordWrap/>
              <w:overflowPunct/>
              <w:topLinePunct w:val="0"/>
              <w:autoSpaceDE/>
              <w:autoSpaceDN/>
              <w:bidi w:val="0"/>
              <w:adjustRightInd/>
              <w:snapToGrid/>
              <w:spacing w:line="360" w:lineRule="exact"/>
              <w:ind w:left="1080" w:leftChars="257" w:hanging="540"/>
              <w:textAlignment w:val="auto"/>
              <w:rPr>
                <w:rFonts w:hint="eastAsia" w:ascii="华文仿宋" w:hAnsi="华文仿宋" w:eastAsia="华文仿宋" w:cs="华文仿宋"/>
                <w:color w:val="auto"/>
                <w:sz w:val="28"/>
                <w:szCs w:val="28"/>
                <w:highlight w:val="none"/>
                <w:lang w:eastAsia="zh-CN"/>
              </w:rPr>
            </w:pPr>
            <w:r>
              <w:rPr>
                <w:rFonts w:hint="eastAsia" w:ascii="华文仿宋" w:hAnsi="华文仿宋" w:eastAsia="华文仿宋" w:cs="华文仿宋"/>
                <w:color w:val="auto"/>
                <w:sz w:val="28"/>
                <w:szCs w:val="28"/>
                <w:highlight w:val="none"/>
              </w:rPr>
              <w:t>1.</w:t>
            </w:r>
            <w:r>
              <w:rPr>
                <w:rFonts w:hint="eastAsia" w:ascii="华文仿宋" w:hAnsi="华文仿宋" w:eastAsia="华文仿宋" w:cs="华文仿宋"/>
                <w:color w:val="auto"/>
                <w:sz w:val="28"/>
                <w:szCs w:val="28"/>
                <w:highlight w:val="none"/>
                <w:lang w:val="en-US" w:eastAsia="zh-CN"/>
              </w:rPr>
              <w:t>4</w:t>
            </w:r>
          </w:p>
        </w:tc>
        <w:tc>
          <w:tcPr>
            <w:tcW w:w="7882" w:type="dxa"/>
            <w:vAlign w:val="center"/>
          </w:tcPr>
          <w:p>
            <w:pPr>
              <w:keepNext w:val="0"/>
              <w:keepLines w:val="0"/>
              <w:pageBreakBefore w:val="0"/>
              <w:kinsoku/>
              <w:wordWrap/>
              <w:overflowPunct/>
              <w:topLinePunct w:val="0"/>
              <w:autoSpaceDE/>
              <w:autoSpaceDN/>
              <w:bidi w:val="0"/>
              <w:adjustRightInd/>
              <w:snapToGrid/>
              <w:spacing w:line="360" w:lineRule="exact"/>
              <w:textAlignment w:val="auto"/>
              <w:rPr>
                <w:rFonts w:hint="eastAsia" w:ascii="华文仿宋" w:hAnsi="华文仿宋" w:eastAsia="华文仿宋" w:cs="华文仿宋"/>
                <w:color w:val="auto"/>
                <w:sz w:val="28"/>
                <w:szCs w:val="28"/>
                <w:highlight w:val="none"/>
              </w:rPr>
            </w:pPr>
            <w:r>
              <w:rPr>
                <w:rFonts w:hint="eastAsia" w:ascii="华文仿宋" w:hAnsi="华文仿宋" w:eastAsia="华文仿宋" w:cs="华文仿宋"/>
                <w:color w:val="auto"/>
                <w:sz w:val="28"/>
                <w:szCs w:val="28"/>
                <w:highlight w:val="none"/>
              </w:rPr>
              <w:t>联合体的其他资格要求：无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5" w:hRule="atLeast"/>
        </w:trPr>
        <w:tc>
          <w:tcPr>
            <w:tcW w:w="1378" w:type="dxa"/>
            <w:vAlign w:val="center"/>
          </w:tcPr>
          <w:p>
            <w:pPr>
              <w:keepNext w:val="0"/>
              <w:keepLines w:val="0"/>
              <w:pageBreakBefore w:val="0"/>
              <w:kinsoku/>
              <w:wordWrap/>
              <w:overflowPunct/>
              <w:topLinePunct w:val="0"/>
              <w:autoSpaceDE/>
              <w:autoSpaceDN/>
              <w:bidi w:val="0"/>
              <w:adjustRightInd/>
              <w:snapToGrid/>
              <w:spacing w:line="360" w:lineRule="exact"/>
              <w:ind w:left="1080" w:leftChars="257" w:hanging="540"/>
              <w:jc w:val="both"/>
              <w:textAlignment w:val="auto"/>
              <w:rPr>
                <w:rFonts w:hint="eastAsia" w:ascii="华文仿宋" w:hAnsi="华文仿宋" w:eastAsia="华文仿宋" w:cs="华文仿宋"/>
                <w:color w:val="auto"/>
                <w:sz w:val="28"/>
                <w:szCs w:val="28"/>
                <w:highlight w:val="none"/>
                <w:lang w:val="en-US" w:eastAsia="zh-CN"/>
              </w:rPr>
            </w:pPr>
            <w:r>
              <w:rPr>
                <w:rFonts w:hint="eastAsia" w:ascii="华文仿宋" w:hAnsi="华文仿宋" w:eastAsia="华文仿宋" w:cs="华文仿宋"/>
                <w:color w:val="auto"/>
                <w:sz w:val="28"/>
                <w:szCs w:val="28"/>
                <w:highlight w:val="none"/>
                <w:lang w:val="en-US" w:eastAsia="zh-CN"/>
              </w:rPr>
              <w:t>1.5</w:t>
            </w:r>
          </w:p>
        </w:tc>
        <w:tc>
          <w:tcPr>
            <w:tcW w:w="7882"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华文仿宋" w:hAnsi="华文仿宋" w:eastAsia="华文仿宋" w:cs="华文仿宋"/>
                <w:b/>
                <w:bCs/>
                <w:color w:val="auto"/>
                <w:kern w:val="2"/>
                <w:sz w:val="28"/>
                <w:szCs w:val="28"/>
                <w:highlight w:val="none"/>
                <w:lang w:val="en-US" w:eastAsia="zh-CN" w:bidi="ar-SA"/>
              </w:rPr>
            </w:pPr>
            <w:r>
              <w:rPr>
                <w:rFonts w:hint="eastAsia" w:ascii="华文仿宋" w:hAnsi="华文仿宋" w:eastAsia="华文仿宋" w:cs="华文仿宋"/>
                <w:b/>
                <w:bCs/>
                <w:color w:val="auto"/>
                <w:kern w:val="2"/>
                <w:sz w:val="28"/>
                <w:szCs w:val="28"/>
                <w:highlight w:val="none"/>
                <w:lang w:val="en-US" w:eastAsia="zh-CN" w:bidi="ar-SA"/>
              </w:rPr>
              <w:t>项目总预算金额：</w:t>
            </w:r>
            <w:r>
              <w:rPr>
                <w:rFonts w:hint="eastAsia" w:ascii="华文仿宋" w:hAnsi="华文仿宋" w:eastAsia="华文仿宋" w:cs="华文仿宋"/>
                <w:b w:val="0"/>
                <w:bCs w:val="0"/>
                <w:color w:val="auto"/>
                <w:kern w:val="2"/>
                <w:sz w:val="28"/>
                <w:szCs w:val="28"/>
                <w:highlight w:val="none"/>
                <w:lang w:val="en-US" w:eastAsia="zh-CN" w:bidi="ar-SA"/>
              </w:rPr>
              <w:t>50000元</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华文仿宋" w:hAnsi="华文仿宋" w:eastAsia="华文仿宋" w:cs="华文仿宋"/>
                <w:b/>
                <w:bCs/>
                <w:color w:val="auto"/>
                <w:kern w:val="2"/>
                <w:sz w:val="28"/>
                <w:szCs w:val="28"/>
                <w:highlight w:val="none"/>
                <w:lang w:val="en-US" w:eastAsia="zh-CN" w:bidi="ar-SA"/>
              </w:rPr>
            </w:pPr>
            <w:r>
              <w:rPr>
                <w:rFonts w:hint="eastAsia" w:ascii="华文仿宋" w:hAnsi="华文仿宋" w:eastAsia="华文仿宋" w:cs="华文仿宋"/>
                <w:b/>
                <w:bCs/>
                <w:color w:val="auto"/>
                <w:kern w:val="2"/>
                <w:sz w:val="28"/>
                <w:szCs w:val="28"/>
                <w:highlight w:val="none"/>
                <w:lang w:val="en-US" w:eastAsia="zh-CN" w:bidi="ar-SA"/>
              </w:rPr>
              <w:t>资金来源：</w:t>
            </w:r>
            <w:r>
              <w:rPr>
                <w:rFonts w:hint="eastAsia" w:ascii="华文仿宋" w:hAnsi="华文仿宋" w:eastAsia="华文仿宋" w:cs="华文仿宋"/>
                <w:b w:val="0"/>
                <w:bCs w:val="0"/>
                <w:color w:val="auto"/>
                <w:kern w:val="2"/>
                <w:sz w:val="28"/>
                <w:szCs w:val="28"/>
                <w:highlight w:val="none"/>
                <w:lang w:val="en-US" w:eastAsia="zh-CN" w:bidi="ar-SA"/>
              </w:rPr>
              <w:t>自筹资金</w:t>
            </w:r>
          </w:p>
          <w:p>
            <w:pPr>
              <w:keepNext w:val="0"/>
              <w:keepLines w:val="0"/>
              <w:pageBreakBefore w:val="0"/>
              <w:widowControl/>
              <w:kinsoku/>
              <w:wordWrap w:val="0"/>
              <w:overflowPunct/>
              <w:topLinePunct w:val="0"/>
              <w:autoSpaceDE/>
              <w:autoSpaceDN/>
              <w:bidi w:val="0"/>
              <w:adjustRightInd/>
              <w:snapToGrid/>
              <w:spacing w:before="0" w:beforeAutospacing="0" w:after="0" w:afterAutospacing="0" w:line="340" w:lineRule="exact"/>
              <w:ind w:left="0" w:leftChars="0"/>
              <w:jc w:val="left"/>
              <w:textAlignment w:val="auto"/>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bCs/>
                <w:i w:val="0"/>
                <w:caps w:val="0"/>
                <w:color w:val="auto"/>
                <w:spacing w:val="0"/>
                <w:w w:val="100"/>
                <w:sz w:val="28"/>
                <w:szCs w:val="28"/>
                <w:highlight w:val="none"/>
                <w:lang w:val="en-US" w:eastAsia="zh-CN"/>
              </w:rPr>
              <w:t>服务需求：</w:t>
            </w:r>
            <w:r>
              <w:rPr>
                <w:rFonts w:hint="eastAsia" w:ascii="华文仿宋" w:hAnsi="华文仿宋" w:eastAsia="华文仿宋" w:cs="华文仿宋"/>
                <w:b w:val="0"/>
                <w:bCs w:val="0"/>
                <w:color w:val="auto"/>
                <w:kern w:val="2"/>
                <w:sz w:val="28"/>
                <w:szCs w:val="28"/>
                <w:highlight w:val="none"/>
                <w:lang w:val="en-US" w:eastAsia="zh-CN" w:bidi="ar-SA"/>
              </w:rPr>
              <w:t>全院区域开展常态化除四害消杀工作</w:t>
            </w:r>
            <w:r>
              <w:rPr>
                <w:rFonts w:hint="eastAsia" w:ascii="华文仿宋" w:hAnsi="华文仿宋" w:eastAsia="华文仿宋" w:cs="华文仿宋"/>
                <w:b/>
                <w:bCs/>
                <w:i w:val="0"/>
                <w:caps w:val="0"/>
                <w:color w:val="auto"/>
                <w:spacing w:val="0"/>
                <w:w w:val="100"/>
                <w:sz w:val="28"/>
                <w:szCs w:val="28"/>
                <w:highlight w:val="none"/>
                <w:lang w:val="en-US" w:eastAsia="zh-CN"/>
              </w:rPr>
              <w:t>，</w:t>
            </w:r>
            <w:r>
              <w:rPr>
                <w:rFonts w:hint="eastAsia" w:ascii="华文仿宋" w:hAnsi="华文仿宋" w:eastAsia="华文仿宋" w:cs="华文仿宋"/>
                <w:b w:val="0"/>
                <w:bCs w:val="0"/>
                <w:color w:val="auto"/>
                <w:kern w:val="2"/>
                <w:sz w:val="28"/>
                <w:szCs w:val="28"/>
                <w:highlight w:val="none"/>
                <w:lang w:val="en-US" w:eastAsia="zh-CN" w:bidi="ar-SA"/>
              </w:rPr>
              <w:t>重点对病房、走廊、卫生间、下水道、绿化带及后勤区域等重点点位开展灭鼠、灭蚊、灭蝇、灭蟑消杀工作、</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7" w:hRule="atLeast"/>
        </w:trPr>
        <w:tc>
          <w:tcPr>
            <w:tcW w:w="1378" w:type="dxa"/>
            <w:vAlign w:val="center"/>
          </w:tcPr>
          <w:p>
            <w:pPr>
              <w:keepNext w:val="0"/>
              <w:keepLines w:val="0"/>
              <w:pageBreakBefore w:val="0"/>
              <w:kinsoku/>
              <w:wordWrap/>
              <w:overflowPunct/>
              <w:topLinePunct w:val="0"/>
              <w:autoSpaceDE/>
              <w:autoSpaceDN/>
              <w:bidi w:val="0"/>
              <w:adjustRightInd/>
              <w:snapToGrid/>
              <w:spacing w:line="360" w:lineRule="exact"/>
              <w:ind w:left="1080" w:leftChars="257" w:hanging="540"/>
              <w:textAlignment w:val="auto"/>
              <w:rPr>
                <w:rFonts w:hint="eastAsia" w:ascii="华文仿宋" w:hAnsi="华文仿宋" w:eastAsia="华文仿宋" w:cs="华文仿宋"/>
                <w:color w:val="auto"/>
                <w:sz w:val="28"/>
                <w:szCs w:val="28"/>
                <w:highlight w:val="none"/>
                <w:lang w:val="en-US" w:eastAsia="zh-CN"/>
              </w:rPr>
            </w:pPr>
            <w:r>
              <w:rPr>
                <w:rFonts w:hint="eastAsia" w:ascii="华文仿宋" w:hAnsi="华文仿宋" w:eastAsia="华文仿宋" w:cs="华文仿宋"/>
                <w:color w:val="auto"/>
                <w:sz w:val="28"/>
                <w:szCs w:val="28"/>
                <w:highlight w:val="none"/>
                <w:lang w:val="en-US" w:eastAsia="zh-CN"/>
              </w:rPr>
              <w:t>1.6</w:t>
            </w:r>
          </w:p>
        </w:tc>
        <w:tc>
          <w:tcPr>
            <w:tcW w:w="7882" w:type="dxa"/>
            <w:vAlign w:val="center"/>
          </w:tcPr>
          <w:p>
            <w:pPr>
              <w:keepNext w:val="0"/>
              <w:keepLines w:val="0"/>
              <w:widowControl/>
              <w:suppressLineNumbers w:val="0"/>
              <w:jc w:val="left"/>
              <w:rPr>
                <w:rFonts w:hint="eastAsia" w:ascii="华文仿宋" w:hAnsi="华文仿宋" w:eastAsia="华文仿宋" w:cs="华文仿宋"/>
                <w:i/>
                <w:color w:val="auto"/>
                <w:sz w:val="28"/>
                <w:szCs w:val="28"/>
                <w:highlight w:val="none"/>
              </w:rPr>
            </w:pPr>
            <w:r>
              <w:rPr>
                <w:rFonts w:hint="eastAsia" w:ascii="华文仿宋" w:hAnsi="华文仿宋" w:eastAsia="华文仿宋" w:cs="华文仿宋"/>
                <w:b/>
                <w:bCs/>
                <w:color w:val="auto"/>
                <w:sz w:val="28"/>
                <w:szCs w:val="28"/>
                <w:highlight w:val="none"/>
              </w:rPr>
              <w:t>评标方法：</w:t>
            </w:r>
            <w:r>
              <w:rPr>
                <w:rFonts w:hint="eastAsia" w:ascii="华文仿宋" w:hAnsi="华文仿宋" w:eastAsia="华文仿宋" w:cs="华文仿宋"/>
                <w:kern w:val="0"/>
                <w:sz w:val="28"/>
                <w:szCs w:val="28"/>
                <w:lang w:val="en-US" w:eastAsia="zh-CN" w:bidi="ar"/>
              </w:rPr>
              <w:t>满足全部资格、技术、商务要求前提下，最低价中标。</w:t>
            </w:r>
            <w:r>
              <w:rPr>
                <w:rFonts w:hint="eastAsia" w:ascii="华文仿宋" w:hAnsi="华文仿宋" w:eastAsia="华文仿宋" w:cs="华文仿宋"/>
                <w:color w:val="auto"/>
                <w:sz w:val="28"/>
                <w:szCs w:val="28"/>
                <w:highlight w:val="none"/>
              </w:rPr>
              <w:t>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7" w:hRule="atLeast"/>
        </w:trPr>
        <w:tc>
          <w:tcPr>
            <w:tcW w:w="1378" w:type="dxa"/>
            <w:vAlign w:val="center"/>
          </w:tcPr>
          <w:p>
            <w:pPr>
              <w:keepNext w:val="0"/>
              <w:keepLines w:val="0"/>
              <w:pageBreakBefore w:val="0"/>
              <w:kinsoku/>
              <w:wordWrap/>
              <w:overflowPunct/>
              <w:topLinePunct w:val="0"/>
              <w:autoSpaceDE/>
              <w:autoSpaceDN/>
              <w:bidi w:val="0"/>
              <w:adjustRightInd/>
              <w:spacing w:beforeAutospacing="0" w:afterAutospacing="0" w:line="400" w:lineRule="exact"/>
              <w:jc w:val="center"/>
              <w:rPr>
                <w:rFonts w:hint="eastAsia" w:ascii="华文仿宋" w:hAnsi="华文仿宋" w:eastAsia="华文仿宋" w:cs="华文仿宋"/>
                <w:color w:val="auto"/>
                <w:sz w:val="28"/>
                <w:szCs w:val="28"/>
                <w:highlight w:val="none"/>
                <w:lang w:val="en-US"/>
              </w:rPr>
            </w:pPr>
            <w:r>
              <w:rPr>
                <w:rFonts w:hint="eastAsia" w:ascii="华文仿宋" w:hAnsi="华文仿宋" w:eastAsia="华文仿宋" w:cs="华文仿宋"/>
                <w:b/>
                <w:bCs/>
                <w:color w:val="auto"/>
                <w:sz w:val="28"/>
                <w:szCs w:val="28"/>
                <w:highlight w:val="none"/>
                <w:lang w:val="en-US" w:eastAsia="zh-CN"/>
              </w:rPr>
              <w:t>重要提示</w:t>
            </w:r>
          </w:p>
        </w:tc>
        <w:tc>
          <w:tcPr>
            <w:tcW w:w="7882" w:type="dxa"/>
            <w:shd w:val="clear" w:color="auto" w:fill="auto"/>
            <w:vAlign w:val="center"/>
          </w:tcPr>
          <w:p>
            <w:pPr>
              <w:spacing w:line="360" w:lineRule="exact"/>
              <w:rPr>
                <w:rFonts w:hint="eastAsia" w:ascii="华文仿宋" w:hAnsi="华文仿宋" w:eastAsia="华文仿宋" w:cs="华文仿宋"/>
                <w:b/>
                <w:bCs/>
                <w:sz w:val="28"/>
                <w:szCs w:val="28"/>
              </w:rPr>
            </w:pPr>
            <w:r>
              <w:rPr>
                <w:rFonts w:hint="eastAsia" w:ascii="华文仿宋" w:hAnsi="华文仿宋" w:eastAsia="华文仿宋" w:cs="华文仿宋"/>
                <w:b/>
                <w:bCs/>
                <w:sz w:val="28"/>
                <w:szCs w:val="28"/>
              </w:rPr>
              <w:t>各供应商应当谨认真慎阅读以下条款，否则后果自行承担。</w:t>
            </w:r>
          </w:p>
          <w:p>
            <w:pPr>
              <w:keepNext w:val="0"/>
              <w:keepLines w:val="0"/>
              <w:pageBreakBefore w:val="0"/>
              <w:widowControl/>
              <w:numPr>
                <w:ilvl w:val="0"/>
                <w:numId w:val="0"/>
              </w:numPr>
              <w:kinsoku/>
              <w:wordWrap w:val="0"/>
              <w:overflowPunct/>
              <w:topLinePunct w:val="0"/>
              <w:autoSpaceDE/>
              <w:autoSpaceDN/>
              <w:bidi w:val="0"/>
              <w:adjustRightInd/>
              <w:snapToGrid/>
              <w:spacing w:before="0" w:beforeAutospacing="0" w:after="0" w:afterAutospacing="0" w:line="340" w:lineRule="exact"/>
              <w:jc w:val="left"/>
              <w:textAlignment w:val="auto"/>
              <w:rPr>
                <w:rFonts w:hint="eastAsia" w:ascii="华文仿宋" w:hAnsi="华文仿宋" w:eastAsia="华文仿宋" w:cs="华文仿宋"/>
                <w:b w:val="0"/>
                <w:bCs w:val="0"/>
                <w:i w:val="0"/>
                <w:caps w:val="0"/>
                <w:color w:val="auto"/>
                <w:spacing w:val="0"/>
                <w:w w:val="100"/>
                <w:sz w:val="28"/>
                <w:szCs w:val="28"/>
                <w:highlight w:val="none"/>
                <w:lang w:val="en-US" w:eastAsia="zh-CN"/>
              </w:rPr>
            </w:pPr>
            <w:r>
              <w:rPr>
                <w:rFonts w:hint="eastAsia" w:ascii="华文仿宋" w:hAnsi="华文仿宋" w:eastAsia="华文仿宋" w:cs="华文仿宋"/>
                <w:b w:val="0"/>
                <w:bCs w:val="0"/>
                <w:i w:val="0"/>
                <w:caps w:val="0"/>
                <w:color w:val="auto"/>
                <w:spacing w:val="0"/>
                <w:w w:val="100"/>
                <w:sz w:val="28"/>
                <w:szCs w:val="28"/>
                <w:highlight w:val="none"/>
                <w:lang w:val="en-US" w:eastAsia="zh-CN"/>
              </w:rPr>
              <w:t>1.参加本项目所有供应商应当提供真实有效作证资料，不得存在弄虚作假骗取中标行为，一经发现将取消中标资格并列入黑名单，上报政府采购监管部门。</w:t>
            </w:r>
          </w:p>
          <w:p>
            <w:pPr>
              <w:keepNext w:val="0"/>
              <w:keepLines w:val="0"/>
              <w:pageBreakBefore w:val="0"/>
              <w:widowControl/>
              <w:numPr>
                <w:ilvl w:val="0"/>
                <w:numId w:val="0"/>
              </w:numPr>
              <w:kinsoku/>
              <w:wordWrap w:val="0"/>
              <w:overflowPunct/>
              <w:topLinePunct w:val="0"/>
              <w:autoSpaceDE/>
              <w:autoSpaceDN/>
              <w:bidi w:val="0"/>
              <w:adjustRightInd/>
              <w:snapToGrid/>
              <w:spacing w:before="0" w:beforeAutospacing="0" w:after="0" w:afterAutospacing="0" w:line="340" w:lineRule="exact"/>
              <w:jc w:val="left"/>
              <w:textAlignment w:val="auto"/>
              <w:rPr>
                <w:rFonts w:hint="eastAsia" w:ascii="华文仿宋" w:hAnsi="华文仿宋" w:eastAsia="华文仿宋" w:cs="华文仿宋"/>
                <w:b w:val="0"/>
                <w:bCs w:val="0"/>
                <w:i w:val="0"/>
                <w:caps w:val="0"/>
                <w:color w:val="auto"/>
                <w:spacing w:val="0"/>
                <w:w w:val="100"/>
                <w:sz w:val="28"/>
                <w:szCs w:val="28"/>
                <w:highlight w:val="none"/>
                <w:lang w:val="en-US" w:eastAsia="zh-CN"/>
              </w:rPr>
            </w:pPr>
            <w:r>
              <w:rPr>
                <w:rFonts w:hint="eastAsia" w:ascii="华文仿宋" w:hAnsi="华文仿宋" w:eastAsia="华文仿宋" w:cs="华文仿宋"/>
                <w:b w:val="0"/>
                <w:bCs w:val="0"/>
                <w:i w:val="0"/>
                <w:caps w:val="0"/>
                <w:color w:val="auto"/>
                <w:spacing w:val="0"/>
                <w:w w:val="100"/>
                <w:sz w:val="28"/>
                <w:szCs w:val="28"/>
                <w:highlight w:val="none"/>
                <w:lang w:val="en-US" w:eastAsia="zh-CN"/>
              </w:rPr>
              <w:t>2.供应商上传/递交投标文件时，提供的扫描件、复印件内容须清晰可读，若因投标文件资料模糊、缺失造成资格不通过、评审无效的后果，由投标供应商自行承担。</w:t>
            </w:r>
          </w:p>
          <w:p>
            <w:pPr>
              <w:keepNext w:val="0"/>
              <w:keepLines w:val="0"/>
              <w:pageBreakBefore w:val="0"/>
              <w:widowControl/>
              <w:numPr>
                <w:ilvl w:val="0"/>
                <w:numId w:val="0"/>
              </w:numPr>
              <w:kinsoku/>
              <w:wordWrap w:val="0"/>
              <w:overflowPunct/>
              <w:topLinePunct w:val="0"/>
              <w:autoSpaceDE/>
              <w:autoSpaceDN/>
              <w:bidi w:val="0"/>
              <w:adjustRightInd/>
              <w:snapToGrid/>
              <w:spacing w:before="0" w:beforeAutospacing="0" w:after="0" w:afterAutospacing="0" w:line="340" w:lineRule="exact"/>
              <w:jc w:val="left"/>
              <w:textAlignment w:val="auto"/>
              <w:rPr>
                <w:rFonts w:hint="eastAsia" w:ascii="华文仿宋" w:hAnsi="华文仿宋" w:eastAsia="华文仿宋" w:cs="华文仿宋"/>
                <w:kern w:val="2"/>
                <w:sz w:val="28"/>
                <w:szCs w:val="28"/>
                <w:lang w:val="en-US" w:eastAsia="zh-CN" w:bidi="ar-SA"/>
              </w:rPr>
            </w:pPr>
            <w:r>
              <w:rPr>
                <w:rFonts w:hint="eastAsia" w:ascii="华文仿宋" w:hAnsi="华文仿宋" w:eastAsia="华文仿宋" w:cs="华文仿宋"/>
                <w:b w:val="0"/>
                <w:bCs w:val="0"/>
                <w:i w:val="0"/>
                <w:caps w:val="0"/>
                <w:color w:val="auto"/>
                <w:spacing w:val="0"/>
                <w:w w:val="100"/>
                <w:sz w:val="28"/>
                <w:szCs w:val="28"/>
                <w:highlight w:val="none"/>
                <w:lang w:val="en-US" w:eastAsia="zh-CN"/>
              </w:rPr>
              <w:t>3.严禁恶意竞标；中标后，中标人实际提供的服务成果、人员配置与投标文件响应不一致的，采购人有权拒收成果、解除合同，期间产生的一切费用由中标人承担。4. 本项目所有资格、技术条款为实质性要求，不满足任意一条，按无效投标处理。</w:t>
            </w:r>
            <w:r>
              <w:rPr>
                <w:rFonts w:hint="eastAsia" w:ascii="华文仿宋" w:hAnsi="华文仿宋" w:eastAsia="华文仿宋" w:cs="华文仿宋"/>
                <w:sz w:val="28"/>
                <w:szCs w:val="28"/>
              </w:rPr>
              <w:br w:type="page"/>
            </w:r>
          </w:p>
        </w:tc>
      </w:tr>
    </w:tbl>
    <w:p>
      <w:pPr>
        <w:keepNext w:val="0"/>
        <w:keepLines w:val="0"/>
        <w:pageBreakBefore w:val="0"/>
        <w:kinsoku/>
        <w:wordWrap/>
        <w:overflowPunct/>
        <w:topLinePunct w:val="0"/>
        <w:autoSpaceDE/>
        <w:autoSpaceDN/>
        <w:bidi w:val="0"/>
        <w:adjustRightInd/>
        <w:snapToGrid/>
        <w:spacing w:before="0" w:after="0" w:line="570" w:lineRule="exact"/>
        <w:jc w:val="both"/>
        <w:textAlignment w:val="auto"/>
        <w:outlineLvl w:val="9"/>
        <w:rPr>
          <w:rFonts w:hint="eastAsia" w:ascii="方正黑体_GBK" w:hAnsi="方正黑体_GBK" w:eastAsia="方正黑体_GBK" w:cs="方正黑体_GBK"/>
          <w:b w:val="0"/>
          <w:bCs w:val="0"/>
          <w:color w:val="000000" w:themeColor="text1"/>
          <w:kern w:val="0"/>
          <w:sz w:val="32"/>
          <w:szCs w:val="32"/>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kern w:val="0"/>
          <w:sz w:val="32"/>
          <w:szCs w:val="32"/>
          <w:lang w:val="en-US" w:eastAsia="zh-CN"/>
          <w14:textFill>
            <w14:solidFill>
              <w14:schemeClr w14:val="tx1"/>
            </w14:solidFill>
          </w14:textFill>
        </w:rPr>
        <w:t>二、服务工作内容及技术要求</w:t>
      </w:r>
    </w:p>
    <w:p>
      <w:pPr>
        <w:keepNext w:val="0"/>
        <w:keepLines w:val="0"/>
        <w:pageBreakBefore w:val="0"/>
        <w:kinsoku/>
        <w:wordWrap/>
        <w:overflowPunct/>
        <w:topLinePunct w:val="0"/>
        <w:autoSpaceDE/>
        <w:autoSpaceDN/>
        <w:bidi w:val="0"/>
        <w:adjustRightInd/>
        <w:snapToGrid/>
        <w:spacing w:before="0" w:after="0" w:line="570" w:lineRule="exact"/>
        <w:jc w:val="both"/>
        <w:textAlignment w:val="auto"/>
        <w:outlineLvl w:val="9"/>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（一）药物与器械要求</w:t>
      </w:r>
    </w:p>
    <w:p>
      <w:pPr>
        <w:pStyle w:val="4"/>
        <w:keepNext w:val="0"/>
        <w:keepLines w:val="0"/>
        <w:pageBreakBefore w:val="0"/>
        <w:widowControl/>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1.使用的杀虫剂、灭鼠剂、驱避剂等必须为国家主管部门批准的正规产品，具有有效的农药登记证、生产许可证、产品合格证；投标文件提供证书扫描件，原件中标后供医院备查。</w:t>
      </w:r>
    </w:p>
    <w:p>
      <w:pPr>
        <w:pStyle w:val="4"/>
        <w:keepNext w:val="0"/>
        <w:keepLines w:val="0"/>
        <w:pageBreakBefore w:val="0"/>
        <w:widowControl/>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2.优先选用低毒、环保、无异味、对人和环境友好的药物，禁止使用国家明令禁止的高毒、高残留药物。</w:t>
      </w:r>
    </w:p>
    <w:p>
      <w:pPr>
        <w:pStyle w:val="4"/>
        <w:keepNext w:val="0"/>
        <w:keepLines w:val="0"/>
        <w:pageBreakBefore w:val="0"/>
        <w:widowControl/>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3.灭鼠剂须为慢性抗凝血剂，并配备专用毒饵站，设置警示标识。</w:t>
      </w:r>
    </w:p>
    <w:p>
      <w:pPr>
        <w:pStyle w:val="4"/>
        <w:keepNext w:val="0"/>
        <w:keepLines w:val="0"/>
        <w:pageBreakBefore w:val="0"/>
        <w:widowControl/>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须配备满足项目使用的专业消杀设备：超低容量喷雾器、热烟雾机、电动喷雾器、捕鼠笼、粘鼠板、粘蟑屋、诱蝇笼等，设备可自有或合法租赁；投标文件提交设备清单（租赁设备提供租赁意向协议），设备须定期维护更新。</w:t>
      </w:r>
    </w:p>
    <w:p>
      <w:pPr>
        <w:pStyle w:val="4"/>
        <w:keepNext w:val="0"/>
        <w:keepLines w:val="0"/>
        <w:pageBreakBefore w:val="0"/>
        <w:widowControl/>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.现场作业人员须定期接受专业培训和继续教育，熟悉医院环境特点及院感防控要求，投标文件可附培训记录或培训承诺。</w:t>
      </w:r>
    </w:p>
    <w:p>
      <w:pPr>
        <w:pStyle w:val="4"/>
        <w:keepNext w:val="0"/>
        <w:keepLines w:val="0"/>
        <w:pageBreakBefore w:val="0"/>
        <w:widowControl/>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rPr>
        <w:t>.作业人员进入手术室、ICU等重点区域时，须严格遵守医院感染管理和安全生产相关规定。</w:t>
      </w:r>
    </w:p>
    <w:p>
      <w:pPr>
        <w:keepNext w:val="0"/>
        <w:keepLines w:val="0"/>
        <w:pageBreakBefore w:val="0"/>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（二）作业流程要求</w:t>
      </w:r>
    </w:p>
    <w:p>
      <w:pPr>
        <w:pStyle w:val="4"/>
        <w:keepNext w:val="0"/>
        <w:keepLines w:val="0"/>
        <w:pageBreakBefore w:val="0"/>
        <w:widowControl/>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1.每次作业前须制定详细作业计划，提前2个工作日以纸质或电子书面形式告知医院</w:t>
      </w:r>
      <w:r>
        <w:rPr>
          <w:rFonts w:hint="eastAsia" w:ascii="方正仿宋_GBK" w:hAnsi="方正仿宋_GBK" w:eastAsia="方正仿宋_GBK" w:cs="方正仿宋_GBK"/>
          <w:sz w:val="32"/>
          <w:szCs w:val="32"/>
          <w:lang w:val="en-US" w:eastAsia="zh-CN"/>
        </w:rPr>
        <w:t>后勤保障</w:t>
      </w:r>
      <w:r>
        <w:rPr>
          <w:rFonts w:hint="eastAsia" w:ascii="方正仿宋_GBK" w:hAnsi="方正仿宋_GBK" w:eastAsia="方正仿宋_GBK" w:cs="方正仿宋_GBK"/>
          <w:sz w:val="32"/>
          <w:szCs w:val="32"/>
        </w:rPr>
        <w:t>科及相关科室；作业时间避开就诊高峰（就诊高峰：工作日上午09:30</w:t>
      </w:r>
      <w:r>
        <w:rPr>
          <w:rFonts w:hint="eastAsia" w:ascii="方正仿宋_GBK" w:hAnsi="方正仿宋_GBK" w:eastAsia="方正仿宋_GBK" w:cs="方正仿宋_GBK"/>
          <w:sz w:val="32"/>
          <w:szCs w:val="32"/>
          <w:lang w:val="en-US" w:eastAsia="zh-CN"/>
        </w:rPr>
        <w:t>-14</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00</w:t>
      </w:r>
      <w:r>
        <w:rPr>
          <w:rFonts w:hint="eastAsia" w:ascii="方正仿宋_GBK" w:hAnsi="方正仿宋_GBK" w:eastAsia="方正仿宋_GBK" w:cs="方正仿宋_GBK"/>
          <w:sz w:val="32"/>
          <w:szCs w:val="32"/>
        </w:rPr>
        <w:t>，下午</w:t>
      </w:r>
      <w:r>
        <w:rPr>
          <w:rFonts w:hint="eastAsia" w:ascii="方正仿宋_GBK" w:hAnsi="方正仿宋_GBK" w:eastAsia="方正仿宋_GBK" w:cs="方正仿宋_GBK"/>
          <w:sz w:val="32"/>
          <w:szCs w:val="32"/>
          <w:lang w:val="en-US" w:eastAsia="zh-CN"/>
        </w:rPr>
        <w:t>16</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00-</w:t>
      </w:r>
      <w:r>
        <w:rPr>
          <w:rFonts w:hint="eastAsia" w:ascii="方正仿宋_GBK" w:hAnsi="方正仿宋_GBK" w:eastAsia="方正仿宋_GBK" w:cs="方正仿宋_GBK"/>
          <w:sz w:val="32"/>
          <w:szCs w:val="32"/>
        </w:rPr>
        <w:t>18:00，遇医院特殊情况双方可协商调整）。</w:t>
      </w:r>
    </w:p>
    <w:p>
      <w:pPr>
        <w:pStyle w:val="4"/>
        <w:keepNext w:val="0"/>
        <w:keepLines w:val="0"/>
        <w:pageBreakBefore w:val="0"/>
        <w:widowControl/>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2.作业过程中须做好现场隔离与警示，设置警示标识，防止人员误触药物。</w:t>
      </w:r>
    </w:p>
    <w:p>
      <w:pPr>
        <w:pStyle w:val="4"/>
        <w:keepNext w:val="0"/>
        <w:keepLines w:val="0"/>
        <w:pageBreakBefore w:val="0"/>
        <w:widowControl/>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 作业后及时清理残留物、死鼠、死蟑等，并按医疗废弃物相关要求完成无害化处理。</w:t>
      </w:r>
    </w:p>
    <w:p>
      <w:pPr>
        <w:keepNext w:val="0"/>
        <w:keepLines w:val="0"/>
        <w:pageBreakBefore w:val="0"/>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（三）应急预案</w:t>
      </w:r>
    </w:p>
    <w:p>
      <w:pPr>
        <w:pStyle w:val="4"/>
        <w:keepNext w:val="0"/>
        <w:keepLines w:val="0"/>
        <w:pageBreakBefore w:val="0"/>
        <w:widowControl/>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1.投标人须制定详细的四害突发事件应急预案，包括但不限于：传染病流行期间密度激增、院内发现鼠患集聚、蟑螂大面积暴发、上级部门紧急检查等情况。预案中须明确应急人员、车辆、物资保障方案。</w:t>
      </w:r>
    </w:p>
    <w:p>
      <w:pPr>
        <w:pStyle w:val="4"/>
        <w:keepNext w:val="0"/>
        <w:keepLines w:val="0"/>
        <w:pageBreakBefore w:val="0"/>
        <w:widowControl/>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2.须提供7×24小时应急联络方式，接到医院通知后按以下时限响应：</w:t>
      </w:r>
    </w:p>
    <w:p>
      <w:pPr>
        <w:pStyle w:val="4"/>
        <w:keepNext w:val="0"/>
        <w:keepLines w:val="0"/>
        <w:pageBreakBefore w:val="0"/>
        <w:widowControl/>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 工作日：接通知后4小时内到达现场处置，处置后病媒密度下降至国标C级及以上视为控制局面；</w:t>
      </w:r>
    </w:p>
    <w:p>
      <w:pPr>
        <w:pStyle w:val="4"/>
        <w:keepNext w:val="0"/>
        <w:keepLines w:val="0"/>
        <w:pageBreakBefore w:val="0"/>
        <w:widowControl/>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 非工作日及夜间：接通知后8小时内到达现场处置，处置后病媒密度下降至国标C级及以上视为控制局面。</w:t>
      </w:r>
    </w:p>
    <w:p>
      <w:pPr>
        <w:pStyle w:val="4"/>
        <w:keepNext w:val="0"/>
        <w:keepLines w:val="0"/>
        <w:pageBreakBefore w:val="0"/>
        <w:widowControl/>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3.投标人须在投标文件中对上述响应时限作出书面承诺，并说明应急人员及车辆调配方案。</w:t>
      </w:r>
    </w:p>
    <w:p>
      <w:pPr>
        <w:keepNext w:val="0"/>
        <w:keepLines w:val="0"/>
        <w:pageBreakBefore w:val="0"/>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仿宋_GBK" w:hAnsi="方正仿宋_GBK" w:eastAsia="方正仿宋_GBK" w:cs="方正仿宋_GBK"/>
          <w:sz w:val="32"/>
          <w:szCs w:val="32"/>
        </w:rPr>
      </w:pP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（四）服务标准</w:t>
      </w:r>
    </w:p>
    <w:p>
      <w:pPr>
        <w:pStyle w:val="4"/>
        <w:keepNext w:val="0"/>
        <w:keepLines w:val="0"/>
        <w:pageBreakBefore w:val="0"/>
        <w:widowControl/>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1.防治标准：鼠密度控制达到国家《病媒生物密度控制水平 鼠类》（GB/T 27770‑2011）标准C级及以上要求；蚊虫密度控制达到《病媒生物密度控制水平 蚊虫》（GB/T 27771‑2011）标准C级及以上要求；蝇类密度控制达到《病媒生物密度控制水平 蝇类》（GB/T 27772‑2011）标准C级及以上要求；蟑螂密度控制达到《病媒生物密度控制水平 蜚蠊》（GB/T 27773‑2011）标准C级及以上要求。</w:t>
      </w:r>
    </w:p>
    <w:p>
      <w:pPr>
        <w:pStyle w:val="4"/>
        <w:keepNext w:val="0"/>
        <w:keepLines w:val="0"/>
        <w:pageBreakBefore w:val="0"/>
        <w:widowControl/>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2.重点区域特殊要求：手术室周边、ICU、产房、新生儿病房、消毒供应中心等重点区域，日常服务管控目标为不得发现活鼠、蟑螂成虫活动，尽量消除鼠迹、蟑迹。</w:t>
      </w:r>
    </w:p>
    <w:p>
      <w:pPr>
        <w:pStyle w:val="4"/>
        <w:keepNext w:val="0"/>
        <w:keepLines w:val="0"/>
        <w:pageBreakBefore w:val="0"/>
        <w:widowControl/>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3.防治频次：每月开展</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次全面防治作业；四害高发季节（5—10月）</w:t>
      </w:r>
      <w:r>
        <w:rPr>
          <w:rFonts w:hint="eastAsia" w:ascii="方正仿宋_GBK" w:hAnsi="方正仿宋_GBK" w:eastAsia="方正仿宋_GBK" w:cs="方正仿宋_GBK"/>
          <w:sz w:val="32"/>
          <w:szCs w:val="32"/>
          <w:lang w:val="en-US" w:eastAsia="zh-CN"/>
        </w:rPr>
        <w:t>根据实际情况可增加</w:t>
      </w:r>
      <w:r>
        <w:rPr>
          <w:rFonts w:hint="eastAsia" w:ascii="方正仿宋_GBK" w:hAnsi="方正仿宋_GBK" w:eastAsia="方正仿宋_GBK" w:cs="方正仿宋_GBK"/>
          <w:sz w:val="32"/>
          <w:szCs w:val="32"/>
        </w:rPr>
        <w:t>频次，确保密度持续达标。</w:t>
      </w:r>
    </w:p>
    <w:p>
      <w:pPr>
        <w:keepNext w:val="0"/>
        <w:keepLines w:val="0"/>
        <w:pageBreakBefore w:val="0"/>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（五）服务记录与报告</w:t>
      </w:r>
    </w:p>
    <w:p>
      <w:pPr>
        <w:pStyle w:val="4"/>
        <w:keepNext w:val="0"/>
        <w:keepLines w:val="0"/>
        <w:pageBreakBefore w:val="0"/>
        <w:widowControl/>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1.每次作业后须详细记录：服务时间、地点、作业方式、使用药物名称及剂量、处理面积、防治效果、现场照片等。</w:t>
      </w:r>
    </w:p>
    <w:p>
      <w:pPr>
        <w:pStyle w:val="4"/>
        <w:keepNext w:val="0"/>
        <w:keepLines w:val="0"/>
        <w:pageBreakBefore w:val="0"/>
        <w:widowControl/>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2.所有记录须真实、完整、可追溯，保存期限不少于3年。</w:t>
      </w:r>
    </w:p>
    <w:p>
      <w:pPr>
        <w:pStyle w:val="4"/>
        <w:keepNext w:val="0"/>
        <w:keepLines w:val="0"/>
        <w:pageBreakBefore w:val="0"/>
        <w:widowControl/>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3.每月向医院</w:t>
      </w:r>
      <w:r>
        <w:rPr>
          <w:rFonts w:hint="eastAsia" w:ascii="方正仿宋_GBK" w:hAnsi="方正仿宋_GBK" w:eastAsia="方正仿宋_GBK" w:cs="方正仿宋_GBK"/>
          <w:sz w:val="32"/>
          <w:szCs w:val="32"/>
          <w:lang w:val="en-US" w:eastAsia="zh-CN"/>
        </w:rPr>
        <w:t>后勤保障</w:t>
      </w:r>
      <w:r>
        <w:rPr>
          <w:rFonts w:hint="eastAsia" w:ascii="方正仿宋_GBK" w:hAnsi="方正仿宋_GBK" w:eastAsia="方正仿宋_GBK" w:cs="方正仿宋_GBK"/>
          <w:sz w:val="32"/>
          <w:szCs w:val="32"/>
        </w:rPr>
        <w:t>科提交月度服务报告，汇总当月防治情况、密度监测数据。</w:t>
      </w:r>
    </w:p>
    <w:p>
      <w:pPr>
        <w:pStyle w:val="4"/>
        <w:keepNext w:val="0"/>
        <w:keepLines w:val="0"/>
        <w:pageBreakBefore w:val="0"/>
        <w:widowControl/>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4.每月作业完成后，由医院相关科室工作人员现场签字确认服务内容及工作量，医院</w:t>
      </w:r>
      <w:r>
        <w:rPr>
          <w:rFonts w:hint="eastAsia" w:ascii="方正仿宋_GBK" w:hAnsi="方正仿宋_GBK" w:eastAsia="方正仿宋_GBK" w:cs="方正仿宋_GBK"/>
          <w:sz w:val="32"/>
          <w:szCs w:val="32"/>
          <w:lang w:val="en-US" w:eastAsia="zh-CN"/>
        </w:rPr>
        <w:t>后勤保障</w:t>
      </w:r>
      <w:r>
        <w:rPr>
          <w:rFonts w:hint="eastAsia" w:ascii="方正仿宋_GBK" w:hAnsi="方正仿宋_GBK" w:eastAsia="方正仿宋_GBK" w:cs="方正仿宋_GBK"/>
          <w:sz w:val="32"/>
          <w:szCs w:val="32"/>
        </w:rPr>
        <w:t>科可对服务情况进行日常检查，检查结果用于服务改进。</w:t>
      </w:r>
    </w:p>
    <w:p>
      <w:pPr>
        <w:pStyle w:val="4"/>
        <w:keepNext w:val="0"/>
        <w:keepLines w:val="0"/>
        <w:pageBreakBefore w:val="0"/>
        <w:widowControl/>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（六）其他说明</w:t>
      </w:r>
    </w:p>
    <w:p>
      <w:pPr>
        <w:pStyle w:val="4"/>
        <w:keepNext w:val="0"/>
        <w:keepLines w:val="0"/>
        <w:pageBreakBefore w:val="0"/>
        <w:widowControl/>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1.本要求为投标基本要求，具体服务范围、频次、结算方式、双方权责等以最终签订合同约定为准。</w:t>
      </w:r>
    </w:p>
    <w:p>
      <w:pPr>
        <w:pStyle w:val="4"/>
        <w:keepNext w:val="0"/>
        <w:keepLines w:val="0"/>
        <w:pageBreakBefore w:val="0"/>
        <w:widowControl/>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2.投标人须在投标文件中如实提供营业执照、人员资格证书、药物三证、设备清单等证明材料。</w:t>
      </w:r>
    </w:p>
    <w:p>
      <w:pPr>
        <w:pStyle w:val="4"/>
        <w:keepNext w:val="0"/>
        <w:keepLines w:val="0"/>
        <w:pageBreakBefore w:val="0"/>
        <w:widowControl/>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本项目不接受联合体投标（理由：本项目属于现场连续性病媒防制，对人员管理、应急响应一体化要求高）；严禁转包；非主体、非关键性工作如需分包，必须事先取得采购人书面同意，分包单位不得再次分包。</w:t>
      </w:r>
    </w:p>
    <w:p>
      <w:pPr>
        <w:pStyle w:val="4"/>
        <w:keepNext w:val="0"/>
        <w:keepLines w:val="0"/>
        <w:pageBreakBefore w:val="0"/>
        <w:widowControl/>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4.单位负责人为同一人或者存在直接控股、管理关系的不同供应商，不得参加同一合同项下的采购活动。</w:t>
      </w:r>
    </w:p>
    <w:p>
      <w:pPr>
        <w:pStyle w:val="4"/>
        <w:keepNext w:val="0"/>
        <w:keepLines w:val="0"/>
        <w:pageBreakBefore w:val="0"/>
        <w:widowControl/>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仿宋_GBK" w:hAnsi="方正仿宋_GBK" w:eastAsia="方正仿宋_GBK" w:cs="方正仿宋_GBK"/>
          <w:sz w:val="32"/>
          <w:szCs w:val="32"/>
        </w:rPr>
      </w:pPr>
    </w:p>
    <w:p>
      <w:pPr>
        <w:pStyle w:val="4"/>
        <w:keepNext w:val="0"/>
        <w:keepLines w:val="0"/>
        <w:pageBreakBefore w:val="0"/>
        <w:widowControl/>
        <w:kinsoku/>
        <w:wordWrap/>
        <w:overflowPunct/>
        <w:topLinePunct w:val="0"/>
        <w:autoSpaceDE/>
        <w:autoSpaceDN/>
        <w:bidi w:val="0"/>
        <w:adjustRightInd/>
        <w:snapToGrid/>
        <w:spacing w:before="0" w:after="0" w:line="570" w:lineRule="exact"/>
        <w:ind w:firstLine="640" w:firstLineChars="200"/>
        <w:jc w:val="both"/>
        <w:textAlignment w:val="auto"/>
        <w:outlineLvl w:val="9"/>
        <w:rPr>
          <w:rFonts w:hint="eastAsia" w:ascii="方正仿宋_GBK" w:hAnsi="方正仿宋_GBK" w:eastAsia="方正仿宋_GBK" w:cs="方正仿宋_GBK"/>
          <w:sz w:val="32"/>
          <w:szCs w:val="32"/>
        </w:rPr>
      </w:pPr>
    </w:p>
    <w:p>
      <w:pPr>
        <w:pStyle w:val="4"/>
        <w:keepNext w:val="0"/>
        <w:keepLines w:val="0"/>
        <w:pageBreakBefore w:val="0"/>
        <w:widowControl/>
        <w:kinsoku/>
        <w:wordWrap/>
        <w:overflowPunct/>
        <w:topLinePunct w:val="0"/>
        <w:autoSpaceDE/>
        <w:autoSpaceDN/>
        <w:bidi w:val="0"/>
        <w:adjustRightInd/>
        <w:snapToGrid/>
        <w:spacing w:before="0" w:after="0" w:line="570" w:lineRule="exact"/>
        <w:ind w:firstLine="640" w:firstLineChars="200"/>
        <w:jc w:val="right"/>
        <w:textAlignment w:val="auto"/>
        <w:outlineLvl w:val="9"/>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方正小标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DejaVu Math TeX Gyre">
    <w:panose1 w:val="02000503000000000000"/>
    <w:charset w:val="00"/>
    <w:family w:val="auto"/>
    <w:pitch w:val="default"/>
    <w:sig w:usb0="A10000EF" w:usb1="4201F9EE" w:usb2="02000000" w:usb3="00000000" w:csb0="60000193" w:csb1="0DD4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91BC6"/>
    <w:rsid w:val="010271F8"/>
    <w:rsid w:val="01A22C15"/>
    <w:rsid w:val="01DD41C2"/>
    <w:rsid w:val="01F82835"/>
    <w:rsid w:val="025263E9"/>
    <w:rsid w:val="02A62291"/>
    <w:rsid w:val="031A4A2D"/>
    <w:rsid w:val="03200295"/>
    <w:rsid w:val="042F6322"/>
    <w:rsid w:val="04A9250C"/>
    <w:rsid w:val="07302A71"/>
    <w:rsid w:val="074327A4"/>
    <w:rsid w:val="079C3C62"/>
    <w:rsid w:val="09AA6B0A"/>
    <w:rsid w:val="0B30303F"/>
    <w:rsid w:val="0C3C3C66"/>
    <w:rsid w:val="0D8256A8"/>
    <w:rsid w:val="0E9C279A"/>
    <w:rsid w:val="0EB421D9"/>
    <w:rsid w:val="1125116C"/>
    <w:rsid w:val="125C6E10"/>
    <w:rsid w:val="12F11306"/>
    <w:rsid w:val="13135720"/>
    <w:rsid w:val="13DA7FEC"/>
    <w:rsid w:val="13F07810"/>
    <w:rsid w:val="13FA068E"/>
    <w:rsid w:val="143811B7"/>
    <w:rsid w:val="15C727F2"/>
    <w:rsid w:val="166C5148"/>
    <w:rsid w:val="16873D30"/>
    <w:rsid w:val="16907088"/>
    <w:rsid w:val="16930926"/>
    <w:rsid w:val="16CB4564"/>
    <w:rsid w:val="174D31CB"/>
    <w:rsid w:val="17577BA6"/>
    <w:rsid w:val="18E37943"/>
    <w:rsid w:val="18E611E1"/>
    <w:rsid w:val="19257F5C"/>
    <w:rsid w:val="19720CC7"/>
    <w:rsid w:val="1A5D1977"/>
    <w:rsid w:val="1A6F02EB"/>
    <w:rsid w:val="1AD5775F"/>
    <w:rsid w:val="1B0E67CD"/>
    <w:rsid w:val="1B6F1962"/>
    <w:rsid w:val="1B925650"/>
    <w:rsid w:val="1C0D4CD7"/>
    <w:rsid w:val="1DAD6772"/>
    <w:rsid w:val="1DF3687A"/>
    <w:rsid w:val="1F204D21"/>
    <w:rsid w:val="1F7F413E"/>
    <w:rsid w:val="1FE7674F"/>
    <w:rsid w:val="1FF97A4C"/>
    <w:rsid w:val="20280331"/>
    <w:rsid w:val="20474C5B"/>
    <w:rsid w:val="21D4251F"/>
    <w:rsid w:val="220B1CB9"/>
    <w:rsid w:val="22723AE6"/>
    <w:rsid w:val="231F5A1C"/>
    <w:rsid w:val="23A777BF"/>
    <w:rsid w:val="241C01AD"/>
    <w:rsid w:val="2463402E"/>
    <w:rsid w:val="2513335E"/>
    <w:rsid w:val="258E0C37"/>
    <w:rsid w:val="258E7ACA"/>
    <w:rsid w:val="26213859"/>
    <w:rsid w:val="262D48F3"/>
    <w:rsid w:val="26307F40"/>
    <w:rsid w:val="286F2FA1"/>
    <w:rsid w:val="297E7214"/>
    <w:rsid w:val="2A6D3510"/>
    <w:rsid w:val="2ABA24CE"/>
    <w:rsid w:val="2AED4651"/>
    <w:rsid w:val="2B146082"/>
    <w:rsid w:val="2B746468"/>
    <w:rsid w:val="2B870602"/>
    <w:rsid w:val="2BC25ADE"/>
    <w:rsid w:val="2C882884"/>
    <w:rsid w:val="2CD45AC9"/>
    <w:rsid w:val="2D3C541C"/>
    <w:rsid w:val="2D925B0D"/>
    <w:rsid w:val="2DAA05D8"/>
    <w:rsid w:val="2F01691D"/>
    <w:rsid w:val="2F3BC05C"/>
    <w:rsid w:val="2F4D1B62"/>
    <w:rsid w:val="2F7E1D1C"/>
    <w:rsid w:val="316B62D0"/>
    <w:rsid w:val="31AB2B70"/>
    <w:rsid w:val="32AC4DF2"/>
    <w:rsid w:val="32FF13C6"/>
    <w:rsid w:val="33353039"/>
    <w:rsid w:val="33721B98"/>
    <w:rsid w:val="344352E2"/>
    <w:rsid w:val="34945433"/>
    <w:rsid w:val="34A1787D"/>
    <w:rsid w:val="34E16FD5"/>
    <w:rsid w:val="36C71D39"/>
    <w:rsid w:val="36D1648A"/>
    <w:rsid w:val="371D006C"/>
    <w:rsid w:val="37531CE0"/>
    <w:rsid w:val="37533A8E"/>
    <w:rsid w:val="38341B11"/>
    <w:rsid w:val="386A72E1"/>
    <w:rsid w:val="393671C3"/>
    <w:rsid w:val="3950297B"/>
    <w:rsid w:val="397C551E"/>
    <w:rsid w:val="39900FC9"/>
    <w:rsid w:val="3A3556CD"/>
    <w:rsid w:val="3A642B3A"/>
    <w:rsid w:val="3A7A7584"/>
    <w:rsid w:val="3B0A6B5A"/>
    <w:rsid w:val="3BBF5B96"/>
    <w:rsid w:val="3DD31485"/>
    <w:rsid w:val="3E6B5B61"/>
    <w:rsid w:val="3E832EAB"/>
    <w:rsid w:val="3EA42E21"/>
    <w:rsid w:val="3F980BD8"/>
    <w:rsid w:val="40B57568"/>
    <w:rsid w:val="417E7959"/>
    <w:rsid w:val="42162288"/>
    <w:rsid w:val="421D7172"/>
    <w:rsid w:val="426254CD"/>
    <w:rsid w:val="42997141"/>
    <w:rsid w:val="43C26223"/>
    <w:rsid w:val="44103433"/>
    <w:rsid w:val="44A27E03"/>
    <w:rsid w:val="450D1720"/>
    <w:rsid w:val="452A0524"/>
    <w:rsid w:val="45A33E32"/>
    <w:rsid w:val="45A81449"/>
    <w:rsid w:val="45C75D73"/>
    <w:rsid w:val="45D24718"/>
    <w:rsid w:val="46205483"/>
    <w:rsid w:val="463158E2"/>
    <w:rsid w:val="477A6E15"/>
    <w:rsid w:val="47AA594C"/>
    <w:rsid w:val="47F46BC7"/>
    <w:rsid w:val="493C25D4"/>
    <w:rsid w:val="4950607F"/>
    <w:rsid w:val="49995C78"/>
    <w:rsid w:val="49F42EAF"/>
    <w:rsid w:val="4A69564B"/>
    <w:rsid w:val="4AFB026D"/>
    <w:rsid w:val="4AFC64BF"/>
    <w:rsid w:val="4BC863A1"/>
    <w:rsid w:val="4BC92119"/>
    <w:rsid w:val="4BD05A29"/>
    <w:rsid w:val="4C3752D5"/>
    <w:rsid w:val="4CBB5F06"/>
    <w:rsid w:val="4D2910C1"/>
    <w:rsid w:val="4D461C73"/>
    <w:rsid w:val="4E4D7031"/>
    <w:rsid w:val="4E766588"/>
    <w:rsid w:val="5023629C"/>
    <w:rsid w:val="50242014"/>
    <w:rsid w:val="50302767"/>
    <w:rsid w:val="50D37CC2"/>
    <w:rsid w:val="515D57DD"/>
    <w:rsid w:val="52AD62F0"/>
    <w:rsid w:val="53A07C03"/>
    <w:rsid w:val="549332C4"/>
    <w:rsid w:val="54C55B73"/>
    <w:rsid w:val="54E0475B"/>
    <w:rsid w:val="55823A64"/>
    <w:rsid w:val="56DA167E"/>
    <w:rsid w:val="574F5BC8"/>
    <w:rsid w:val="57827D4C"/>
    <w:rsid w:val="57CD4D3F"/>
    <w:rsid w:val="57EF8473"/>
    <w:rsid w:val="58366D88"/>
    <w:rsid w:val="583B614D"/>
    <w:rsid w:val="588875E4"/>
    <w:rsid w:val="59413C36"/>
    <w:rsid w:val="595B6AA6"/>
    <w:rsid w:val="5A47702B"/>
    <w:rsid w:val="5A6574B1"/>
    <w:rsid w:val="5AA1498D"/>
    <w:rsid w:val="5AB02E22"/>
    <w:rsid w:val="5AC24903"/>
    <w:rsid w:val="5AD308BE"/>
    <w:rsid w:val="5B61411C"/>
    <w:rsid w:val="5B9067AF"/>
    <w:rsid w:val="5B962018"/>
    <w:rsid w:val="5BBB7CD0"/>
    <w:rsid w:val="5BD90156"/>
    <w:rsid w:val="5D1A0A26"/>
    <w:rsid w:val="5D2418A5"/>
    <w:rsid w:val="5DF9063C"/>
    <w:rsid w:val="5E023994"/>
    <w:rsid w:val="5E343D6A"/>
    <w:rsid w:val="5E993BCD"/>
    <w:rsid w:val="5F1F2324"/>
    <w:rsid w:val="606A5821"/>
    <w:rsid w:val="60874625"/>
    <w:rsid w:val="621A5025"/>
    <w:rsid w:val="62C27B96"/>
    <w:rsid w:val="630E4B89"/>
    <w:rsid w:val="637807A0"/>
    <w:rsid w:val="649410BE"/>
    <w:rsid w:val="65801643"/>
    <w:rsid w:val="65C6174B"/>
    <w:rsid w:val="65F30067"/>
    <w:rsid w:val="66065FEC"/>
    <w:rsid w:val="678E0047"/>
    <w:rsid w:val="67C24194"/>
    <w:rsid w:val="67D068B1"/>
    <w:rsid w:val="682C160E"/>
    <w:rsid w:val="68CF6B69"/>
    <w:rsid w:val="69F34AD9"/>
    <w:rsid w:val="6AC16985"/>
    <w:rsid w:val="6CB00A5F"/>
    <w:rsid w:val="6D415B5B"/>
    <w:rsid w:val="6F6F1EBA"/>
    <w:rsid w:val="6FAA5C3A"/>
    <w:rsid w:val="6FAB2E49"/>
    <w:rsid w:val="704E2A69"/>
    <w:rsid w:val="70567B70"/>
    <w:rsid w:val="709A5CAE"/>
    <w:rsid w:val="710B44B6"/>
    <w:rsid w:val="72071122"/>
    <w:rsid w:val="72442376"/>
    <w:rsid w:val="724759C2"/>
    <w:rsid w:val="727D5888"/>
    <w:rsid w:val="73E536E4"/>
    <w:rsid w:val="74F811F5"/>
    <w:rsid w:val="756248C1"/>
    <w:rsid w:val="76004806"/>
    <w:rsid w:val="764F753B"/>
    <w:rsid w:val="76676633"/>
    <w:rsid w:val="76D65566"/>
    <w:rsid w:val="76DB2B7D"/>
    <w:rsid w:val="76F2997C"/>
    <w:rsid w:val="77A86F03"/>
    <w:rsid w:val="78BD69DE"/>
    <w:rsid w:val="78C87131"/>
    <w:rsid w:val="78C935D5"/>
    <w:rsid w:val="78DD2BDC"/>
    <w:rsid w:val="78F65A4C"/>
    <w:rsid w:val="7A102B3D"/>
    <w:rsid w:val="7C0B5CB2"/>
    <w:rsid w:val="7D621902"/>
    <w:rsid w:val="7E266DD3"/>
    <w:rsid w:val="7F121106"/>
    <w:rsid w:val="7F3D43D5"/>
    <w:rsid w:val="BF9FFA93"/>
    <w:rsid w:val="FF65E7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_Style 13"/>
    <w:qFormat/>
    <w:uiPriority w:val="0"/>
    <w:pPr>
      <w:spacing w:before="120" w:after="120" w:line="288" w:lineRule="auto"/>
      <w:ind w:left="0"/>
      <w:jc w:val="left"/>
    </w:pPr>
    <w:rPr>
      <w:rFonts w:ascii="Arial" w:hAnsi="Arial" w:eastAsia="等线" w:cs="Arial"/>
      <w:sz w:val="22"/>
      <w:szCs w:val="22"/>
    </w:rPr>
  </w:style>
  <w:style w:type="paragraph" w:customStyle="1" w:styleId="5">
    <w:name w:val="Heading2"/>
    <w:basedOn w:val="1"/>
    <w:next w:val="1"/>
    <w:qFormat/>
    <w:uiPriority w:val="0"/>
    <w:pPr>
      <w:keepNext/>
      <w:spacing w:before="240" w:after="60"/>
    </w:pPr>
    <w:rPr>
      <w:sz w:val="3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5</TotalTime>
  <ScaleCrop>false</ScaleCrop>
  <LinksUpToDate>false</LinksUpToDate>
  <CharactersWithSpaces>0</CharactersWithSpaces>
  <Application>WPS Office_12.8.2.16969_F1E327BC-269C-435d-A152-05C5408002CA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2026-09-15T11:36:00Z</dcterms:created>
  <dc:creator>Administrator</dc:creator>
  <cp:lastModifiedBy>huawei</cp:lastModifiedBy>
  <dcterms:modified xsi:type="dcterms:W3CDTF">2026-09-15T16:44:38Z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2052-12.8.2.16969</vt:lpwstr>
  </property>
  <property fmtid="{D5CDD505-2E9C-101B-9397-08002B2CF9AE}" pid="3" name="KSOTemplateDocerSaveRecord">
    <vt:lpwstr>eyJoZGlkIjoiZTM1MjY3NmZlN2QyYjVmZDg5N2VlODc0NmJkZDJkMjkifQ==</vt:lpwstr>
  </property>
  <property fmtid="{D5CDD505-2E9C-101B-9397-08002B2CF9AE}" pid="4" name="ICV">
    <vt:lpwstr>C11DBF5BE347474BAF960FE0B285880C_12</vt:lpwstr>
  </property>
</Properties>
</file>