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2026年屯昌县病媒生物防制服务项目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HLCC2026330</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屯昌县爱国卫生运动事务中心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海南华略项目管理有限公司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屯昌县爱国卫生运动事务中心</w:t>
      </w:r>
      <w:r>
        <w:rPr>
          <w:rFonts w:ascii="仿宋_GB2312" w:hAnsi="仿宋_GB2312" w:cs="仿宋_GB2312" w:eastAsia="仿宋_GB2312"/>
        </w:rPr>
        <w:t xml:space="preserve"> 的委托， </w:t>
      </w:r>
      <w:r>
        <w:rPr>
          <w:rFonts w:ascii="仿宋_GB2312" w:hAnsi="仿宋_GB2312" w:cs="仿宋_GB2312" w:eastAsia="仿宋_GB2312"/>
        </w:rPr>
        <w:t>海南华略项目管理有限公司</w:t>
      </w:r>
      <w:r>
        <w:rPr>
          <w:rFonts w:ascii="仿宋_GB2312" w:hAnsi="仿宋_GB2312" w:cs="仿宋_GB2312" w:eastAsia="仿宋_GB2312"/>
        </w:rPr>
        <w:t xml:space="preserve"> 对 </w:t>
      </w:r>
      <w:r>
        <w:rPr>
          <w:rFonts w:ascii="仿宋_GB2312" w:hAnsi="仿宋_GB2312" w:cs="仿宋_GB2312" w:eastAsia="仿宋_GB2312"/>
        </w:rPr>
        <w:t>2026年屯昌县病媒生物防制服务项目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HLCC2026330</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2026年屯昌县病媒生物防制服务项目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1,880,000.00元</w:t>
      </w:r>
      <w:r>
        <w:rPr>
          <w:rFonts w:ascii="仿宋_GB2312" w:hAnsi="仿宋_GB2312" w:cs="仿宋_GB2312" w:eastAsia="仿宋_GB2312"/>
        </w:rPr>
        <w:t>壹佰捌拾捌万元整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合同签订之日起计壹年（合同签订之日起算）</w:t>
      </w:r>
    </w:p>
    <w:p>
      <w:pPr>
        <w:pStyle w:val="null3"/>
        <w:ind w:firstLine="480"/>
        <w:jc w:val="left"/>
      </w:pPr>
      <w:r>
        <w:rPr>
          <w:rFonts w:ascii="仿宋_GB2312" w:hAnsi="仿宋_GB2312" w:cs="仿宋_GB2312" w:eastAsia="仿宋_GB2312"/>
        </w:rPr>
        <w:t>7.是否涉及本国产品：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属于专门面向中小企业采购，预留比例为100%。</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信⽤查询：供应商在“中国执⾏信息公开⽹”(http://zxgk.court.gov.cn/shixin/)没有被列⼊失信被执⾏⼈，“信⽤中国”⽹站(www.creditchina.gov.cn)没有被列⼊重⼤税收违法失信主体、政府采购严重违法失信名单和“中国政府采购⽹” (www.ccgp.gov.cn)没有被列⼊政府采购严重违法失信⾏为信息记录名单(提供⽹⻚截图或承诺函（格式⾃拟）并加盖单位公章，未在响应⽂件内提供⻬全的则以现场查询结果为准)</w:t>
      </w:r>
    </w:p>
    <w:p>
      <w:pPr>
        <w:pStyle w:val="null3"/>
        <w:jc w:val="left"/>
      </w:pPr>
      <w:r>
        <w:rPr>
          <w:rFonts w:ascii="仿宋_GB2312" w:hAnsi="仿宋_GB2312" w:cs="仿宋_GB2312" w:eastAsia="仿宋_GB2312"/>
        </w:rPr>
        <w:t>2、⽆环保类⾏政处罚：参加政府采购活动前三年内，在经营活动中⽆环保类⾏政处罚记录(需提供供应商书⾯声明函，格式⾃拟加盖公章)(营业执照不满三年的，按照营业执照注册年限起算)</w:t>
      </w:r>
    </w:p>
    <w:p>
      <w:pPr>
        <w:pStyle w:val="null3"/>
        <w:jc w:val="left"/>
      </w:pPr>
      <w:r>
        <w:rPr>
          <w:rFonts w:ascii="仿宋_GB2312" w:hAnsi="仿宋_GB2312" w:cs="仿宋_GB2312" w:eastAsia="仿宋_GB2312"/>
        </w:rPr>
        <w:t>3、单位负责⼈为同⼀⼈或者存在直接控股、管理关系的不同供应商，不得参加同⼀合同下的政府采购活动：单位负责⼈为同⼀⼈或者存在直接控股、管理关系的不同供应商，不得参加同⼀合同下的政府采购活动(提供承诺函并加盖公章(格式⾃拟)</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本项目采购信息指定发布媒体为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2、本项目为远程不见面开标，供应商无须到达开标现场，但开标前必须进入电子开标大厅在线签到（未签到视为无效投标），远程按时参加在线开标解密即可。 3、注意事项：电子标采用全程电子化操作，供应商应详细阅读海南政府采购网的通知《海南省财政厅关于进一步推进政府采购全流程电子化的通知》在海南省政府采购智慧云平台-办事指南查看相应的系统操作指南，严格按照操作指南要求进行系统操作。供应商使用交易系统遇到问题请拨打以下热线电话： 热线一：4001691288； 本项目需使用蓝色CA锁，CA数字证书认证咨询电话：0898-66668096</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屯昌县爱国卫生运动事务中心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屯昌县屯城镇解放路6号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邝家隆</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13976306860</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海南华略项目管理有限公司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海南省海口市美兰区琼山大道美灵南五路迈雅村160号院</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史艳鹏</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0898-65656121</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采购包1：1,880,000.00元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自递交响应⽂件的截止之⽇起60天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代理服务费收费标准：以成交金额为计算基数，参考招标代理服务费收费标准(琼价费管[2011]225号)，下浮24.80%计取招标代理服务费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1.本采购包为专门面向中小企业采购，供应商须提供中小企业声明函。监狱企业、残疾人福利性单位视同小型、微型企业。 2.中⼩企业应当按要求在投标⽂件中提供《中⼩企业声明函》。 3.监狱企业应当在投标⽂件中提供由省级以上监狱管理局、戒毒管理局（含新疆生产建设兵团）出具的属于监狱企业的证明⽂件。 4.残疾⼈福利性单位应当在投标⽂件中提供《残疾⼈福利性单位声明函》。参照《关于印发中⼩企业划型标准规定的通知》（⼯信部联企业〔2011〕300号）⽂件规定。 5.本次采购标的的所属行业为其他未列明行业：从业人员300人以下的为中小微型企业。其中，从业人员100人及以上的为中型企业；从业人员10人及以上的为小型企业；从业人员10人以下的为微型企业。6.本项目的采购预算为人民币壹佰捌拾捌万元整（￥1,880,000.00），最高限价为人民币壹佰捌拾陆万元整（1,860,000.00），供应商的报价不得超过最高限价。</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(8)评标委员会强化政府采购异常低价审查 ，根据《关于推动解决政府采购异常低价问题的通知》财库〔2026〕2号：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联系人：史艳鹏</w:t>
      </w:r>
    </w:p>
    <w:p>
      <w:pPr>
        <w:pStyle w:val="null3"/>
        <w:jc w:val="left"/>
      </w:pPr>
      <w:r>
        <w:rPr>
          <w:rFonts w:ascii="仿宋_GB2312" w:hAnsi="仿宋_GB2312" w:cs="仿宋_GB2312" w:eastAsia="仿宋_GB2312"/>
        </w:rPr>
        <w:t>联系电话：0898-65656121</w:t>
      </w:r>
    </w:p>
    <w:p>
      <w:pPr>
        <w:pStyle w:val="null3"/>
        <w:jc w:val="left"/>
      </w:pPr>
      <w:r>
        <w:rPr>
          <w:rFonts w:ascii="仿宋_GB2312" w:hAnsi="仿宋_GB2312" w:cs="仿宋_GB2312" w:eastAsia="仿宋_GB2312"/>
        </w:rPr>
        <w:t>地址：海南省海口市美兰区琼山大道美灵南五路迈雅村160号院（海南华略项目管理有限公司）</w:t>
      </w:r>
    </w:p>
    <w:p>
      <w:pPr>
        <w:pStyle w:val="null3"/>
        <w:jc w:val="left"/>
      </w:pPr>
      <w:r>
        <w:rPr>
          <w:rFonts w:ascii="仿宋_GB2312" w:hAnsi="仿宋_GB2312" w:cs="仿宋_GB2312" w:eastAsia="仿宋_GB2312"/>
        </w:rPr>
        <w:t>邮编：570203</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24"/>
          <w:color w:val="000000"/>
        </w:rPr>
        <w:t>1.项目名称：2026年屯昌县病媒生物防制服务项目</w:t>
      </w:r>
    </w:p>
    <w:p>
      <w:pPr>
        <w:pStyle w:val="null3"/>
        <w:ind w:firstLine="480"/>
        <w:jc w:val="left"/>
      </w:pPr>
      <w:r>
        <w:rPr>
          <w:rFonts w:ascii="仿宋_GB2312" w:hAnsi="仿宋_GB2312" w:cs="仿宋_GB2312" w:eastAsia="仿宋_GB2312"/>
          <w:sz w:val="24"/>
          <w:color w:val="000000"/>
        </w:rPr>
        <w:t>2.业主单位：屯昌县爱国卫生运动事务中心</w:t>
      </w:r>
    </w:p>
    <w:p>
      <w:pPr>
        <w:pStyle w:val="null3"/>
        <w:ind w:firstLine="480"/>
        <w:jc w:val="left"/>
      </w:pPr>
      <w:r>
        <w:rPr>
          <w:rFonts w:ascii="仿宋_GB2312" w:hAnsi="仿宋_GB2312" w:cs="仿宋_GB2312" w:eastAsia="仿宋_GB2312"/>
          <w:sz w:val="24"/>
          <w:color w:val="000000"/>
        </w:rPr>
        <w:t>3.服务地点：屯昌县城建成区（包含向阳小学二区、三区、光明学校、大同产业园）；坡心镇、南吕镇、乌坡镇、枫木镇、南坤镇、西昌镇和新兴镇等七个乡镇镇墟全域公共区域（含城乡结合部）。</w:t>
      </w:r>
    </w:p>
    <w:p>
      <w:pPr>
        <w:pStyle w:val="null3"/>
        <w:ind w:firstLine="480"/>
        <w:jc w:val="left"/>
      </w:pPr>
      <w:r>
        <w:rPr>
          <w:rFonts w:ascii="仿宋_GB2312" w:hAnsi="仿宋_GB2312" w:cs="仿宋_GB2312" w:eastAsia="仿宋_GB2312"/>
          <w:sz w:val="24"/>
          <w:color w:val="000000"/>
        </w:rPr>
        <w:t>4.服务期限：合同签订之日起计壹年（合同签订之日起算）</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服</w:t>
      </w:r>
      <w:r>
        <w:rPr>
          <w:rFonts w:ascii="仿宋_GB2312" w:hAnsi="仿宋_GB2312" w:cs="仿宋_GB2312" w:eastAsia="仿宋_GB2312"/>
          <w:sz w:val="24"/>
        </w:rPr>
        <w:t>务内容</w:t>
      </w:r>
      <w:r>
        <w:rPr>
          <w:rFonts w:ascii="仿宋_GB2312" w:hAnsi="仿宋_GB2312" w:cs="仿宋_GB2312" w:eastAsia="仿宋_GB2312"/>
          <w:sz w:val="24"/>
        </w:rPr>
        <w:t>：政府</w:t>
      </w:r>
      <w:r>
        <w:rPr>
          <w:rFonts w:ascii="仿宋_GB2312" w:hAnsi="仿宋_GB2312" w:cs="仿宋_GB2312" w:eastAsia="仿宋_GB2312"/>
          <w:sz w:val="24"/>
          <w:color w:val="000000"/>
        </w:rPr>
        <w:t>采购第三方病媒生物常态化防制、孳生地综合治理、病媒密度常态化监测、季节性专项消杀、汛期积水孳生地整治、突发媒介传染病应急消杀、重大活动保障、各级督查迎检保障、三防设施技术指导、爱卫科普宣传、标准化台账建设一体化服务项目。</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1,880,000.00</w:t>
      </w:r>
    </w:p>
    <w:p>
      <w:pPr>
        <w:pStyle w:val="null3"/>
        <w:jc w:val="left"/>
      </w:pPr>
      <w:r>
        <w:rPr>
          <w:rFonts w:ascii="仿宋_GB2312" w:hAnsi="仿宋_GB2312" w:cs="仿宋_GB2312" w:eastAsia="仿宋_GB2312"/>
        </w:rPr>
        <w:t>采购包最高限价（元）: 1,860,000.00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C04110000-公共卫生事件防控服务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1,880,000.00</w:t>
            </w:r>
          </w:p>
        </w:tc>
        <w:tc>
          <w:tcPr>
            <w:tcW w:type="dxa" w:w="755"/>
          </w:tcPr>
          <w:p>
            <w:pPr>
              <w:pStyle w:val="null3"/>
              <w:jc w:val="left"/>
            </w:pPr>
            <w:r>
              <w:rPr>
                <w:rFonts w:ascii="仿宋_GB2312" w:hAnsi="仿宋_GB2312" w:cs="仿宋_GB2312" w:eastAsia="仿宋_GB2312"/>
              </w:rPr>
              <w:t>批</w:t>
            </w:r>
          </w:p>
        </w:tc>
        <w:tc>
          <w:tcPr>
            <w:tcW w:type="dxa" w:w="755"/>
          </w:tcPr>
          <w:p>
            <w:pPr>
              <w:pStyle w:val="null3"/>
              <w:jc w:val="left"/>
            </w:pPr>
            <w:r>
              <w:rPr>
                <w:rFonts w:ascii="仿宋_GB2312" w:hAnsi="仿宋_GB2312" w:cs="仿宋_GB2312" w:eastAsia="仿宋_GB2312"/>
              </w:rPr>
              <w:t>其他未列明行业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C04110000-公共卫生事件防控服务</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标的名称：C04110000-公共卫生事件防控服务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color w:val="000000"/>
              </w:rPr>
              <w:t>一、项目概况</w:t>
            </w:r>
          </w:p>
          <w:p>
            <w:pPr>
              <w:pStyle w:val="null3"/>
              <w:ind w:firstLine="480"/>
              <w:jc w:val="left"/>
            </w:pPr>
            <w:r>
              <w:rPr>
                <w:rFonts w:ascii="仿宋_GB2312" w:hAnsi="仿宋_GB2312" w:cs="仿宋_GB2312" w:eastAsia="仿宋_GB2312"/>
                <w:sz w:val="24"/>
                <w:color w:val="000000"/>
              </w:rPr>
              <w:t>1.项目名称：2026年屯昌县病媒生物防制服务项目</w:t>
            </w:r>
          </w:p>
          <w:p>
            <w:pPr>
              <w:pStyle w:val="null3"/>
              <w:ind w:firstLine="480"/>
              <w:jc w:val="left"/>
            </w:pPr>
            <w:r>
              <w:rPr>
                <w:rFonts w:ascii="仿宋_GB2312" w:hAnsi="仿宋_GB2312" w:cs="仿宋_GB2312" w:eastAsia="仿宋_GB2312"/>
                <w:sz w:val="24"/>
                <w:color w:val="000000"/>
              </w:rPr>
              <w:t>2.业主单位：屯昌县爱国卫生运动事务中心</w:t>
            </w:r>
          </w:p>
          <w:p>
            <w:pPr>
              <w:pStyle w:val="null3"/>
              <w:ind w:firstLine="480"/>
              <w:jc w:val="left"/>
            </w:pPr>
            <w:r>
              <w:rPr>
                <w:rFonts w:ascii="仿宋_GB2312" w:hAnsi="仿宋_GB2312" w:cs="仿宋_GB2312" w:eastAsia="仿宋_GB2312"/>
                <w:sz w:val="24"/>
                <w:color w:val="000000"/>
              </w:rPr>
              <w:t>3.服务地点：屯昌县城建成区（包含向阳小学二区、三区、光明学校、大同产业园）；坡心镇、南吕镇、乌坡镇、枫木镇、南坤镇、西昌镇和新兴镇等七个乡镇镇墟全域公共区域（含城乡结合部）。</w:t>
            </w:r>
          </w:p>
          <w:p>
            <w:pPr>
              <w:pStyle w:val="null3"/>
              <w:ind w:firstLine="480"/>
              <w:jc w:val="left"/>
            </w:pPr>
            <w:r>
              <w:rPr>
                <w:rFonts w:ascii="仿宋_GB2312" w:hAnsi="仿宋_GB2312" w:cs="仿宋_GB2312" w:eastAsia="仿宋_GB2312"/>
                <w:sz w:val="24"/>
                <w:color w:val="000000"/>
              </w:rPr>
              <w:t>4.服务期限：合同签订之日起计壹年（合同签订之日起算）</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服</w:t>
            </w:r>
            <w:r>
              <w:rPr>
                <w:rFonts w:ascii="仿宋_GB2312" w:hAnsi="仿宋_GB2312" w:cs="仿宋_GB2312" w:eastAsia="仿宋_GB2312"/>
                <w:sz w:val="24"/>
              </w:rPr>
              <w:t>务内容</w:t>
            </w:r>
            <w:r>
              <w:rPr>
                <w:rFonts w:ascii="仿宋_GB2312" w:hAnsi="仿宋_GB2312" w:cs="仿宋_GB2312" w:eastAsia="仿宋_GB2312"/>
                <w:sz w:val="24"/>
              </w:rPr>
              <w:t>：政府</w:t>
            </w:r>
            <w:r>
              <w:rPr>
                <w:rFonts w:ascii="仿宋_GB2312" w:hAnsi="仿宋_GB2312" w:cs="仿宋_GB2312" w:eastAsia="仿宋_GB2312"/>
                <w:sz w:val="24"/>
                <w:color w:val="000000"/>
              </w:rPr>
              <w:t>采购第三方病媒生物常态化防制、孳生地综合治理、病媒密度常态化监测、季节性专项消杀、汛期积水孳生地整治、突发媒介传染病应急消杀、重大活动保障、各级督查迎检保障、三防设施技术指导、爱卫科普宣传、标准化台账建设一体化服务项目。</w:t>
            </w:r>
          </w:p>
          <w:p>
            <w:pPr>
              <w:pStyle w:val="null3"/>
              <w:ind w:firstLine="482"/>
              <w:jc w:val="left"/>
            </w:pPr>
            <w:r>
              <w:rPr>
                <w:rFonts w:ascii="仿宋_GB2312" w:hAnsi="仿宋_GB2312" w:cs="仿宋_GB2312" w:eastAsia="仿宋_GB2312"/>
                <w:sz w:val="24"/>
                <w:b/>
                <w:color w:val="000000"/>
              </w:rPr>
              <w:t>二、服务法律法规与国家标准依据</w:t>
            </w:r>
          </w:p>
          <w:p>
            <w:pPr>
              <w:pStyle w:val="null3"/>
              <w:ind w:firstLine="480"/>
              <w:jc w:val="left"/>
            </w:pPr>
            <w:r>
              <w:rPr>
                <w:rFonts w:ascii="仿宋_GB2312" w:hAnsi="仿宋_GB2312" w:cs="仿宋_GB2312" w:eastAsia="仿宋_GB2312"/>
                <w:sz w:val="24"/>
                <w:color w:val="000000"/>
              </w:rPr>
              <w:t>1.法律法规依据</w:t>
            </w:r>
          </w:p>
          <w:p>
            <w:pPr>
              <w:pStyle w:val="null3"/>
              <w:ind w:firstLine="480"/>
              <w:jc w:val="left"/>
            </w:pPr>
            <w:r>
              <w:rPr>
                <w:rFonts w:ascii="仿宋_GB2312" w:hAnsi="仿宋_GB2312" w:cs="仿宋_GB2312" w:eastAsia="仿宋_GB2312"/>
                <w:sz w:val="24"/>
                <w:color w:val="000000"/>
              </w:rPr>
              <w:t>《中华人民共和国传染病防治法》《病媒生物预防控制管理规定》《农药管理条例》《中华人民共和国政府采购法》《海南省爱国卫生管理条例》，海南省登革热防控、汛期病媒防控各类规范性文件、屯昌县爱国卫生年度工作实施方案。</w:t>
            </w:r>
          </w:p>
          <w:p>
            <w:pPr>
              <w:pStyle w:val="null3"/>
              <w:ind w:firstLine="480"/>
              <w:jc w:val="left"/>
            </w:pPr>
            <w:r>
              <w:rPr>
                <w:rFonts w:ascii="仿宋_GB2312" w:hAnsi="仿宋_GB2312" w:cs="仿宋_GB2312" w:eastAsia="仿宋_GB2312"/>
                <w:sz w:val="24"/>
                <w:color w:val="000000"/>
              </w:rPr>
              <w:t>2.国家强制技术标准</w:t>
            </w:r>
          </w:p>
          <w:p>
            <w:pPr>
              <w:pStyle w:val="null3"/>
              <w:ind w:firstLine="480"/>
              <w:jc w:val="left"/>
            </w:pPr>
            <w:r>
              <w:rPr>
                <w:rFonts w:ascii="仿宋_GB2312" w:hAnsi="仿宋_GB2312" w:cs="仿宋_GB2312" w:eastAsia="仿宋_GB2312"/>
                <w:sz w:val="24"/>
                <w:color w:val="000000"/>
              </w:rPr>
              <w:t>①GB/T 27770-2011《病媒生物密度控制水平 鼠类》</w:t>
            </w:r>
          </w:p>
          <w:p>
            <w:pPr>
              <w:pStyle w:val="null3"/>
              <w:ind w:firstLine="480"/>
              <w:jc w:val="left"/>
            </w:pPr>
            <w:r>
              <w:rPr>
                <w:rFonts w:ascii="仿宋_GB2312" w:hAnsi="仿宋_GB2312" w:cs="仿宋_GB2312" w:eastAsia="仿宋_GB2312"/>
                <w:sz w:val="24"/>
                <w:color w:val="000000"/>
              </w:rPr>
              <w:t>②GB/T 27771-2011《病媒生物密度控制水平 蚊虫》</w:t>
            </w:r>
          </w:p>
          <w:p>
            <w:pPr>
              <w:pStyle w:val="null3"/>
              <w:ind w:firstLine="480"/>
              <w:jc w:val="left"/>
            </w:pPr>
            <w:r>
              <w:rPr>
                <w:rFonts w:ascii="仿宋_GB2312" w:hAnsi="仿宋_GB2312" w:cs="仿宋_GB2312" w:eastAsia="仿宋_GB2312"/>
                <w:sz w:val="24"/>
                <w:color w:val="000000"/>
              </w:rPr>
              <w:t>③GB/T 27772-2025《病媒生物密度控制水平 蝇类》</w:t>
            </w:r>
          </w:p>
          <w:p>
            <w:pPr>
              <w:pStyle w:val="null3"/>
              <w:ind w:firstLine="480"/>
              <w:jc w:val="left"/>
            </w:pPr>
            <w:r>
              <w:rPr>
                <w:rFonts w:ascii="仿宋_GB2312" w:hAnsi="仿宋_GB2312" w:cs="仿宋_GB2312" w:eastAsia="仿宋_GB2312"/>
                <w:sz w:val="24"/>
                <w:color w:val="000000"/>
              </w:rPr>
              <w:t>④GB/T 27773-2011《病媒生物密度控制水平 蜚蠊》</w:t>
            </w:r>
          </w:p>
          <w:p>
            <w:pPr>
              <w:pStyle w:val="null3"/>
              <w:ind w:firstLine="480"/>
              <w:jc w:val="left"/>
            </w:pPr>
            <w:r>
              <w:rPr>
                <w:rFonts w:ascii="仿宋_GB2312" w:hAnsi="仿宋_GB2312" w:cs="仿宋_GB2312" w:eastAsia="仿宋_GB2312"/>
                <w:sz w:val="24"/>
                <w:color w:val="000000"/>
              </w:rPr>
              <w:t>⑤GB/T 27775-2011《病媒生物综合管理技术规范 城镇》</w:t>
            </w:r>
          </w:p>
          <w:p>
            <w:pPr>
              <w:pStyle w:val="null3"/>
              <w:ind w:firstLine="480"/>
              <w:jc w:val="left"/>
            </w:pPr>
            <w:r>
              <w:rPr>
                <w:rFonts w:ascii="仿宋_GB2312" w:hAnsi="仿宋_GB2312" w:cs="仿宋_GB2312" w:eastAsia="仿宋_GB2312"/>
                <w:sz w:val="24"/>
                <w:color w:val="000000"/>
              </w:rPr>
              <w:t>⑥GB/T 33413-2016《洪涝灾后病媒生物应急消杀技术规范》</w:t>
            </w:r>
          </w:p>
          <w:p>
            <w:pPr>
              <w:pStyle w:val="null3"/>
              <w:ind w:firstLine="482"/>
              <w:jc w:val="left"/>
            </w:pPr>
            <w:r>
              <w:rPr>
                <w:rFonts w:ascii="仿宋_GB2312" w:hAnsi="仿宋_GB2312" w:cs="仿宋_GB2312" w:eastAsia="仿宋_GB2312"/>
                <w:sz w:val="24"/>
                <w:b/>
                <w:color w:val="000000"/>
              </w:rPr>
              <w:t>三、服务范围</w:t>
            </w:r>
          </w:p>
          <w:p>
            <w:pPr>
              <w:pStyle w:val="null3"/>
              <w:ind w:firstLine="480"/>
              <w:jc w:val="left"/>
            </w:pPr>
            <w:r>
              <w:rPr>
                <w:rFonts w:ascii="仿宋_GB2312" w:hAnsi="仿宋_GB2312" w:cs="仿宋_GB2312" w:eastAsia="仿宋_GB2312"/>
                <w:sz w:val="24"/>
                <w:color w:val="000000"/>
              </w:rPr>
              <w:t>覆盖县城建成区、七个乡镇镇墟河道水系、城市公园、街头游园、公共广场、主次干道及背街小巷、城中村、城乡结合部、开放式小区公共区域、农贸市场、公共公厕、垃圾中转站、垃圾收集点、雨污水管网、废品收购站点、拆迁闲置地块等全部公共区域。</w:t>
            </w:r>
          </w:p>
          <w:p>
            <w:pPr>
              <w:pStyle w:val="null3"/>
              <w:ind w:firstLine="480"/>
              <w:jc w:val="left"/>
            </w:pPr>
            <w:r>
              <w:rPr>
                <w:rFonts w:ascii="仿宋_GB2312" w:hAnsi="仿宋_GB2312" w:cs="仿宋_GB2312" w:eastAsia="仿宋_GB2312"/>
                <w:sz w:val="24"/>
                <w:color w:val="000000"/>
              </w:rPr>
              <w:t>服务包含：全域公共区域四害消杀、标准化防害设施布设运维；对辖区机关事业单位、中小学、医疗机构、商超餐饮、沿街商铺等重点场所开展三防设施技术指导；承接县委县政府、县爱卫中心交办的各类公益性爱卫宣传、业务培训、专项消杀、联合整治等临时性工作。</w:t>
            </w:r>
          </w:p>
          <w:p>
            <w:pPr>
              <w:pStyle w:val="null3"/>
              <w:ind w:firstLine="482"/>
              <w:jc w:val="left"/>
            </w:pPr>
            <w:r>
              <w:rPr>
                <w:rFonts w:ascii="仿宋_GB2312" w:hAnsi="仿宋_GB2312" w:cs="仿宋_GB2312" w:eastAsia="仿宋_GB2312"/>
                <w:sz w:val="24"/>
                <w:b/>
                <w:color w:val="000000"/>
              </w:rPr>
              <w:t>四、服务作业硬性要求</w:t>
            </w:r>
          </w:p>
          <w:p>
            <w:pPr>
              <w:pStyle w:val="null3"/>
              <w:ind w:firstLine="480"/>
              <w:jc w:val="left"/>
            </w:pPr>
            <w:r>
              <w:rPr>
                <w:rFonts w:ascii="仿宋_GB2312" w:hAnsi="仿宋_GB2312" w:cs="仿宋_GB2312" w:eastAsia="仿宋_GB2312"/>
                <w:sz w:val="24"/>
                <w:color w:val="000000"/>
              </w:rPr>
              <w:t>（一）常态化基础消杀作业</w:t>
            </w:r>
          </w:p>
          <w:p>
            <w:pPr>
              <w:pStyle w:val="null3"/>
              <w:ind w:firstLine="480"/>
              <w:jc w:val="left"/>
            </w:pPr>
            <w:r>
              <w:rPr>
                <w:rFonts w:ascii="仿宋_GB2312" w:hAnsi="仿宋_GB2312" w:cs="仿宋_GB2312" w:eastAsia="仿宋_GB2312"/>
                <w:sz w:val="24"/>
                <w:color w:val="000000"/>
              </w:rPr>
              <w:t>1.灭鼠作业</w:t>
            </w:r>
          </w:p>
          <w:p>
            <w:pPr>
              <w:pStyle w:val="null3"/>
              <w:ind w:firstLine="480"/>
              <w:jc w:val="left"/>
            </w:pPr>
            <w:r>
              <w:rPr>
                <w:rFonts w:ascii="仿宋_GB2312" w:hAnsi="仿宋_GB2312" w:cs="仿宋_GB2312" w:eastAsia="仿宋_GB2312"/>
                <w:sz w:val="24"/>
                <w:color w:val="000000"/>
              </w:rPr>
              <w:t>全域统一合理布设标准化陶瓷毒饵站，定期巡检补药；每月开展全域外环境鼠迹排查、鼠洞封堵、全域投药灭鼠作业；农贸市场、垃圾中转站、公厕等虫害高风险点位要定期巡检维护。</w:t>
            </w:r>
          </w:p>
          <w:p>
            <w:pPr>
              <w:pStyle w:val="null3"/>
              <w:ind w:firstLine="480"/>
              <w:jc w:val="left"/>
            </w:pPr>
            <w:r>
              <w:rPr>
                <w:rFonts w:ascii="仿宋_GB2312" w:hAnsi="仿宋_GB2312" w:cs="仿宋_GB2312" w:eastAsia="仿宋_GB2312"/>
                <w:sz w:val="24"/>
                <w:color w:val="000000"/>
              </w:rPr>
              <w:t>2.灭蚊、灭蝇、灭蟑螂作业</w:t>
            </w:r>
          </w:p>
          <w:p>
            <w:pPr>
              <w:pStyle w:val="null3"/>
              <w:ind w:firstLine="480"/>
              <w:jc w:val="left"/>
            </w:pPr>
            <w:r>
              <w:rPr>
                <w:rFonts w:ascii="仿宋_GB2312" w:hAnsi="仿宋_GB2312" w:cs="仿宋_GB2312" w:eastAsia="仿宋_GB2312"/>
                <w:sz w:val="24"/>
                <w:color w:val="000000"/>
              </w:rPr>
              <w:t>①蚊蝇：县城建成区和7个乡镇镇墟每月全域全覆盖消杀2轮；台风、暴雨过后必须在24小时内完成低洼地带、沟渠、露天积水点位蚊幼专项消杀，落实洪涝灾后病媒消杀国标规范。</w:t>
            </w:r>
          </w:p>
          <w:p>
            <w:pPr>
              <w:pStyle w:val="null3"/>
              <w:ind w:firstLine="480"/>
              <w:jc w:val="left"/>
            </w:pPr>
            <w:r>
              <w:rPr>
                <w:rFonts w:ascii="仿宋_GB2312" w:hAnsi="仿宋_GB2312" w:cs="仿宋_GB2312" w:eastAsia="仿宋_GB2312"/>
                <w:sz w:val="24"/>
                <w:color w:val="000000"/>
              </w:rPr>
              <w:t>②蟑螂：县城建成区和7个乡镇镇墟每月全域全覆盖对地下管网、下水道开展热烟雾全域灭蟑消杀2轮；</w:t>
            </w:r>
          </w:p>
          <w:p>
            <w:pPr>
              <w:pStyle w:val="null3"/>
              <w:ind w:firstLine="480"/>
              <w:jc w:val="left"/>
            </w:pPr>
            <w:r>
              <w:rPr>
                <w:rFonts w:ascii="仿宋_GB2312" w:hAnsi="仿宋_GB2312" w:cs="仿宋_GB2312" w:eastAsia="仿宋_GB2312"/>
                <w:sz w:val="24"/>
                <w:color w:val="000000"/>
              </w:rPr>
              <w:t>（二）孳生地常态化排查与闭环治理</w:t>
            </w:r>
          </w:p>
          <w:p>
            <w:pPr>
              <w:pStyle w:val="null3"/>
              <w:ind w:firstLine="480"/>
              <w:jc w:val="left"/>
            </w:pPr>
            <w:r>
              <w:rPr>
                <w:rFonts w:ascii="仿宋_GB2312" w:hAnsi="仿宋_GB2312" w:cs="仿宋_GB2312" w:eastAsia="仿宋_GB2312"/>
                <w:sz w:val="24"/>
                <w:color w:val="000000"/>
              </w:rPr>
              <w:t>1.每月完成县城建成区、七个乡镇镇墟全域孳生地全覆盖排查，分别建立积水蚊虫孳生地台账、蝇类孳生地台账，现场点位登记、拍照留痕，可现场处置的立即消杀消除孳生条件；无法现场整改的点位形成问题清单报送县爱卫中心，由爱卫中心督促属地单位、乡镇完成整改，服务商跟踪复查形成闭环管理。</w:t>
            </w:r>
          </w:p>
          <w:p>
            <w:pPr>
              <w:pStyle w:val="null3"/>
              <w:ind w:firstLine="480"/>
              <w:jc w:val="left"/>
            </w:pPr>
            <w:r>
              <w:rPr>
                <w:rFonts w:ascii="仿宋_GB2312" w:hAnsi="仿宋_GB2312" w:cs="仿宋_GB2312" w:eastAsia="仿宋_GB2312"/>
                <w:sz w:val="24"/>
                <w:color w:val="000000"/>
              </w:rPr>
              <w:t>2.汛期每周开展孳生地专项排查，重点清理绿化带积水坑、废弃容器、堵塞排水沟、楼顶积水、农贸市场垃圾堆积点等高危孳生场所，从源头降低病媒生物滋生基数。</w:t>
            </w:r>
          </w:p>
          <w:p>
            <w:pPr>
              <w:pStyle w:val="null3"/>
              <w:ind w:firstLine="480"/>
              <w:jc w:val="left"/>
            </w:pPr>
            <w:r>
              <w:rPr>
                <w:rFonts w:ascii="仿宋_GB2312" w:hAnsi="仿宋_GB2312" w:cs="仿宋_GB2312" w:eastAsia="仿宋_GB2312"/>
                <w:sz w:val="24"/>
                <w:color w:val="000000"/>
              </w:rPr>
              <w:t>（三）病媒生物密度常态化监测</w:t>
            </w:r>
          </w:p>
          <w:p>
            <w:pPr>
              <w:pStyle w:val="null3"/>
              <w:ind w:firstLine="480"/>
              <w:jc w:val="left"/>
            </w:pPr>
            <w:r>
              <w:rPr>
                <w:rFonts w:ascii="仿宋_GB2312" w:hAnsi="仿宋_GB2312" w:cs="仿宋_GB2312" w:eastAsia="仿宋_GB2312"/>
                <w:sz w:val="24"/>
                <w:color w:val="000000"/>
              </w:rPr>
              <w:t>1.按照国家标准监测规范，配合疾控中心做好固定标准化监测点位设置，按月开展鼠、蚊、蝇、蟑螂四项病媒生物密度监测工作，监测全过程资料可追溯，结合密度变化规律制定下一季度针对性消杀优化方案。</w:t>
            </w:r>
          </w:p>
          <w:p>
            <w:pPr>
              <w:pStyle w:val="null3"/>
              <w:ind w:firstLine="480"/>
              <w:jc w:val="left"/>
            </w:pPr>
            <w:r>
              <w:rPr>
                <w:rFonts w:ascii="仿宋_GB2312" w:hAnsi="仿宋_GB2312" w:cs="仿宋_GB2312" w:eastAsia="仿宋_GB2312"/>
                <w:sz w:val="24"/>
                <w:color w:val="000000"/>
              </w:rPr>
              <w:t>2.无条件配合县疾控中心开展辖区病媒生物抗药性监测工作，如实提供消杀药剂种类、作业点位、消杀频次等基础台账资料。</w:t>
            </w:r>
          </w:p>
          <w:p>
            <w:pPr>
              <w:pStyle w:val="null3"/>
              <w:ind w:firstLine="480"/>
              <w:jc w:val="left"/>
            </w:pPr>
            <w:r>
              <w:rPr>
                <w:rFonts w:ascii="仿宋_GB2312" w:hAnsi="仿宋_GB2312" w:cs="仿宋_GB2312" w:eastAsia="仿宋_GB2312"/>
                <w:sz w:val="24"/>
                <w:color w:val="000000"/>
              </w:rPr>
              <w:t>（四）应急处置服务</w:t>
            </w:r>
          </w:p>
          <w:p>
            <w:pPr>
              <w:pStyle w:val="null3"/>
              <w:ind w:firstLine="480"/>
              <w:jc w:val="left"/>
            </w:pPr>
            <w:r>
              <w:rPr>
                <w:rFonts w:ascii="仿宋_GB2312" w:hAnsi="仿宋_GB2312" w:cs="仿宋_GB2312" w:eastAsia="仿宋_GB2312"/>
                <w:sz w:val="24"/>
                <w:color w:val="000000"/>
              </w:rPr>
              <w:t>1.接到县爱卫中心指令、12345政务服务热线虫害投诉、登革热等媒介传染病涉疫区域消杀任务后，县城及乡镇全域必须在8小时内抵达现场开展处置工作，限时消除虫害隐患。</w:t>
            </w:r>
          </w:p>
          <w:p>
            <w:pPr>
              <w:pStyle w:val="null3"/>
              <w:ind w:firstLine="480"/>
              <w:jc w:val="left"/>
            </w:pPr>
            <w:r>
              <w:rPr>
                <w:rFonts w:ascii="仿宋_GB2312" w:hAnsi="仿宋_GB2312" w:cs="仿宋_GB2312" w:eastAsia="仿宋_GB2312"/>
                <w:sz w:val="24"/>
                <w:color w:val="000000"/>
              </w:rPr>
              <w:t>2.出现区域性蚊虫暴发、大规模鼠患、聚集性蝇害等突发虫害事件，服务商须增派作业人员连续3天加密消杀，直至病媒密度达到国标C级及以上标准。</w:t>
            </w:r>
          </w:p>
          <w:p>
            <w:pPr>
              <w:pStyle w:val="null3"/>
              <w:ind w:firstLine="480"/>
              <w:jc w:val="left"/>
            </w:pPr>
            <w:r>
              <w:rPr>
                <w:rFonts w:ascii="仿宋_GB2312" w:hAnsi="仿宋_GB2312" w:cs="仿宋_GB2312" w:eastAsia="仿宋_GB2312"/>
                <w:sz w:val="24"/>
                <w:color w:val="000000"/>
              </w:rPr>
              <w:t>3.服务商须编制汛期、传染病疫情两套专项应急消杀预案，储备足额合规消杀药剂、机动消杀设备与机动作业人员，应急物资台账定期报备采购单位。</w:t>
            </w:r>
          </w:p>
          <w:p>
            <w:pPr>
              <w:pStyle w:val="null3"/>
              <w:ind w:firstLine="480"/>
              <w:jc w:val="left"/>
            </w:pPr>
            <w:r>
              <w:rPr>
                <w:rFonts w:ascii="仿宋_GB2312" w:hAnsi="仿宋_GB2312" w:cs="仿宋_GB2312" w:eastAsia="仿宋_GB2312"/>
                <w:sz w:val="24"/>
                <w:color w:val="000000"/>
              </w:rPr>
              <w:t>（五）迎检专项保障服务</w:t>
            </w:r>
          </w:p>
          <w:p>
            <w:pPr>
              <w:pStyle w:val="null3"/>
              <w:ind w:firstLine="480"/>
              <w:jc w:val="left"/>
            </w:pPr>
            <w:r>
              <w:rPr>
                <w:rFonts w:ascii="仿宋_GB2312" w:hAnsi="仿宋_GB2312" w:cs="仿宋_GB2312" w:eastAsia="仿宋_GB2312"/>
                <w:sz w:val="24"/>
                <w:color w:val="000000"/>
              </w:rPr>
              <w:t>在健康城镇创建、上级爱卫专项督查、第三方密度考核、县域重大政务活动期间，按照采购单位指令不限频次开展全域加密消杀、孳生地清零、毒饵站全面维保工作，保障全域病媒密度稳定达标，完整配合上级部门台账核查、现场暗访工作。</w:t>
            </w:r>
          </w:p>
          <w:p>
            <w:pPr>
              <w:pStyle w:val="null3"/>
              <w:ind w:firstLine="480"/>
              <w:jc w:val="left"/>
            </w:pPr>
            <w:r>
              <w:rPr>
                <w:rFonts w:ascii="仿宋_GB2312" w:hAnsi="仿宋_GB2312" w:cs="仿宋_GB2312" w:eastAsia="仿宋_GB2312"/>
                <w:sz w:val="24"/>
                <w:color w:val="000000"/>
              </w:rPr>
              <w:t>（六）三防设施技术指导</w:t>
            </w:r>
          </w:p>
          <w:p>
            <w:pPr>
              <w:pStyle w:val="null3"/>
              <w:ind w:firstLine="480"/>
              <w:jc w:val="left"/>
            </w:pPr>
            <w:r>
              <w:rPr>
                <w:rFonts w:ascii="仿宋_GB2312" w:hAnsi="仿宋_GB2312" w:cs="仿宋_GB2312" w:eastAsia="仿宋_GB2312"/>
                <w:sz w:val="24"/>
                <w:color w:val="000000"/>
              </w:rPr>
              <w:t>针对辖区农贸市场、餐饮店、商超、学校、医疗机构等重点场所，常态化上门开展防鼠、防蚊、防蝇三防设施安装、运维技术指导，出具书面整改指导意见，建立三防设施指导台账，从物理层面落实病媒防控国家标准。</w:t>
            </w:r>
          </w:p>
          <w:p>
            <w:pPr>
              <w:pStyle w:val="null3"/>
              <w:numPr>
                <w:ilvl w:val="0"/>
                <w:numId w:val="1"/>
              </w:numPr>
              <w:jc w:val="left"/>
            </w:pPr>
            <w:r>
              <w:rPr>
                <w:rFonts w:ascii="仿宋_GB2312" w:hAnsi="仿宋_GB2312" w:cs="仿宋_GB2312" w:eastAsia="仿宋_GB2312"/>
                <w:sz w:val="24"/>
                <w:b/>
                <w:color w:val="000000"/>
              </w:rPr>
              <w:t>质量要求与标准</w:t>
            </w:r>
          </w:p>
          <w:p>
            <w:pPr>
              <w:pStyle w:val="null3"/>
              <w:ind w:firstLine="480"/>
              <w:jc w:val="left"/>
            </w:pPr>
            <w:r>
              <w:rPr>
                <w:rFonts w:ascii="仿宋_GB2312" w:hAnsi="仿宋_GB2312" w:cs="仿宋_GB2312" w:eastAsia="仿宋_GB2312"/>
                <w:sz w:val="24"/>
                <w:color w:val="000000"/>
              </w:rPr>
              <w:t>质量要求：项目全域病媒生物密度必须达到《病媒生物密度控制水平》</w:t>
            </w:r>
            <w:r>
              <w:rPr>
                <w:rFonts w:ascii="仿宋_GB2312" w:hAnsi="仿宋_GB2312" w:cs="仿宋_GB2312" w:eastAsia="仿宋_GB2312"/>
                <w:sz w:val="24"/>
                <w:color w:val="000000"/>
              </w:rPr>
              <w:t>C级及以上。</w:t>
            </w:r>
          </w:p>
          <w:p>
            <w:pPr>
              <w:pStyle w:val="null3"/>
              <w:ind w:firstLine="480"/>
              <w:jc w:val="left"/>
            </w:pPr>
            <w:r>
              <w:rPr>
                <w:rFonts w:ascii="仿宋_GB2312" w:hAnsi="仿宋_GB2312" w:cs="仿宋_GB2312" w:eastAsia="仿宋_GB2312"/>
                <w:sz w:val="24"/>
                <w:color w:val="000000"/>
              </w:rPr>
              <w:t>质量标准：项目全域所有区域病媒生物密度必须达到《病媒生物密度控制水平》四项国家标准</w:t>
            </w:r>
            <w:r>
              <w:rPr>
                <w:rFonts w:ascii="仿宋_GB2312" w:hAnsi="仿宋_GB2312" w:cs="仿宋_GB2312" w:eastAsia="仿宋_GB2312"/>
                <w:sz w:val="24"/>
                <w:color w:val="000000"/>
              </w:rPr>
              <w:t>C级及以上，季度密度抽查不达标的，按照考核细则扣减当期服务费；连续两个季度全域密度达不到国标C级标准，采购方有权单方面解除合同。</w:t>
            </w:r>
          </w:p>
          <w:p>
            <w:pPr>
              <w:pStyle w:val="null3"/>
              <w:ind w:firstLine="480"/>
              <w:jc w:val="left"/>
            </w:pPr>
            <w:r>
              <w:rPr>
                <w:rFonts w:ascii="仿宋_GB2312" w:hAnsi="仿宋_GB2312" w:cs="仿宋_GB2312" w:eastAsia="仿宋_GB2312"/>
                <w:sz w:val="24"/>
                <w:color w:val="000000"/>
              </w:rPr>
              <w:t>（一）鼠类（</w:t>
            </w:r>
            <w:r>
              <w:rPr>
                <w:rFonts w:ascii="仿宋_GB2312" w:hAnsi="仿宋_GB2312" w:cs="仿宋_GB2312" w:eastAsia="仿宋_GB2312"/>
                <w:sz w:val="24"/>
                <w:color w:val="000000"/>
              </w:rPr>
              <w:t>GB/T 27770-2011）：室内鼠迹阳性率≤5%；外环境鼠迹路径指数≤5；公共区域防鼠设施合格率≥95%；</w:t>
            </w:r>
          </w:p>
          <w:p>
            <w:pPr>
              <w:pStyle w:val="null3"/>
              <w:ind w:firstLine="480"/>
              <w:jc w:val="left"/>
            </w:pPr>
            <w:r>
              <w:rPr>
                <w:rFonts w:ascii="仿宋_GB2312" w:hAnsi="仿宋_GB2312" w:cs="仿宋_GB2312" w:eastAsia="仿宋_GB2312"/>
                <w:sz w:val="24"/>
                <w:color w:val="000000"/>
              </w:rPr>
              <w:t>（二）蚊虫（</w:t>
            </w:r>
            <w:r>
              <w:rPr>
                <w:rFonts w:ascii="仿宋_GB2312" w:hAnsi="仿宋_GB2312" w:cs="仿宋_GB2312" w:eastAsia="仿宋_GB2312"/>
                <w:sz w:val="24"/>
                <w:color w:val="000000"/>
              </w:rPr>
              <w:t>GB/T 27771-2011）：小型积水蚊虫路径指数≤0.8；大中型水体蚊幼阳性率≤5%；</w:t>
            </w:r>
          </w:p>
          <w:p>
            <w:pPr>
              <w:pStyle w:val="null3"/>
              <w:ind w:firstLine="480"/>
              <w:jc w:val="left"/>
            </w:pPr>
            <w:r>
              <w:rPr>
                <w:rFonts w:ascii="仿宋_GB2312" w:hAnsi="仿宋_GB2312" w:cs="仿宋_GB2312" w:eastAsia="仿宋_GB2312"/>
                <w:sz w:val="24"/>
                <w:color w:val="000000"/>
              </w:rPr>
              <w:t>（三）蝇类（</w:t>
            </w:r>
            <w:r>
              <w:rPr>
                <w:rFonts w:ascii="仿宋_GB2312" w:hAnsi="仿宋_GB2312" w:cs="仿宋_GB2312" w:eastAsia="仿宋_GB2312"/>
                <w:sz w:val="24"/>
                <w:color w:val="000000"/>
              </w:rPr>
              <w:t>GB/T 27772-2025）：食品经营场所无成蝇活动；室内有蝇房间阳性率≤9%；室外蝇类孳生地阳性率≤5%；</w:t>
            </w:r>
          </w:p>
          <w:p>
            <w:pPr>
              <w:pStyle w:val="null3"/>
              <w:ind w:firstLine="480"/>
              <w:jc w:val="left"/>
            </w:pPr>
            <w:r>
              <w:rPr>
                <w:rFonts w:ascii="仿宋_GB2312" w:hAnsi="仿宋_GB2312" w:cs="仿宋_GB2312" w:eastAsia="仿宋_GB2312"/>
                <w:sz w:val="24"/>
                <w:color w:val="000000"/>
              </w:rPr>
              <w:t>（四）蜚蠊（蟑螂，</w:t>
            </w:r>
            <w:r>
              <w:rPr>
                <w:rFonts w:ascii="仿宋_GB2312" w:hAnsi="仿宋_GB2312" w:cs="仿宋_GB2312" w:eastAsia="仿宋_GB2312"/>
                <w:sz w:val="24"/>
                <w:color w:val="000000"/>
              </w:rPr>
              <w:t>GB/T 27773-2011）：室内成若虫侵害率≤5%，蟑迹查获率≤7%。</w:t>
            </w:r>
          </w:p>
          <w:p>
            <w:pPr>
              <w:pStyle w:val="null3"/>
              <w:ind w:firstLine="482"/>
              <w:jc w:val="left"/>
            </w:pPr>
            <w:r>
              <w:rPr>
                <w:rFonts w:ascii="仿宋_GB2312" w:hAnsi="仿宋_GB2312" w:cs="仿宋_GB2312" w:eastAsia="仿宋_GB2312"/>
                <w:sz w:val="24"/>
                <w:b/>
                <w:color w:val="000000"/>
              </w:rPr>
              <w:t>六、台账报送与安全生产管理要求</w:t>
            </w:r>
          </w:p>
          <w:p>
            <w:pPr>
              <w:pStyle w:val="null3"/>
              <w:ind w:firstLine="480"/>
              <w:jc w:val="left"/>
            </w:pPr>
            <w:r>
              <w:rPr>
                <w:rFonts w:ascii="仿宋_GB2312" w:hAnsi="仿宋_GB2312" w:cs="仿宋_GB2312" w:eastAsia="仿宋_GB2312"/>
                <w:sz w:val="24"/>
                <w:color w:val="000000"/>
              </w:rPr>
              <w:t>（一）作业台账管理</w:t>
            </w:r>
          </w:p>
          <w:p>
            <w:pPr>
              <w:pStyle w:val="null3"/>
              <w:ind w:firstLine="480"/>
              <w:jc w:val="left"/>
            </w:pPr>
            <w:r>
              <w:rPr>
                <w:rFonts w:ascii="仿宋_GB2312" w:hAnsi="仿宋_GB2312" w:cs="仿宋_GB2312" w:eastAsia="仿宋_GB2312"/>
                <w:sz w:val="24"/>
                <w:color w:val="000000"/>
              </w:rPr>
              <w:t>每一次消杀作业必须填写标准化作业单，明确消杀区域、药剂名称及用量、作业起止时间，拍摄带定位水印的作业前后对比影像资料；县爱卫中心开展不定期抽查核验签字；服务商同步建立电子、纸质两套可追溯完整台账。</w:t>
            </w:r>
          </w:p>
          <w:p>
            <w:pPr>
              <w:pStyle w:val="null3"/>
              <w:ind w:firstLine="480"/>
              <w:jc w:val="left"/>
            </w:pPr>
            <w:r>
              <w:rPr>
                <w:rFonts w:ascii="仿宋_GB2312" w:hAnsi="仿宋_GB2312" w:cs="仿宋_GB2312" w:eastAsia="仿宋_GB2312"/>
                <w:sz w:val="24"/>
                <w:color w:val="000000"/>
              </w:rPr>
              <w:t>（二）定期资料报送</w:t>
            </w:r>
          </w:p>
          <w:p>
            <w:pPr>
              <w:pStyle w:val="null3"/>
              <w:ind w:firstLine="480"/>
              <w:jc w:val="left"/>
            </w:pPr>
            <w:r>
              <w:rPr>
                <w:rFonts w:ascii="仿宋_GB2312" w:hAnsi="仿宋_GB2312" w:cs="仿宋_GB2312" w:eastAsia="仿宋_GB2312"/>
                <w:sz w:val="24"/>
                <w:color w:val="000000"/>
              </w:rPr>
              <w:t>每月</w:t>
            </w:r>
            <w:r>
              <w:rPr>
                <w:rFonts w:ascii="仿宋_GB2312" w:hAnsi="仿宋_GB2312" w:cs="仿宋_GB2312" w:eastAsia="仿宋_GB2312"/>
                <w:sz w:val="24"/>
                <w:color w:val="000000"/>
              </w:rPr>
              <w:t>5日前提交月度消杀工作总结、孳生地整改闭环台账；每季度首月上旬提交上季度工作汇总报告、下季度工作计划；服务期满后提交全年项目履约总结报告。</w:t>
            </w:r>
          </w:p>
          <w:p>
            <w:pPr>
              <w:pStyle w:val="null3"/>
              <w:ind w:firstLine="480"/>
              <w:jc w:val="left"/>
            </w:pPr>
            <w:r>
              <w:rPr>
                <w:rFonts w:ascii="仿宋_GB2312" w:hAnsi="仿宋_GB2312" w:cs="仿宋_GB2312" w:eastAsia="仿宋_GB2312"/>
                <w:sz w:val="24"/>
                <w:color w:val="000000"/>
              </w:rPr>
              <w:t>（三）宣传配合</w:t>
            </w:r>
          </w:p>
          <w:p>
            <w:pPr>
              <w:pStyle w:val="null3"/>
              <w:ind w:firstLine="480"/>
              <w:jc w:val="left"/>
            </w:pPr>
            <w:r>
              <w:rPr>
                <w:rFonts w:ascii="仿宋_GB2312" w:hAnsi="仿宋_GB2312" w:cs="仿宋_GB2312" w:eastAsia="仿宋_GB2312"/>
                <w:sz w:val="24"/>
                <w:color w:val="000000"/>
              </w:rPr>
              <w:t>配合县爱卫中心开展爱国卫生、四害防控科普宣传教育，按照采购人要求开展进乡镇、进校园、进社区公益性消杀科普活动。</w:t>
            </w:r>
          </w:p>
          <w:p>
            <w:pPr>
              <w:pStyle w:val="null3"/>
              <w:ind w:firstLine="480"/>
              <w:jc w:val="left"/>
            </w:pPr>
            <w:r>
              <w:rPr>
                <w:rFonts w:ascii="仿宋_GB2312" w:hAnsi="仿宋_GB2312" w:cs="仿宋_GB2312" w:eastAsia="仿宋_GB2312"/>
                <w:sz w:val="24"/>
                <w:color w:val="000000"/>
              </w:rPr>
              <w:t>（四）安全生产责任</w:t>
            </w:r>
          </w:p>
          <w:p>
            <w:pPr>
              <w:pStyle w:val="null3"/>
              <w:ind w:firstLine="480"/>
              <w:jc w:val="left"/>
            </w:pPr>
            <w:r>
              <w:rPr>
                <w:rFonts w:ascii="仿宋_GB2312" w:hAnsi="仿宋_GB2312" w:cs="仿宋_GB2312" w:eastAsia="仿宋_GB2312"/>
                <w:sz w:val="24"/>
                <w:color w:val="000000"/>
              </w:rPr>
              <w:t>服务商为作业安全第一责任主体，全权承担作业全过程人员人身伤害、药剂药害、人畜中毒、绿植损毁、财产损坏等一切安全事故民事、行政责任；须为全体作业人员购买人身意外伤害保险，购买足额第三方责任险；施药作业前必须在作业区域商铺、居民区张贴施药安全警示公告；因药剂使用不规范造成的一切损失，均由服务商全额承担赔付。</w:t>
            </w:r>
          </w:p>
          <w:p>
            <w:pPr>
              <w:pStyle w:val="null3"/>
              <w:numPr>
                <w:ilvl w:val="0"/>
                <w:numId w:val="1"/>
              </w:numPr>
              <w:jc w:val="left"/>
            </w:pPr>
            <w:r>
              <w:rPr>
                <w:rFonts w:ascii="仿宋_GB2312" w:hAnsi="仿宋_GB2312" w:cs="仿宋_GB2312" w:eastAsia="仿宋_GB2312"/>
                <w:sz w:val="24"/>
                <w:b/>
                <w:color w:val="000000"/>
              </w:rPr>
              <w:t>用药要求</w:t>
            </w:r>
          </w:p>
          <w:p>
            <w:pPr>
              <w:pStyle w:val="null3"/>
              <w:ind w:firstLine="480"/>
              <w:jc w:val="left"/>
            </w:pPr>
            <w:r>
              <w:rPr>
                <w:rFonts w:ascii="仿宋_GB2312" w:hAnsi="仿宋_GB2312" w:cs="仿宋_GB2312" w:eastAsia="仿宋_GB2312"/>
                <w:sz w:val="24"/>
                <w:color w:val="000000"/>
              </w:rPr>
              <w:t>1.使用安全、有效的除“四害”药品，杜绝污染环境，确保人畜安全，符合绿色环保的有关要求。</w:t>
            </w:r>
            <w:r>
              <w:rPr>
                <w:rFonts w:ascii="仿宋_GB2312" w:hAnsi="仿宋_GB2312" w:cs="仿宋_GB2312" w:eastAsia="仿宋_GB2312"/>
                <w:sz w:val="24"/>
                <w:color w:val="000000"/>
              </w:rPr>
              <w:t>所有消杀使用药剂必须纳入农业农村部农药登记名录、符合全国爱卫办卫生杀虫剂使用规范，严禁使用国家明令禁止的剧毒、高残留违禁药品。</w:t>
            </w:r>
          </w:p>
          <w:p>
            <w:pPr>
              <w:pStyle w:val="null3"/>
              <w:ind w:firstLine="480"/>
              <w:jc w:val="left"/>
            </w:pPr>
            <w:r>
              <w:rPr>
                <w:rFonts w:ascii="仿宋_GB2312" w:hAnsi="仿宋_GB2312" w:cs="仿宋_GB2312" w:eastAsia="仿宋_GB2312"/>
                <w:sz w:val="24"/>
                <w:color w:val="000000"/>
              </w:rPr>
              <w:t>2.所使用的药品需符合国家有关规定，</w:t>
            </w:r>
            <w:r>
              <w:rPr>
                <w:rFonts w:ascii="仿宋_GB2312" w:hAnsi="仿宋_GB2312" w:cs="仿宋_GB2312" w:eastAsia="仿宋_GB2312"/>
                <w:sz w:val="24"/>
                <w:color w:val="000000"/>
              </w:rPr>
              <w:t>在合同履约过程中，在药品使用前，供应商</w:t>
            </w:r>
            <w:r>
              <w:rPr>
                <w:rFonts w:ascii="仿宋_GB2312" w:hAnsi="仿宋_GB2312" w:cs="仿宋_GB2312" w:eastAsia="仿宋_GB2312"/>
                <w:sz w:val="24"/>
                <w:color w:val="000000"/>
              </w:rPr>
              <w:t>须</w:t>
            </w:r>
            <w:r>
              <w:rPr>
                <w:rFonts w:ascii="仿宋_GB2312" w:hAnsi="仿宋_GB2312" w:cs="仿宋_GB2312" w:eastAsia="仿宋_GB2312"/>
                <w:sz w:val="24"/>
                <w:color w:val="000000"/>
              </w:rPr>
              <w:t>向采购人</w:t>
            </w:r>
            <w:r>
              <w:rPr>
                <w:rFonts w:ascii="仿宋_GB2312" w:hAnsi="仿宋_GB2312" w:cs="仿宋_GB2312" w:eastAsia="仿宋_GB2312"/>
                <w:sz w:val="24"/>
                <w:color w:val="000000"/>
              </w:rPr>
              <w:t>提供药品的三证</w:t>
            </w:r>
            <w:r>
              <w:rPr>
                <w:rFonts w:ascii="仿宋_GB2312" w:hAnsi="仿宋_GB2312" w:cs="仿宋_GB2312" w:eastAsia="仿宋_GB2312"/>
                <w:sz w:val="24"/>
                <w:color w:val="000000"/>
              </w:rPr>
              <w:t>(农药生产许可证或药品生产批准证书、农药标准、农药登记证)、检验报告书的复印件并加盖生产厂商公章。如由代理商提供农药生产许可证或药品生产批准证书（证书内容须包含本次采购主要产品）、农药标准和农药登记证复印件的, 须加盖生产企业公章。</w:t>
            </w:r>
          </w:p>
          <w:p>
            <w:pPr>
              <w:pStyle w:val="null3"/>
              <w:ind w:firstLine="482"/>
              <w:jc w:val="left"/>
            </w:pPr>
            <w:r>
              <w:rPr>
                <w:rFonts w:ascii="仿宋_GB2312" w:hAnsi="仿宋_GB2312" w:cs="仿宋_GB2312" w:eastAsia="仿宋_GB2312"/>
                <w:sz w:val="24"/>
                <w:b/>
                <w:color w:val="000000"/>
              </w:rPr>
              <w:t>八、其他要求</w:t>
            </w:r>
          </w:p>
          <w:p>
            <w:pPr>
              <w:pStyle w:val="null3"/>
              <w:ind w:firstLine="480"/>
              <w:jc w:val="left"/>
            </w:pPr>
            <w:r>
              <w:rPr>
                <w:rFonts w:ascii="仿宋_GB2312" w:hAnsi="仿宋_GB2312" w:cs="仿宋_GB2312" w:eastAsia="仿宋_GB2312"/>
                <w:sz w:val="24"/>
                <w:color w:val="000000"/>
              </w:rPr>
              <w:t>（一）</w:t>
            </w:r>
            <w:r>
              <w:rPr>
                <w:rFonts w:ascii="仿宋_GB2312" w:hAnsi="仿宋_GB2312" w:cs="仿宋_GB2312" w:eastAsia="仿宋_GB2312"/>
                <w:sz w:val="24"/>
              </w:rPr>
              <w:t>成交后，</w:t>
            </w:r>
            <w:r>
              <w:rPr>
                <w:rFonts w:ascii="仿宋_GB2312" w:hAnsi="仿宋_GB2312" w:cs="仿宋_GB2312" w:eastAsia="仿宋_GB2312"/>
                <w:sz w:val="24"/>
                <w:color w:val="000000"/>
              </w:rPr>
              <w:t>服务商须在屯昌县县域内设立固定办公联络点，配置</w:t>
            </w:r>
            <w:r>
              <w:rPr>
                <w:rFonts w:ascii="仿宋_GB2312" w:hAnsi="仿宋_GB2312" w:cs="仿宋_GB2312" w:eastAsia="仿宋_GB2312"/>
                <w:sz w:val="24"/>
                <w:color w:val="000000"/>
              </w:rPr>
              <w:t>2名专职项目负责人，项目负责人保持7×24小时通讯畅通，随时响应采购人应急、督查工作指令，并完成采购方其他工作安排。</w:t>
            </w:r>
            <w:r>
              <w:rPr>
                <w:rFonts w:ascii="仿宋_GB2312" w:hAnsi="仿宋_GB2312" w:cs="仿宋_GB2312" w:eastAsia="仿宋_GB2312"/>
                <w:sz w:val="24"/>
                <w:color w:val="000000"/>
              </w:rPr>
              <w:t>要求投入本项目的常驻在岗作业人员不少于</w:t>
            </w:r>
            <w:r>
              <w:rPr>
                <w:rFonts w:ascii="仿宋_GB2312" w:hAnsi="仿宋_GB2312" w:cs="仿宋_GB2312" w:eastAsia="仿宋_GB2312"/>
                <w:sz w:val="24"/>
                <w:color w:val="000000"/>
              </w:rPr>
              <w:t>12人，分为县城作业组6人、乡镇流动作业组6人；全部作业人员经过病媒防制专业培训并取得上岗合格证书；作业期间统一工装、佩戴上岗工作证件。</w:t>
            </w:r>
            <w:r>
              <w:rPr>
                <w:rFonts w:ascii="仿宋_GB2312" w:hAnsi="仿宋_GB2312" w:cs="仿宋_GB2312" w:eastAsia="仿宋_GB2312"/>
                <w:sz w:val="24"/>
                <w:color w:val="000000"/>
              </w:rPr>
              <w:t>服务周期内如需更换作业人员、项目负责人，必须提前</w:t>
            </w:r>
            <w:r>
              <w:rPr>
                <w:rFonts w:ascii="仿宋_GB2312" w:hAnsi="仿宋_GB2312" w:cs="仿宋_GB2312" w:eastAsia="仿宋_GB2312"/>
                <w:sz w:val="24"/>
                <w:color w:val="000000"/>
              </w:rPr>
              <w:t>7个工作日向采购人提交书面报备材料，替换人员资质、从业能力不得低于原有人员标准；严禁使用无上岗合格证临时人员上岗开展消杀作业。</w:t>
            </w:r>
            <w:r>
              <w:rPr>
                <w:rFonts w:ascii="仿宋_GB2312" w:hAnsi="仿宋_GB2312" w:cs="仿宋_GB2312" w:eastAsia="仿宋_GB2312"/>
                <w:sz w:val="24"/>
                <w:b/>
                <w:color w:val="000000"/>
              </w:rPr>
              <w:t>（磋商响应文件中须提供承诺函，格式自拟，不提供承诺函或承诺内容不符合要求的视为无效响应。）</w:t>
            </w:r>
          </w:p>
          <w:p>
            <w:pPr>
              <w:pStyle w:val="null3"/>
              <w:ind w:firstLine="480"/>
              <w:jc w:val="left"/>
            </w:pPr>
            <w:r>
              <w:rPr>
                <w:rFonts w:ascii="仿宋_GB2312" w:hAnsi="仿宋_GB2312" w:cs="仿宋_GB2312" w:eastAsia="仿宋_GB2312"/>
                <w:sz w:val="24"/>
                <w:color w:val="000000"/>
              </w:rPr>
              <w:t>（二）</w:t>
            </w:r>
            <w:r>
              <w:rPr>
                <w:rFonts w:ascii="仿宋_GB2312" w:hAnsi="仿宋_GB2312" w:cs="仿宋_GB2312" w:eastAsia="仿宋_GB2312"/>
                <w:sz w:val="24"/>
              </w:rPr>
              <w:t>成交后，服务商投入</w:t>
            </w:r>
            <w:r>
              <w:rPr>
                <w:rFonts w:ascii="仿宋_GB2312" w:hAnsi="仿宋_GB2312" w:cs="仿宋_GB2312" w:eastAsia="仿宋_GB2312"/>
                <w:sz w:val="24"/>
                <w:color w:val="000000"/>
              </w:rPr>
              <w:t>本项目的自有全套消杀设备最低要求为高压喷雾器、热烟雾机不少于对应作业班组配置数量，车载消杀车辆不少于</w:t>
            </w:r>
            <w:r>
              <w:rPr>
                <w:rFonts w:ascii="仿宋_GB2312" w:hAnsi="仿宋_GB2312" w:cs="仿宋_GB2312" w:eastAsia="仿宋_GB2312"/>
                <w:sz w:val="24"/>
                <w:color w:val="000000"/>
              </w:rPr>
              <w:t>2台，配套毒饵站布设维修工具、国标密度监测全套设备；严禁采用租赁设备应付考核检查，采购人有权随时现场核验设备权属证明。</w:t>
            </w:r>
            <w:r>
              <w:rPr>
                <w:rFonts w:ascii="仿宋_GB2312" w:hAnsi="仿宋_GB2312" w:cs="仿宋_GB2312" w:eastAsia="仿宋_GB2312"/>
                <w:sz w:val="24"/>
                <w:b/>
                <w:color w:val="000000"/>
              </w:rPr>
              <w:t>（磋商响应文件中须提供承诺函，格式自拟，不提供承诺函或承诺内容不符合要求的视为无效响应。）</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三</w:t>
            </w:r>
            <w:r>
              <w:rPr>
                <w:rFonts w:ascii="仿宋_GB2312" w:hAnsi="仿宋_GB2312" w:cs="仿宋_GB2312" w:eastAsia="仿宋_GB2312"/>
                <w:sz w:val="24"/>
                <w:color w:val="000000"/>
              </w:rPr>
              <w:t>）上级爱卫机构、疾控部门开展督导检查时，服务商必须安排项目负责人及对应区域作业人员全程陪同，完整提供监测原始台账、作业资料，按期完成督查交办整改事项。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四</w:t>
            </w:r>
            <w:r>
              <w:rPr>
                <w:rFonts w:ascii="仿宋_GB2312" w:hAnsi="仿宋_GB2312" w:cs="仿宋_GB2312" w:eastAsia="仿宋_GB2312"/>
                <w:sz w:val="24"/>
                <w:color w:val="000000"/>
              </w:rPr>
              <w:t>）台风、强降雨等自然灾害结束后</w:t>
            </w:r>
            <w:r>
              <w:rPr>
                <w:rFonts w:ascii="仿宋_GB2312" w:hAnsi="仿宋_GB2312" w:cs="仿宋_GB2312" w:eastAsia="仿宋_GB2312"/>
                <w:sz w:val="24"/>
                <w:color w:val="000000"/>
              </w:rPr>
              <w:t>24小时内，服务商必须主动开展全域积水孳生地排查，落实洪涝灾后病媒应急消杀国家标准，完成灾后专项灭蚊幼消杀工作。</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480"/>
              <w:jc w:val="left"/>
            </w:pPr>
            <w:r>
              <w:rPr>
                <w:rFonts w:ascii="仿宋_GB2312" w:hAnsi="仿宋_GB2312" w:cs="仿宋_GB2312" w:eastAsia="仿宋_GB2312"/>
                <w:sz w:val="24"/>
                <w:color w:val="000000"/>
              </w:rPr>
              <w:t>一、服务期限：合同签订之日起计壹年（合同签订之日起算）</w:t>
            </w:r>
          </w:p>
          <w:p>
            <w:pPr>
              <w:pStyle w:val="null3"/>
              <w:ind w:firstLine="480"/>
              <w:jc w:val="left"/>
            </w:pPr>
            <w:r>
              <w:rPr>
                <w:rFonts w:ascii="仿宋_GB2312" w:hAnsi="仿宋_GB2312" w:cs="仿宋_GB2312" w:eastAsia="仿宋_GB2312"/>
                <w:sz w:val="24"/>
                <w:color w:val="000000"/>
              </w:rPr>
              <w:t>二、评估机制及付款方式：</w:t>
            </w:r>
          </w:p>
          <w:p>
            <w:pPr>
              <w:pStyle w:val="null3"/>
              <w:ind w:firstLine="480"/>
              <w:jc w:val="left"/>
            </w:pPr>
            <w:r>
              <w:rPr>
                <w:rFonts w:ascii="仿宋_GB2312" w:hAnsi="仿宋_GB2312" w:cs="仿宋_GB2312" w:eastAsia="仿宋_GB2312"/>
                <w:sz w:val="24"/>
                <w:color w:val="000000"/>
              </w:rPr>
              <w:t>（一）评估机制</w:t>
            </w:r>
          </w:p>
          <w:p>
            <w:pPr>
              <w:pStyle w:val="null3"/>
              <w:ind w:firstLine="480"/>
              <w:jc w:val="left"/>
            </w:pPr>
            <w:r>
              <w:rPr>
                <w:rFonts w:ascii="仿宋_GB2312" w:hAnsi="仿宋_GB2312" w:cs="仿宋_GB2312" w:eastAsia="仿宋_GB2312"/>
                <w:sz w:val="24"/>
                <w:color w:val="000000"/>
              </w:rPr>
              <w:t>在合同期限内每季度邀请第三方进行一次防制效果评估，一年内共计</w:t>
            </w:r>
            <w:r>
              <w:rPr>
                <w:rFonts w:ascii="仿宋_GB2312" w:hAnsi="仿宋_GB2312" w:cs="仿宋_GB2312" w:eastAsia="仿宋_GB2312"/>
                <w:sz w:val="24"/>
                <w:color w:val="000000"/>
              </w:rPr>
              <w:t>4次。如效果评估结果不合格，服务方进行整改后由购买方抽查复核区域，评估仍不合格的，终止服务合同，扣除当期服务费用，复核评估费用由服务商按标准另外支付。</w:t>
            </w:r>
          </w:p>
          <w:p>
            <w:pPr>
              <w:pStyle w:val="null3"/>
              <w:ind w:firstLine="480"/>
              <w:jc w:val="left"/>
            </w:pPr>
            <w:r>
              <w:rPr>
                <w:rFonts w:ascii="仿宋_GB2312" w:hAnsi="仿宋_GB2312" w:cs="仿宋_GB2312" w:eastAsia="仿宋_GB2312"/>
                <w:sz w:val="24"/>
                <w:color w:val="000000"/>
              </w:rPr>
              <w:t>（二）付款方式</w:t>
            </w:r>
          </w:p>
          <w:p>
            <w:pPr>
              <w:pStyle w:val="null3"/>
              <w:ind w:firstLine="480"/>
              <w:jc w:val="left"/>
            </w:pPr>
            <w:r>
              <w:rPr>
                <w:rFonts w:ascii="仿宋_GB2312" w:hAnsi="仿宋_GB2312" w:cs="仿宋_GB2312" w:eastAsia="仿宋_GB2312"/>
                <w:sz w:val="24"/>
                <w:color w:val="000000"/>
              </w:rPr>
              <w:t>本项目资金分叁次支付（以开正规发票为准）</w:t>
            </w:r>
          </w:p>
          <w:p>
            <w:pPr>
              <w:pStyle w:val="null3"/>
              <w:ind w:firstLine="480"/>
              <w:jc w:val="left"/>
            </w:pPr>
            <w:r>
              <w:rPr>
                <w:rFonts w:ascii="仿宋_GB2312" w:hAnsi="仿宋_GB2312" w:cs="仿宋_GB2312" w:eastAsia="仿宋_GB2312"/>
                <w:sz w:val="24"/>
                <w:color w:val="000000"/>
              </w:rPr>
              <w:t>1.合同签订生效后经双方协商拨付不超过服务总额30%的项目启动资金；</w:t>
            </w:r>
          </w:p>
          <w:p>
            <w:pPr>
              <w:pStyle w:val="null3"/>
              <w:ind w:firstLine="480"/>
              <w:jc w:val="left"/>
            </w:pPr>
            <w:r>
              <w:rPr>
                <w:rFonts w:ascii="仿宋_GB2312" w:hAnsi="仿宋_GB2312" w:cs="仿宋_GB2312" w:eastAsia="仿宋_GB2312"/>
                <w:sz w:val="24"/>
                <w:color w:val="000000"/>
              </w:rPr>
              <w:t>2.服务至合同期的一半以上，经第三方评估机构评估合格，即可再支付项目总额的30％；</w:t>
            </w:r>
          </w:p>
          <w:p>
            <w:pPr>
              <w:pStyle w:val="null3"/>
              <w:ind w:firstLine="480"/>
              <w:jc w:val="left"/>
            </w:pPr>
            <w:r>
              <w:rPr>
                <w:rFonts w:ascii="仿宋_GB2312" w:hAnsi="仿宋_GB2312" w:cs="仿宋_GB2312" w:eastAsia="仿宋_GB2312"/>
                <w:sz w:val="24"/>
                <w:color w:val="000000"/>
              </w:rPr>
              <w:t>3.余下40%待合同期满，由甲方邀请第三方评估机构进行考核评估并经第三方财务审计（第三方财务审计机构由甲方聘请，费用由乙方负责），结果合格后一次性付清。</w:t>
            </w:r>
          </w:p>
          <w:p>
            <w:pPr>
              <w:pStyle w:val="null3"/>
              <w:ind w:firstLine="480"/>
              <w:jc w:val="left"/>
            </w:pPr>
            <w:r>
              <w:rPr>
                <w:rFonts w:ascii="仿宋_GB2312" w:hAnsi="仿宋_GB2312" w:cs="仿宋_GB2312" w:eastAsia="仿宋_GB2312"/>
                <w:sz w:val="24"/>
                <w:color w:val="000000"/>
              </w:rPr>
              <w:t>（三）价格说明</w:t>
            </w:r>
          </w:p>
          <w:p>
            <w:pPr>
              <w:pStyle w:val="null3"/>
              <w:ind w:firstLine="480"/>
              <w:jc w:val="left"/>
            </w:pPr>
            <w:r>
              <w:rPr>
                <w:rFonts w:ascii="仿宋_GB2312" w:hAnsi="仿宋_GB2312" w:cs="仿宋_GB2312" w:eastAsia="仿宋_GB2312"/>
                <w:sz w:val="24"/>
                <w:color w:val="000000"/>
              </w:rPr>
              <w:t>本项目投标报价为包干总价，包含药剂采购费、人员薪酬社保、车辆燃油、设备维保、监测耗材、各类保险、应急处置、迎检保障、台账制作、税费、办公场地等完成本项目全部工作的所有费用，采购人不再支付任何额外费用。</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投标人无不良信用记录。（详见投标人须知2.3.1.2）</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信⽤查询</w:t>
            </w:r>
          </w:p>
        </w:tc>
        <w:tc>
          <w:tcPr>
            <w:tcW w:type="dxa" w:w="3322"/>
          </w:tcPr>
          <w:p>
            <w:pPr>
              <w:pStyle w:val="null3"/>
              <w:jc w:val="left"/>
            </w:pPr>
            <w:r>
              <w:rPr>
                <w:rFonts w:ascii="仿宋_GB2312" w:hAnsi="仿宋_GB2312" w:cs="仿宋_GB2312" w:eastAsia="仿宋_GB2312"/>
              </w:rPr>
              <w:t>供应商在“中国执⾏信息公开⽹”(http://zxgk.court.gov.cn/shixin/)没有被列⼊失信被执⾏⼈，“信⽤中国”⽹站(www.creditchina.gov.cn)没有被列⼊重⼤税收违法失信主体、政府采购严重违法失信名单和“中国政府采购⽹” (www.ccgp.gov.cn)没有被列⼊政府采购严重违法失信⾏为信息记录名单(提供⽹⻚截图或承诺函（格式⾃拟）并加盖单位公章，未在响应⽂件内提供⻬全的则以现场查询结果为准)</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⽆环保类⾏政处罚</w:t>
            </w:r>
          </w:p>
        </w:tc>
        <w:tc>
          <w:tcPr>
            <w:tcW w:type="dxa" w:w="3322"/>
          </w:tcPr>
          <w:p>
            <w:pPr>
              <w:pStyle w:val="null3"/>
              <w:jc w:val="left"/>
            </w:pPr>
            <w:r>
              <w:rPr>
                <w:rFonts w:ascii="仿宋_GB2312" w:hAnsi="仿宋_GB2312" w:cs="仿宋_GB2312" w:eastAsia="仿宋_GB2312"/>
              </w:rPr>
              <w:t>参加政府采购活动前三年内，在经营活动中⽆环保类⾏政处罚记录(需提供供应商书⾯声明函，格式⾃拟加盖公章)(营业执照不满三年的，按照营业执照注册年限起算)</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单位负责⼈为同⼀⼈或者存在直接控股、管理关系的不同供应商，不得参加同⼀合同下的政府采购活动</w:t>
            </w:r>
          </w:p>
        </w:tc>
        <w:tc>
          <w:tcPr>
            <w:tcW w:type="dxa" w:w="3322"/>
          </w:tcPr>
          <w:p>
            <w:pPr>
              <w:pStyle w:val="null3"/>
              <w:jc w:val="left"/>
            </w:pPr>
            <w:r>
              <w:rPr>
                <w:rFonts w:ascii="仿宋_GB2312" w:hAnsi="仿宋_GB2312" w:cs="仿宋_GB2312" w:eastAsia="仿宋_GB2312"/>
              </w:rPr>
              <w:t>单位负责⼈为同⼀⼈或者存在直接控股、管理关系的不同供应商，不得参加同⼀合同下的政府采购活动(提供承诺函并加盖公章(格式⾃拟)</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封面 供应商基本情况表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开标（报价）一览表 商务应答表 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 投标（响应）报价明细表（分项报价明细表） 报价函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报价函 供应商应提交的相关证明材料 报价函附录</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技术部分70.00分</w:t>
            </w:r>
          </w:p>
          <w:p>
            <w:pPr>
              <w:pStyle w:val="null3"/>
              <w:jc w:val="left"/>
            </w:pPr>
            <w:r>
              <w:rPr>
                <w:rFonts w:ascii="仿宋_GB2312" w:hAnsi="仿宋_GB2312" w:cs="仿宋_GB2312" w:eastAsia="仿宋_GB2312"/>
              </w:rPr>
              <w:t>商务部分20.00分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项目实施方案</w:t>
            </w:r>
          </w:p>
        </w:tc>
        <w:tc>
          <w:tcPr>
            <w:tcW w:type="dxa" w:w="2492"/>
          </w:tcPr>
          <w:p>
            <w:pPr>
              <w:pStyle w:val="null3"/>
              <w:jc w:val="left"/>
            </w:pPr>
            <w:r>
              <w:rPr>
                <w:rFonts w:ascii="仿宋_GB2312" w:hAnsi="仿宋_GB2312" w:cs="仿宋_GB2312" w:eastAsia="仿宋_GB2312"/>
              </w:rPr>
              <w:t>供应商应提供科学、合理、具体、全面的项目实施方案。至少包括：①防制环境的熟悉程度；②灭⿏⽅案；③灭蚊⽅案；④灭蝇⽅案；⑤灭蟑⽅案；⑥消杀⽅案；⑦残留药物处理及药物废弃物回收⽅案；⑧安全防控措施等内容。包含以上全部内容得8分。在8项内容中，每存在一项内容缺陷的，每项扣1分，扣完为止。 评审委员会对各投标人提供的项目实施方案的编写质量进行综合评审： （1）方案科学合理，针对性强，能完全满足项目要求，得7分； （2）方案相对合理，针对性较强，能满足项目要求，得5分； （3）方案不够科学合理，针对性不够强，能基本满足项目要求，得3分； （4）方案不够科学合理，针对性不强，不能满足项目要求，得1分； （5）不提供方案者不得分。 注：内容缺陷指不满足本项目采购需求，存在不适用本项目实际需求情况的情形（与项目实际不匹配不符合项目特点）、凭空捏造、逻辑漏洞、内容过于简单、科学原理错误或不可实现的夸大情形等。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p>
            <w:pPr>
              <w:pStyle w:val="null3"/>
              <w:jc w:val="left"/>
            </w:pPr>
            <w:r>
              <w:rPr>
                <w:rFonts w:ascii="仿宋_GB2312" w:hAnsi="仿宋_GB2312" w:cs="仿宋_GB2312" w:eastAsia="仿宋_GB2312"/>
              </w:rPr>
              <w:t>技术参数响应表</w:t>
            </w:r>
          </w:p>
        </w:tc>
      </w:tr>
      <w:tr>
        <w:tc>
          <w:tcPr>
            <w:tcW w:type="dxa" w:w="831"/>
            <w:vMerge/>
          </w:tcPr>
          <w:p/>
        </w:tc>
        <w:tc>
          <w:tcPr>
            <w:tcW w:type="dxa" w:w="1661"/>
          </w:tcPr>
          <w:p>
            <w:pPr>
              <w:pStyle w:val="null3"/>
              <w:jc w:val="left"/>
            </w:pPr>
            <w:r>
              <w:rPr>
                <w:rFonts w:ascii="仿宋_GB2312" w:hAnsi="仿宋_GB2312" w:cs="仿宋_GB2312" w:eastAsia="仿宋_GB2312"/>
              </w:rPr>
              <w:t>监测⽅案</w:t>
            </w:r>
          </w:p>
        </w:tc>
        <w:tc>
          <w:tcPr>
            <w:tcW w:type="dxa" w:w="2492"/>
          </w:tcPr>
          <w:p>
            <w:pPr>
              <w:pStyle w:val="null3"/>
              <w:jc w:val="left"/>
            </w:pPr>
            <w:r>
              <w:rPr>
                <w:rFonts w:ascii="仿宋_GB2312" w:hAnsi="仿宋_GB2312" w:cs="仿宋_GB2312" w:eastAsia="仿宋_GB2312"/>
              </w:rPr>
              <w:t>供应商应提供科学、合理、具体、全面的项目监测方案。至少包括：①监测范围理解；②监测区域概况；③监测内容；④监测方法；⑤监测点位布设方案；⑥人员、仪器、耗材配置方案；⑦数据采集、记录及报送方案；⑧密度分级、预警与处置联动机制等 内容。包含以上全部内容得8分。在8项内容中，每存在一项内容缺陷的，每项扣1分，扣完为止。 评审委员会对各投标人提供的项目实施方案的监测方案进行综合评审： （1）方案科学合理，针对性强，能完全满足项目要求，得7分； （2）方案相对合理，针对性较强，能满足项目要求，得5分； （3）方案不够科学合理，针对性不够强，能基本满足项目要求，得3分； （4）方案不够科学合理，针对性不强，不能满足项目要求，得1分； （5）不提供方案者不得分。 注：内容缺陷指不满足本项目采购需求，存在不适用本项目实际需求情况的情形（与项目实际不匹配不符合项目特点）、凭空捏造、逻辑漏洞、内容过于简单、科学原理错误或不可实现的夸大情形等。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p>
            <w:pPr>
              <w:pStyle w:val="null3"/>
              <w:jc w:val="left"/>
            </w:pPr>
            <w:r>
              <w:rPr>
                <w:rFonts w:ascii="仿宋_GB2312" w:hAnsi="仿宋_GB2312" w:cs="仿宋_GB2312" w:eastAsia="仿宋_GB2312"/>
              </w:rPr>
              <w:t>技术参数响应表</w:t>
            </w:r>
          </w:p>
        </w:tc>
      </w:tr>
      <w:tr>
        <w:tc>
          <w:tcPr>
            <w:tcW w:type="dxa" w:w="831"/>
            <w:vMerge/>
          </w:tcPr>
          <w:p/>
        </w:tc>
        <w:tc>
          <w:tcPr>
            <w:tcW w:type="dxa" w:w="1661"/>
          </w:tcPr>
          <w:p>
            <w:pPr>
              <w:pStyle w:val="null3"/>
              <w:jc w:val="left"/>
            </w:pPr>
            <w:r>
              <w:rPr>
                <w:rFonts w:ascii="仿宋_GB2312" w:hAnsi="仿宋_GB2312" w:cs="仿宋_GB2312" w:eastAsia="仿宋_GB2312"/>
              </w:rPr>
              <w:t>⽤药⽅案</w:t>
            </w:r>
          </w:p>
        </w:tc>
        <w:tc>
          <w:tcPr>
            <w:tcW w:type="dxa" w:w="2492"/>
          </w:tcPr>
          <w:p>
            <w:pPr>
              <w:pStyle w:val="null3"/>
              <w:jc w:val="left"/>
            </w:pPr>
            <w:r>
              <w:rPr>
                <w:rFonts w:ascii="仿宋_GB2312" w:hAnsi="仿宋_GB2312" w:cs="仿宋_GB2312" w:eastAsia="仿宋_GB2312"/>
              </w:rPr>
              <w:t>供应商应提供科学、合理、具体、全面的用药方案。至少包括：①用药依据；②用药原则；③药剂选择方案；④分病种用药方案；⑤施药工艺、频次及轮换方案；⑥分区差异化管控方案；⑦药剂存储、运输及废弃物处置方案；⑧安全防护及应急处置方案等内容。包含以上全部内容得8分。在8项内容中，每存在一项内容缺陷的，每项扣1分，扣完为止。 评审委员会对各投标人提供的项目实施方案的用药方案进行综合评审： （1）方案科学合理，针对性强，能完全满足项目要求，得7分； （2）方案相对合理，针对性较强，能满足项目要求，得5分； （3）方案不够科学合理，针对性不够强，能基本满足项目要求，得3分； （4）方案不够科学合理，针对性不强，不能满足项目要求，得1分； （5）不提供方案者不得分。 注：内容缺陷指不满足本项目采购需求，存在不适用本项目实际需求情况的情形（与项目实际不匹配不符合项目特点）、凭空捏造、逻辑漏洞、内容过于简单、科学原理错误或不可实现的夸大情形等。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p>
            <w:pPr>
              <w:pStyle w:val="null3"/>
              <w:jc w:val="left"/>
            </w:pPr>
            <w:r>
              <w:rPr>
                <w:rFonts w:ascii="仿宋_GB2312" w:hAnsi="仿宋_GB2312" w:cs="仿宋_GB2312" w:eastAsia="仿宋_GB2312"/>
              </w:rPr>
              <w:t>技术参数响应表</w:t>
            </w:r>
          </w:p>
        </w:tc>
      </w:tr>
      <w:tr>
        <w:tc>
          <w:tcPr>
            <w:tcW w:type="dxa" w:w="831"/>
            <w:vMerge/>
          </w:tcPr>
          <w:p/>
        </w:tc>
        <w:tc>
          <w:tcPr>
            <w:tcW w:type="dxa" w:w="1661"/>
          </w:tcPr>
          <w:p>
            <w:pPr>
              <w:pStyle w:val="null3"/>
              <w:jc w:val="left"/>
            </w:pPr>
            <w:r>
              <w:rPr>
                <w:rFonts w:ascii="仿宋_GB2312" w:hAnsi="仿宋_GB2312" w:cs="仿宋_GB2312" w:eastAsia="仿宋_GB2312"/>
              </w:rPr>
              <w:t>管理⽅案</w:t>
            </w:r>
          </w:p>
        </w:tc>
        <w:tc>
          <w:tcPr>
            <w:tcW w:type="dxa" w:w="2492"/>
          </w:tcPr>
          <w:p>
            <w:pPr>
              <w:pStyle w:val="null3"/>
              <w:jc w:val="left"/>
            </w:pPr>
            <w:r>
              <w:rPr>
                <w:rFonts w:ascii="仿宋_GB2312" w:hAnsi="仿宋_GB2312" w:cs="仿宋_GB2312" w:eastAsia="仿宋_GB2312"/>
              </w:rPr>
              <w:t>供应商应提供科学、合理、具体、全面的管理方案。至少包括：①项目组织管理架构；②管理制度体系；③全过程工作管理方案；④质量管理与考核机制；⑤安全管理；⑥台账与资料管理方案；⑦进度及工作计划管控方案；⑧成果交付与验收管理方案等内容。包含以上全部内容得8分。在8项内容中，每存在一项内容缺陷的，每项扣1分，扣完为止。 评审委员会对各投标人提供的管理方案的管理方案进行综合评审： （1）方案科学合理，针对性强，能完全满足项目要求，得7分； （2）方案相对合理，针对性较强，能满足项目要求，得5分； （3）方案不够科学合理，针对性不够强，能基本满足项目要求，得3分； （4）方案不够科学合理，针对性不强，不能满足项目要求，得1分； （5）不提供方案者不得分。 注：内容缺陷指不满足本项目采购需求，存在不适用本项目实际需求情况的情形（与项目实际不匹配不符合项目特点）、凭空捏造、逻辑漏洞、内容过于简单、科学原理错误或不可实现的夸大情形等。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技术参数响应表</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应急⽅案</w:t>
            </w:r>
          </w:p>
        </w:tc>
        <w:tc>
          <w:tcPr>
            <w:tcW w:type="dxa" w:w="2492"/>
          </w:tcPr>
          <w:p>
            <w:pPr>
              <w:pStyle w:val="null3"/>
              <w:jc w:val="left"/>
            </w:pPr>
            <w:r>
              <w:rPr>
                <w:rFonts w:ascii="仿宋_GB2312" w:hAnsi="仿宋_GB2312" w:cs="仿宋_GB2312" w:eastAsia="仿宋_GB2312"/>
              </w:rPr>
              <w:t>供应商应提供科学、合理、具体、全面的应急方案。至少包括：①应急队伍配置；②响应时间；③突发卫⽣事件；④卫⽣中毒事件；⑤迎检措施等⽅案，包含以上全部内容得5分。在5项内容中，每存在一项内容缺陷的，每项扣1分，扣完为止。 评审委员会对各投标人提供的管理方案的管理方案进行综合评审： （1）方案科学合理，针对性强，能完全满足项目要求，得5分； （2）方案相对合理，针对性较强，能满足项目要求，得4分； （3）方案不够科学合理，针对性不够强，能基本满足项目要求，得3分； （4）方案不够科学合理，针对性不强，不能满足项目要求，得1分； （5）不提供方案者不得分。 注：内容缺陷指不满足本项目采购需求，存在不适用本项目实际需求情况的情形（与项目实际不匹配不符合项目特点）、凭空捏造、逻辑漏洞、内容过于简单、科学原理错误或不可实现的夸大情形等。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p>
            <w:pPr>
              <w:pStyle w:val="null3"/>
              <w:jc w:val="left"/>
            </w:pPr>
            <w:r>
              <w:rPr>
                <w:rFonts w:ascii="仿宋_GB2312" w:hAnsi="仿宋_GB2312" w:cs="仿宋_GB2312" w:eastAsia="仿宋_GB2312"/>
              </w:rPr>
              <w:t>技术参数响应表</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企业类似业绩</w:t>
            </w:r>
          </w:p>
        </w:tc>
        <w:tc>
          <w:tcPr>
            <w:tcW w:type="dxa" w:w="2492"/>
          </w:tcPr>
          <w:p>
            <w:pPr>
              <w:pStyle w:val="null3"/>
              <w:jc w:val="left"/>
            </w:pPr>
            <w:r>
              <w:rPr>
                <w:rFonts w:ascii="仿宋_GB2312" w:hAnsi="仿宋_GB2312" w:cs="仿宋_GB2312" w:eastAsia="仿宋_GB2312"/>
              </w:rPr>
              <w:t>2023年9月1日以来，供应商每有1项城区或乡镇/街道的病媒生物防制（有害生物防制）服务业绩的得2.5分，本项满分10分，已完成或在实施项目均可。 注： 1.仅药品供货、单纯环境消毒项目不属于本项业绩范围，不予计分； 2.须提供加盖公章的合同复印件作为证明，时间以合同签订日期为准。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供应商类似向项目业绩一览表</w:t>
            </w:r>
          </w:p>
        </w:tc>
      </w:tr>
      <w:tr>
        <w:tc>
          <w:tcPr>
            <w:tcW w:type="dxa" w:w="831"/>
            <w:vMerge/>
          </w:tcPr>
          <w:p/>
        </w:tc>
        <w:tc>
          <w:tcPr>
            <w:tcW w:type="dxa" w:w="1661"/>
          </w:tcPr>
          <w:p>
            <w:pPr>
              <w:pStyle w:val="null3"/>
              <w:jc w:val="left"/>
            </w:pPr>
            <w:r>
              <w:rPr>
                <w:rFonts w:ascii="仿宋_GB2312" w:hAnsi="仿宋_GB2312" w:cs="仿宋_GB2312" w:eastAsia="仿宋_GB2312"/>
              </w:rPr>
              <w:t>企业服务能力</w:t>
            </w:r>
          </w:p>
        </w:tc>
        <w:tc>
          <w:tcPr>
            <w:tcW w:type="dxa" w:w="2492"/>
          </w:tcPr>
          <w:p>
            <w:pPr>
              <w:pStyle w:val="null3"/>
              <w:jc w:val="left"/>
            </w:pPr>
            <w:r>
              <w:rPr>
                <w:rFonts w:ascii="仿宋_GB2312" w:hAnsi="仿宋_GB2312" w:cs="仿宋_GB2312" w:eastAsia="仿宋_GB2312"/>
              </w:rPr>
              <w:t>病媒⽣物防制服务机构资质等级证书：提供具有市县级及以上⾏业协会颁发的“有害⽣物防制服务”资质或服务能⼒证书，A级（甲级或同等级别）得4分；B级（⼄级或同等级别）的得2.5分；C级（丙级或同等级别）的得1分。 注：提供证书复印件，同时提供发证机构在“中国社会组织政务服务平台”（https://xxgs.chinanpo.mca.gov.cn/）的查询结果截图。证书复印件及截图加盖公章。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企业人员实力</w:t>
            </w:r>
          </w:p>
        </w:tc>
        <w:tc>
          <w:tcPr>
            <w:tcW w:type="dxa" w:w="2492"/>
          </w:tcPr>
          <w:p>
            <w:pPr>
              <w:pStyle w:val="null3"/>
              <w:jc w:val="left"/>
            </w:pPr>
            <w:r>
              <w:rPr>
                <w:rFonts w:ascii="仿宋_GB2312" w:hAnsi="仿宋_GB2312" w:cs="仿宋_GB2312" w:eastAsia="仿宋_GB2312"/>
              </w:rPr>
              <w:t>供应商每有1人持有人社备案评价机构颁发的有害生物防制员职业技能等级证书（四级/中级及以上）得2分；每有1人持有人社备案评价机构颁发的有害生物防制员职业技能等级证书（五级/初级及以上）得1分。 本项满分6分。 注：须提供人员相关证书复印件、在技能人才评价证书全国联网查询系统查询网页截图加盖公章及人员自2026年6月份至今任意一个月在本单位的社保缴纳证明材料。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报价函</w:t>
            </w:r>
          </w:p>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投标（响应）报价明细表（分项报价明细表）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HLCC2026330</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2026年屯昌县病媒生物防制服务项目</w:t>
      </w:r>
    </w:p>
    <w:p>
      <w:pPr>
        <w:pStyle w:val="null3"/>
        <w:spacing w:lineRule="exact" w:line="375"/>
        <w:jc w:val="left"/>
      </w:pPr>
      <w:r>
        <w:rPr>
          <w:rFonts w:ascii="仿宋_GB2312" w:hAnsi="仿宋_GB2312" w:cs="仿宋_GB2312" w:eastAsia="仿宋_GB2312"/>
        </w:rPr>
        <w:t>采购包号：</w:t>
      </w:r>
      <w:r>
        <w:rPr>
          <w:rFonts w:ascii="仿宋_GB2312" w:hAnsi="仿宋_GB2312" w:cs="仿宋_GB2312" w:eastAsia="仿宋_GB2312"/>
        </w:rPr>
        <w:t>1</w:t>
      </w:r>
    </w:p>
    <w:p>
      <w:pPr>
        <w:pStyle w:val="null3"/>
        <w:spacing w:lineRule="exact" w:line="375"/>
        <w:jc w:val="left"/>
      </w:pPr>
      <w:r>
        <w:rPr>
          <w:rFonts w:ascii="仿宋_GB2312" w:hAnsi="仿宋_GB2312" w:cs="仿宋_GB2312" w:eastAsia="仿宋_GB2312"/>
        </w:rPr>
        <w:t>采购包名称：</w:t>
      </w:r>
      <w:r>
        <w:rPr>
          <w:rFonts w:ascii="仿宋_GB2312" w:hAnsi="仿宋_GB2312" w:cs="仿宋_GB2312" w:eastAsia="仿宋_GB2312"/>
        </w:rPr>
        <w:t>(2026年屯昌县病媒生物防制服务项目)</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C04110000-公共卫生事件防控服务</w:t>
            </w:r>
          </w:p>
        </w:tc>
        <w:tc>
          <w:tcPr>
            <w:tcW w:type="dxa" w:w="1038"/>
          </w:tcPr>
          <w:p>
            <w:pPr>
              <w:pStyle w:val="null3"/>
              <w:jc w:val="left"/>
            </w:pPr>
            <w:r>
              <w:rPr>
                <w:rFonts w:ascii="仿宋_GB2312" w:hAnsi="仿宋_GB2312" w:cs="仿宋_GB2312" w:eastAsia="仿宋_GB2312"/>
              </w:rPr>
              <w:t xml:space="preserve"> 1.00批</w:t>
            </w:r>
          </w:p>
        </w:tc>
        <w:tc>
          <w:tcPr>
            <w:tcW w:type="dxa" w:w="1038"/>
          </w:tcPr>
          <w:p>
            <w:pPr>
              <w:pStyle w:val="null3"/>
              <w:jc w:val="left"/>
            </w:pPr>
            <w:r>
              <w:rPr>
                <w:rFonts w:ascii="仿宋_GB2312" w:hAnsi="仿宋_GB2312" w:cs="仿宋_GB2312" w:eastAsia="仿宋_GB2312"/>
              </w:rPr>
              <w:t xml:space="preserve"> 1860000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after="225"/>
        <w:ind w:left="225"/>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详见附件：投标（响应）报价明细表（分项报价明细表）</w:t>
      </w:r>
    </w:p>
    <w:p>
      <w:pPr>
        <w:pStyle w:val="null3"/>
        <w:ind w:firstLine="960"/>
        <w:jc w:val="left"/>
      </w:pPr>
      <w:r>
        <w:rPr>
          <w:rFonts w:ascii="仿宋_GB2312" w:hAnsi="仿宋_GB2312" w:cs="仿宋_GB2312" w:eastAsia="仿宋_GB2312"/>
        </w:rPr>
        <w:t>详见附件：报价函</w:t>
      </w:r>
    </w:p>
    <w:p>
      <w:pPr>
        <w:pStyle w:val="null3"/>
        <w:ind w:firstLine="960"/>
        <w:jc w:val="left"/>
      </w:pPr>
      <w:r>
        <w:rPr>
          <w:rFonts w:ascii="仿宋_GB2312" w:hAnsi="仿宋_GB2312" w:cs="仿宋_GB2312" w:eastAsia="仿宋_GB2312"/>
        </w:rPr>
        <w:t>详见附件：报价函附录</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详见附件：供应商类似向项目业绩一览表</w:t>
      </w:r>
    </w:p>
    <w:p>
      <w:pPr>
        <w:pStyle w:val="null3"/>
        <w:ind w:firstLine="960"/>
        <w:jc w:val="left"/>
      </w:pPr>
      <w:r>
        <w:rPr>
          <w:rFonts w:ascii="仿宋_GB2312" w:hAnsi="仿宋_GB2312" w:cs="仿宋_GB2312" w:eastAsia="仿宋_GB2312"/>
        </w:rPr>
        <w:t>详见附件：供应商基本情况表</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