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12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2026年度登革热、基孔肯雅热防控灭蚊消杀</w:t>
      </w:r>
    </w:p>
    <w:p w14:paraId="063F6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服务需求及费用测算</w:t>
      </w:r>
    </w:p>
    <w:p w14:paraId="518CA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80E1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、2026年服务需求</w:t>
      </w:r>
    </w:p>
    <w:p w14:paraId="425B3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（一）服务范围</w:t>
      </w:r>
    </w:p>
    <w:p w14:paraId="5F907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城市职业技术学院（东校区、西校区，地址：珠海市金湾区德城路680号）内所属全部建筑物室内公共区域（包括行政楼、教室、师生宿舍楼、图书馆、体育馆等区域的洗手间、走廊通道、楼梯通道），以及外围环境、绿化带、下水道、地下车库、垃圾收集站、在建工程等蚊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滋生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重点区域。</w:t>
      </w:r>
    </w:p>
    <w:p w14:paraId="241D9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（二）服务内容</w:t>
      </w:r>
    </w:p>
    <w:p w14:paraId="6664C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服务时间：按照甲方要求时间入校开展消杀服务，预计全年共消杀10次；</w:t>
      </w:r>
    </w:p>
    <w:p w14:paraId="61659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内容：对服务范围内全部建筑物室内公共区域及外围环境、绿化带、下水道、地下车库、垃圾收集站、在建工程等蚊虫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滋生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重点区域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开展消杀，</w:t>
      </w:r>
      <w:r>
        <w:rPr>
          <w:rFonts w:hint="eastAsia" w:ascii="仿宋_GB2312" w:hAnsi="仿宋_GB2312" w:eastAsia="仿宋_GB2312" w:cs="仿宋_GB2312"/>
          <w:sz w:val="32"/>
          <w:szCs w:val="32"/>
        </w:rPr>
        <w:t>降低蚊虫繁殖密度，做好预防登革热、基孔肯雅热蚊虫防控消杀工作；</w:t>
      </w:r>
    </w:p>
    <w:p w14:paraId="75D07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</w:t>
      </w:r>
    </w:p>
    <w:p w14:paraId="667B4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使用国家认证、环保安全及疾控中心部门推荐使用、对蚊虫灭杀敏感的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卫生消杀药剂（WP开头）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；消杀作业应符合《病媒生物预防控制技术规范》（GB/T 27770-2011）相关标准；作业人员须持证上岗，配备必要的防护装备；作业时需进行现场拍照、记录并归档备查，配合甲方考核评估；防控消杀标准按疾控中心部门要求执行，效果须保证达到防控要求。</w:t>
      </w:r>
    </w:p>
    <w:p w14:paraId="6211D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二、费用测算</w:t>
      </w:r>
    </w:p>
    <w:p w14:paraId="388F9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（一）测算依据</w:t>
      </w:r>
    </w:p>
    <w:p w14:paraId="42912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预算总额：49,000.00元（人民币肆万玖仟元整）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包干价，包含6%增值税专用发票、人工、药物、车辆、器械、劳保物资等一切费用。</w:t>
      </w:r>
    </w:p>
    <w:p w14:paraId="75010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（二）测算说明</w:t>
      </w:r>
    </w:p>
    <w:p w14:paraId="260B5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预计消杀共10次，按甲方要求时间入校开展作业。单次包干限价4,900.00元/次，总费用不超过49,000.00元。</w:t>
      </w:r>
    </w:p>
    <w:p w14:paraId="48813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（三）测算表</w:t>
      </w:r>
    </w:p>
    <w:tbl>
      <w:tblPr>
        <w:tblStyle w:val="12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"/>
        <w:gridCol w:w="3758"/>
        <w:gridCol w:w="1357"/>
        <w:gridCol w:w="1857"/>
        <w:gridCol w:w="1325"/>
      </w:tblGrid>
      <w:tr w14:paraId="2A88A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72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D5E8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F2D2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375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D5E8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3CB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消杀类别</w:t>
            </w:r>
          </w:p>
        </w:tc>
        <w:tc>
          <w:tcPr>
            <w:tcW w:w="1357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D5E8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78FD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次数（次）</w:t>
            </w:r>
          </w:p>
        </w:tc>
        <w:tc>
          <w:tcPr>
            <w:tcW w:w="1857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D5E8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1C86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（元/次）</w:t>
            </w:r>
          </w:p>
        </w:tc>
        <w:tc>
          <w:tcPr>
            <w:tcW w:w="1325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D5E8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1EA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小计（元）</w:t>
            </w:r>
          </w:p>
        </w:tc>
      </w:tr>
      <w:tr w14:paraId="100D9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D111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375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FEF2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防蚊消杀服务（全年预计10次）</w:t>
            </w:r>
          </w:p>
        </w:tc>
        <w:tc>
          <w:tcPr>
            <w:tcW w:w="1357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1B96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1857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7A43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4,900.00</w:t>
            </w:r>
          </w:p>
        </w:tc>
        <w:tc>
          <w:tcPr>
            <w:tcW w:w="1325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FDF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49,000.00</w:t>
            </w:r>
          </w:p>
        </w:tc>
      </w:tr>
      <w:tr w14:paraId="79C06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DC65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5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345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合计（总包干限价，不超过）</w:t>
            </w:r>
          </w:p>
        </w:tc>
        <w:tc>
          <w:tcPr>
            <w:tcW w:w="1357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CAFD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1857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439C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4,900.00</w:t>
            </w:r>
          </w:p>
        </w:tc>
        <w:tc>
          <w:tcPr>
            <w:tcW w:w="1325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48C8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49,000.00</w:t>
            </w:r>
          </w:p>
        </w:tc>
      </w:tr>
    </w:tbl>
    <w:p w14:paraId="00516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0F1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">
    <w:altName w:val="黑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F45C76">
    <w:pPr>
      <w:jc w:val="center"/>
    </w:pPr>
    <w:r>
      <w:t xml:space="preserve">第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t xml:space="preserve"> 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A07690F"/>
    <w:rsid w:val="403921FC"/>
    <w:rsid w:val="4F2E12FB"/>
    <w:rsid w:val="5BD639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思源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思源黑体" w:cs="Times New Roman"/>
      <w:sz w:val="24"/>
      <w:szCs w:val="24"/>
    </w:rPr>
  </w:style>
  <w:style w:type="paragraph" w:styleId="2">
    <w:name w:val="heading 1"/>
    <w:next w:val="1"/>
    <w:qFormat/>
    <w:uiPriority w:val="0"/>
    <w:pPr>
      <w:spacing w:before="240" w:after="160"/>
      <w:outlineLvl w:val="0"/>
    </w:pPr>
    <w:rPr>
      <w:rFonts w:ascii="Times New Roman" w:hAnsi="Times New Roman" w:eastAsia="思源黑体" w:cs="Times New Roman"/>
      <w:b/>
      <w:bCs/>
      <w:sz w:val="30"/>
      <w:szCs w:val="30"/>
    </w:rPr>
  </w:style>
  <w:style w:type="paragraph" w:styleId="3">
    <w:name w:val="heading 2"/>
    <w:next w:val="1"/>
    <w:qFormat/>
    <w:uiPriority w:val="0"/>
    <w:pPr>
      <w:spacing w:before="160" w:after="100"/>
      <w:outlineLvl w:val="1"/>
    </w:pPr>
    <w:rPr>
      <w:rFonts w:ascii="Times New Roman" w:hAnsi="Times New Roman" w:eastAsia="思源黑体" w:cs="Times New Roman"/>
      <w:b/>
      <w:bCs/>
      <w:sz w:val="26"/>
      <w:szCs w:val="26"/>
    </w:rPr>
  </w:style>
  <w:style w:type="paragraph" w:styleId="4">
    <w:name w:val="heading 3"/>
    <w:next w:val="1"/>
    <w:qFormat/>
    <w:uiPriority w:val="0"/>
    <w:rPr>
      <w:rFonts w:ascii="Times New Roman" w:hAnsi="Times New Roman" w:eastAsia="思源黑体" w:cs="Times New Roman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思源黑体" w:cs="Times New Roman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Times New Roman" w:hAnsi="Times New Roman" w:eastAsia="思源黑体" w:cs="Times New Roman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Times New Roman" w:hAnsi="Times New Roman" w:eastAsia="思源黑体" w:cs="Times New Roman"/>
      <w:color w:val="1F4D78"/>
      <w:sz w:val="24"/>
      <w:szCs w:val="2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paragraph" w:styleId="9">
    <w:name w:val="endnote text"/>
    <w:link w:val="19"/>
    <w:semiHidden/>
    <w:unhideWhenUsed/>
    <w:qFormat/>
    <w:uiPriority w:val="99"/>
    <w:pPr>
      <w:spacing w:after="0" w:line="240" w:lineRule="auto"/>
    </w:pPr>
    <w:rPr>
      <w:rFonts w:ascii="Times New Roman" w:hAnsi="Times New Roman" w:eastAsia="思源黑体" w:cs="Times New Roman"/>
      <w:sz w:val="20"/>
      <w:szCs w:val="20"/>
    </w:rPr>
  </w:style>
  <w:style w:type="paragraph" w:styleId="10">
    <w:name w:val="footnote text"/>
    <w:link w:val="18"/>
    <w:semiHidden/>
    <w:unhideWhenUsed/>
    <w:qFormat/>
    <w:uiPriority w:val="99"/>
    <w:pPr>
      <w:spacing w:after="0" w:line="240" w:lineRule="auto"/>
    </w:pPr>
    <w:rPr>
      <w:rFonts w:ascii="Times New Roman" w:hAnsi="Times New Roman" w:eastAsia="思源黑体" w:cs="Times New Roman"/>
      <w:sz w:val="20"/>
      <w:szCs w:val="20"/>
    </w:rPr>
  </w:style>
  <w:style w:type="paragraph" w:styleId="11">
    <w:name w:val="Title"/>
    <w:qFormat/>
    <w:uiPriority w:val="0"/>
    <w:rPr>
      <w:rFonts w:ascii="Times New Roman" w:hAnsi="Times New Roman" w:eastAsia="思源黑体" w:cs="Times New Roman"/>
      <w:sz w:val="56"/>
      <w:szCs w:val="56"/>
    </w:rPr>
  </w:style>
  <w:style w:type="character" w:styleId="14">
    <w:name w:val="endnote reference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footnote reference"/>
    <w:semiHidden/>
    <w:unhideWhenUsed/>
    <w:qFormat/>
    <w:uiPriority w:val="99"/>
    <w:rPr>
      <w:vertAlign w:val="superscript"/>
    </w:rPr>
  </w:style>
  <w:style w:type="paragraph" w:styleId="17">
    <w:name w:val="List Paragraph"/>
    <w:qFormat/>
    <w:uiPriority w:val="0"/>
    <w:rPr>
      <w:rFonts w:ascii="Times New Roman" w:hAnsi="Times New Roman" w:eastAsia="思源黑体" w:cs="Times New Roman"/>
      <w:sz w:val="24"/>
      <w:szCs w:val="24"/>
    </w:rPr>
  </w:style>
  <w:style w:type="character" w:customStyle="1" w:styleId="18">
    <w:name w:val="Footnote Text Char"/>
    <w:link w:val="10"/>
    <w:semiHidden/>
    <w:unhideWhenUsed/>
    <w:qFormat/>
    <w:uiPriority w:val="99"/>
    <w:rPr>
      <w:sz w:val="20"/>
      <w:szCs w:val="20"/>
    </w:rPr>
  </w:style>
  <w:style w:type="character" w:customStyle="1" w:styleId="19">
    <w:name w:val="Endnote Text Char"/>
    <w:link w:val="9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6b8ec1de-6384-4a03-a4a0-841f6261fca0</errorID>
      <errorWord>孳生</errorWord>
      <group>L1_Word</group>
      <groupName>字词问题</groupName>
      <ability>L2_Alias</ability>
      <abilityName>也作/曾用词</abilityName>
      <candidateList>
        <item>滋生</item>
      </candidateList>
      <explain>词汇[孳生]为不规范表述或旧称，其规范书面表述为[滋生]。</explain>
      <paraID>5F907861</paraID>
      <start>125</start>
      <end>127</end>
      <status>modified</status>
      <modifiedWord>滋生</modifiedWord>
      <trackRevisions>false</trackRevisions>
    </reviewItem>
    <reviewItem>
      <errorID>e53228e2-856e-4e72-93b6-f525ea32bfa9</errorID>
      <errorWord>孳生</errorWord>
      <group>L1_Word</group>
      <groupName>字词问题</groupName>
      <ability>L2_Alias</ability>
      <abilityName>也作/曾用词</abilityName>
      <candidateList>
        <item>滋生</item>
      </candidateList>
      <explain>词汇[孳生]为不规范表述或旧称，其规范书面表述为[滋生]。</explain>
      <paraID>61659DC5</paraID>
      <start>56</start>
      <end>58</end>
      <status>modified</status>
      <modifiedWord>滋生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09bdd85-7217-41f8-9298-2b27cc6735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648</Words>
  <Characters>730</Characters>
  <TotalTime>984</TotalTime>
  <ScaleCrop>false</ScaleCrop>
  <LinksUpToDate>false</LinksUpToDate>
  <CharactersWithSpaces>732</CharactersWithSpaces>
  <Application>WPS Office_12.1.0.26381_F1E327BC-269C-435d-A152-05C5408002CA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2026-09-02T07:50:00Z</dcterms:created>
  <dc:creator>Un-named</dc:creator>
  <cp:lastModifiedBy>关文蓝</cp:lastModifiedBy>
  <dcterms:modified xsi:type="dcterms:W3CDTF">2026-09-04T01:13:43Z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{"Label":"1","ContentProducer":"001191440300708461136T1WFUO","ProduceID":"b35dbad732a64f06244710a7b2da9093-MKet","ReservedCode1":"{\"Type\":\" TC260PG\",\"Version\":1,\"Bindings\":[{\"Type\":\"soft\",\"AlgID\":\"sm3\",\"Value\":\"9d7679ec071fd7517b3a7f9504afb4e6b75a4ef3a381cd3d2a9c2561e3e9bf6a\"},{\"Type\":\"hash\",\"AlgID\":\"sm3\",\"Value\":\"20d812947b841959ee618ae0c22341cd6d01ce02ca8e4c6f0a9d1c3d2c199a11\"}],\"PubSD\":[{\"Type\":\"DS\",\"AlgID\":\"sm2\",\"TBSData\":{\"Type\":\"Binding\",\"BType\":\"hash\"},\"Signature\":\"304402204527cff4d6eb83e6215074f7811272d1fedf89a55de1e5832f23df443e3b21cd022025d84c7a6b0a9013df4083c770e70cd9a02e125ecc9302433fadcec0b083d55d\"},{\"Type\":\"PubKey\",\"AlgID\":\"sm2\",\"KeyValue\":\"0407f79b28a17a752b3aae4305c98b48978213832729a2571850b1310b2bc9fe8fee039ccf25ebfeac27502414d9fcef792d777183c98893d226171c2f7a3289a2\"}],\"Extension\":{\"Timestamp\":1788399146,\"KeyVersion\":\"v1-TxLeOmf7bqU223\"}}","ContentPropagator":"001191440300708461136T1WFUO","PropagateID":"b35dbad732a64f06244710a7b2da9093-MKet","ReservedCode2":"{\"Type\":\" TC260PG\",\"Version\":1,\"Bindings\":[{\"Type\":\"soft\",\"AlgID\":\"sm3\",\"Value\":\"9d7679ec071fd7517b3a7f9504afb4e6b75a4ef3a381cd3d2a9c2561e3e9bf6a\"},{\"Type\":\"hash\",\"AlgID\":\"sm3\",\"Value\":\"20d812947b841959ee618ae0c22341cd6d01ce02ca8e4c6f0a9d1c3d2c199a11\"}],\"PubSD\":[{\"Type\":\"DS\",\"AlgID\":\"sm2\",\"TBSData\":{\"Type\":\"Binding\",\"BType\":\"hash\"},\"Signature\":\"3045022100cd49d47e34c393ecbee49a618cfe55af355fd0a86779e5ac5543fce3fc61069e022060fab4be6fc5ece1f403cc875147038e848572fb43cddaf4dfea83bd9947828d\"},{\"Type\":\"PubKey\",\"AlgID\":\"sm2\",\"KeyValue\":\"0407f79b28a17a752b3aae4305c98b48978213832729a2571850b1310b2bc9fe8fee039ccf25ebfeac27502414d9fcef792d777183c98893d226171c2f7a3289a2\"}],\"Extension\":{\"Timestamp\":1788399146,\"KeyVersion\":\"v1-TxLeOmf7bqU223\"}}"}</vt:lpwstr>
  </property>
  <property fmtid="{D5CDD505-2E9C-101B-9397-08002B2CF9AE}" pid="3" name="KSOTemplateDocerSaveRecord">
    <vt:lpwstr>eyJoZGlkIjoiZjk5MDk3MjJmMTk3ODEyMzFhZmUyNGMxMDgxZjNlZGMiLCJ1c2VySWQiOiI0MjU3NDg0MzIifQ==</vt:lpwstr>
  </property>
  <property fmtid="{D5CDD505-2E9C-101B-9397-08002B2CF9AE}" pid="4" name="KSOProductBuildVer">
    <vt:lpwstr>2052-12.1.0.26381</vt:lpwstr>
  </property>
  <property fmtid="{D5CDD505-2E9C-101B-9397-08002B2CF9AE}" pid="5" name="ICV">
    <vt:lpwstr>74A94E4E3BB348499988E40B887AD318_12</vt:lpwstr>
  </property>
</Properties>
</file>