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445322-2026-01431</w:t>
      </w:r>
    </w:p>
    <w:p>
      <w:pPr>
        <w:pStyle w:val="null3"/>
        <w:jc w:val="center"/>
        <w:outlineLvl w:val="3"/>
      </w:pPr>
      <w:r>
        <w:rPr>
          <w:sz w:val="24"/>
          <w:b/>
        </w:rPr>
        <w:t>采购项目编号：</w:t>
      </w:r>
      <w:r>
        <w:rPr>
          <w:sz w:val="24"/>
          <w:b/>
        </w:rPr>
        <w:t>445322-2026-01431</w:t>
      </w:r>
    </w:p>
    <w:p>
      <w:pPr>
        <w:pStyle w:val="null3"/>
        <w:jc w:val="center"/>
        <w:outlineLvl w:val="3"/>
      </w:pPr>
      <w:r>
        <w:rPr>
          <w:sz w:val="24"/>
          <w:b/>
        </w:rPr>
        <w:t>项目名称：</w:t>
      </w:r>
      <w:r>
        <w:rPr>
          <w:sz w:val="24"/>
          <w:b/>
        </w:rPr>
        <w:t>2026年郁南县林业有害生物防治</w:t>
      </w:r>
    </w:p>
    <w:p>
      <w:pPr>
        <w:pStyle w:val="null3"/>
        <w:jc w:val="center"/>
        <w:outlineLvl w:val="3"/>
      </w:pPr>
      <w:r>
        <w:rPr>
          <w:sz w:val="24"/>
          <w:b/>
        </w:rPr>
        <w:t>采购人：</w:t>
      </w:r>
      <w:r>
        <w:rPr>
          <w:sz w:val="24"/>
          <w:b/>
        </w:rPr>
        <w:t>郁南县林业局</w:t>
      </w:r>
    </w:p>
    <w:p>
      <w:pPr>
        <w:pStyle w:val="null3"/>
        <w:jc w:val="center"/>
        <w:outlineLvl w:val="3"/>
      </w:pPr>
      <w:r>
        <w:rPr>
          <w:sz w:val="24"/>
          <w:b/>
        </w:rPr>
        <w:t>采购代理机构：</w:t>
      </w:r>
      <w:r>
        <w:rPr>
          <w:sz w:val="24"/>
          <w:b/>
        </w:rPr>
        <w:t>云浮市宏正项目管理咨询有限公司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云浮市宏正项目管理咨询有限公司</w:t>
      </w:r>
      <w:r>
        <w:rPr/>
        <w:t>受</w:t>
      </w:r>
      <w:r>
        <w:rPr/>
        <w:t>郁南县林业局</w:t>
      </w:r>
      <w:r>
        <w:rPr/>
        <w:t>的委托，采用</w:t>
      </w:r>
      <w:r>
        <w:rPr/>
        <w:t>公开招标</w:t>
      </w:r>
      <w:r>
        <w:rPr/>
        <w:t>方式组织采购</w:t>
      </w:r>
      <w:r>
        <w:rPr/>
        <w:t>2026年郁南县林业有害生物防治</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2026年郁南县林业有害生物防治</w:t>
      </w:r>
    </w:p>
    <w:p>
      <w:pPr>
        <w:pStyle w:val="null3"/>
        <w:ind w:firstLine="480"/>
      </w:pPr>
      <w:r>
        <w:rPr/>
        <w:t>采购计划编号：</w:t>
      </w:r>
      <w:r>
        <w:rPr/>
        <w:t>445322-2026-01431</w:t>
      </w:r>
    </w:p>
    <w:p>
      <w:pPr>
        <w:pStyle w:val="null3"/>
        <w:ind w:firstLine="480"/>
      </w:pPr>
      <w:r>
        <w:rPr/>
        <w:t>采购项目编号：</w:t>
      </w:r>
      <w:r>
        <w:rPr/>
        <w:t>445322-2026-01431</w:t>
      </w:r>
    </w:p>
    <w:p>
      <w:pPr>
        <w:pStyle w:val="null3"/>
        <w:ind w:firstLine="480"/>
      </w:pPr>
      <w:r>
        <w:rPr/>
        <w:t>采购方式：</w:t>
      </w:r>
      <w:r>
        <w:rPr/>
        <w:t>公开招标</w:t>
      </w:r>
    </w:p>
    <w:p>
      <w:pPr>
        <w:pStyle w:val="null3"/>
        <w:ind w:firstLine="480"/>
      </w:pPr>
      <w:r>
        <w:rPr/>
        <w:t>预算金额：</w:t>
      </w:r>
      <w:r>
        <w:rPr/>
        <w:t>7,230,000.00</w:t>
      </w:r>
      <w:r>
        <w:rPr/>
        <w:t>元</w:t>
      </w:r>
    </w:p>
    <w:p>
      <w:pPr>
        <w:pStyle w:val="null3"/>
        <w:outlineLvl w:val="3"/>
      </w:pPr>
      <w:r>
        <w:rPr>
          <w:sz w:val="24"/>
          <w:b/>
        </w:rPr>
        <w:t>2.项目内容及需求情况（采购项目技术规格、参数及要求）</w:t>
      </w:r>
    </w:p>
    <w:p>
      <w:pPr>
        <w:pStyle w:val="null3"/>
      </w:pPr>
      <w:r>
        <w:rPr/>
        <w:t>采购包1(2026年郁南县林业有害生物防治):</w:t>
      </w:r>
    </w:p>
    <w:p>
      <w:pPr>
        <w:pStyle w:val="null3"/>
      </w:pPr>
      <w:r>
        <w:rPr/>
        <w:t>采购包预算金额：7,230,000.00元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2026年郁南县林业有害生物防治</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合同履行期限：自合同签订之日起至2027年7月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2）有依法缴纳税收和社会保障资金的良好记录：提供《资格承诺函》，格式自拟。</w:t>
      </w:r>
    </w:p>
    <w:p>
      <w:pPr>
        <w:pStyle w:val="null3"/>
      </w:pPr>
      <w:r>
        <w:rPr/>
        <w:t>3）具有良好的商业信誉和健全的财务会计制度：提供《资格承诺函》，格式自拟。</w:t>
      </w:r>
    </w:p>
    <w:p>
      <w:pPr>
        <w:pStyle w:val="null3"/>
      </w:pPr>
      <w:r>
        <w:rPr/>
        <w:t>4）履行合同所必需的设备和专业技术能力：提供《资格承诺函》，格式自拟。</w:t>
      </w:r>
    </w:p>
    <w:p>
      <w:pPr>
        <w:pStyle w:val="null3"/>
      </w:pPr>
      <w:r>
        <w:rPr/>
        <w:t>5）参加采购活动前3年内，在经营活动中没有重大违法记录：提供《资格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采购包1（2026年郁南县林业有害生物防治）：</w:t>
      </w:r>
      <w:r>
        <w:rPr/>
        <w:t>本项目不专门面向中小企业。</w:t>
      </w:r>
    </w:p>
    <w:p>
      <w:pPr>
        <w:pStyle w:val="null3"/>
        <w:outlineLvl w:val="3"/>
      </w:pPr>
      <w:r>
        <w:rPr>
          <w:sz w:val="24"/>
          <w:b/>
        </w:rPr>
        <w:t>3.本项目特定的资格要求：</w:t>
      </w:r>
    </w:p>
    <w:p>
      <w:pPr>
        <w:pStyle w:val="null3"/>
      </w:pPr>
      <w:r>
        <w:rPr/>
        <w:t>采购包1（2026年郁南县林业有害生物防治）：</w:t>
      </w:r>
    </w:p>
    <w:p>
      <w:pPr>
        <w:pStyle w:val="null3"/>
      </w:pPr>
      <w:r>
        <w:rPr/>
        <w:t>1)投标人（或联合体各方）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提供《资格承诺函》，格式自拟。</w:t>
      </w:r>
    </w:p>
    <w:p>
      <w:pPr>
        <w:pStyle w:val="null3"/>
      </w:pPr>
      <w:r>
        <w:rPr/>
        <w:t>3)（1）投标人须具备有效期内的《林业有害生物防治组织资质》丙级或以上资质（投标时须把证明材料放在响应文件内，并加盖公章）。 （2）投标人具备以下有效期内的民航资质之一，如国家及中国民用航空局后续对前述资质过渡安排另有规定的，从其规定（投标时须把证明材料放在响应文件内，并加盖公章）：①2026年7月1日前核发的，提供《通用航空经营许可证》和《商业非运输航空运营人运行合格证》【根据《通用航空运营许可程序规定》（中华人民共和国交通运输部令2026年第13号）文件的规定，2026年7月1日前核发，且在2027年6月30日前仍有效）】。供应商还须提供《承诺函》格式自拟，承诺中标后在2027年6月30日前完成新版《通用航空运营许可证》的换发（因国家政策原因导致无法换证的除外），履约期间若旧证失效且未完成换发导致飞防停工的，由中标人自行承担责任。②2026年7月1日及以后核发的，提供新版《通用航空运营许可证》。 （3）本次采购接受联合体投标。两个及以上投标人可以组成一个投标联合体，以一个投标人的身份共同参加投标。对联合体的规定如下：1）联合体牵头人由联合体各方自行协商自主选择确定；联合体组成成员须分别具备本项目要求的林业防治资质、民航相关资质，各方资质须满足项目对应履约工作要求。2）投标人的投标文件及中标后签署的合同协议书，对联合体各方均有法律约束力。3）联合体各方应按招标文件的格式签订联合体协议书，在该协议书中必须指定牵头人，授权其代表所有联合体成员负责投标、委派项目负责人和合同实施阶段的主办、协调工作，并约定各方拟承担的工作责任和权利义务。联合体协议书必须加盖所有联合体成员公章并由其法定代表人签字或盖章确认。4）联合体各方签订联合体协议书后，不得再以自己名义单独投标或加入其他联合体在本项目中进行投标，如有违反，其投标和与此有关的联合体的投标将被拒绝。5）联合体中标后，联合体各方应当共同与采购人签订合同，为履行合同向采购人承担连带责任。联合体牵头人应被授权作为联合体各方的代表，向采购人提交承担责任和接受指令。6）联合体投标时，投标文件中除联合体协议书必须联合体各方分别按要求进行签字盖章外，投标文件封面及其他内容及落款中的“投标人”、“投标人名称”、“企业名称”等应填写联合体各方的单位全称，格式表示为：【(主)单位全称(成)单位全称……】，签（盖）章处可由联合体牵头人签（盖）章，视作符合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郁南县林业局</w:t>
      </w:r>
    </w:p>
    <w:p>
      <w:pPr>
        <w:pStyle w:val="null3"/>
        <w:ind w:firstLine="480"/>
      </w:pPr>
      <w:r>
        <w:rPr/>
        <w:t xml:space="preserve"> 地址：</w:t>
      </w:r>
      <w:r>
        <w:rPr/>
        <w:t>郁南县都城镇江滨东路28号</w:t>
      </w:r>
    </w:p>
    <w:p>
      <w:pPr>
        <w:pStyle w:val="null3"/>
        <w:ind w:firstLine="480"/>
      </w:pPr>
      <w:r>
        <w:rPr/>
        <w:t xml:space="preserve"> 联系方式：</w:t>
      </w:r>
      <w:r>
        <w:rPr/>
        <w:t>0766-7593312</w:t>
      </w:r>
    </w:p>
    <w:p>
      <w:pPr>
        <w:pStyle w:val="null3"/>
        <w:outlineLvl w:val="3"/>
      </w:pPr>
      <w:r>
        <w:rPr>
          <w:sz w:val="24"/>
          <w:b/>
        </w:rPr>
        <w:t xml:space="preserve"> 2.采购代理机构信息</w:t>
      </w:r>
    </w:p>
    <w:p>
      <w:pPr>
        <w:pStyle w:val="null3"/>
        <w:ind w:firstLine="480"/>
      </w:pPr>
      <w:r>
        <w:rPr/>
        <w:t xml:space="preserve"> 名称：</w:t>
      </w:r>
      <w:r>
        <w:rPr/>
        <w:t>云浮市宏正项目管理咨询有限公司</w:t>
      </w:r>
    </w:p>
    <w:p>
      <w:pPr>
        <w:pStyle w:val="null3"/>
        <w:ind w:firstLine="480"/>
      </w:pPr>
      <w:r>
        <w:rPr/>
        <w:t xml:space="preserve"> 地址：</w:t>
      </w:r>
      <w:r>
        <w:rPr/>
        <w:t>广东省云浮市郁南县都城镇二环东路陈雪坚住宅楼二层</w:t>
      </w:r>
    </w:p>
    <w:p>
      <w:pPr>
        <w:pStyle w:val="null3"/>
        <w:ind w:firstLine="480"/>
      </w:pPr>
      <w:r>
        <w:rPr/>
        <w:t xml:space="preserve"> 联系方式：</w:t>
      </w:r>
      <w:r>
        <w:rPr/>
        <w:t>0766-7381236</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0766-7381236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云浮市宏正项目管理咨询有限公司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2026</w:t>
      </w:r>
      <w:r>
        <w:rPr>
          <w:sz w:val="21"/>
        </w:rPr>
        <w:t>年郁南县林业有害生物防治</w:t>
      </w:r>
    </w:p>
    <w:p>
      <w:pPr>
        <w:pStyle w:val="null3"/>
        <w:jc w:val="both"/>
      </w:pPr>
      <w:r>
        <w:rPr>
          <w:sz w:val="21"/>
        </w:rPr>
        <w:t>2.</w:t>
      </w:r>
      <w:r>
        <w:rPr>
          <w:sz w:val="21"/>
        </w:rPr>
        <w:t>预算金额：</w:t>
      </w:r>
      <w:r>
        <w:rPr>
          <w:sz w:val="21"/>
        </w:rPr>
        <w:t>7230000.00</w:t>
      </w:r>
      <w:r>
        <w:rPr>
          <w:sz w:val="21"/>
        </w:rPr>
        <w:t>元（大写：柒佰贰拾叁万元整）</w:t>
      </w:r>
    </w:p>
    <w:p>
      <w:pPr>
        <w:pStyle w:val="null3"/>
        <w:jc w:val="both"/>
      </w:pPr>
      <w:r>
        <w:rPr>
          <w:sz w:val="21"/>
        </w:rPr>
        <w:t>3.</w:t>
      </w:r>
      <w:r>
        <w:rPr>
          <w:sz w:val="21"/>
        </w:rPr>
        <w:t>服务期：建设时间为</w:t>
      </w:r>
      <w:r>
        <w:rPr>
          <w:sz w:val="21"/>
        </w:rPr>
        <w:t>2026</w:t>
      </w:r>
      <w:r>
        <w:rPr>
          <w:sz w:val="21"/>
        </w:rPr>
        <w:t>年</w:t>
      </w:r>
      <w:r>
        <w:rPr>
          <w:sz w:val="21"/>
        </w:rPr>
        <w:t>9</w:t>
      </w:r>
      <w:r>
        <w:rPr>
          <w:sz w:val="21"/>
        </w:rPr>
        <w:t>月</w:t>
      </w:r>
      <w:r>
        <w:rPr>
          <w:sz w:val="21"/>
        </w:rPr>
        <w:t>—2027</w:t>
      </w:r>
      <w:r>
        <w:rPr>
          <w:sz w:val="21"/>
        </w:rPr>
        <w:t>年</w:t>
      </w:r>
      <w:r>
        <w:rPr>
          <w:sz w:val="21"/>
        </w:rPr>
        <w:t>7</w:t>
      </w:r>
      <w:r>
        <w:rPr>
          <w:sz w:val="21"/>
        </w:rPr>
        <w:t>月。其中，松材线虫病疫木清理施工时间为</w:t>
      </w:r>
      <w:r>
        <w:rPr>
          <w:sz w:val="21"/>
        </w:rPr>
        <w:t>2026</w:t>
      </w:r>
      <w:r>
        <w:rPr>
          <w:sz w:val="21"/>
        </w:rPr>
        <w:t>年</w:t>
      </w:r>
      <w:r>
        <w:rPr>
          <w:sz w:val="21"/>
        </w:rPr>
        <w:t>9</w:t>
      </w:r>
      <w:r>
        <w:rPr>
          <w:sz w:val="21"/>
        </w:rPr>
        <w:t>月</w:t>
      </w:r>
      <w:r>
        <w:rPr>
          <w:sz w:val="21"/>
        </w:rPr>
        <w:t>—2026</w:t>
      </w:r>
      <w:r>
        <w:rPr>
          <w:sz w:val="21"/>
        </w:rPr>
        <w:t>年</w:t>
      </w:r>
      <w:r>
        <w:rPr>
          <w:sz w:val="21"/>
        </w:rPr>
        <w:t>12</w:t>
      </w:r>
      <w:r>
        <w:rPr>
          <w:sz w:val="21"/>
        </w:rPr>
        <w:t>月，松材线虫病疫木清理质保期为</w:t>
      </w:r>
      <w:r>
        <w:rPr>
          <w:sz w:val="21"/>
        </w:rPr>
        <w:t>2027</w:t>
      </w:r>
      <w:r>
        <w:rPr>
          <w:sz w:val="21"/>
        </w:rPr>
        <w:t>年</w:t>
      </w:r>
      <w:r>
        <w:rPr>
          <w:sz w:val="21"/>
        </w:rPr>
        <w:t>1</w:t>
      </w:r>
      <w:r>
        <w:rPr>
          <w:sz w:val="21"/>
        </w:rPr>
        <w:t>月</w:t>
      </w:r>
      <w:r>
        <w:rPr>
          <w:sz w:val="21"/>
        </w:rPr>
        <w:t>—2027</w:t>
      </w:r>
      <w:r>
        <w:rPr>
          <w:sz w:val="21"/>
        </w:rPr>
        <w:t>年</w:t>
      </w:r>
      <w:r>
        <w:rPr>
          <w:sz w:val="21"/>
        </w:rPr>
        <w:t>7</w:t>
      </w:r>
      <w:r>
        <w:rPr>
          <w:sz w:val="21"/>
        </w:rPr>
        <w:t>月。</w:t>
      </w:r>
    </w:p>
    <w:p>
      <w:pPr>
        <w:pStyle w:val="null3"/>
        <w:jc w:val="both"/>
      </w:pPr>
      <w:r>
        <w:rPr>
          <w:sz w:val="21"/>
        </w:rPr>
        <w:t>4.</w:t>
      </w:r>
      <w:r>
        <w:rPr>
          <w:sz w:val="21"/>
        </w:rPr>
        <w:t>项目地点：郁南县内</w:t>
      </w:r>
    </w:p>
    <w:p>
      <w:pPr>
        <w:pStyle w:val="null3"/>
        <w:jc w:val="both"/>
      </w:pPr>
      <w:r>
        <w:rPr>
          <w:sz w:val="21"/>
        </w:rPr>
        <w:t>5.</w:t>
      </w:r>
      <w:r>
        <w:rPr>
          <w:sz w:val="21"/>
        </w:rPr>
        <w:t>清单一览表：</w:t>
      </w:r>
    </w:p>
    <w:tbl>
      <w:tblPr>
        <w:tblW w:w="0" w:type="auto"/>
        <w:tblBorders>
          <w:top w:val="none" w:color="000000" w:sz="4"/>
          <w:left w:val="none" w:color="000000" w:sz="4"/>
          <w:bottom w:val="none" w:color="000000" w:sz="4"/>
          <w:right w:val="none" w:color="000000" w:sz="4"/>
          <w:insideH w:val="none"/>
          <w:insideV w:val="none"/>
        </w:tblBorders>
      </w:tblPr>
      <w:tblGrid>
        <w:gridCol w:w="1115"/>
        <w:gridCol w:w="1408"/>
        <w:gridCol w:w="1276"/>
        <w:gridCol w:w="4475"/>
      </w:tblGrid>
      <w:tr>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任务内容</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防治面积</w:t>
            </w:r>
          </w:p>
          <w:p>
            <w:pPr>
              <w:pStyle w:val="null3"/>
              <w:jc w:val="both"/>
            </w:pPr>
            <w:r>
              <w:rPr>
                <w:sz w:val="21"/>
              </w:rPr>
              <w:t>（万亩）</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金额</w:t>
            </w:r>
          </w:p>
          <w:p>
            <w:pPr>
              <w:pStyle w:val="null3"/>
              <w:jc w:val="both"/>
            </w:pPr>
            <w:r>
              <w:rPr>
                <w:sz w:val="21"/>
              </w:rPr>
              <w:t>（万元）</w:t>
            </w:r>
          </w:p>
        </w:tc>
        <w:tc>
          <w:tcPr>
            <w:tcW w:type="dxa" w:w="44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松材线虫病监测</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44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组织开展松林日常监测及秋季专项调查。日常监测分别在</w:t>
            </w:r>
            <w:r>
              <w:rPr>
                <w:sz w:val="21"/>
              </w:rPr>
              <w:t>2027</w:t>
            </w:r>
            <w:r>
              <w:rPr>
                <w:sz w:val="21"/>
              </w:rPr>
              <w:t>年</w:t>
            </w:r>
            <w:r>
              <w:rPr>
                <w:sz w:val="21"/>
              </w:rPr>
              <w:t>1-3</w:t>
            </w:r>
            <w:r>
              <w:rPr>
                <w:sz w:val="21"/>
              </w:rPr>
              <w:t>月、</w:t>
            </w:r>
            <w:r>
              <w:rPr>
                <w:sz w:val="21"/>
              </w:rPr>
              <w:t>4-6</w:t>
            </w:r>
            <w:r>
              <w:rPr>
                <w:sz w:val="21"/>
              </w:rPr>
              <w:t>月、</w:t>
            </w:r>
            <w:r>
              <w:rPr>
                <w:sz w:val="21"/>
              </w:rPr>
              <w:t>7</w:t>
            </w:r>
            <w:r>
              <w:rPr>
                <w:sz w:val="21"/>
              </w:rPr>
              <w:t>月各开展</w:t>
            </w:r>
            <w:r>
              <w:rPr>
                <w:sz w:val="21"/>
              </w:rPr>
              <w:t>1</w:t>
            </w:r>
            <w:r>
              <w:rPr>
                <w:sz w:val="21"/>
              </w:rPr>
              <w:t>次；秋季专项调查于</w:t>
            </w:r>
            <w:r>
              <w:rPr>
                <w:sz w:val="21"/>
              </w:rPr>
              <w:t>2026</w:t>
            </w:r>
            <w:r>
              <w:rPr>
                <w:sz w:val="21"/>
              </w:rPr>
              <w:t>年</w:t>
            </w:r>
            <w:r>
              <w:rPr>
                <w:sz w:val="21"/>
              </w:rPr>
              <w:t>9-11</w:t>
            </w:r>
            <w:r>
              <w:rPr>
                <w:sz w:val="21"/>
              </w:rPr>
              <w:t>月实施，监测范围覆盖全县</w:t>
            </w:r>
            <w:r>
              <w:rPr>
                <w:sz w:val="21"/>
              </w:rPr>
              <w:t>74</w:t>
            </w:r>
            <w:r>
              <w:rPr>
                <w:sz w:val="21"/>
              </w:rPr>
              <w:t>万亩松林（郁南林场、同乐林场除外）。</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松材线虫病除治（择伐清理）</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5.44</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408.4</w:t>
            </w:r>
          </w:p>
        </w:tc>
        <w:tc>
          <w:tcPr>
            <w:tcW w:type="dxa" w:w="4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县同步开展松材线虫病除治工作，防控范围不局限于疫情小班，覆盖县域全部松林地块。作业遵循高速沿线重点区域优先清理原则，分区分段有序推进择伐清理作业。本次全域松枯死木清理设定硬性任务指标：累计清除枯死松树总量不低于</w:t>
            </w:r>
            <w:r>
              <w:rPr>
                <w:sz w:val="21"/>
              </w:rPr>
              <w:t>1.36</w:t>
            </w:r>
            <w:r>
              <w:rPr>
                <w:sz w:val="21"/>
              </w:rPr>
              <w:t>万株。含伐倒、锯段、套袋消杀或运输粉碎（削片）处理、伐桩处理等人工费及材料费。</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松材线虫病药物防治（飞防）</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5.783</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144.6</w:t>
            </w:r>
          </w:p>
        </w:tc>
        <w:tc>
          <w:tcPr>
            <w:tcW w:type="dxa" w:w="4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飞防松林作业面积</w:t>
            </w:r>
            <w:r>
              <w:rPr>
                <w:sz w:val="21"/>
              </w:rPr>
              <w:t>5.783</w:t>
            </w:r>
            <w:r>
              <w:rPr>
                <w:sz w:val="21"/>
              </w:rPr>
              <w:t>万亩，费用涵盖人工、交通、设备、药剂等全部相关成本。</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薇甘菊防治</w:t>
            </w: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0.65</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130</w:t>
            </w:r>
          </w:p>
        </w:tc>
        <w:tc>
          <w:tcPr>
            <w:tcW w:type="dxa" w:w="4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薇甘菊防治面积以实际验收合格面积为准。</w:t>
            </w:r>
          </w:p>
        </w:tc>
      </w:tr>
      <w:tr>
        <w:tc>
          <w:tcPr>
            <w:tcW w:type="dxa" w:w="379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44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723</w:t>
            </w:r>
            <w:r>
              <w:rPr>
                <w:sz w:val="21"/>
              </w:rPr>
              <w:t>万元</w:t>
            </w:r>
          </w:p>
        </w:tc>
      </w:tr>
    </w:tbl>
    <w:p>
      <w:pPr>
        <w:pStyle w:val="null3"/>
        <w:jc w:val="both"/>
      </w:pPr>
      <w:r>
        <w:rPr>
          <w:sz w:val="21"/>
        </w:rPr>
        <w:t>二、项目说明</w:t>
      </w:r>
    </w:p>
    <w:p>
      <w:pPr>
        <w:pStyle w:val="null3"/>
        <w:jc w:val="both"/>
      </w:pPr>
      <w:r>
        <w:rPr>
          <w:sz w:val="21"/>
        </w:rPr>
        <w:t>为落实</w:t>
      </w:r>
      <w:r>
        <w:rPr>
          <w:sz w:val="21"/>
        </w:rPr>
        <w:t>“</w:t>
      </w:r>
      <w:r>
        <w:rPr>
          <w:sz w:val="21"/>
        </w:rPr>
        <w:t>预防为主、科学治理、依法监管、强化责任</w:t>
      </w:r>
      <w:r>
        <w:rPr>
          <w:sz w:val="21"/>
        </w:rPr>
        <w:t>”</w:t>
      </w:r>
      <w:r>
        <w:rPr>
          <w:sz w:val="21"/>
        </w:rPr>
        <w:t>的林草有害生物防治方针，守护森林资源安全，筑牢生态安全防线，助力绿美广东生态建设，全面提升林草有害生物监测预警、检疫御灾和综合防治能力。主要建设内容包括松材线虫病防治、薇甘菊除治、林业有害生物监测调查及国家级林业有害生物中心测报点监测预报工作。</w:t>
      </w:r>
    </w:p>
    <w:p>
      <w:pPr>
        <w:pStyle w:val="null3"/>
        <w:jc w:val="both"/>
      </w:pPr>
      <w:r>
        <w:rPr>
          <w:sz w:val="21"/>
        </w:rPr>
        <w:t>本次通过项目工程建设，加大林业有害生物防治资金投入，加强林业有害生物监测预警、检疫御灾、防治减灾、应急处置和服务保障能力建设，推进项目区林业有害生物治理体系和治理能力现代化。到</w:t>
      </w:r>
      <w:r>
        <w:rPr>
          <w:sz w:val="21"/>
        </w:rPr>
        <w:t>2027</w:t>
      </w:r>
      <w:r>
        <w:rPr>
          <w:sz w:val="21"/>
        </w:rPr>
        <w:t>年</w:t>
      </w:r>
      <w:r>
        <w:rPr>
          <w:sz w:val="21"/>
        </w:rPr>
        <w:t>7</w:t>
      </w:r>
      <w:r>
        <w:rPr>
          <w:sz w:val="21"/>
        </w:rPr>
        <w:t>月，完成松材线虫病日常监测调查面积不少于</w:t>
      </w:r>
      <w:r>
        <w:rPr>
          <w:sz w:val="21"/>
        </w:rPr>
        <w:t>74</w:t>
      </w:r>
      <w:r>
        <w:rPr>
          <w:sz w:val="21"/>
        </w:rPr>
        <w:t>万亩次，松材线虫病飞防</w:t>
      </w:r>
      <w:r>
        <w:rPr>
          <w:sz w:val="21"/>
        </w:rPr>
        <w:t>5.783</w:t>
      </w:r>
      <w:r>
        <w:rPr>
          <w:sz w:val="21"/>
        </w:rPr>
        <w:t>万亩次，松材线虫病疫木清理面积不少于</w:t>
      </w:r>
      <w:r>
        <w:rPr>
          <w:sz w:val="21"/>
        </w:rPr>
        <w:t>5.44</w:t>
      </w:r>
      <w:r>
        <w:rPr>
          <w:sz w:val="21"/>
        </w:rPr>
        <w:t>万亩，防控范围不局限于疫情小班，作业遵循高速沿线重点区域优先清理原则，分区分段有序推进择伐清理作业。本次全域松枯死木清理设定硬性任务指标：累计清除枯死松树总量不低于</w:t>
      </w:r>
      <w:r>
        <w:rPr>
          <w:sz w:val="21"/>
        </w:rPr>
        <w:t>1.36</w:t>
      </w:r>
      <w:r>
        <w:rPr>
          <w:sz w:val="21"/>
        </w:rPr>
        <w:t>万株，薇甘菊防治面积不少于</w:t>
      </w:r>
      <w:r>
        <w:rPr>
          <w:sz w:val="21"/>
        </w:rPr>
        <w:t>0.65</w:t>
      </w:r>
      <w:r>
        <w:rPr>
          <w:sz w:val="21"/>
        </w:rPr>
        <w:t>万亩次。</w:t>
      </w:r>
    </w:p>
    <w:p>
      <w:pPr>
        <w:pStyle w:val="null3"/>
        <w:jc w:val="both"/>
      </w:pPr>
      <w:r>
        <w:rPr>
          <w:sz w:val="21"/>
        </w:rPr>
        <w:t>三、总体要求</w:t>
      </w:r>
    </w:p>
    <w:p>
      <w:pPr>
        <w:pStyle w:val="null3"/>
        <w:jc w:val="both"/>
      </w:pPr>
      <w:r>
        <w:rPr>
          <w:sz w:val="21"/>
        </w:rPr>
        <w:t>1.</w:t>
      </w:r>
      <w:r>
        <w:rPr>
          <w:sz w:val="21"/>
        </w:rPr>
        <w:t>指导思想</w:t>
      </w:r>
    </w:p>
    <w:p>
      <w:pPr>
        <w:pStyle w:val="null3"/>
        <w:jc w:val="both"/>
      </w:pPr>
      <w:r>
        <w:rPr>
          <w:sz w:val="21"/>
        </w:rPr>
        <w:t>全面落实党中央、国务院关于加强林草生物安全防控、防范外来物种入侵的决策部署，严格遵循国家、省林草有害生物防治法律法规及技术规范。立足郁南县</w:t>
      </w:r>
      <w:r>
        <w:rPr>
          <w:sz w:val="21"/>
        </w:rPr>
        <w:t>“</w:t>
      </w:r>
      <w:r>
        <w:rPr>
          <w:sz w:val="21"/>
        </w:rPr>
        <w:t>两江两山</w:t>
      </w:r>
      <w:r>
        <w:rPr>
          <w:sz w:val="21"/>
        </w:rPr>
        <w:t>”</w:t>
      </w:r>
      <w:r>
        <w:rPr>
          <w:sz w:val="21"/>
        </w:rPr>
        <w:t>生态发展格局，锚定绿美广东生态建设、绿美郁南建设和</w:t>
      </w:r>
      <w:r>
        <w:rPr>
          <w:sz w:val="21"/>
        </w:rPr>
        <w:t>“</w:t>
      </w:r>
      <w:r>
        <w:rPr>
          <w:sz w:val="21"/>
        </w:rPr>
        <w:t>百县千镇万村高质量发展工程</w:t>
      </w:r>
      <w:r>
        <w:rPr>
          <w:sz w:val="21"/>
        </w:rPr>
        <w:t>”</w:t>
      </w:r>
      <w:r>
        <w:rPr>
          <w:sz w:val="21"/>
        </w:rPr>
        <w:t>总体目标。</w:t>
      </w:r>
    </w:p>
    <w:p>
      <w:pPr>
        <w:pStyle w:val="null3"/>
        <w:jc w:val="both"/>
      </w:pPr>
      <w:r>
        <w:rPr>
          <w:sz w:val="21"/>
        </w:rPr>
        <w:t>坚持预防为主、科学治理、依法监管、综合治理的方针，以林长制为总抓手，以松材线虫病等重大林业有害生物防控为重点，统筹推进薇甘菊等林草有害生物除治工作。依托中央财政专项资金支撑，健全县镇村三级监测防控体系，推广绿色防控、生态调控和专业化防治模式，精准施策、分区治理、闭环管控，持续压低有害生物发生基数，坚决遏制疫情扩散蔓延，切实保护全县森林生态资源、特色林果产业安全和生物多样性，筑牢西江流域生态安全屏障，为郁南县生态保护、绿色富民和经济社会高质量发展提供坚实林草生态安全保障。</w:t>
      </w:r>
    </w:p>
    <w:p>
      <w:pPr>
        <w:pStyle w:val="null3"/>
        <w:jc w:val="both"/>
      </w:pPr>
      <w:r>
        <w:rPr>
          <w:sz w:val="21"/>
        </w:rPr>
        <w:t>2.</w:t>
      </w:r>
      <w:r>
        <w:rPr>
          <w:sz w:val="21"/>
        </w:rPr>
        <w:t>实施依据</w:t>
      </w:r>
    </w:p>
    <w:p>
      <w:pPr>
        <w:pStyle w:val="null3"/>
        <w:jc w:val="both"/>
      </w:pPr>
      <w:r>
        <w:rPr>
          <w:sz w:val="21"/>
        </w:rPr>
        <w:t>法律法规</w:t>
      </w:r>
    </w:p>
    <w:p>
      <w:pPr>
        <w:pStyle w:val="null3"/>
        <w:jc w:val="both"/>
      </w:pPr>
      <w:r>
        <w:rPr>
          <w:sz w:val="21"/>
        </w:rPr>
        <w:t>（</w:t>
      </w:r>
      <w:r>
        <w:rPr>
          <w:sz w:val="21"/>
        </w:rPr>
        <w:t>1</w:t>
      </w:r>
      <w:r>
        <w:rPr>
          <w:sz w:val="21"/>
        </w:rPr>
        <w:t>）《中华人民共和国森林法》（</w:t>
      </w:r>
      <w:r>
        <w:rPr>
          <w:sz w:val="21"/>
        </w:rPr>
        <w:t>2020</w:t>
      </w:r>
      <w:r>
        <w:rPr>
          <w:sz w:val="21"/>
        </w:rPr>
        <w:t>年</w:t>
      </w:r>
      <w:r>
        <w:rPr>
          <w:sz w:val="21"/>
        </w:rPr>
        <w:t>7</w:t>
      </w:r>
      <w:r>
        <w:rPr>
          <w:sz w:val="21"/>
        </w:rPr>
        <w:t>月</w:t>
      </w:r>
      <w:r>
        <w:rPr>
          <w:sz w:val="21"/>
        </w:rPr>
        <w:t>1</w:t>
      </w:r>
      <w:r>
        <w:rPr>
          <w:sz w:val="21"/>
        </w:rPr>
        <w:t>日起施行）</w:t>
      </w:r>
    </w:p>
    <w:p>
      <w:pPr>
        <w:pStyle w:val="null3"/>
        <w:jc w:val="both"/>
      </w:pPr>
      <w:r>
        <w:rPr>
          <w:sz w:val="21"/>
        </w:rPr>
        <w:t>（</w:t>
      </w:r>
      <w:r>
        <w:rPr>
          <w:sz w:val="21"/>
        </w:rPr>
        <w:t>2</w:t>
      </w:r>
      <w:r>
        <w:rPr>
          <w:sz w:val="21"/>
        </w:rPr>
        <w:t>）《中华人民共和国生物安全法》（</w:t>
      </w:r>
      <w:r>
        <w:rPr>
          <w:sz w:val="21"/>
        </w:rPr>
        <w:t>2023</w:t>
      </w:r>
      <w:r>
        <w:rPr>
          <w:sz w:val="21"/>
        </w:rPr>
        <w:t>年</w:t>
      </w:r>
      <w:r>
        <w:rPr>
          <w:sz w:val="21"/>
        </w:rPr>
        <w:t>5</w:t>
      </w:r>
      <w:r>
        <w:rPr>
          <w:sz w:val="21"/>
        </w:rPr>
        <w:t>月</w:t>
      </w:r>
      <w:r>
        <w:rPr>
          <w:sz w:val="21"/>
        </w:rPr>
        <w:t>1</w:t>
      </w:r>
      <w:r>
        <w:rPr>
          <w:sz w:val="21"/>
        </w:rPr>
        <w:t>日起施行）</w:t>
      </w:r>
    </w:p>
    <w:p>
      <w:pPr>
        <w:pStyle w:val="null3"/>
        <w:jc w:val="both"/>
      </w:pPr>
      <w:r>
        <w:rPr>
          <w:sz w:val="21"/>
        </w:rPr>
        <w:t>（</w:t>
      </w:r>
      <w:r>
        <w:rPr>
          <w:sz w:val="21"/>
        </w:rPr>
        <w:t>3</w:t>
      </w:r>
      <w:r>
        <w:rPr>
          <w:sz w:val="21"/>
        </w:rPr>
        <w:t>）《森林病虫害防治条例》（</w:t>
      </w:r>
      <w:r>
        <w:rPr>
          <w:sz w:val="21"/>
        </w:rPr>
        <w:t>2026</w:t>
      </w:r>
      <w:r>
        <w:rPr>
          <w:sz w:val="21"/>
        </w:rPr>
        <w:t>年</w:t>
      </w:r>
      <w:r>
        <w:rPr>
          <w:sz w:val="21"/>
        </w:rPr>
        <w:t>3</w:t>
      </w:r>
      <w:r>
        <w:rPr>
          <w:sz w:val="21"/>
        </w:rPr>
        <w:t>月</w:t>
      </w:r>
      <w:r>
        <w:rPr>
          <w:sz w:val="21"/>
        </w:rPr>
        <w:t>20</w:t>
      </w:r>
      <w:r>
        <w:rPr>
          <w:sz w:val="21"/>
        </w:rPr>
        <w:t>日起施行）</w:t>
      </w:r>
    </w:p>
    <w:p>
      <w:pPr>
        <w:pStyle w:val="null3"/>
        <w:jc w:val="both"/>
      </w:pPr>
      <w:r>
        <w:rPr>
          <w:sz w:val="21"/>
        </w:rPr>
        <w:t>（</w:t>
      </w:r>
      <w:r>
        <w:rPr>
          <w:sz w:val="21"/>
        </w:rPr>
        <w:t>4</w:t>
      </w:r>
      <w:r>
        <w:rPr>
          <w:sz w:val="21"/>
        </w:rPr>
        <w:t>）《广东省森林病虫害防治实施办法》（</w:t>
      </w:r>
      <w:r>
        <w:rPr>
          <w:sz w:val="21"/>
        </w:rPr>
        <w:t>2022</w:t>
      </w:r>
      <w:r>
        <w:rPr>
          <w:sz w:val="21"/>
        </w:rPr>
        <w:t>年）</w:t>
      </w:r>
    </w:p>
    <w:p>
      <w:pPr>
        <w:pStyle w:val="null3"/>
        <w:jc w:val="both"/>
      </w:pPr>
      <w:r>
        <w:rPr>
          <w:sz w:val="21"/>
        </w:rPr>
        <w:t>（</w:t>
      </w:r>
      <w:r>
        <w:rPr>
          <w:sz w:val="21"/>
        </w:rPr>
        <w:t>5</w:t>
      </w:r>
      <w:r>
        <w:rPr>
          <w:sz w:val="21"/>
        </w:rPr>
        <w:t>）《农药管理条例》（</w:t>
      </w:r>
      <w:r>
        <w:rPr>
          <w:sz w:val="21"/>
        </w:rPr>
        <w:t>2022</w:t>
      </w:r>
      <w:r>
        <w:rPr>
          <w:sz w:val="21"/>
        </w:rPr>
        <w:t>年</w:t>
      </w:r>
      <w:r>
        <w:rPr>
          <w:sz w:val="21"/>
        </w:rPr>
        <w:t>3</w:t>
      </w:r>
      <w:r>
        <w:rPr>
          <w:sz w:val="21"/>
        </w:rPr>
        <w:t>月</w:t>
      </w:r>
      <w:r>
        <w:rPr>
          <w:sz w:val="21"/>
        </w:rPr>
        <w:t>29</w:t>
      </w:r>
      <w:r>
        <w:rPr>
          <w:sz w:val="21"/>
        </w:rPr>
        <w:t>日第二次修订）</w:t>
      </w:r>
    </w:p>
    <w:p>
      <w:pPr>
        <w:pStyle w:val="null3"/>
        <w:jc w:val="both"/>
      </w:pPr>
      <w:r>
        <w:rPr>
          <w:sz w:val="21"/>
        </w:rPr>
        <w:t>标准和规范性文件</w:t>
      </w:r>
    </w:p>
    <w:p>
      <w:pPr>
        <w:pStyle w:val="null3"/>
        <w:jc w:val="both"/>
      </w:pPr>
      <w:r>
        <w:rPr>
          <w:sz w:val="21"/>
        </w:rPr>
        <w:t>（</w:t>
      </w:r>
      <w:r>
        <w:rPr>
          <w:sz w:val="21"/>
        </w:rPr>
        <w:t>1</w:t>
      </w:r>
      <w:r>
        <w:rPr>
          <w:sz w:val="21"/>
        </w:rPr>
        <w:t>）《松褐天牛防治技术规范》（</w:t>
      </w:r>
      <w:r>
        <w:rPr>
          <w:sz w:val="21"/>
        </w:rPr>
        <w:t>LY/T1866-2009</w:t>
      </w:r>
      <w:r>
        <w:rPr>
          <w:sz w:val="21"/>
        </w:rPr>
        <w:t>）</w:t>
      </w:r>
    </w:p>
    <w:p>
      <w:pPr>
        <w:pStyle w:val="null3"/>
        <w:jc w:val="both"/>
      </w:pPr>
      <w:r>
        <w:rPr>
          <w:sz w:val="21"/>
        </w:rPr>
        <w:t>（</w:t>
      </w:r>
      <w:r>
        <w:rPr>
          <w:sz w:val="21"/>
        </w:rPr>
        <w:t>2</w:t>
      </w:r>
      <w:r>
        <w:rPr>
          <w:sz w:val="21"/>
        </w:rPr>
        <w:t>）《薇甘菊防治技术规程》（</w:t>
      </w:r>
      <w:r>
        <w:rPr>
          <w:sz w:val="21"/>
        </w:rPr>
        <w:t>LY/T2422-2015</w:t>
      </w:r>
      <w:r>
        <w:rPr>
          <w:sz w:val="21"/>
        </w:rPr>
        <w:t>）</w:t>
      </w:r>
    </w:p>
    <w:p>
      <w:pPr>
        <w:pStyle w:val="null3"/>
        <w:jc w:val="both"/>
      </w:pPr>
      <w:r>
        <w:rPr>
          <w:sz w:val="21"/>
        </w:rPr>
        <w:t>（</w:t>
      </w:r>
      <w:r>
        <w:rPr>
          <w:sz w:val="21"/>
        </w:rPr>
        <w:t>3</w:t>
      </w:r>
      <w:r>
        <w:rPr>
          <w:sz w:val="21"/>
        </w:rPr>
        <w:t>）《农药合理使用准则》（</w:t>
      </w:r>
      <w:r>
        <w:rPr>
          <w:sz w:val="21"/>
        </w:rPr>
        <w:t>GB/T8321.10-2018</w:t>
      </w:r>
      <w:r>
        <w:rPr>
          <w:sz w:val="21"/>
        </w:rPr>
        <w:t>）</w:t>
      </w:r>
    </w:p>
    <w:p>
      <w:pPr>
        <w:pStyle w:val="null3"/>
        <w:jc w:val="both"/>
      </w:pPr>
      <w:r>
        <w:rPr>
          <w:sz w:val="21"/>
        </w:rPr>
        <w:t>（</w:t>
      </w:r>
      <w:r>
        <w:rPr>
          <w:sz w:val="21"/>
        </w:rPr>
        <w:t>4</w:t>
      </w:r>
      <w:r>
        <w:rPr>
          <w:sz w:val="21"/>
        </w:rPr>
        <w:t>）《飞机施药防治松材线虫病技术规程》（</w:t>
      </w:r>
      <w:r>
        <w:rPr>
          <w:sz w:val="21"/>
        </w:rPr>
        <w:t>DB44/T2250-2020</w:t>
      </w:r>
      <w:r>
        <w:rPr>
          <w:sz w:val="21"/>
        </w:rPr>
        <w:t>）</w:t>
      </w:r>
    </w:p>
    <w:p>
      <w:pPr>
        <w:pStyle w:val="null3"/>
        <w:jc w:val="both"/>
      </w:pPr>
      <w:r>
        <w:rPr>
          <w:sz w:val="21"/>
        </w:rPr>
        <w:t>（</w:t>
      </w:r>
      <w:r>
        <w:rPr>
          <w:sz w:val="21"/>
        </w:rPr>
        <w:t>5</w:t>
      </w:r>
      <w:r>
        <w:rPr>
          <w:sz w:val="21"/>
        </w:rPr>
        <w:t>）《林业有害生物监测项目计价指引》（</w:t>
      </w:r>
      <w:r>
        <w:rPr>
          <w:sz w:val="21"/>
        </w:rPr>
        <w:t>T/GDFS19-2022</w:t>
      </w:r>
      <w:r>
        <w:rPr>
          <w:sz w:val="21"/>
        </w:rPr>
        <w:t>）</w:t>
      </w:r>
    </w:p>
    <w:p>
      <w:pPr>
        <w:pStyle w:val="null3"/>
        <w:jc w:val="both"/>
      </w:pPr>
      <w:r>
        <w:rPr>
          <w:sz w:val="21"/>
        </w:rPr>
        <w:t>（</w:t>
      </w:r>
      <w:r>
        <w:rPr>
          <w:sz w:val="21"/>
        </w:rPr>
        <w:t>6</w:t>
      </w:r>
      <w:r>
        <w:rPr>
          <w:sz w:val="21"/>
        </w:rPr>
        <w:t>）《薇甘菊防治项目计价指引》（</w:t>
      </w:r>
      <w:r>
        <w:rPr>
          <w:sz w:val="21"/>
        </w:rPr>
        <w:t>T/GDFS10-2022</w:t>
      </w:r>
      <w:r>
        <w:rPr>
          <w:sz w:val="21"/>
        </w:rPr>
        <w:t>）</w:t>
      </w:r>
    </w:p>
    <w:p>
      <w:pPr>
        <w:pStyle w:val="null3"/>
        <w:jc w:val="both"/>
      </w:pPr>
      <w:r>
        <w:rPr>
          <w:sz w:val="21"/>
        </w:rPr>
        <w:t>（</w:t>
      </w:r>
      <w:r>
        <w:rPr>
          <w:sz w:val="21"/>
        </w:rPr>
        <w:t>7</w:t>
      </w:r>
      <w:r>
        <w:rPr>
          <w:sz w:val="21"/>
        </w:rPr>
        <w:t>）《松材线虫病防治项目计价指引》（</w:t>
      </w:r>
      <w:r>
        <w:rPr>
          <w:sz w:val="21"/>
        </w:rPr>
        <w:t>T/GDFS11-2022</w:t>
      </w:r>
      <w:r>
        <w:rPr>
          <w:sz w:val="21"/>
        </w:rPr>
        <w:t>）</w:t>
      </w:r>
    </w:p>
    <w:p>
      <w:pPr>
        <w:pStyle w:val="null3"/>
        <w:jc w:val="both"/>
      </w:pPr>
      <w:r>
        <w:rPr>
          <w:sz w:val="21"/>
        </w:rPr>
        <w:t>政策文件</w:t>
      </w:r>
    </w:p>
    <w:p>
      <w:pPr>
        <w:pStyle w:val="null3"/>
        <w:jc w:val="both"/>
      </w:pPr>
      <w:r>
        <w:rPr>
          <w:sz w:val="21"/>
        </w:rPr>
        <w:t>（</w:t>
      </w:r>
      <w:r>
        <w:rPr>
          <w:sz w:val="21"/>
        </w:rPr>
        <w:t>1</w:t>
      </w:r>
      <w:r>
        <w:rPr>
          <w:sz w:val="21"/>
        </w:rPr>
        <w:t>）《国务院办公厅关于进一步加强林业有害生物防治工作的意见》（国办发〔</w:t>
      </w:r>
      <w:r>
        <w:rPr>
          <w:sz w:val="21"/>
        </w:rPr>
        <w:t>2014</w:t>
      </w:r>
      <w:r>
        <w:rPr>
          <w:sz w:val="21"/>
        </w:rPr>
        <w:t>〕</w:t>
      </w:r>
      <w:r>
        <w:rPr>
          <w:sz w:val="21"/>
        </w:rPr>
        <w:t>26</w:t>
      </w:r>
      <w:r>
        <w:rPr>
          <w:sz w:val="21"/>
        </w:rPr>
        <w:t>号）</w:t>
      </w:r>
    </w:p>
    <w:p>
      <w:pPr>
        <w:pStyle w:val="null3"/>
        <w:jc w:val="both"/>
      </w:pPr>
      <w:r>
        <w:rPr>
          <w:sz w:val="21"/>
        </w:rPr>
        <w:t>（</w:t>
      </w:r>
      <w:r>
        <w:rPr>
          <w:sz w:val="21"/>
        </w:rPr>
        <w:t>2</w:t>
      </w:r>
      <w:r>
        <w:rPr>
          <w:sz w:val="21"/>
        </w:rPr>
        <w:t>）《广东省人民政府办公厅关于进一步加强林业有害生物防治工作的通知》（粤府办明电〔</w:t>
      </w:r>
      <w:r>
        <w:rPr>
          <w:sz w:val="21"/>
        </w:rPr>
        <w:t>2015</w:t>
      </w:r>
      <w:r>
        <w:rPr>
          <w:sz w:val="21"/>
        </w:rPr>
        <w:t>〕</w:t>
      </w:r>
      <w:r>
        <w:rPr>
          <w:sz w:val="21"/>
        </w:rPr>
        <w:t>166</w:t>
      </w:r>
      <w:r>
        <w:rPr>
          <w:sz w:val="21"/>
        </w:rPr>
        <w:t>号）</w:t>
      </w:r>
    </w:p>
    <w:p>
      <w:pPr>
        <w:pStyle w:val="null3"/>
        <w:jc w:val="both"/>
      </w:pPr>
      <w:r>
        <w:rPr>
          <w:sz w:val="21"/>
        </w:rPr>
        <w:t>（</w:t>
      </w:r>
      <w:r>
        <w:rPr>
          <w:sz w:val="21"/>
        </w:rPr>
        <w:t>3</w:t>
      </w:r>
      <w:r>
        <w:rPr>
          <w:sz w:val="21"/>
        </w:rPr>
        <w:t>）国家林业和草原局关于印发《国家级林业有害生物中心测报点管理规定》的通知（林造发〔</w:t>
      </w:r>
      <w:r>
        <w:rPr>
          <w:sz w:val="21"/>
        </w:rPr>
        <w:t>2018</w:t>
      </w:r>
      <w:r>
        <w:rPr>
          <w:sz w:val="21"/>
        </w:rPr>
        <w:t>〕</w:t>
      </w:r>
      <w:r>
        <w:rPr>
          <w:sz w:val="21"/>
        </w:rPr>
        <w:t>94</w:t>
      </w:r>
      <w:r>
        <w:rPr>
          <w:sz w:val="21"/>
        </w:rPr>
        <w:t>号）</w:t>
      </w:r>
    </w:p>
    <w:p>
      <w:pPr>
        <w:pStyle w:val="null3"/>
        <w:jc w:val="both"/>
      </w:pPr>
      <w:r>
        <w:rPr>
          <w:sz w:val="21"/>
        </w:rPr>
        <w:t>（</w:t>
      </w:r>
      <w:r>
        <w:rPr>
          <w:sz w:val="21"/>
        </w:rPr>
        <w:t>4</w:t>
      </w:r>
      <w:r>
        <w:rPr>
          <w:sz w:val="21"/>
        </w:rPr>
        <w:t>）国家林业和草原局《关于重新印发〈松材线虫病疫区和疫木管理办法〉的通知》（林生规〔</w:t>
      </w:r>
      <w:r>
        <w:rPr>
          <w:sz w:val="21"/>
        </w:rPr>
        <w:t>2023</w:t>
      </w:r>
      <w:r>
        <w:rPr>
          <w:sz w:val="21"/>
        </w:rPr>
        <w:t>〕</w:t>
      </w:r>
      <w:r>
        <w:rPr>
          <w:sz w:val="21"/>
        </w:rPr>
        <w:t>7</w:t>
      </w:r>
      <w:r>
        <w:rPr>
          <w:sz w:val="21"/>
        </w:rPr>
        <w:t>号）</w:t>
      </w:r>
    </w:p>
    <w:p>
      <w:pPr>
        <w:pStyle w:val="null3"/>
        <w:jc w:val="both"/>
      </w:pPr>
      <w:r>
        <w:rPr>
          <w:sz w:val="21"/>
        </w:rPr>
        <w:t>（</w:t>
      </w:r>
      <w:r>
        <w:rPr>
          <w:sz w:val="21"/>
        </w:rPr>
        <w:t>5</w:t>
      </w:r>
      <w:r>
        <w:rPr>
          <w:sz w:val="21"/>
        </w:rPr>
        <w:t>）国家林业和草原局关于印发《松材线虫病疫区和疫木管理办法》（林生规〔</w:t>
      </w:r>
      <w:r>
        <w:rPr>
          <w:sz w:val="21"/>
        </w:rPr>
        <w:t>2026</w:t>
      </w:r>
      <w:r>
        <w:rPr>
          <w:sz w:val="21"/>
        </w:rPr>
        <w:t>〕</w:t>
      </w:r>
      <w:r>
        <w:rPr>
          <w:sz w:val="21"/>
        </w:rPr>
        <w:t xml:space="preserve">3 </w:t>
      </w:r>
      <w:r>
        <w:rPr>
          <w:sz w:val="21"/>
        </w:rPr>
        <w:t>号）</w:t>
      </w:r>
    </w:p>
    <w:p>
      <w:pPr>
        <w:pStyle w:val="null3"/>
        <w:jc w:val="both"/>
      </w:pPr>
      <w:r>
        <w:rPr>
          <w:sz w:val="21"/>
        </w:rPr>
        <w:t>（</w:t>
      </w:r>
      <w:r>
        <w:rPr>
          <w:sz w:val="21"/>
        </w:rPr>
        <w:t>6</w:t>
      </w:r>
      <w:r>
        <w:rPr>
          <w:sz w:val="21"/>
        </w:rPr>
        <w:t>）国家林草局财政部《关于加强中央财政林业草原项目全流程管理的通知》（办规字〔</w:t>
      </w:r>
      <w:r>
        <w:rPr>
          <w:sz w:val="21"/>
        </w:rPr>
        <w:t>2024</w:t>
      </w:r>
      <w:r>
        <w:rPr>
          <w:sz w:val="21"/>
        </w:rPr>
        <w:t>〕</w:t>
      </w:r>
      <w:r>
        <w:rPr>
          <w:sz w:val="21"/>
        </w:rPr>
        <w:t>260</w:t>
      </w:r>
      <w:r>
        <w:rPr>
          <w:sz w:val="21"/>
        </w:rPr>
        <w:t>号）</w:t>
      </w:r>
    </w:p>
    <w:p>
      <w:pPr>
        <w:pStyle w:val="null3"/>
        <w:jc w:val="both"/>
      </w:pPr>
      <w:r>
        <w:rPr>
          <w:sz w:val="21"/>
        </w:rPr>
        <w:t>（</w:t>
      </w:r>
      <w:r>
        <w:rPr>
          <w:sz w:val="21"/>
        </w:rPr>
        <w:t>7</w:t>
      </w:r>
      <w:r>
        <w:rPr>
          <w:sz w:val="21"/>
        </w:rPr>
        <w:t>）财政部国家林草局关于印发《林业草原改革发展资金管理办法》的通知（财资环〔</w:t>
      </w:r>
      <w:r>
        <w:rPr>
          <w:sz w:val="21"/>
        </w:rPr>
        <w:t>2025</w:t>
      </w:r>
      <w:r>
        <w:rPr>
          <w:sz w:val="21"/>
        </w:rPr>
        <w:t>〕</w:t>
      </w:r>
      <w:r>
        <w:rPr>
          <w:sz w:val="21"/>
        </w:rPr>
        <w:t>153</w:t>
      </w:r>
      <w:r>
        <w:rPr>
          <w:sz w:val="21"/>
        </w:rPr>
        <w:t>号</w:t>
      </w:r>
    </w:p>
    <w:p>
      <w:pPr>
        <w:pStyle w:val="null3"/>
        <w:jc w:val="both"/>
      </w:pPr>
      <w:r>
        <w:rPr>
          <w:sz w:val="21"/>
        </w:rPr>
        <w:t>（</w:t>
      </w:r>
      <w:r>
        <w:rPr>
          <w:sz w:val="21"/>
        </w:rPr>
        <w:t>8</w:t>
      </w:r>
      <w:r>
        <w:rPr>
          <w:sz w:val="21"/>
        </w:rPr>
        <w:t>）国家林业和草原局生物灾害防控中心关于印发《国家级林业有害生物中心测报点工作任务评价办法（试行）》的通知（防控发〔</w:t>
      </w:r>
      <w:r>
        <w:rPr>
          <w:sz w:val="21"/>
        </w:rPr>
        <w:t>2023</w:t>
      </w:r>
      <w:r>
        <w:rPr>
          <w:sz w:val="21"/>
        </w:rPr>
        <w:t>〕</w:t>
      </w:r>
      <w:r>
        <w:rPr>
          <w:sz w:val="21"/>
        </w:rPr>
        <w:t>1</w:t>
      </w:r>
      <w:r>
        <w:rPr>
          <w:sz w:val="21"/>
        </w:rPr>
        <w:t>号）</w:t>
      </w:r>
    </w:p>
    <w:p>
      <w:pPr>
        <w:pStyle w:val="null3"/>
        <w:jc w:val="both"/>
      </w:pPr>
      <w:r>
        <w:rPr>
          <w:sz w:val="21"/>
        </w:rPr>
        <w:t>（</w:t>
      </w:r>
      <w:r>
        <w:rPr>
          <w:sz w:val="21"/>
        </w:rPr>
        <w:t>9</w:t>
      </w:r>
      <w:r>
        <w:rPr>
          <w:sz w:val="21"/>
        </w:rPr>
        <w:t>）广东省林业局办公室关于印发《广东省松材线虫病疫木除治技术等工作指引（试行）的通知》（粤林办函〔</w:t>
      </w:r>
      <w:r>
        <w:rPr>
          <w:sz w:val="21"/>
        </w:rPr>
        <w:t>2020</w:t>
      </w:r>
      <w:r>
        <w:rPr>
          <w:sz w:val="21"/>
        </w:rPr>
        <w:t>〕</w:t>
      </w:r>
      <w:r>
        <w:rPr>
          <w:sz w:val="21"/>
        </w:rPr>
        <w:t>54</w:t>
      </w:r>
      <w:r>
        <w:rPr>
          <w:sz w:val="21"/>
        </w:rPr>
        <w:t>号）</w:t>
      </w:r>
    </w:p>
    <w:p>
      <w:pPr>
        <w:pStyle w:val="null3"/>
        <w:jc w:val="both"/>
      </w:pPr>
      <w:r>
        <w:rPr>
          <w:sz w:val="21"/>
        </w:rPr>
        <w:t>（</w:t>
      </w:r>
      <w:r>
        <w:rPr>
          <w:sz w:val="21"/>
        </w:rPr>
        <w:t>10</w:t>
      </w:r>
      <w:r>
        <w:rPr>
          <w:sz w:val="21"/>
        </w:rPr>
        <w:t>）《广东省林业局办公室关于开展全省松树钻蛀类害虫系统调查的通知》（粤林办函〔</w:t>
      </w:r>
      <w:r>
        <w:rPr>
          <w:sz w:val="21"/>
        </w:rPr>
        <w:t>2025</w:t>
      </w:r>
      <w:r>
        <w:rPr>
          <w:sz w:val="21"/>
        </w:rPr>
        <w:t>〕</w:t>
      </w:r>
      <w:r>
        <w:rPr>
          <w:sz w:val="21"/>
        </w:rPr>
        <w:t>45</w:t>
      </w:r>
      <w:r>
        <w:rPr>
          <w:sz w:val="21"/>
        </w:rPr>
        <w:t>号）</w:t>
      </w:r>
    </w:p>
    <w:p>
      <w:pPr>
        <w:pStyle w:val="null3"/>
        <w:jc w:val="both"/>
      </w:pPr>
      <w:r>
        <w:rPr>
          <w:sz w:val="21"/>
        </w:rPr>
        <w:t>（</w:t>
      </w:r>
      <w:r>
        <w:rPr>
          <w:sz w:val="21"/>
        </w:rPr>
        <w:t>11</w:t>
      </w:r>
      <w:r>
        <w:rPr>
          <w:sz w:val="21"/>
        </w:rPr>
        <w:t>）广东省林业局关于印发《广东省松材线虫病综合治理技术指引》的通知（粤林函〔</w:t>
      </w:r>
      <w:r>
        <w:rPr>
          <w:sz w:val="21"/>
        </w:rPr>
        <w:t>2025</w:t>
      </w:r>
      <w:r>
        <w:rPr>
          <w:sz w:val="21"/>
        </w:rPr>
        <w:t>〕</w:t>
      </w:r>
      <w:r>
        <w:rPr>
          <w:sz w:val="21"/>
        </w:rPr>
        <w:t>95</w:t>
      </w:r>
      <w:r>
        <w:rPr>
          <w:sz w:val="21"/>
        </w:rPr>
        <w:t>号）</w:t>
      </w:r>
    </w:p>
    <w:p>
      <w:pPr>
        <w:pStyle w:val="null3"/>
        <w:jc w:val="both"/>
      </w:pPr>
      <w:r>
        <w:rPr>
          <w:sz w:val="21"/>
        </w:rPr>
        <w:t>（</w:t>
      </w:r>
      <w:r>
        <w:rPr>
          <w:sz w:val="21"/>
        </w:rPr>
        <w:t>12</w:t>
      </w:r>
      <w:r>
        <w:rPr>
          <w:sz w:val="21"/>
        </w:rPr>
        <w:t>）广东省林业局关于印发《广东省松材线虫病防治技术方案（</w:t>
      </w:r>
      <w:r>
        <w:rPr>
          <w:sz w:val="21"/>
        </w:rPr>
        <w:t>2025</w:t>
      </w:r>
      <w:r>
        <w:rPr>
          <w:sz w:val="21"/>
        </w:rPr>
        <w:t>年版）》的通知（粤林函〔</w:t>
      </w:r>
      <w:r>
        <w:rPr>
          <w:sz w:val="21"/>
        </w:rPr>
        <w:t>2025</w:t>
      </w:r>
      <w:r>
        <w:rPr>
          <w:sz w:val="21"/>
        </w:rPr>
        <w:t>〕</w:t>
      </w:r>
      <w:r>
        <w:rPr>
          <w:sz w:val="21"/>
        </w:rPr>
        <w:t>108</w:t>
      </w:r>
      <w:r>
        <w:rPr>
          <w:sz w:val="21"/>
        </w:rPr>
        <w:t>号）</w:t>
      </w:r>
    </w:p>
    <w:p>
      <w:pPr>
        <w:pStyle w:val="null3"/>
        <w:jc w:val="both"/>
      </w:pPr>
      <w:r>
        <w:rPr>
          <w:sz w:val="21"/>
        </w:rPr>
        <w:t>（</w:t>
      </w:r>
      <w:r>
        <w:rPr>
          <w:sz w:val="21"/>
        </w:rPr>
        <w:t>13</w:t>
      </w:r>
      <w:r>
        <w:rPr>
          <w:sz w:val="21"/>
        </w:rPr>
        <w:t>）《广东省财政厅关于提前下达</w:t>
      </w:r>
      <w:r>
        <w:rPr>
          <w:sz w:val="21"/>
        </w:rPr>
        <w:t>2026</w:t>
      </w:r>
      <w:r>
        <w:rPr>
          <w:sz w:val="21"/>
        </w:rPr>
        <w:t>年绿美广东六大提升行动专项资金的通知》（粤财资环〔</w:t>
      </w:r>
      <w:r>
        <w:rPr>
          <w:sz w:val="21"/>
        </w:rPr>
        <w:t>2025</w:t>
      </w:r>
      <w:r>
        <w:rPr>
          <w:sz w:val="21"/>
        </w:rPr>
        <w:t>〕</w:t>
      </w:r>
      <w:r>
        <w:rPr>
          <w:sz w:val="21"/>
        </w:rPr>
        <w:t>165</w:t>
      </w:r>
      <w:r>
        <w:rPr>
          <w:sz w:val="21"/>
        </w:rPr>
        <w:t>号）</w:t>
      </w:r>
    </w:p>
    <w:p>
      <w:pPr>
        <w:pStyle w:val="null3"/>
        <w:jc w:val="both"/>
      </w:pPr>
      <w:r>
        <w:rPr>
          <w:sz w:val="21"/>
        </w:rPr>
        <w:t>（</w:t>
      </w:r>
      <w:r>
        <w:rPr>
          <w:sz w:val="21"/>
        </w:rPr>
        <w:t>14</w:t>
      </w:r>
      <w:r>
        <w:rPr>
          <w:sz w:val="21"/>
        </w:rPr>
        <w:t>）《广东省林业局关于下达</w:t>
      </w:r>
      <w:r>
        <w:rPr>
          <w:sz w:val="21"/>
        </w:rPr>
        <w:t>2026</w:t>
      </w:r>
      <w:r>
        <w:rPr>
          <w:sz w:val="21"/>
        </w:rPr>
        <w:t>年度主要林业有害生物防治任务的通知》（粤林函〔</w:t>
      </w:r>
      <w:r>
        <w:rPr>
          <w:sz w:val="21"/>
        </w:rPr>
        <w:t>2026</w:t>
      </w:r>
      <w:r>
        <w:rPr>
          <w:sz w:val="21"/>
        </w:rPr>
        <w:t>〕</w:t>
      </w:r>
      <w:r>
        <w:rPr>
          <w:sz w:val="21"/>
        </w:rPr>
        <w:t>76</w:t>
      </w:r>
      <w:r>
        <w:rPr>
          <w:sz w:val="21"/>
        </w:rPr>
        <w:t>号）</w:t>
      </w:r>
    </w:p>
    <w:p>
      <w:pPr>
        <w:pStyle w:val="null3"/>
        <w:jc w:val="both"/>
      </w:pPr>
      <w:r>
        <w:rPr>
          <w:sz w:val="21"/>
        </w:rPr>
        <w:t>市县政策文件</w:t>
      </w:r>
    </w:p>
    <w:p>
      <w:pPr>
        <w:pStyle w:val="null3"/>
        <w:jc w:val="both"/>
      </w:pPr>
      <w:r>
        <w:rPr>
          <w:sz w:val="21"/>
        </w:rPr>
        <w:t>（</w:t>
      </w:r>
      <w:r>
        <w:rPr>
          <w:sz w:val="21"/>
        </w:rPr>
        <w:t>1</w:t>
      </w:r>
      <w:r>
        <w:rPr>
          <w:sz w:val="21"/>
        </w:rPr>
        <w:t>）《云浮市林业局关于下达</w:t>
      </w:r>
      <w:r>
        <w:rPr>
          <w:sz w:val="21"/>
        </w:rPr>
        <w:t>2026</w:t>
      </w:r>
      <w:r>
        <w:rPr>
          <w:sz w:val="21"/>
        </w:rPr>
        <w:t>年度主要林业有害生物防治任务的通知》（云林函〔</w:t>
      </w:r>
      <w:r>
        <w:rPr>
          <w:sz w:val="21"/>
        </w:rPr>
        <w:t>2026</w:t>
      </w:r>
      <w:r>
        <w:rPr>
          <w:sz w:val="21"/>
        </w:rPr>
        <w:t>〕</w:t>
      </w:r>
      <w:r>
        <w:rPr>
          <w:sz w:val="21"/>
        </w:rPr>
        <w:t>84</w:t>
      </w:r>
      <w:r>
        <w:rPr>
          <w:sz w:val="21"/>
        </w:rPr>
        <w:t>号）</w:t>
      </w:r>
    </w:p>
    <w:p>
      <w:pPr>
        <w:pStyle w:val="null3"/>
        <w:jc w:val="both"/>
      </w:pPr>
      <w:r>
        <w:rPr>
          <w:sz w:val="21"/>
        </w:rPr>
        <w:t>（</w:t>
      </w:r>
      <w:r>
        <w:rPr>
          <w:sz w:val="21"/>
        </w:rPr>
        <w:t>2</w:t>
      </w:r>
      <w:r>
        <w:rPr>
          <w:sz w:val="21"/>
        </w:rPr>
        <w:t>）云浮市林业局办公室关于印发《</w:t>
      </w:r>
      <w:r>
        <w:rPr>
          <w:sz w:val="21"/>
        </w:rPr>
        <w:t>2026</w:t>
      </w:r>
      <w:r>
        <w:rPr>
          <w:sz w:val="21"/>
        </w:rPr>
        <w:t>年云浮市林业有害生物防治工作要点》的通知（云林办函〔</w:t>
      </w:r>
      <w:r>
        <w:rPr>
          <w:sz w:val="21"/>
        </w:rPr>
        <w:t>2026</w:t>
      </w:r>
      <w:r>
        <w:rPr>
          <w:sz w:val="21"/>
        </w:rPr>
        <w:t>〕</w:t>
      </w:r>
      <w:r>
        <w:rPr>
          <w:sz w:val="21"/>
        </w:rPr>
        <w:t>1</w:t>
      </w:r>
      <w:r>
        <w:rPr>
          <w:sz w:val="21"/>
        </w:rPr>
        <w:t>号）</w:t>
      </w:r>
    </w:p>
    <w:p>
      <w:pPr>
        <w:pStyle w:val="null3"/>
        <w:jc w:val="both"/>
      </w:pPr>
      <w:r>
        <w:rPr>
          <w:sz w:val="21"/>
        </w:rPr>
        <w:t>（</w:t>
      </w:r>
      <w:r>
        <w:rPr>
          <w:sz w:val="21"/>
        </w:rPr>
        <w:t>3</w:t>
      </w:r>
      <w:r>
        <w:rPr>
          <w:sz w:val="21"/>
        </w:rPr>
        <w:t>）《广东省云浮市</w:t>
      </w:r>
      <w:r>
        <w:rPr>
          <w:sz w:val="21"/>
        </w:rPr>
        <w:t>2026</w:t>
      </w:r>
      <w:r>
        <w:rPr>
          <w:sz w:val="21"/>
        </w:rPr>
        <w:t>年中央财政林草有害生物防治项目实施方案》</w:t>
      </w:r>
    </w:p>
    <w:p>
      <w:pPr>
        <w:pStyle w:val="null3"/>
        <w:jc w:val="both"/>
      </w:pPr>
      <w:r>
        <w:rPr>
          <w:sz w:val="21"/>
        </w:rPr>
        <w:t>（</w:t>
      </w:r>
      <w:r>
        <w:rPr>
          <w:sz w:val="21"/>
        </w:rPr>
        <w:t>4</w:t>
      </w:r>
      <w:r>
        <w:rPr>
          <w:sz w:val="21"/>
        </w:rPr>
        <w:t>）郁南县林业局提供的相关资料</w:t>
      </w:r>
      <w:r>
        <w:rPr>
          <w:sz w:val="21"/>
        </w:rPr>
        <w:t>。</w:t>
      </w:r>
    </w:p>
    <w:p>
      <w:pPr>
        <w:pStyle w:val="null3"/>
      </w:pPr>
      <w:r>
        <w:rPr/>
        <w:t>采购包1（2026年郁南县林业有害生物防治）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建设时间为2026年9月—2027年7月。其中，松材线虫病疫木清理施工时间为2027年3月，松材线虫病疫木清理质保期为2027年4月—2027年7月。</w:t>
            </w:r>
          </w:p>
        </w:tc>
      </w:tr>
      <w:tr>
        <w:tc>
          <w:tcPr>
            <w:tcW w:type="dxa" w:w="4153"/>
          </w:tcPr>
          <w:p>
            <w:pPr>
              <w:pStyle w:val="null3"/>
            </w:pPr>
            <w:r>
              <w:rPr/>
              <w:t>标的提供的地点</w:t>
            </w:r>
          </w:p>
        </w:tc>
        <w:tc>
          <w:tcPr>
            <w:tcW w:type="dxa" w:w="4153"/>
          </w:tcPr>
          <w:p>
            <w:pPr>
              <w:pStyle w:val="null3"/>
            </w:pPr>
            <w:r>
              <w:rPr/>
              <w:t>郁南县内</w:t>
            </w:r>
          </w:p>
        </w:tc>
      </w:tr>
      <w:tr>
        <w:tc>
          <w:tcPr>
            <w:tcW w:type="dxa" w:w="4153"/>
          </w:tcPr>
          <w:p>
            <w:pPr>
              <w:pStyle w:val="null3"/>
            </w:pPr>
            <w:r>
              <w:rPr/>
              <w:t>付款方式</w:t>
            </w:r>
          </w:p>
        </w:tc>
        <w:tc>
          <w:tcPr>
            <w:tcW w:type="dxa" w:w="4153"/>
          </w:tcPr>
          <w:p>
            <w:pPr>
              <w:pStyle w:val="null3"/>
            </w:pPr>
            <w:r>
              <w:rPr/>
              <w:t>1期：支付比例30%,签订合同后10日内，中标人向采购人申请支付合同总价的30%作为预付款；</w:t>
            </w:r>
          </w:p>
          <w:p>
            <w:pPr>
              <w:pStyle w:val="null3"/>
            </w:pPr>
            <w:r>
              <w:rPr/>
              <w:t>2期：支付比例50%,中标人完成总工作量的80%，并由监理单位和采购人确认后10日内，向采购人申请支付合同总价的50%作为进度款；</w:t>
            </w:r>
          </w:p>
          <w:p>
            <w:pPr>
              <w:pStyle w:val="null3"/>
            </w:pPr>
            <w:r>
              <w:rPr/>
              <w:t>3期：支付比例20%,中标人完成所有工作，并经监理单位和采购人组织验收合格后10日内，向采购人申请支付剩余合同价的20%给中标人。说明：薇甘菊防治面积以实际验收合格面积为准。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不属于采购人违约。 因中标人违约所产生的违约金、赔偿金，采购人有权从未付合同款项中予以扣除，且该扣除不视为采购人违约。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实行全过程工序规范可查、全程可追溯管理原则，项目各作业工序流程、操作记录、现场资料、台账数据、影像轨迹、运维记录全部归档留存，做到工序有据可查、过程可溯、责任可究，，实行县级自查、市级抽查、省级核验、国家验收的逐级检查验收制度。建设单位先进行全面自查，上级林业主管部门组织复查和核查验收。验收依据包括国家及省下达任务文件、作业设计、技术规程、监理报告、招投标文件、施工合同、财务资料、监测数据等。 （1）验收总体要求 有下列情况之一的，不能进行竣工验收： 工程建设规模和质量达不到批复的项目相关设计文件要求的； 未经批准，擅自调整项目建设规模、建设地点和建设内容的； 财务管理混乱，未按要求做好资金核算，违规使用项目专项资金的； 档案资料不健全的。 （2）验收主要标准 监测普查工序验收标准 1）数据及时录入监管平台，上报准确率100%，无迟报、漏报； 疫木清理工序验收标准 1）疫木、枯死木、衰弱木全面清除，做到应清尽清； 2）采伐作业持证实施，按设计强度采伐，无乱砍滥伐、无错砍漏砍； 3）伐桩高度≤5厘米，无超高伐桩、无遗漏伐桩； 4）1厘米以上枝桠全部清理，无林区遗留、无露天堆放。 5）疫木就地除害或转运至定点企业处置，无流失、无丢弃、无擅自利用； 6）消杀袋厚度达标、密封严密、无破损，投药剂量与密闭时间符合规范； 7）现场设置警示标识，标签信息完整，处置全过程可追溯； 8）疫木除治合格率≥95%。 薇甘菊防治工序验收标准 1）药剂选用合规、配比准确、定向喷雾，无漂移、无乱喷、无漫喷； 2）植株防除彻底，叶片枯死、茎蔓失活，防除效果≥90%； 3）无敏感作物药害，无水源污染，安全防护与警示措施到位； 4）连片发生区无遗漏，零星植株清除干净，无明显复发斑块。 飞防作业工序验收标准 1）飞防区域、航迹、面积与设计一致，无漏喷、无重喷、无越界； 2）药剂合格、稀释规范、雾滴均匀，覆盖率≥95%； 3）提前公告全覆盖，避让区管控到位，无安全事故、无群众投诉； 4）航迹记录、作业日志、天气记录、药剂票据齐全，可追溯。 测报点运维工序验收标准 1）标准地设置规范、标识清晰，固定观测样地、样株齐全； 2）按期开展调查，记录完整、数据准确，上报及时规范； 3）测报设备完好，人员培训到位，预报与虫情动态符合要求； 4）档案闭环管理，年度测报资料完整归档。 档案资料工序验收标准 1）作业设计、批复、合同、监理、小班表、轨迹图、影像、台账等齐全； 2）数据真实一致，图、表、册、现场相符，装订规范； 3）电子档案与纸质档案同步归档，可查询、可复核、可验收。 （3）验收程序 1）中标单位完工自检→提交自检报告； 2）监理单位复核巡检→出具监理意见； 3）县级验收组现地核查→逐项判定合格/不合格； 4）不合格下达整改通知书→限期整改→复验； 5）验收合格形成报告→逐级上报备案。</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的预算金额为小写：7230000.00元（大写：柒佰贰拾叁万元整），预算金额作为其最高限价值，投标人须在投标文件中对报价进行分项报价，投标报价不得高于清单一览表的总价和分项报价（注：报价高于最高限价的为无效报价）。 2.投标报价包括本项目实施过程中所发生的一切费用，包括但不限于：成本、利润、税金、开办费、技术措施费、大型机械进出场费、运输、人工费、材料费、风险费、政策性文件规定费用等所有费用。</w:t>
            </w:r>
          </w:p>
        </w:tc>
      </w:tr>
      <w:tr>
        <w:tc>
          <w:tcPr>
            <w:tcW w:type="dxa" w:w="2076"/>
          </w:tcPr>
          <w:p/>
        </w:tc>
        <w:tc>
          <w:tcPr>
            <w:tcW w:type="dxa" w:w="2076"/>
          </w:tcPr>
          <w:p>
            <w:pPr>
              <w:pStyle w:val="null3"/>
              <w:jc w:val="center"/>
            </w:pPr>
            <w:r>
              <w:rPr/>
              <w:t>2</w:t>
            </w:r>
          </w:p>
        </w:tc>
        <w:tc>
          <w:tcPr>
            <w:tcW w:type="dxa" w:w="2076"/>
          </w:tcPr>
          <w:p>
            <w:pPr>
              <w:pStyle w:val="null3"/>
              <w:jc w:val="left"/>
            </w:pPr>
            <w:r>
              <w:rPr/>
              <w:t>服务期限</w:t>
            </w:r>
          </w:p>
        </w:tc>
        <w:tc>
          <w:tcPr>
            <w:tcW w:type="dxa" w:w="2076"/>
          </w:tcPr>
          <w:p>
            <w:pPr>
              <w:pStyle w:val="null3"/>
              <w:jc w:val="left"/>
            </w:pPr>
            <w:r>
              <w:rPr/>
              <w:t>建设时间为2026年9月—2027年7月。其中，松材线虫病疫木清理施工时间为2027年3月，松材线虫病疫木清理质保期为2027年4月—2027年7月。</w:t>
            </w:r>
          </w:p>
        </w:tc>
      </w:tr>
      <w:tr>
        <w:tc>
          <w:tcPr>
            <w:tcW w:type="dxa" w:w="2076"/>
          </w:tcPr>
          <w:p/>
        </w:tc>
        <w:tc>
          <w:tcPr>
            <w:tcW w:type="dxa" w:w="2076"/>
          </w:tcPr>
          <w:p>
            <w:pPr>
              <w:pStyle w:val="null3"/>
              <w:jc w:val="center"/>
            </w:pPr>
            <w:r>
              <w:rPr/>
              <w:t>3</w:t>
            </w:r>
          </w:p>
        </w:tc>
        <w:tc>
          <w:tcPr>
            <w:tcW w:type="dxa" w:w="2076"/>
          </w:tcPr>
          <w:p>
            <w:pPr>
              <w:pStyle w:val="null3"/>
              <w:jc w:val="left"/>
            </w:pPr>
            <w:r>
              <w:rPr/>
              <w:t>质保期</w:t>
            </w:r>
          </w:p>
        </w:tc>
        <w:tc>
          <w:tcPr>
            <w:tcW w:type="dxa" w:w="2076"/>
          </w:tcPr>
          <w:p>
            <w:pPr>
              <w:pStyle w:val="null3"/>
              <w:jc w:val="left"/>
            </w:pPr>
            <w:r>
              <w:rPr/>
              <w:t>松材线虫病疫木清理质保期为2027年1月—2027年7月。</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设立24小时服务专线，对新发疫情或突发虫害提供48小时内现场处理。</w:t>
            </w:r>
          </w:p>
        </w:tc>
      </w:tr>
      <w:tr>
        <w:tc>
          <w:tcPr>
            <w:tcW w:type="dxa" w:w="2076"/>
          </w:tcPr>
          <w:p/>
        </w:tc>
        <w:tc>
          <w:tcPr>
            <w:tcW w:type="dxa" w:w="2076"/>
          </w:tcPr>
          <w:p>
            <w:pPr>
              <w:pStyle w:val="null3"/>
              <w:jc w:val="center"/>
            </w:pPr>
            <w:r>
              <w:rPr/>
              <w:t>5</w:t>
            </w:r>
          </w:p>
        </w:tc>
        <w:tc>
          <w:tcPr>
            <w:tcW w:type="dxa" w:w="2076"/>
          </w:tcPr>
          <w:p>
            <w:pPr>
              <w:pStyle w:val="null3"/>
              <w:jc w:val="left"/>
            </w:pPr>
            <w:r>
              <w:rPr/>
              <w:t>其他</w:t>
            </w:r>
          </w:p>
        </w:tc>
        <w:tc>
          <w:tcPr>
            <w:tcW w:type="dxa" w:w="2076"/>
          </w:tcPr>
          <w:p>
            <w:pPr>
              <w:pStyle w:val="null3"/>
              <w:jc w:val="left"/>
            </w:pPr>
            <w:r>
              <w:rPr/>
              <w:t>1.中标人凭以下有效文件与采购人结算： （1）中标通知书； （2）合同； （3）中标人开具的正式发票（收款方、出具发票方、合同中标人均必须与中标人名称一致）； （4）验收资料（加盖采购人公章）； （5）项目相关资料（加盖采购人公章）； （6）中标人营业执照； （7）中标人银行开户许可证。 2.逾期利息： （1）项目结算付款期限自双方确认结算金额之日起算，最长不超60天； （2）采购人未按付款期限支付结算款项的，应当支付逾期利息，按照同时期的一年期贷款市场报价利率（LPR）支付逾期利息。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2026年郁南县林业有害生物防治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7,230,000.00</w:t>
            </w:r>
          </w:p>
        </w:tc>
        <w:tc>
          <w:tcPr>
            <w:tcW w:type="dxa" w:w="933"/>
          </w:tcPr>
          <w:p>
            <w:pPr>
              <w:pStyle w:val="null3"/>
              <w:jc w:val="right"/>
            </w:pPr>
            <w:r>
              <w:rPr/>
              <w:t>7,230,000.00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2026年郁南县林业有害生物防治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7"/>
              <w:jc w:val="left"/>
            </w:pPr>
            <w:r>
              <w:rPr>
                <w:sz w:val="21"/>
                <w:b/>
              </w:rPr>
              <w:t>（一）任务目标</w:t>
            </w:r>
          </w:p>
          <w:p>
            <w:pPr>
              <w:pStyle w:val="null3"/>
              <w:jc w:val="left"/>
              <w:outlineLvl w:val="2"/>
            </w:pPr>
            <w:r>
              <w:rPr>
                <w:sz w:val="21"/>
                <w:b/>
              </w:rPr>
              <w:t>1.</w:t>
            </w:r>
            <w:r>
              <w:rPr>
                <w:sz w:val="21"/>
                <w:b/>
              </w:rPr>
              <w:t>松材线虫病日常监测调查</w:t>
            </w:r>
            <w:r>
              <w:rPr>
                <w:sz w:val="21"/>
                <w:b/>
              </w:rPr>
              <w:t>（</w:t>
            </w:r>
            <w:r>
              <w:rPr>
                <w:sz w:val="21"/>
                <w:b/>
              </w:rPr>
              <w:t>3次日常监测+1次秋季专项调查）</w:t>
            </w:r>
          </w:p>
          <w:p>
            <w:pPr>
              <w:pStyle w:val="null3"/>
              <w:ind w:firstLine="405"/>
              <w:jc w:val="left"/>
            </w:pPr>
            <w:r>
              <w:rPr>
                <w:sz w:val="21"/>
              </w:rPr>
              <w:t>工作任务：组织开展松林日常监测及秋季专项调查。日常监测分别在</w:t>
            </w:r>
            <w:r>
              <w:rPr>
                <w:sz w:val="21"/>
              </w:rPr>
              <w:t>2027年1-3月、4-6月、7月各开展1次；秋季专项调查于2026年9-11月实施，监测范围覆盖全县74万亩松林。对疫区、预防区、交通沿线、工程周边、木材集散地等重点区域做到全覆盖、无死角监测。</w:t>
            </w:r>
          </w:p>
          <w:p>
            <w:pPr>
              <w:pStyle w:val="null3"/>
              <w:ind w:firstLine="405"/>
              <w:jc w:val="left"/>
            </w:pPr>
            <w:r>
              <w:rPr>
                <w:sz w:val="21"/>
              </w:rPr>
              <w:t>作业要求：规范开展踏查、样地调查、疑似枯死木核查，建立监测台账，及时上报疫情信息，确保早发现、早报告、早处置。</w:t>
            </w:r>
            <w:r>
              <w:rPr>
                <w:sz w:val="21"/>
              </w:rPr>
              <w:t>并应用林草生态感知系统</w:t>
            </w:r>
            <w:r>
              <w:rPr>
                <w:sz w:val="21"/>
              </w:rPr>
              <w:t>“松材线虫病疫情防控监管平台”及移动端APP对所有采伐的疫木进行GPS定位、拍照，采集并上报疫木除治数据。</w:t>
            </w:r>
          </w:p>
          <w:p>
            <w:pPr>
              <w:pStyle w:val="null3"/>
              <w:jc w:val="left"/>
              <w:outlineLvl w:val="2"/>
            </w:pPr>
            <w:r>
              <w:rPr>
                <w:sz w:val="21"/>
                <w:b/>
              </w:rPr>
              <w:t>2.</w:t>
            </w:r>
            <w:r>
              <w:rPr>
                <w:sz w:val="21"/>
                <w:b/>
              </w:rPr>
              <w:t>松材线虫病疫木清理除治</w:t>
            </w:r>
          </w:p>
          <w:p>
            <w:pPr>
              <w:pStyle w:val="null3"/>
              <w:ind w:firstLine="405"/>
              <w:jc w:val="left"/>
            </w:pPr>
            <w:r>
              <w:rPr>
                <w:sz w:val="21"/>
              </w:rPr>
              <w:t>工作</w:t>
            </w:r>
            <w:r>
              <w:rPr>
                <w:sz w:val="21"/>
              </w:rPr>
              <w:t>任务：</w:t>
            </w:r>
            <w:r>
              <w:rPr>
                <w:sz w:val="21"/>
              </w:rPr>
              <w:t>根据《郁南县</w:t>
            </w:r>
            <w:r>
              <w:rPr>
                <w:sz w:val="21"/>
              </w:rPr>
              <w:t>2025年秋季松材线虫病检测调查报告》显示，郁南县松材线虫病发生面积5.44</w:t>
            </w:r>
            <w:r>
              <w:rPr>
                <w:sz w:val="21"/>
              </w:rPr>
              <w:t>万</w:t>
            </w:r>
            <w:r>
              <w:rPr>
                <w:sz w:val="21"/>
              </w:rPr>
              <w:t>亩</w:t>
            </w:r>
            <w:r>
              <w:rPr>
                <w:sz w:val="21"/>
              </w:rPr>
              <w:t>，</w:t>
            </w:r>
            <w:r>
              <w:rPr>
                <w:sz w:val="21"/>
              </w:rPr>
              <w:t>其中有</w:t>
            </w:r>
            <w:r>
              <w:rPr>
                <w:sz w:val="21"/>
              </w:rPr>
              <w:t>0.31万亩与广东西江流域（云浮市郁南县）中央财政国土绿化项目重叠，将0.31万亩重叠面积用于对建城镇部分小班进行反复清理，保证松材线虫病疫木清理除治不低于5.44万亩，清除不低于1.36万株枯死松树。对辖区内松材线虫病疫点病死木、濒死木、衰弱木应清</w:t>
            </w:r>
            <w:r>
              <w:rPr>
                <w:sz w:val="21"/>
              </w:rPr>
              <w:t>尽清、应除尽除。</w:t>
            </w:r>
          </w:p>
          <w:p>
            <w:pPr>
              <w:pStyle w:val="null3"/>
              <w:ind w:firstLine="405"/>
              <w:jc w:val="left"/>
            </w:pPr>
            <w:r>
              <w:rPr>
                <w:sz w:val="21"/>
              </w:rPr>
              <w:t>作业要求：严格执行《松材线虫病防治技术方案（</w:t>
            </w:r>
            <w:r>
              <w:rPr>
                <w:sz w:val="21"/>
              </w:rPr>
              <w:t>2024年版）》，全县全域同步开展松材线虫病除治工作，防控范围不局限于疫情小班，覆盖县域全部松林地块。作业遵循高速沿线重点区域优先清理原则，分区分段有序推进择伐清理作业。本次全域松枯死木清理设定硬性任务指标：累计清除枯死松树总量不低于1.36万株。清理范围覆盖各疫情小班及周边全域松林内全部死亡松树，包含松材线虫病死木、长势衰弱枯死木、其他病虫害致死松树，严格落实应清尽清、不留死角。</w:t>
            </w:r>
          </w:p>
          <w:p>
            <w:pPr>
              <w:pStyle w:val="null3"/>
              <w:jc w:val="left"/>
              <w:outlineLvl w:val="2"/>
            </w:pPr>
            <w:r>
              <w:rPr>
                <w:sz w:val="21"/>
                <w:b/>
              </w:rPr>
              <w:t>3.松材线虫病飞防任务</w:t>
            </w:r>
          </w:p>
          <w:p>
            <w:pPr>
              <w:pStyle w:val="null3"/>
              <w:ind w:firstLine="405"/>
              <w:jc w:val="left"/>
            </w:pPr>
            <w:r>
              <w:rPr>
                <w:sz w:val="21"/>
              </w:rPr>
              <w:t>工作任务：完成松材线虫病飞防作业面积</w:t>
            </w:r>
            <w:r>
              <w:rPr>
                <w:sz w:val="21"/>
              </w:rPr>
              <w:t>5.783万亩。对重点疫区、连片纯松林、交通沿线、生态公益林及人工防治难度大区域开展航空施药防治，精准灭杀松褐天牛等媒介昆虫，切断松材线虫病传播路径，降低松树病死率，与地面除治、监测预警形成立体防控体系。</w:t>
            </w:r>
          </w:p>
          <w:p>
            <w:pPr>
              <w:pStyle w:val="null3"/>
              <w:ind w:firstLine="405"/>
              <w:jc w:val="left"/>
            </w:pPr>
            <w:r>
              <w:rPr>
                <w:sz w:val="21"/>
              </w:rPr>
              <w:t>作业要求：严格遵循《松材线虫病防治技术方案（</w:t>
            </w:r>
            <w:r>
              <w:rPr>
                <w:sz w:val="21"/>
              </w:rPr>
              <w:t>2024版）》，选用低毒环保专用药剂，规范航空作业流程，确保飞防安全、精准、全覆盖，飞防区域媒介昆虫死亡率显著下降，疫情扩散风险有效降低。</w:t>
            </w:r>
          </w:p>
          <w:p>
            <w:pPr>
              <w:pStyle w:val="null3"/>
              <w:jc w:val="left"/>
              <w:outlineLvl w:val="2"/>
            </w:pPr>
            <w:r>
              <w:rPr>
                <w:sz w:val="21"/>
                <w:b/>
              </w:rPr>
              <w:t>4.</w:t>
            </w:r>
            <w:r>
              <w:rPr>
                <w:sz w:val="21"/>
                <w:b/>
              </w:rPr>
              <w:t>薇甘菊综合防治</w:t>
            </w:r>
          </w:p>
          <w:p>
            <w:pPr>
              <w:pStyle w:val="null3"/>
              <w:ind w:firstLine="405"/>
              <w:jc w:val="left"/>
            </w:pPr>
            <w:r>
              <w:rPr>
                <w:sz w:val="21"/>
              </w:rPr>
              <w:t>工作</w:t>
            </w:r>
            <w:r>
              <w:rPr>
                <w:sz w:val="21"/>
              </w:rPr>
              <w:t>任务：完成薇甘菊防治</w:t>
            </w:r>
            <w:r>
              <w:rPr>
                <w:sz w:val="21"/>
              </w:rPr>
              <w:t>不少于</w:t>
            </w:r>
            <w:r>
              <w:rPr>
                <w:sz w:val="21"/>
              </w:rPr>
              <w:t>0.65</w:t>
            </w:r>
            <w:r>
              <w:rPr>
                <w:sz w:val="21"/>
              </w:rPr>
              <w:t>万亩次，覆盖全县薇甘菊发生区域，重点防除林地、道路沿线、生态敏感区入侵植株。</w:t>
            </w:r>
          </w:p>
          <w:p>
            <w:pPr>
              <w:pStyle w:val="null3"/>
              <w:ind w:firstLine="405"/>
              <w:jc w:val="left"/>
            </w:pPr>
            <w:r>
              <w:rPr>
                <w:sz w:val="21"/>
              </w:rPr>
              <w:t>作业要求：遵循《薇甘菊防治技术规程》，</w:t>
            </w:r>
            <w:r>
              <w:rPr>
                <w:sz w:val="21"/>
              </w:rPr>
              <w:t>全部</w:t>
            </w:r>
            <w:r>
              <w:rPr>
                <w:sz w:val="21"/>
              </w:rPr>
              <w:t>采用化学</w:t>
            </w:r>
            <w:r>
              <w:rPr>
                <w:sz w:val="21"/>
              </w:rPr>
              <w:t>防治形</w:t>
            </w:r>
            <w:r>
              <w:rPr>
                <w:sz w:val="21"/>
              </w:rPr>
              <w:t>式，确保防除效果，防止扩散蔓延。</w:t>
            </w:r>
          </w:p>
          <w:p>
            <w:pPr>
              <w:pStyle w:val="null3"/>
              <w:ind w:firstLine="407"/>
              <w:jc w:val="left"/>
            </w:pPr>
            <w:r>
              <w:rPr>
                <w:sz w:val="21"/>
                <w:b/>
              </w:rPr>
              <w:t>（二）技术措施</w:t>
            </w:r>
          </w:p>
          <w:p>
            <w:pPr>
              <w:pStyle w:val="null3"/>
              <w:jc w:val="left"/>
              <w:outlineLvl w:val="2"/>
            </w:pPr>
            <w:r>
              <w:rPr>
                <w:sz w:val="21"/>
                <w:b/>
              </w:rPr>
              <w:t>1.松材线虫病日常监测</w:t>
            </w:r>
          </w:p>
          <w:p>
            <w:pPr>
              <w:pStyle w:val="null3"/>
              <w:ind w:firstLine="407"/>
              <w:jc w:val="left"/>
            </w:pPr>
            <w:r>
              <w:rPr>
                <w:sz w:val="21"/>
                <w:b/>
              </w:rPr>
              <w:t>（</w:t>
            </w:r>
            <w:r>
              <w:rPr>
                <w:sz w:val="21"/>
                <w:b/>
              </w:rPr>
              <w:t>1）监测对象</w:t>
            </w:r>
          </w:p>
          <w:p>
            <w:pPr>
              <w:pStyle w:val="null3"/>
              <w:ind w:firstLine="405"/>
              <w:jc w:val="left"/>
            </w:pPr>
            <w:r>
              <w:rPr>
                <w:sz w:val="21"/>
              </w:rPr>
              <w:t>全县含有松林分布的小班（包括纯松树林和混交）</w:t>
            </w:r>
            <w:r>
              <w:rPr>
                <w:sz w:val="21"/>
              </w:rPr>
              <w:t>共计</w:t>
            </w:r>
            <w:r>
              <w:rPr>
                <w:sz w:val="21"/>
              </w:rPr>
              <w:t>5767个，</w:t>
            </w:r>
            <w:r>
              <w:rPr>
                <w:sz w:val="21"/>
              </w:rPr>
              <w:t>调查</w:t>
            </w:r>
            <w:r>
              <w:rPr>
                <w:sz w:val="21"/>
              </w:rPr>
              <w:t>面积</w:t>
            </w:r>
            <w:r>
              <w:rPr>
                <w:sz w:val="21"/>
              </w:rPr>
              <w:t>74</w:t>
            </w:r>
            <w:r>
              <w:rPr>
                <w:sz w:val="21"/>
              </w:rPr>
              <w:t>万亩</w:t>
            </w:r>
            <w:r>
              <w:rPr>
                <w:sz w:val="21"/>
              </w:rPr>
              <w:t>，未发生疫情和已实现无疫情的松林和散生松树。</w:t>
            </w:r>
          </w:p>
          <w:p>
            <w:pPr>
              <w:pStyle w:val="null3"/>
              <w:ind w:firstLine="407"/>
              <w:jc w:val="left"/>
            </w:pPr>
            <w:r>
              <w:rPr>
                <w:sz w:val="21"/>
                <w:b/>
              </w:rPr>
              <w:t>（</w:t>
            </w:r>
            <w:r>
              <w:rPr>
                <w:sz w:val="21"/>
                <w:b/>
              </w:rPr>
              <w:t>2）监测频次</w:t>
            </w:r>
          </w:p>
          <w:p>
            <w:pPr>
              <w:pStyle w:val="null3"/>
              <w:ind w:firstLine="405"/>
              <w:jc w:val="left"/>
            </w:pPr>
            <w:r>
              <w:rPr>
                <w:sz w:val="21"/>
              </w:rPr>
              <w:t>日常监测：</w:t>
            </w:r>
            <w:r>
              <w:rPr>
                <w:sz w:val="21"/>
              </w:rPr>
              <w:t>2027年1-3月、4-6月、7月各监测一次。电网、通信线路和高速公路沿线，通信基站、公路、铁路、水电等建设工程施工区域附近，木材集散地、海关货物堆放区周边，自然保护地以及疫区毗邻地区等风险高的重点区域，应加大监测频次。原始林区、无人区、易伤人的野生动物频繁出没区等风险低的松林分布区域，可降低监测频次。疫木集中除治期间，日常监测与质量检查、疫木监管等相关工作统筹开展。</w:t>
            </w:r>
          </w:p>
          <w:p>
            <w:pPr>
              <w:pStyle w:val="null3"/>
              <w:ind w:firstLine="405"/>
              <w:jc w:val="left"/>
            </w:pPr>
            <w:r>
              <w:rPr>
                <w:sz w:val="21"/>
              </w:rPr>
              <w:t>秋季专项调查：</w:t>
            </w:r>
            <w:r>
              <w:rPr>
                <w:sz w:val="21"/>
              </w:rPr>
              <w:t>2026年9-11月开展秋季专项调查，普查期间疫区内病死树数量统计不包括普查前“即死即清”和“集中清除”病枯死松树数量，只统计秋季专项调查时监测到山上现有的病枯死树数量。</w:t>
            </w:r>
          </w:p>
          <w:p>
            <w:pPr>
              <w:pStyle w:val="null3"/>
              <w:ind w:firstLine="407"/>
              <w:jc w:val="left"/>
            </w:pPr>
            <w:r>
              <w:rPr>
                <w:sz w:val="21"/>
                <w:b/>
              </w:rPr>
              <w:t>（</w:t>
            </w:r>
            <w:r>
              <w:rPr>
                <w:sz w:val="21"/>
                <w:b/>
              </w:rPr>
              <w:t>3）记录与上报</w:t>
            </w:r>
          </w:p>
          <w:p>
            <w:pPr>
              <w:pStyle w:val="null3"/>
              <w:ind w:firstLine="405"/>
              <w:jc w:val="left"/>
            </w:pPr>
            <w:r>
              <w:rPr>
                <w:sz w:val="21"/>
              </w:rPr>
              <w:t>日常监测和秋季专项调查完成后，需对监测结果进行整理形成监测报告，详细记载调查地点、调查小班林分状况、病死松树数量发生面积，并绘制疫情分布图和疫情小班分布图。调查死亡松树数量时，需将疫情小班内的病枯死（含病死、不明原因枯死、濒死）和其他原因（确认由干旱、风折、雪压、火烧、环剥等）致死的松树一并分类进行调查和统计。</w:t>
            </w:r>
          </w:p>
          <w:p>
            <w:pPr>
              <w:pStyle w:val="null3"/>
              <w:ind w:firstLine="405"/>
              <w:jc w:val="left"/>
            </w:pPr>
            <w:r>
              <w:rPr>
                <w:sz w:val="21"/>
              </w:rPr>
              <w:t>疫情防控监管平台报告。应用林草生态网络感知系统</w:t>
            </w:r>
            <w:r>
              <w:rPr>
                <w:sz w:val="21"/>
              </w:rPr>
              <w:t>“松材线虫病疫情防控监管平台”及其移动端监测APP采集报告日常监测、专项普查和取样检测信息以小班为单位实时更新工作动态和疫情数据，实行疫情监测普查和检测排查全过程精细化可视化管理。经初检疑似新发县级松材线虫病疫情的，应立即通过林草生态网络感知系统“松材线虫病疫情防控监管平台”报告。</w:t>
            </w:r>
          </w:p>
          <w:p>
            <w:pPr>
              <w:pStyle w:val="null3"/>
              <w:jc w:val="left"/>
              <w:outlineLvl w:val="2"/>
            </w:pPr>
            <w:r>
              <w:rPr>
                <w:sz w:val="21"/>
                <w:b/>
              </w:rPr>
              <w:t>2.松材线虫病疫木清理</w:t>
            </w:r>
          </w:p>
          <w:p>
            <w:pPr>
              <w:pStyle w:val="null3"/>
              <w:numPr>
                <w:ilvl w:val="3"/>
                <w:numId w:val="1"/>
              </w:numPr>
            </w:pPr>
            <w:r>
              <w:rPr>
                <w:sz w:val="21"/>
                <w:b/>
              </w:rPr>
              <w:t>防治</w:t>
            </w:r>
            <w:r>
              <w:rPr>
                <w:sz w:val="21"/>
                <w:b/>
              </w:rPr>
              <w:t>方式</w:t>
            </w:r>
          </w:p>
          <w:p>
            <w:pPr>
              <w:pStyle w:val="null3"/>
              <w:ind w:firstLine="405"/>
              <w:jc w:val="left"/>
            </w:pPr>
            <w:r>
              <w:rPr>
                <w:sz w:val="21"/>
              </w:rPr>
              <w:t>选择清除（即择伐清理），</w:t>
            </w:r>
            <w:r>
              <w:rPr>
                <w:sz w:val="21"/>
              </w:rPr>
              <w:t>严格执行《松材线虫病防治技术方案（</w:t>
            </w:r>
            <w:r>
              <w:rPr>
                <w:sz w:val="21"/>
              </w:rPr>
              <w:t>2024年版）》，全县全域同步开展松材线虫病除治工作，防控范围不局限于5.289万亩疫情小班，覆盖县域全部松林地块。作业遵循高速沿线重点区域优先清理原则，分区分段有序推进择伐清理作业。本次全域松枯死木清理设定硬性任务指标：累计清除枯死松树总量不低于1.36万株。清理范围覆盖各疫情小班及周边全域松林内全部死亡松树，包含松材线虫病死木、长势衰弱枯死木、其他病虫害致死松树，严格落实应清尽清、不留死角。</w:t>
            </w:r>
          </w:p>
          <w:p>
            <w:pPr>
              <w:pStyle w:val="null3"/>
              <w:ind w:firstLine="405"/>
              <w:jc w:val="left"/>
            </w:pPr>
            <w:r>
              <w:rPr>
                <w:sz w:val="21"/>
              </w:rPr>
              <w:t>皆伐清理，</w:t>
            </w:r>
            <w:r>
              <w:rPr>
                <w:sz w:val="21"/>
              </w:rPr>
              <w:t>防治面积</w:t>
            </w:r>
            <w:r>
              <w:rPr>
                <w:sz w:val="21"/>
              </w:rPr>
              <w:t>0.151</w:t>
            </w:r>
            <w:r>
              <w:rPr>
                <w:sz w:val="21"/>
              </w:rPr>
              <w:t>万亩</w:t>
            </w:r>
            <w:r>
              <w:rPr>
                <w:sz w:val="21"/>
              </w:rPr>
              <w:t>。包含皆伐、集材、便道修建、疫木运输等工序交由社会化防治队伍</w:t>
            </w:r>
            <w:r>
              <w:rPr>
                <w:sz w:val="21"/>
              </w:rPr>
              <w:t>按照疫木处理流程</w:t>
            </w:r>
            <w:r>
              <w:rPr>
                <w:sz w:val="21"/>
              </w:rPr>
              <w:t>实施皆伐清理。</w:t>
            </w:r>
          </w:p>
          <w:p>
            <w:pPr>
              <w:pStyle w:val="null3"/>
              <w:numPr>
                <w:ilvl w:val="3"/>
                <w:numId w:val="2"/>
              </w:numPr>
            </w:pPr>
            <w:r>
              <w:rPr>
                <w:sz w:val="21"/>
                <w:b/>
              </w:rPr>
              <w:t>清除时间与作业要求</w:t>
            </w:r>
          </w:p>
          <w:p>
            <w:pPr>
              <w:pStyle w:val="null3"/>
              <w:ind w:firstLine="405"/>
              <w:jc w:val="left"/>
            </w:pPr>
            <w:r>
              <w:rPr>
                <w:sz w:val="21"/>
              </w:rPr>
              <w:t>2026年9</w:t>
            </w:r>
            <w:r>
              <w:rPr>
                <w:sz w:val="21"/>
              </w:rPr>
              <w:t>月至</w:t>
            </w:r>
            <w:r>
              <w:rPr>
                <w:sz w:val="21"/>
              </w:rPr>
              <w:t>2027年3</w:t>
            </w:r>
            <w:r>
              <w:rPr>
                <w:sz w:val="21"/>
              </w:rPr>
              <w:t>月</w:t>
            </w:r>
            <w:r>
              <w:rPr>
                <w:sz w:val="21"/>
              </w:rPr>
              <w:t>，集中清除。在冬春季媒介昆虫非羽化期内（一般是当年</w:t>
            </w:r>
            <w:r>
              <w:rPr>
                <w:sz w:val="21"/>
              </w:rPr>
              <w:t>10月至次年4月）采伐清理死亡（病死、其他原因致死）松树并进行除害处理。</w:t>
            </w:r>
          </w:p>
          <w:p>
            <w:pPr>
              <w:pStyle w:val="null3"/>
              <w:numPr>
                <w:ilvl w:val="3"/>
                <w:numId w:val="2"/>
              </w:numPr>
            </w:pPr>
            <w:r>
              <w:rPr>
                <w:sz w:val="21"/>
                <w:b/>
              </w:rPr>
              <w:t>疫木处理</w:t>
            </w:r>
          </w:p>
          <w:p>
            <w:pPr>
              <w:pStyle w:val="null3"/>
              <w:ind w:firstLine="405"/>
              <w:jc w:val="left"/>
            </w:pPr>
            <w:r>
              <w:rPr>
                <w:sz w:val="21"/>
              </w:rPr>
              <w:t>清除</w:t>
            </w:r>
            <w:r>
              <w:rPr>
                <w:sz w:val="21"/>
              </w:rPr>
              <w:t>材线虫病疫情小班及其周边松林中的死亡</w:t>
            </w:r>
            <w:r>
              <w:rPr>
                <w:sz w:val="21"/>
              </w:rPr>
              <w:t>松木（包括松材线虫病死木、衰弱枯死木、其他病虫致死木），并对所清理的病枯死松树伐桩位置进行</w:t>
            </w:r>
            <w:r>
              <w:rPr>
                <w:sz w:val="21"/>
              </w:rPr>
              <w:t>GPS定位及记录。交通运输便利的，规格材及枝桠材就近运输至有资质的木材加工厂进行安全利用处理，严禁在疫区内违法违规采伐、运输、经营、加工、利用和储存疫木及其制品。留存下来的松树树干及其直径1cm以上的枝条要当天就地采用套袋消杀措施进行除害处理。高山陡坡、林密或林下草灌丰富、林间通行困难的病死木，可因地制宜就地采用套袋消杀措施进行除害处理。</w:t>
            </w:r>
          </w:p>
          <w:p>
            <w:pPr>
              <w:pStyle w:val="null3"/>
              <w:numPr>
                <w:ilvl w:val="3"/>
                <w:numId w:val="2"/>
              </w:numPr>
            </w:pPr>
            <w:r>
              <w:rPr>
                <w:sz w:val="21"/>
                <w:b/>
              </w:rPr>
              <w:t>套袋消杀处理</w:t>
            </w:r>
          </w:p>
          <w:p>
            <w:pPr>
              <w:pStyle w:val="null3"/>
              <w:ind w:firstLine="405"/>
              <w:jc w:val="left"/>
            </w:pPr>
            <w:r>
              <w:rPr>
                <w:sz w:val="21"/>
              </w:rPr>
              <w:t>使用桶形消杀袋或长方体形消杀袋，作业时当地日气温要高于</w:t>
            </w:r>
            <w:r>
              <w:rPr>
                <w:sz w:val="21"/>
              </w:rPr>
              <w:t>10℃，消杀药剂为56%磷化铝片剂。作业步骤如下：</w:t>
            </w:r>
          </w:p>
          <w:p>
            <w:pPr>
              <w:pStyle w:val="null3"/>
              <w:ind w:firstLine="405"/>
              <w:jc w:val="left"/>
            </w:pPr>
            <w:r>
              <w:rPr>
                <w:sz w:val="21"/>
              </w:rPr>
              <w:t>1）</w:t>
            </w:r>
            <w:r>
              <w:rPr>
                <w:sz w:val="21"/>
              </w:rPr>
              <w:t>伐倒、截干与整理</w:t>
            </w:r>
            <w:r>
              <w:rPr>
                <w:sz w:val="21"/>
              </w:rPr>
              <w:t>。</w:t>
            </w:r>
          </w:p>
          <w:p>
            <w:pPr>
              <w:pStyle w:val="null3"/>
              <w:ind w:firstLine="405"/>
              <w:jc w:val="left"/>
            </w:pPr>
            <w:r>
              <w:rPr>
                <w:sz w:val="21"/>
              </w:rPr>
              <w:t>2）</w:t>
            </w:r>
            <w:r>
              <w:rPr>
                <w:sz w:val="21"/>
              </w:rPr>
              <w:t>装袋。在枯死松树附近，选取地势稍平的区域作为堆放区，将消杀袋（厚度</w:t>
            </w:r>
            <w:r>
              <w:rPr>
                <w:sz w:val="21"/>
              </w:rPr>
              <w:t>≥0.1毫米，10丝）平铺放置，依次将木段、枝桠装入袋中，两端用自锁式尼龙扎带（越扎越紧）捆扎密封。装袋过程中要小心轻放，防止弄破消杀袋，以免造成漏气。</w:t>
            </w:r>
          </w:p>
          <w:p>
            <w:pPr>
              <w:pStyle w:val="null3"/>
              <w:ind w:firstLine="405"/>
              <w:jc w:val="left"/>
            </w:pPr>
            <w:r>
              <w:rPr>
                <w:sz w:val="21"/>
              </w:rPr>
              <w:t>3）</w:t>
            </w:r>
            <w:r>
              <w:rPr>
                <w:sz w:val="21"/>
              </w:rPr>
              <w:t>检查密封性。仔细检查装有木段、枝桠的消杀袋是否破损，发现有破洞时，用胶带或其他粘合剂补好，如无法修补则需要更换消杀袋。</w:t>
            </w:r>
          </w:p>
          <w:p>
            <w:pPr>
              <w:pStyle w:val="null3"/>
              <w:ind w:firstLine="405"/>
              <w:jc w:val="left"/>
            </w:pPr>
            <w:r>
              <w:rPr>
                <w:sz w:val="21"/>
              </w:rPr>
              <w:t>4）</w:t>
            </w:r>
            <w:r>
              <w:rPr>
                <w:sz w:val="21"/>
              </w:rPr>
              <w:t>投药。在封口前投药，先扎紧消杀袋一侧，确定消杀袋密封后，按照</w:t>
            </w:r>
            <w:r>
              <w:rPr>
                <w:sz w:val="21"/>
              </w:rPr>
              <w:t>20</w:t>
            </w:r>
            <w:r>
              <w:rPr>
                <w:sz w:val="21"/>
              </w:rPr>
              <w:t>～</w:t>
            </w:r>
            <w:r>
              <w:rPr>
                <w:sz w:val="21"/>
              </w:rPr>
              <w:t>30克/立方米的剂量，从另一侧迅速放入足量的消杀药剂后立刻扎紧袋口。投药后至少放置10</w:t>
            </w:r>
            <w:r>
              <w:rPr>
                <w:sz w:val="21"/>
              </w:rPr>
              <w:t>～</w:t>
            </w:r>
            <w:r>
              <w:rPr>
                <w:sz w:val="21"/>
              </w:rPr>
              <w:t>15天。</w:t>
            </w:r>
          </w:p>
          <w:p>
            <w:pPr>
              <w:pStyle w:val="null3"/>
              <w:ind w:firstLine="405"/>
              <w:jc w:val="left"/>
            </w:pPr>
            <w:r>
              <w:rPr>
                <w:sz w:val="21"/>
              </w:rPr>
              <w:t>5）</w:t>
            </w:r>
            <w:r>
              <w:rPr>
                <w:sz w:val="21"/>
              </w:rPr>
              <w:t>警示牌和标签。处理区应设置标语警示牌；消杀袋上需有警示标志（注明施工单位、施工时间、药剂名称、药剂有效期）和</w:t>
            </w:r>
            <w:r>
              <w:rPr>
                <w:sz w:val="21"/>
              </w:rPr>
              <w:t>“有毒有害”警示标牌。</w:t>
            </w:r>
          </w:p>
          <w:p>
            <w:pPr>
              <w:pStyle w:val="null3"/>
              <w:ind w:firstLine="405"/>
              <w:jc w:val="left"/>
            </w:pPr>
            <w:r>
              <w:rPr>
                <w:sz w:val="21"/>
              </w:rPr>
              <w:t>6）</w:t>
            </w:r>
            <w:r>
              <w:rPr>
                <w:sz w:val="21"/>
              </w:rPr>
              <w:t>检查现场。再次检查消杀袋密封性，查看处理现场是否有木段和枝桠遗漏，如不符合要求需重新处理。对消杀袋等施工现场进行拍照或录像，以便记录存档。</w:t>
            </w:r>
          </w:p>
          <w:p>
            <w:pPr>
              <w:pStyle w:val="null3"/>
              <w:numPr>
                <w:ilvl w:val="3"/>
                <w:numId w:val="2"/>
              </w:numPr>
            </w:pPr>
            <w:r>
              <w:rPr>
                <w:sz w:val="21"/>
                <w:b/>
              </w:rPr>
              <w:t>伐桩处理</w:t>
            </w:r>
          </w:p>
          <w:p>
            <w:pPr>
              <w:pStyle w:val="null3"/>
              <w:ind w:firstLine="405"/>
              <w:jc w:val="left"/>
            </w:pPr>
            <w:r>
              <w:rPr>
                <w:sz w:val="21"/>
              </w:rPr>
              <w:t>伐桩高度低于5cm的可不处理</w:t>
            </w:r>
            <w:r>
              <w:rPr>
                <w:sz w:val="21"/>
              </w:rPr>
              <w:t>。</w:t>
            </w:r>
          </w:p>
          <w:p>
            <w:pPr>
              <w:pStyle w:val="null3"/>
              <w:numPr>
                <w:ilvl w:val="3"/>
                <w:numId w:val="2"/>
              </w:numPr>
            </w:pPr>
            <w:r>
              <w:rPr>
                <w:sz w:val="21"/>
                <w:b/>
              </w:rPr>
              <w:t>除治标识</w:t>
            </w:r>
          </w:p>
          <w:p>
            <w:pPr>
              <w:pStyle w:val="null3"/>
              <w:ind w:firstLine="405"/>
              <w:jc w:val="left"/>
            </w:pPr>
            <w:r>
              <w:rPr>
                <w:sz w:val="21"/>
              </w:rPr>
              <w:t>在所有疫木除治作业区必须统一设置除治标识牌，</w:t>
            </w:r>
            <w:r>
              <w:rPr>
                <w:sz w:val="21"/>
              </w:rPr>
              <w:t>内容包括除治地点、除治面积和株数、除治方式、作业单位、监督电话等信息，</w:t>
            </w:r>
            <w:r>
              <w:rPr>
                <w:sz w:val="21"/>
              </w:rPr>
              <w:t>做到一区一牌、应设尽设、醒目规范。标识牌应设置在除治区入口、主要道路旁、作业显眼位置，保持牢固、清晰、完整，不得遮挡、破损或擅自拆除。</w:t>
            </w:r>
          </w:p>
          <w:p>
            <w:pPr>
              <w:pStyle w:val="null3"/>
              <w:numPr>
                <w:ilvl w:val="3"/>
                <w:numId w:val="2"/>
              </w:numPr>
            </w:pPr>
            <w:r>
              <w:rPr>
                <w:sz w:val="21"/>
                <w:b/>
              </w:rPr>
              <w:t>防控期限</w:t>
            </w:r>
          </w:p>
          <w:p>
            <w:pPr>
              <w:pStyle w:val="null3"/>
              <w:ind w:firstLine="405"/>
              <w:jc w:val="left"/>
            </w:pPr>
            <w:r>
              <w:rPr>
                <w:sz w:val="21"/>
              </w:rPr>
              <w:t>防治期限从</w:t>
            </w:r>
            <w:r>
              <w:rPr>
                <w:sz w:val="21"/>
              </w:rPr>
              <w:t>202</w:t>
            </w:r>
            <w:r>
              <w:rPr>
                <w:sz w:val="21"/>
              </w:rPr>
              <w:t>6</w:t>
            </w:r>
            <w:r>
              <w:rPr>
                <w:sz w:val="21"/>
              </w:rPr>
              <w:t>年</w:t>
            </w:r>
            <w:r>
              <w:rPr>
                <w:sz w:val="21"/>
              </w:rPr>
              <w:t>9</w:t>
            </w:r>
            <w:r>
              <w:rPr>
                <w:sz w:val="21"/>
              </w:rPr>
              <w:t>月</w:t>
            </w:r>
            <w:r>
              <w:rPr>
                <w:sz w:val="21"/>
              </w:rPr>
              <w:t>—</w:t>
            </w:r>
            <w:r>
              <w:rPr>
                <w:sz w:val="21"/>
              </w:rPr>
              <w:t>202</w:t>
            </w:r>
            <w:r>
              <w:rPr>
                <w:sz w:val="21"/>
              </w:rPr>
              <w:t>7</w:t>
            </w:r>
            <w:r>
              <w:rPr>
                <w:sz w:val="21"/>
              </w:rPr>
              <w:t>年</w:t>
            </w:r>
            <w:r>
              <w:rPr>
                <w:sz w:val="21"/>
              </w:rPr>
              <w:t>7</w:t>
            </w:r>
            <w:r>
              <w:rPr>
                <w:sz w:val="21"/>
              </w:rPr>
              <w:t>月。其中到</w:t>
            </w:r>
            <w:r>
              <w:rPr>
                <w:sz w:val="21"/>
              </w:rPr>
              <w:t>202</w:t>
            </w:r>
            <w:r>
              <w:rPr>
                <w:sz w:val="21"/>
              </w:rPr>
              <w:t>6</w:t>
            </w:r>
            <w:r>
              <w:rPr>
                <w:sz w:val="21"/>
              </w:rPr>
              <w:t>年</w:t>
            </w:r>
            <w:r>
              <w:rPr>
                <w:sz w:val="21"/>
              </w:rPr>
              <w:t>12月上旬，要完成防治作业工作并进行项目初步验收；202</w:t>
            </w:r>
            <w:r>
              <w:rPr>
                <w:sz w:val="21"/>
              </w:rPr>
              <w:t>6</w:t>
            </w:r>
            <w:r>
              <w:rPr>
                <w:sz w:val="21"/>
              </w:rPr>
              <w:t>年</w:t>
            </w:r>
            <w:r>
              <w:rPr>
                <w:sz w:val="21"/>
              </w:rPr>
              <w:t>12月至次年</w:t>
            </w:r>
            <w:r>
              <w:rPr>
                <w:sz w:val="21"/>
              </w:rPr>
              <w:t>6</w:t>
            </w:r>
            <w:r>
              <w:rPr>
                <w:sz w:val="21"/>
              </w:rPr>
              <w:t>月为项目质保期，</w:t>
            </w:r>
            <w:r>
              <w:rPr>
                <w:sz w:val="21"/>
              </w:rPr>
              <w:t>202</w:t>
            </w:r>
            <w:r>
              <w:rPr>
                <w:sz w:val="21"/>
              </w:rPr>
              <w:t>7</w:t>
            </w:r>
            <w:r>
              <w:rPr>
                <w:sz w:val="21"/>
              </w:rPr>
              <w:t>年</w:t>
            </w:r>
            <w:r>
              <w:rPr>
                <w:sz w:val="21"/>
              </w:rPr>
              <w:t>7</w:t>
            </w:r>
            <w:r>
              <w:rPr>
                <w:sz w:val="21"/>
              </w:rPr>
              <w:t>月</w:t>
            </w:r>
            <w:r>
              <w:rPr>
                <w:sz w:val="21"/>
              </w:rPr>
              <w:t>底前</w:t>
            </w:r>
            <w:r>
              <w:rPr>
                <w:sz w:val="21"/>
              </w:rPr>
              <w:t>进行竣工验收。</w:t>
            </w:r>
          </w:p>
          <w:p>
            <w:pPr>
              <w:pStyle w:val="null3"/>
              <w:numPr>
                <w:ilvl w:val="3"/>
                <w:numId w:val="2"/>
              </w:numPr>
            </w:pPr>
            <w:r>
              <w:rPr>
                <w:sz w:val="21"/>
                <w:b/>
              </w:rPr>
              <w:t>防控任务安排</w:t>
            </w:r>
          </w:p>
          <w:p>
            <w:pPr>
              <w:pStyle w:val="null3"/>
              <w:ind w:firstLine="405"/>
              <w:jc w:val="left"/>
            </w:pPr>
            <w:r>
              <w:rPr>
                <w:sz w:val="21"/>
              </w:rPr>
              <w:t>根据郁南县松材线虫病的调查情况，结合项目实际，按以下进度计划推进防治工作。</w:t>
            </w:r>
          </w:p>
          <w:p>
            <w:pPr>
              <w:pStyle w:val="null3"/>
              <w:jc w:val="left"/>
              <w:outlineLvl w:val="2"/>
            </w:pPr>
            <w:r>
              <w:rPr>
                <w:sz w:val="21"/>
                <w:b/>
              </w:rPr>
              <w:t>3.松材线虫病飞防技术措施</w:t>
            </w:r>
          </w:p>
          <w:p>
            <w:pPr>
              <w:pStyle w:val="null3"/>
              <w:numPr>
                <w:ilvl w:val="3"/>
                <w:numId w:val="1"/>
              </w:numPr>
            </w:pPr>
            <w:r>
              <w:rPr>
                <w:sz w:val="21"/>
                <w:b/>
              </w:rPr>
              <w:t>作业范围</w:t>
            </w:r>
          </w:p>
          <w:p>
            <w:pPr>
              <w:pStyle w:val="null3"/>
              <w:ind w:firstLine="405"/>
              <w:jc w:val="left"/>
            </w:pPr>
            <w:r>
              <w:rPr>
                <w:sz w:val="21"/>
              </w:rPr>
              <w:t>对郁南县重点松林区域实施航空药剂防治，作业面积</w:t>
            </w:r>
            <w:r>
              <w:rPr>
                <w:sz w:val="21"/>
              </w:rPr>
              <w:t>5.783万亩，飞防作业小班优先布局在连片纯松林、疫情重点发生区、交通沿线、生态公益林、饮用水源保护区外围及山高坡陡、人工施药困难区域，具体以GPS标定小班边界为准。</w:t>
            </w:r>
          </w:p>
          <w:p>
            <w:pPr>
              <w:pStyle w:val="null3"/>
              <w:numPr>
                <w:ilvl w:val="3"/>
                <w:numId w:val="2"/>
              </w:numPr>
            </w:pPr>
            <w:r>
              <w:rPr>
                <w:sz w:val="21"/>
                <w:b/>
              </w:rPr>
              <w:t>药剂选择与配比</w:t>
            </w:r>
          </w:p>
          <w:p>
            <w:pPr>
              <w:pStyle w:val="null3"/>
              <w:ind w:firstLine="405"/>
              <w:jc w:val="left"/>
            </w:pPr>
            <w:r>
              <w:rPr>
                <w:sz w:val="21"/>
              </w:rPr>
              <w:t>选用低毒、环保、高效、对天敌安全的登记专用药剂，优先使用：</w:t>
            </w:r>
          </w:p>
          <w:p>
            <w:pPr>
              <w:pStyle w:val="null3"/>
              <w:ind w:firstLine="405"/>
              <w:jc w:val="left"/>
            </w:pPr>
            <w:r>
              <w:rPr>
                <w:sz w:val="21"/>
              </w:rPr>
              <w:t>1）</w:t>
            </w:r>
            <w:r>
              <w:rPr>
                <w:sz w:val="21"/>
              </w:rPr>
              <w:t>3%噻虫啉微囊悬浮剂</w:t>
            </w:r>
          </w:p>
          <w:p>
            <w:pPr>
              <w:pStyle w:val="null3"/>
              <w:ind w:firstLine="405"/>
              <w:jc w:val="left"/>
            </w:pPr>
            <w:r>
              <w:rPr>
                <w:sz w:val="21"/>
              </w:rPr>
              <w:t>配比标准：</w:t>
            </w:r>
            <w:r>
              <w:rPr>
                <w:sz w:val="21"/>
              </w:rPr>
              <w:t>1∶5比例稀释后，按8.0 L/hm²用量飞机低容量喷雾，混配均匀，现配现用。</w:t>
            </w:r>
          </w:p>
          <w:p>
            <w:pPr>
              <w:pStyle w:val="null3"/>
              <w:ind w:firstLine="405"/>
              <w:jc w:val="left"/>
            </w:pPr>
            <w:r>
              <w:rPr>
                <w:sz w:val="21"/>
              </w:rPr>
              <w:t>2）原药剂用量</w:t>
            </w:r>
          </w:p>
          <w:p>
            <w:pPr>
              <w:pStyle w:val="null3"/>
              <w:ind w:firstLine="405"/>
              <w:jc w:val="left"/>
            </w:pPr>
            <w:r>
              <w:rPr>
                <w:sz w:val="21"/>
              </w:rPr>
              <w:t>每亩需要</w:t>
            </w:r>
            <w:r>
              <w:rPr>
                <w:sz w:val="21"/>
              </w:rPr>
              <w:t>0.089升</w:t>
            </w:r>
            <w:r>
              <w:rPr>
                <w:sz w:val="21"/>
              </w:rPr>
              <w:t>3%噻虫啉微囊悬浮剂</w:t>
            </w:r>
            <w:r>
              <w:rPr>
                <w:sz w:val="21"/>
              </w:rPr>
              <w:t>原药，项目共需</w:t>
            </w:r>
            <w:r>
              <w:rPr>
                <w:sz w:val="21"/>
              </w:rPr>
              <w:t>5146.87升</w:t>
            </w:r>
            <w:r>
              <w:rPr>
                <w:sz w:val="21"/>
              </w:rPr>
              <w:t>3%噻虫啉微囊悬浮剂</w:t>
            </w:r>
            <w:r>
              <w:rPr>
                <w:sz w:val="21"/>
              </w:rPr>
              <w:t>原药。</w:t>
            </w:r>
          </w:p>
          <w:p>
            <w:pPr>
              <w:pStyle w:val="null3"/>
              <w:numPr>
                <w:ilvl w:val="3"/>
                <w:numId w:val="2"/>
              </w:numPr>
            </w:pPr>
            <w:r>
              <w:rPr>
                <w:sz w:val="21"/>
                <w:b/>
              </w:rPr>
              <w:t>作业时机</w:t>
            </w:r>
          </w:p>
          <w:p>
            <w:pPr>
              <w:pStyle w:val="null3"/>
              <w:ind w:firstLine="405"/>
              <w:jc w:val="left"/>
            </w:pPr>
            <w:r>
              <w:rPr>
                <w:sz w:val="21"/>
              </w:rPr>
              <w:t>2027年3</w:t>
            </w:r>
            <w:r>
              <w:rPr>
                <w:sz w:val="21"/>
              </w:rPr>
              <w:t>月下旬</w:t>
            </w:r>
            <w:r>
              <w:rPr>
                <w:sz w:val="21"/>
              </w:rPr>
              <w:t>—</w:t>
            </w:r>
            <w:r>
              <w:rPr>
                <w:sz w:val="21"/>
              </w:rPr>
              <w:t>5</w:t>
            </w:r>
            <w:r>
              <w:rPr>
                <w:sz w:val="21"/>
              </w:rPr>
              <w:t>月</w:t>
            </w:r>
            <w:r>
              <w:rPr>
                <w:sz w:val="21"/>
              </w:rPr>
              <w:t>下</w:t>
            </w:r>
            <w:r>
              <w:rPr>
                <w:sz w:val="21"/>
              </w:rPr>
              <w:t>旬</w:t>
            </w:r>
            <w:r>
              <w:rPr>
                <w:sz w:val="21"/>
              </w:rPr>
              <w:t>，</w:t>
            </w:r>
            <w:r>
              <w:rPr>
                <w:sz w:val="21"/>
              </w:rPr>
              <w:t>气象条件：风速</w:t>
            </w:r>
            <w:r>
              <w:rPr>
                <w:sz w:val="21"/>
              </w:rPr>
              <w:t>≤</w:t>
            </w:r>
            <w:r>
              <w:rPr>
                <w:sz w:val="21"/>
              </w:rPr>
              <w:t>4</w:t>
            </w:r>
            <w:r>
              <w:rPr>
                <w:sz w:val="21"/>
              </w:rPr>
              <w:t>m/s，无雨、无雾、无高温强光，气温15℃–</w:t>
            </w:r>
            <w:r>
              <w:rPr>
                <w:sz w:val="21"/>
              </w:rPr>
              <w:t>2</w:t>
            </w:r>
            <w:r>
              <w:rPr>
                <w:sz w:val="21"/>
              </w:rPr>
              <w:t>0℃。</w:t>
            </w:r>
          </w:p>
          <w:p>
            <w:pPr>
              <w:pStyle w:val="null3"/>
              <w:numPr>
                <w:ilvl w:val="3"/>
                <w:numId w:val="2"/>
              </w:numPr>
            </w:pPr>
            <w:r>
              <w:rPr>
                <w:sz w:val="21"/>
                <w:b/>
              </w:rPr>
              <w:t>飞防设备与作业参数</w:t>
            </w:r>
          </w:p>
          <w:p>
            <w:pPr>
              <w:pStyle w:val="null3"/>
              <w:ind w:firstLine="405"/>
              <w:jc w:val="left"/>
            </w:pPr>
            <w:r>
              <w:rPr>
                <w:sz w:val="21"/>
              </w:rPr>
              <w:t>设备要求：大面积连片林区采用</w:t>
            </w:r>
            <w:r>
              <w:rPr>
                <w:sz w:val="21"/>
              </w:rPr>
              <w:t>直升机</w:t>
            </w:r>
            <w:r>
              <w:rPr>
                <w:sz w:val="21"/>
              </w:rPr>
              <w:t>；山地、破碎林区采用植保无人机。</w:t>
            </w:r>
          </w:p>
          <w:p>
            <w:pPr>
              <w:pStyle w:val="null3"/>
              <w:ind w:firstLine="405"/>
              <w:jc w:val="left"/>
            </w:pPr>
            <w:r>
              <w:rPr>
                <w:sz w:val="21"/>
              </w:rPr>
              <w:t>飞行高度：林冠上方</w:t>
            </w:r>
            <w:r>
              <w:rPr>
                <w:sz w:val="21"/>
              </w:rPr>
              <w:t>5</w:t>
            </w:r>
            <w:r>
              <w:rPr>
                <w:sz w:val="21"/>
              </w:rPr>
              <w:t>–1</w:t>
            </w:r>
            <w:r>
              <w:rPr>
                <w:sz w:val="21"/>
              </w:rPr>
              <w:t>0</w:t>
            </w:r>
            <w:r>
              <w:rPr>
                <w:sz w:val="21"/>
              </w:rPr>
              <w:t>m</w:t>
            </w:r>
            <w:r>
              <w:rPr>
                <w:sz w:val="21"/>
              </w:rPr>
              <w:t>，</w:t>
            </w:r>
            <w:r>
              <w:rPr>
                <w:sz w:val="21"/>
              </w:rPr>
              <w:t>飞行速度：</w:t>
            </w:r>
            <w:r>
              <w:rPr>
                <w:sz w:val="21"/>
              </w:rPr>
              <w:t>2</w:t>
            </w:r>
            <w:r>
              <w:rPr>
                <w:sz w:val="21"/>
              </w:rPr>
              <w:t>–</w:t>
            </w:r>
            <w:r>
              <w:rPr>
                <w:sz w:val="21"/>
              </w:rPr>
              <w:t>4</w:t>
            </w:r>
            <w:r>
              <w:rPr>
                <w:sz w:val="21"/>
              </w:rPr>
              <w:t>m/s</w:t>
            </w:r>
            <w:r>
              <w:rPr>
                <w:sz w:val="21"/>
              </w:rPr>
              <w:t>，</w:t>
            </w:r>
            <w:r>
              <w:rPr>
                <w:sz w:val="21"/>
              </w:rPr>
              <w:t>喷幅宽度：</w:t>
            </w:r>
            <w:r>
              <w:rPr>
                <w:sz w:val="21"/>
              </w:rPr>
              <w:t>4</w:t>
            </w:r>
            <w:r>
              <w:rPr>
                <w:sz w:val="21"/>
              </w:rPr>
              <w:t>–</w:t>
            </w:r>
            <w:r>
              <w:rPr>
                <w:sz w:val="21"/>
              </w:rPr>
              <w:t>6</w:t>
            </w:r>
            <w:r>
              <w:rPr>
                <w:sz w:val="21"/>
              </w:rPr>
              <w:t>m</w:t>
            </w:r>
            <w:r>
              <w:rPr>
                <w:sz w:val="21"/>
              </w:rPr>
              <w:t>，</w:t>
            </w:r>
            <w:r>
              <w:rPr>
                <w:sz w:val="21"/>
              </w:rPr>
              <w:t>雾滴密度：</w:t>
            </w:r>
            <w:r>
              <w:rPr>
                <w:sz w:val="21"/>
              </w:rPr>
              <w:t>≥</w:t>
            </w:r>
            <w:r>
              <w:rPr>
                <w:sz w:val="21"/>
              </w:rPr>
              <w:t>15</w:t>
            </w:r>
            <w:r>
              <w:rPr>
                <w:sz w:val="21"/>
              </w:rPr>
              <w:t>个</w:t>
            </w:r>
            <w:r>
              <w:rPr>
                <w:sz w:val="21"/>
              </w:rPr>
              <w:t>/cm²，均匀覆盖树冠层</w:t>
            </w:r>
            <w:r>
              <w:rPr>
                <w:sz w:val="21"/>
              </w:rPr>
              <w:t>。</w:t>
            </w:r>
          </w:p>
          <w:p>
            <w:pPr>
              <w:pStyle w:val="null3"/>
              <w:numPr>
                <w:ilvl w:val="3"/>
                <w:numId w:val="2"/>
              </w:numPr>
            </w:pPr>
            <w:r>
              <w:rPr>
                <w:sz w:val="21"/>
                <w:b/>
              </w:rPr>
              <w:t>飞防作业流程</w:t>
            </w:r>
          </w:p>
          <w:p>
            <w:pPr>
              <w:pStyle w:val="null3"/>
              <w:ind w:firstLine="405"/>
              <w:jc w:val="left"/>
            </w:pPr>
            <w:r>
              <w:rPr>
                <w:sz w:val="21"/>
              </w:rPr>
              <w:t>前期准备：</w:t>
            </w:r>
          </w:p>
          <w:p>
            <w:pPr>
              <w:pStyle w:val="null3"/>
              <w:ind w:firstLine="405"/>
              <w:jc w:val="left"/>
            </w:pPr>
            <w:r>
              <w:rPr>
                <w:sz w:val="21"/>
              </w:rPr>
              <w:t>1）</w:t>
            </w:r>
            <w:r>
              <w:rPr>
                <w:sz w:val="21"/>
              </w:rPr>
              <w:t>小班区划、</w:t>
            </w:r>
            <w:r>
              <w:rPr>
                <w:sz w:val="21"/>
              </w:rPr>
              <w:t>GPS定位、绘制航迹图，明确作业边界与禁飞区。</w:t>
            </w:r>
          </w:p>
          <w:p>
            <w:pPr>
              <w:pStyle w:val="null3"/>
              <w:ind w:firstLine="405"/>
              <w:jc w:val="left"/>
            </w:pPr>
            <w:r>
              <w:rPr>
                <w:sz w:val="21"/>
              </w:rPr>
              <w:t>2）</w:t>
            </w:r>
            <w:r>
              <w:rPr>
                <w:sz w:val="21"/>
              </w:rPr>
              <w:t>全面排查下方居民区、养殖场、水源地、桑蚕区、蜜蜂养殖点、蔬菜基地等敏感目标，提前</w:t>
            </w:r>
            <w:r>
              <w:rPr>
                <w:sz w:val="21"/>
              </w:rPr>
              <w:t>3天发布飞防公告。</w:t>
            </w:r>
          </w:p>
          <w:p>
            <w:pPr>
              <w:pStyle w:val="null3"/>
              <w:ind w:firstLine="405"/>
              <w:jc w:val="left"/>
            </w:pPr>
            <w:r>
              <w:rPr>
                <w:sz w:val="21"/>
              </w:rPr>
              <w:t>3）</w:t>
            </w:r>
            <w:r>
              <w:rPr>
                <w:sz w:val="21"/>
              </w:rPr>
              <w:t>药剂抽检、飞机安检、人员培训、地面安保布控。</w:t>
            </w:r>
          </w:p>
          <w:p>
            <w:pPr>
              <w:pStyle w:val="null3"/>
              <w:ind w:firstLine="405"/>
              <w:jc w:val="left"/>
            </w:pPr>
            <w:r>
              <w:rPr>
                <w:sz w:val="21"/>
              </w:rPr>
              <w:t>现场作业：</w:t>
            </w:r>
          </w:p>
          <w:p>
            <w:pPr>
              <w:pStyle w:val="null3"/>
              <w:ind w:firstLine="405"/>
              <w:jc w:val="left"/>
            </w:pPr>
            <w:r>
              <w:rPr>
                <w:sz w:val="21"/>
              </w:rPr>
              <w:t>1）</w:t>
            </w:r>
            <w:r>
              <w:rPr>
                <w:sz w:val="21"/>
              </w:rPr>
              <w:t>采用交叉飞行、重叠喷幅，避免漏喷、重喷。</w:t>
            </w:r>
          </w:p>
          <w:p>
            <w:pPr>
              <w:pStyle w:val="null3"/>
              <w:ind w:firstLine="405"/>
              <w:jc w:val="left"/>
            </w:pPr>
            <w:r>
              <w:rPr>
                <w:sz w:val="21"/>
              </w:rPr>
              <w:t>2）</w:t>
            </w:r>
            <w:r>
              <w:rPr>
                <w:sz w:val="21"/>
              </w:rPr>
              <w:t>实时传输飞行轨迹、药量、作业面积，全程留痕。</w:t>
            </w:r>
          </w:p>
          <w:p>
            <w:pPr>
              <w:pStyle w:val="null3"/>
              <w:ind w:firstLine="405"/>
              <w:jc w:val="left"/>
            </w:pPr>
            <w:r>
              <w:rPr>
                <w:sz w:val="21"/>
              </w:rPr>
              <w:t>3）</w:t>
            </w:r>
            <w:r>
              <w:rPr>
                <w:sz w:val="21"/>
              </w:rPr>
              <w:t>地面人员同步巡查，发现问题立即停机整改。</w:t>
            </w:r>
          </w:p>
          <w:p>
            <w:pPr>
              <w:pStyle w:val="null3"/>
              <w:ind w:firstLine="405"/>
              <w:jc w:val="left"/>
            </w:pPr>
            <w:r>
              <w:rPr>
                <w:sz w:val="21"/>
              </w:rPr>
              <w:t>安全管控：</w:t>
            </w:r>
          </w:p>
          <w:p>
            <w:pPr>
              <w:pStyle w:val="null3"/>
              <w:ind w:firstLine="405"/>
              <w:jc w:val="left"/>
            </w:pPr>
            <w:r>
              <w:rPr>
                <w:sz w:val="21"/>
              </w:rPr>
              <w:t>1）</w:t>
            </w:r>
            <w:r>
              <w:rPr>
                <w:sz w:val="21"/>
              </w:rPr>
              <w:t>禁飞区严格避让，水源地设置隔离缓冲带。</w:t>
            </w:r>
          </w:p>
          <w:p>
            <w:pPr>
              <w:pStyle w:val="null3"/>
              <w:ind w:firstLine="405"/>
              <w:jc w:val="left"/>
            </w:pPr>
            <w:r>
              <w:rPr>
                <w:sz w:val="21"/>
              </w:rPr>
              <w:t>2）</w:t>
            </w:r>
            <w:r>
              <w:rPr>
                <w:sz w:val="21"/>
              </w:rPr>
              <w:t>飞防期间禁止无关人员、牲畜进入作业区。</w:t>
            </w:r>
          </w:p>
          <w:p>
            <w:pPr>
              <w:pStyle w:val="null3"/>
              <w:ind w:firstLine="405"/>
              <w:jc w:val="left"/>
            </w:pPr>
            <w:r>
              <w:rPr>
                <w:sz w:val="21"/>
              </w:rPr>
              <w:t>3）</w:t>
            </w:r>
            <w:r>
              <w:rPr>
                <w:sz w:val="21"/>
              </w:rPr>
              <w:t>飞防后</w:t>
            </w:r>
            <w:r>
              <w:rPr>
                <w:sz w:val="21"/>
              </w:rPr>
              <w:t>7天内禁止放牧、采摘林产品。</w:t>
            </w:r>
          </w:p>
          <w:p>
            <w:pPr>
              <w:pStyle w:val="null3"/>
              <w:ind w:firstLine="405"/>
              <w:jc w:val="left"/>
            </w:pPr>
            <w:r>
              <w:rPr>
                <w:sz w:val="21"/>
              </w:rPr>
              <w:t>成效核查：</w:t>
            </w:r>
          </w:p>
          <w:p>
            <w:pPr>
              <w:pStyle w:val="null3"/>
              <w:ind w:firstLine="405"/>
              <w:jc w:val="left"/>
            </w:pPr>
            <w:r>
              <w:rPr>
                <w:sz w:val="21"/>
              </w:rPr>
              <w:t>飞防后</w:t>
            </w:r>
            <w:r>
              <w:rPr>
                <w:sz w:val="21"/>
              </w:rPr>
              <w:t>10</w:t>
            </w:r>
            <w:r>
              <w:rPr>
                <w:sz w:val="21"/>
              </w:rPr>
              <w:t>天、</w:t>
            </w:r>
            <w:r>
              <w:rPr>
                <w:sz w:val="21"/>
              </w:rPr>
              <w:t>30天各开展1次效果调查，统计调查松褐天牛死亡率、复查虫口密度、病死树数量。</w:t>
            </w:r>
          </w:p>
          <w:p>
            <w:pPr>
              <w:pStyle w:val="null3"/>
              <w:ind w:firstLine="405"/>
              <w:jc w:val="left"/>
            </w:pPr>
            <w:r>
              <w:rPr>
                <w:sz w:val="21"/>
              </w:rPr>
              <w:t>档案管理（</w:t>
            </w:r>
            <w:r>
              <w:rPr>
                <w:sz w:val="21"/>
              </w:rPr>
              <w:t>全程归档）</w:t>
            </w:r>
            <w:r>
              <w:rPr>
                <w:sz w:val="21"/>
              </w:rPr>
              <w:t>：</w:t>
            </w:r>
          </w:p>
          <w:p>
            <w:pPr>
              <w:pStyle w:val="null3"/>
              <w:ind w:firstLine="405"/>
              <w:jc w:val="left"/>
            </w:pPr>
            <w:r>
              <w:rPr>
                <w:sz w:val="21"/>
              </w:rPr>
              <w:t>航迹图、作业合同、药剂合格证、飞机检测报告、天气记录、现场照片视频、成效核查表等。数据录入监管平台，实现可追溯。</w:t>
            </w:r>
          </w:p>
          <w:p>
            <w:pPr>
              <w:pStyle w:val="null3"/>
              <w:ind w:firstLine="407"/>
              <w:jc w:val="left"/>
            </w:pPr>
            <w:r>
              <w:rPr>
                <w:sz w:val="21"/>
                <w:b/>
              </w:rPr>
              <w:t>4.薇甘菊防治技术措施</w:t>
            </w:r>
          </w:p>
          <w:p>
            <w:pPr>
              <w:pStyle w:val="null3"/>
              <w:ind w:left="120"/>
              <w:jc w:val="left"/>
            </w:pPr>
            <w:r>
              <w:rPr>
                <w:sz w:val="21"/>
                <w:b/>
              </w:rPr>
              <w:t>（</w:t>
            </w:r>
            <w:r>
              <w:rPr>
                <w:sz w:val="21"/>
                <w:b/>
              </w:rPr>
              <w:t>1）防控目标</w:t>
            </w:r>
          </w:p>
          <w:p>
            <w:pPr>
              <w:pStyle w:val="null3"/>
              <w:ind w:firstLine="405"/>
              <w:jc w:val="left"/>
            </w:pPr>
            <w:r>
              <w:rPr>
                <w:sz w:val="21"/>
              </w:rPr>
              <w:t>根据各辖区薇甘菊分布情况，坚持</w:t>
            </w:r>
            <w:r>
              <w:rPr>
                <w:sz w:val="21"/>
              </w:rPr>
              <w:t>“预防为主、发现即除、除早除小、综合防控、动态清零”的工作原则，建立全域巡查、快速处置、长效巩固的防控机制，对全县范围内薇甘菊实施常态化、全覆盖防治。覆盖全县林地、公路沿线、河道两岸、生态公益林、饮用水源保护区、森林公园、旅游景区、城镇村庄周边及人居环境周边等易发生、易扩散、易造成生态危害的重点区域</w:t>
            </w:r>
            <w:r>
              <w:rPr>
                <w:sz w:val="21"/>
              </w:rPr>
              <w:t>。</w:t>
            </w:r>
          </w:p>
          <w:p>
            <w:pPr>
              <w:pStyle w:val="null3"/>
              <w:ind w:left="120"/>
              <w:jc w:val="left"/>
            </w:pPr>
            <w:r>
              <w:rPr>
                <w:sz w:val="21"/>
                <w:b/>
              </w:rPr>
              <w:t>（</w:t>
            </w:r>
            <w:r>
              <w:rPr>
                <w:sz w:val="21"/>
                <w:b/>
              </w:rPr>
              <w:t>2）防治方式</w:t>
            </w:r>
          </w:p>
          <w:p>
            <w:pPr>
              <w:pStyle w:val="null3"/>
              <w:ind w:firstLine="405"/>
              <w:jc w:val="left"/>
            </w:pPr>
            <w:r>
              <w:rPr>
                <w:sz w:val="21"/>
              </w:rPr>
              <w:t>根据发生面积、危害程度、立地条件及生态敏感等级，</w:t>
            </w:r>
            <w:r>
              <w:rPr>
                <w:sz w:val="21"/>
              </w:rPr>
              <w:t>因地制宜地采取以环境友好型药剂</w:t>
            </w:r>
            <w:r>
              <w:rPr>
                <w:sz w:val="21"/>
              </w:rPr>
              <w:t>化学</w:t>
            </w:r>
            <w:r>
              <w:rPr>
                <w:sz w:val="21"/>
              </w:rPr>
              <w:t>防治为主，</w:t>
            </w:r>
            <w:r>
              <w:rPr>
                <w:sz w:val="21"/>
              </w:rPr>
              <w:t>做到全域覆盖、重点突出、科学安全、长效控害。</w:t>
            </w:r>
          </w:p>
          <w:p>
            <w:pPr>
              <w:pStyle w:val="null3"/>
              <w:ind w:firstLine="405"/>
              <w:jc w:val="left"/>
            </w:pPr>
            <w:r>
              <w:rPr>
                <w:sz w:val="21"/>
              </w:rPr>
              <w:t>化学防治</w:t>
            </w:r>
            <w:r>
              <w:rPr>
                <w:sz w:val="21"/>
              </w:rPr>
              <w:t>：</w:t>
            </w:r>
            <w:r>
              <w:rPr>
                <w:sz w:val="21"/>
              </w:rPr>
              <w:t>使用</w:t>
            </w:r>
            <w:r>
              <w:rPr>
                <w:sz w:val="21"/>
              </w:rPr>
              <w:t>24%氨氯吡啶酸水剂或</w:t>
            </w:r>
            <w:r>
              <w:rPr>
                <w:sz w:val="21"/>
              </w:rPr>
              <w:t>18%2,4-滴微乳剂</w:t>
            </w:r>
            <w:r>
              <w:rPr>
                <w:sz w:val="21"/>
              </w:rPr>
              <w:t>，</w:t>
            </w:r>
            <w:r>
              <w:rPr>
                <w:sz w:val="21"/>
              </w:rPr>
              <w:t>1500–2000倍液</w:t>
            </w:r>
            <w:r>
              <w:rPr>
                <w:sz w:val="21"/>
              </w:rPr>
              <w:t>定向喷雾</w:t>
            </w:r>
            <w:r>
              <w:rPr>
                <w:sz w:val="21"/>
              </w:rPr>
              <w:t>，</w:t>
            </w:r>
            <w:r>
              <w:rPr>
                <w:sz w:val="21"/>
              </w:rPr>
              <w:t>对薇甘菊茎和叶面喷酒</w:t>
            </w:r>
            <w:r>
              <w:rPr>
                <w:sz w:val="21"/>
              </w:rPr>
              <w:t>，</w:t>
            </w:r>
            <w:r>
              <w:rPr>
                <w:sz w:val="21"/>
              </w:rPr>
              <w:t>以茎或叶片上药液欲滴为标准</w:t>
            </w:r>
            <w:r>
              <w:rPr>
                <w:sz w:val="21"/>
              </w:rPr>
              <w:t>，对薇甘菊攀上高大乔木或灌木的树冠层，可在地面寻找薇甘菊的地面茎和根，对其根和地面老茎进行喷药，以茎上有药液欲滴为止，也可对其根部的土壤喷药，以土壤表面湿润为止。</w:t>
            </w:r>
            <w:r>
              <w:rPr>
                <w:sz w:val="21"/>
              </w:rPr>
              <w:t>一般在薇甘菊营养生长盛期</w:t>
            </w:r>
            <w:r>
              <w:rPr>
                <w:sz w:val="21"/>
              </w:rPr>
              <w:t>，</w:t>
            </w:r>
            <w:r>
              <w:rPr>
                <w:sz w:val="21"/>
              </w:rPr>
              <w:t>以</w:t>
            </w:r>
            <w:r>
              <w:rPr>
                <w:sz w:val="21"/>
              </w:rPr>
              <w:t>6月</w:t>
            </w:r>
            <w:r>
              <w:rPr>
                <w:sz w:val="21"/>
              </w:rPr>
              <w:t>-</w:t>
            </w:r>
            <w:r>
              <w:rPr>
                <w:sz w:val="21"/>
              </w:rPr>
              <w:t>11月为最佳施药期。第一次施药后</w:t>
            </w:r>
            <w:r>
              <w:rPr>
                <w:sz w:val="21"/>
              </w:rPr>
              <w:t>，</w:t>
            </w:r>
            <w:r>
              <w:rPr>
                <w:sz w:val="21"/>
              </w:rPr>
              <w:t>应对第一次施药区域薇甘菊防治效果进行调查</w:t>
            </w:r>
            <w:r>
              <w:rPr>
                <w:sz w:val="21"/>
              </w:rPr>
              <w:t>，</w:t>
            </w:r>
            <w:r>
              <w:rPr>
                <w:sz w:val="21"/>
              </w:rPr>
              <w:t>防治效果不合格的</w:t>
            </w:r>
            <w:r>
              <w:rPr>
                <w:sz w:val="21"/>
              </w:rPr>
              <w:t>，</w:t>
            </w:r>
            <w:r>
              <w:rPr>
                <w:sz w:val="21"/>
              </w:rPr>
              <w:t>应进行补防</w:t>
            </w:r>
            <w:r>
              <w:rPr>
                <w:sz w:val="21"/>
              </w:rPr>
              <w:t>，</w:t>
            </w:r>
            <w:r>
              <w:rPr>
                <w:sz w:val="21"/>
              </w:rPr>
              <w:t>直至合格。其中</w:t>
            </w:r>
            <w:r>
              <w:rPr>
                <w:sz w:val="21"/>
              </w:rPr>
              <w:t>，</w:t>
            </w:r>
            <w:r>
              <w:rPr>
                <w:sz w:val="21"/>
              </w:rPr>
              <w:t>5月</w:t>
            </w:r>
            <w:r>
              <w:rPr>
                <w:sz w:val="21"/>
              </w:rPr>
              <w:t>-</w:t>
            </w:r>
            <w:r>
              <w:rPr>
                <w:sz w:val="21"/>
              </w:rPr>
              <w:t>9月施药的</w:t>
            </w:r>
            <w:r>
              <w:rPr>
                <w:sz w:val="21"/>
              </w:rPr>
              <w:t>，</w:t>
            </w:r>
            <w:r>
              <w:rPr>
                <w:sz w:val="21"/>
              </w:rPr>
              <w:t>可在</w:t>
            </w:r>
            <w:r>
              <w:rPr>
                <w:sz w:val="21"/>
              </w:rPr>
              <w:t>2个</w:t>
            </w:r>
            <w:r>
              <w:rPr>
                <w:sz w:val="21"/>
              </w:rPr>
              <w:t>-</w:t>
            </w:r>
            <w:r>
              <w:rPr>
                <w:sz w:val="21"/>
              </w:rPr>
              <w:t>3个月后进行补防</w:t>
            </w:r>
            <w:r>
              <w:rPr>
                <w:sz w:val="21"/>
              </w:rPr>
              <w:t>；</w:t>
            </w:r>
            <w:r>
              <w:rPr>
                <w:sz w:val="21"/>
              </w:rPr>
              <w:t>10月以后施药的</w:t>
            </w:r>
            <w:r>
              <w:rPr>
                <w:sz w:val="21"/>
              </w:rPr>
              <w:t>，</w:t>
            </w:r>
            <w:r>
              <w:rPr>
                <w:sz w:val="21"/>
              </w:rPr>
              <w:t>可在翌年的</w:t>
            </w:r>
            <w:r>
              <w:rPr>
                <w:sz w:val="21"/>
              </w:rPr>
              <w:t>5月</w:t>
            </w:r>
            <w:r>
              <w:rPr>
                <w:sz w:val="21"/>
              </w:rPr>
              <w:t>—</w:t>
            </w:r>
            <w:r>
              <w:rPr>
                <w:sz w:val="21"/>
              </w:rPr>
              <w:t>6月进行补防。施药时宜选择无风或微风无雨的天气施药</w:t>
            </w:r>
            <w:r>
              <w:rPr>
                <w:sz w:val="21"/>
              </w:rPr>
              <w:t>，</w:t>
            </w:r>
            <w:r>
              <w:rPr>
                <w:sz w:val="21"/>
              </w:rPr>
              <w:t>并避免中午时施药。</w:t>
            </w:r>
          </w:p>
          <w:p>
            <w:pPr>
              <w:pStyle w:val="null3"/>
              <w:ind w:left="120"/>
              <w:jc w:val="left"/>
            </w:pPr>
            <w:r>
              <w:rPr>
                <w:sz w:val="21"/>
                <w:b/>
              </w:rPr>
              <w:t>（</w:t>
            </w:r>
            <w:r>
              <w:rPr>
                <w:sz w:val="21"/>
                <w:b/>
              </w:rPr>
              <w:t>3）药剂防治注意事项</w:t>
            </w:r>
          </w:p>
          <w:p>
            <w:pPr>
              <w:pStyle w:val="null3"/>
              <w:ind w:firstLine="407"/>
              <w:jc w:val="left"/>
            </w:pPr>
            <w:r>
              <w:rPr>
                <w:sz w:val="21"/>
                <w:b/>
              </w:rPr>
              <w:t>1）科学选药与规范施药</w:t>
            </w:r>
          </w:p>
          <w:p>
            <w:pPr>
              <w:pStyle w:val="null3"/>
              <w:ind w:firstLine="405"/>
              <w:jc w:val="left"/>
            </w:pPr>
            <w:r>
              <w:rPr>
                <w:sz w:val="21"/>
              </w:rPr>
              <w:t>坚持科学选药、正确施药、防治及时、灭根彻底。选用登记在册、低毒环保专用药剂，严格按说明书配比浓度，不得随意加大用药量，确保对林木、土壤、水源安全。</w:t>
            </w:r>
          </w:p>
          <w:p>
            <w:pPr>
              <w:pStyle w:val="null3"/>
              <w:ind w:firstLine="407"/>
              <w:jc w:val="left"/>
            </w:pPr>
            <w:r>
              <w:rPr>
                <w:sz w:val="21"/>
                <w:b/>
              </w:rPr>
              <w:t>2）安全距离管控施药</w:t>
            </w:r>
          </w:p>
          <w:p>
            <w:pPr>
              <w:pStyle w:val="null3"/>
              <w:ind w:firstLine="405"/>
              <w:jc w:val="left"/>
            </w:pPr>
            <w:r>
              <w:rPr>
                <w:sz w:val="21"/>
              </w:rPr>
              <w:t>区域须距离水源保护区、饮用水源地、居民区</w:t>
            </w:r>
            <w:r>
              <w:rPr>
                <w:sz w:val="21"/>
              </w:rPr>
              <w:t>100米以上，采取隔离、遮挡等防护措施，最大限度降低药剂漂移、渗漏带来的环境影响。</w:t>
            </w:r>
          </w:p>
          <w:p>
            <w:pPr>
              <w:pStyle w:val="null3"/>
              <w:ind w:firstLine="407"/>
              <w:jc w:val="left"/>
            </w:pPr>
            <w:r>
              <w:rPr>
                <w:sz w:val="21"/>
                <w:b/>
              </w:rPr>
              <w:t>3）施作业气象条件</w:t>
            </w:r>
          </w:p>
          <w:p>
            <w:pPr>
              <w:pStyle w:val="null3"/>
              <w:ind w:firstLine="405"/>
              <w:jc w:val="left"/>
            </w:pPr>
            <w:r>
              <w:rPr>
                <w:sz w:val="21"/>
              </w:rPr>
              <w:t>施药宜选择无风或微风、无雨、空气湿度适宜的天气进行，避开高温强光的中午时段，防止药液蒸发失效、漂移伤人或损伤周边植物。</w:t>
            </w:r>
          </w:p>
          <w:p>
            <w:pPr>
              <w:pStyle w:val="null3"/>
              <w:ind w:firstLine="407"/>
              <w:jc w:val="left"/>
            </w:pPr>
            <w:r>
              <w:rPr>
                <w:sz w:val="21"/>
                <w:b/>
              </w:rPr>
              <w:t>4）敏感植物避让</w:t>
            </w:r>
          </w:p>
          <w:p>
            <w:pPr>
              <w:pStyle w:val="null3"/>
              <w:ind w:firstLine="405"/>
              <w:jc w:val="left"/>
            </w:pPr>
            <w:r>
              <w:rPr>
                <w:sz w:val="21"/>
              </w:rPr>
              <w:t>施药前全面排查作业区域，对豆科、十字花科等对除草剂敏感植物逐一标记，施药时采取定向喷雾、挡板隔离等方式严格避开，严禁直接喷施到敏感植物上。</w:t>
            </w:r>
          </w:p>
          <w:p>
            <w:pPr>
              <w:pStyle w:val="null3"/>
              <w:ind w:firstLine="407"/>
              <w:jc w:val="left"/>
            </w:pPr>
            <w:r>
              <w:rPr>
                <w:sz w:val="21"/>
                <w:b/>
              </w:rPr>
              <w:t>5）农田周边严格管控</w:t>
            </w:r>
          </w:p>
          <w:p>
            <w:pPr>
              <w:pStyle w:val="null3"/>
              <w:ind w:firstLine="405"/>
              <w:jc w:val="left"/>
            </w:pPr>
            <w:r>
              <w:rPr>
                <w:sz w:val="21"/>
              </w:rPr>
              <w:t>在农田、菜地、果园、花卉基地及其周边</w:t>
            </w:r>
            <w:r>
              <w:rPr>
                <w:sz w:val="21"/>
              </w:rPr>
              <w:t>2公里范围内，禁止使用非定向喷雾法施药，防止药液漂移造成作物药害；确需施药可采用根施、点施、涂抹等精准施药方式。</w:t>
            </w:r>
          </w:p>
          <w:p>
            <w:pPr>
              <w:pStyle w:val="null3"/>
              <w:ind w:firstLine="407"/>
              <w:jc w:val="left"/>
            </w:pPr>
            <w:r>
              <w:rPr>
                <w:sz w:val="21"/>
                <w:b/>
              </w:rPr>
              <w:t>6）严格执行国家标准</w:t>
            </w:r>
          </w:p>
          <w:p>
            <w:pPr>
              <w:pStyle w:val="null3"/>
              <w:ind w:firstLine="405"/>
              <w:jc w:val="left"/>
            </w:pPr>
            <w:r>
              <w:rPr>
                <w:sz w:val="21"/>
              </w:rPr>
              <w:t>药剂选购、配制、施用、安全防护、废弃处置等全过程，严格按照</w:t>
            </w:r>
            <w:r>
              <w:rPr>
                <w:sz w:val="21"/>
              </w:rPr>
              <w:t>GB/T 8321《农药合理使用准则》和NY/T 1276《农药安全使用规范总则》规定执行，做好施药记录，确保合规可追溯。</w:t>
            </w:r>
          </w:p>
          <w:p>
            <w:pPr>
              <w:pStyle w:val="null3"/>
              <w:jc w:val="left"/>
              <w:outlineLvl w:val="1"/>
            </w:pPr>
            <w:r>
              <w:rPr>
                <w:sz w:val="21"/>
                <w:b/>
              </w:rPr>
              <w:t>（三）人员设备</w:t>
            </w:r>
          </w:p>
          <w:p>
            <w:pPr>
              <w:pStyle w:val="null3"/>
              <w:ind w:firstLine="405"/>
              <w:jc w:val="left"/>
            </w:pPr>
            <w:r>
              <w:rPr>
                <w:sz w:val="21"/>
              </w:rPr>
              <w:t>本项目飞防作业以直升机为主要作业机型，在山地、破碎林区等直升机作业受限区域可采用植保无人机辅助实施。中标人须配备满足项目飞防任务需要的作业团队与航空器设备（直升机、植保无人机），相关设备、人员全部由中标人统一管理、统一调度，并承担全部安全主体责任。中标人负责办理空域申请、飞行报批等相关手续，确保飞防作业合法合规。植保无人机辅助作业须严格遵守《无人驾驶航空器飞行管理暂行条例》等规定，作业前完成无人机实名登记，飞手须持相应有效操控员执照（常规农用无人机按相关规定执行），作业空域须依法报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1.采购代理机构：本项目是指云浮市宏正项目管理咨询有限公司，负责整个采购活动的组织，依法负责编制和发布招标文件，对招标文件拥有最终的解释权，不以任何身份出任评标委员会成员。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郁南县林业局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采购机构代理服务收费标准：按《采购代理委托协议》要求。</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其他，本项目开标方式为“远程电子开标”，有关事项如下：，（1）供应商在云平台进行在线签到及在线解密，不需要委派代表前往开标现场，不需要到现场提交纸质或电子光盘投标/报价文件。 （2）供应商于投标/报价截止时间前30分钟登录云平台开标大厅进行签到，并且填写授权代表的姓名与手机号码，同时留意“开标大厅”右侧的“开标消息”栏目信息。若因签到时填写的授权代表信息有误而导致的不良后果，由供应商自行承担。 （3）开标/唱价时，供应商应当使用编制本项目（采购包）电子投标/报价文件时加密所用数字证书开始解密，解密时限为主持人开启远程解密起30分钟内完成（如遇不可抗力等其他特殊情况，采购代理机构可视情况延长解密时间），解密时限具体情况根据开标时现场代理机构人员设置为准。 如在电子开启过程中出现无法正常解密的，采购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 （4）各投标/报价人应提前在电脑上安装好CA证书驱动并进行检测，确保投标/报价文件远程解密顺利进行。 （5）云平台操作过程中如有相关问题可通过广东省政府采购网（http://gdgpc.czt.gd.gov.cn）下载操作手册查询，或通过云平台公布的在线客服、微信/QQ 群、专线电话等方式咨询。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云浮市宏正项目管理咨询有限公司</w:t>
      </w:r>
      <w:r>
        <w:rPr/>
        <w:t>代收。具体操作要求详见</w:t>
      </w:r>
      <w:r>
        <w:rPr/>
        <w:t>云浮市宏正项目管理咨询有限公司</w:t>
      </w:r>
      <w:r>
        <w:rPr/>
        <w:t>有关指引，递交事宜请自行咨询</w:t>
      </w:r>
      <w:r>
        <w:rPr/>
        <w:t>云浮市宏正项目管理咨询有限公司</w:t>
      </w:r>
      <w:r>
        <w:rPr/>
        <w:t>；请各投标人在投标文件递交截止时间前按须知前附表规定的金额递交至</w:t>
      </w:r>
      <w:r>
        <w:rPr/>
        <w:t>云浮市宏正项目管理咨询有限公司</w:t>
      </w:r>
      <w:r>
        <w:rPr/>
        <w:t>，到账情况以开标时</w:t>
      </w:r>
      <w:r>
        <w:rPr/>
        <w:t>云浮市宏正项目管理咨询有限公司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刘小姐</w:t>
      </w:r>
    </w:p>
    <w:p>
      <w:pPr>
        <w:pStyle w:val="null3"/>
        <w:ind w:firstLine="480"/>
      </w:pPr>
      <w:r>
        <w:rPr/>
        <w:t>电话：</w:t>
      </w:r>
      <w:r>
        <w:rPr/>
        <w:t>0766-7381236</w:t>
      </w:r>
    </w:p>
    <w:p>
      <w:pPr>
        <w:pStyle w:val="null3"/>
        <w:ind w:firstLine="480"/>
      </w:pPr>
      <w:r>
        <w:rPr/>
        <w:t>传真：</w:t>
      </w:r>
      <w:r>
        <w:rPr/>
        <w:t>/</w:t>
      </w:r>
    </w:p>
    <w:p>
      <w:pPr>
        <w:pStyle w:val="null3"/>
        <w:ind w:firstLine="480"/>
      </w:pPr>
      <w:r>
        <w:rPr/>
        <w:t>邮箱：</w:t>
      </w:r>
      <w:r>
        <w:rPr/>
        <w:t>hz7381236@163.com</w:t>
      </w:r>
    </w:p>
    <w:p>
      <w:pPr>
        <w:pStyle w:val="null3"/>
        <w:ind w:firstLine="480"/>
      </w:pPr>
      <w:r>
        <w:rPr/>
        <w:t>地址：</w:t>
      </w:r>
      <w:r>
        <w:rPr/>
        <w:t>广东省云浮市郁南县都城镇二环东路陈雪坚住宅楼二层</w:t>
      </w:r>
    </w:p>
    <w:p>
      <w:pPr>
        <w:pStyle w:val="null3"/>
        <w:ind w:firstLine="480"/>
      </w:pPr>
      <w:r>
        <w:rPr/>
        <w:t>邮编：</w:t>
      </w:r>
      <w:r>
        <w:rPr/>
        <w:t>527199</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政府采购监督管理机构名称：郁南县财政局政府采购监管股</w:t>
      </w:r>
    </w:p>
    <w:p>
      <w:pPr>
        <w:pStyle w:val="null3"/>
      </w:pPr>
      <w:r>
        <w:rPr/>
        <w:t>地 址：郁南县都城镇新生东路92号</w:t>
      </w:r>
    </w:p>
    <w:p>
      <w:pPr>
        <w:pStyle w:val="null3"/>
      </w:pPr>
      <w:r>
        <w:rPr/>
        <w:t>电 话：0766-7598328</w:t>
      </w:r>
    </w:p>
    <w:p>
      <w:pPr>
        <w:pStyle w:val="null3"/>
      </w:pPr>
      <w:r>
        <w:rPr/>
        <w:t>邮 编：527100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郁南县林业有害生物防治)：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云浮市宏正项目管理咨询有限公司</w:t>
      </w:r>
      <w:r>
        <w:rPr/>
        <w:t>统一对外发布。</w:t>
      </w:r>
    </w:p>
    <w:p>
      <w:pPr>
        <w:pStyle w:val="null3"/>
        <w:ind w:firstLine="480"/>
      </w:pPr>
      <w:r>
        <w:rPr/>
        <w:t>（2）对</w:t>
      </w:r>
      <w:r>
        <w:rPr/>
        <w:t>云浮市宏正项目管理咨询有限公司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采购包1（2026年郁南县林业有害生物防治）：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采购包1（2026年郁南县林业有害生物防治）：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或联合体各方）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投标人（或联合体各方）必须符合法律、行政法规规定的其他条件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提供《资格承诺函》，格式自拟。</w:t>
            </w:r>
          </w:p>
        </w:tc>
      </w:tr>
      <w:tr>
        <w:tc>
          <w:tcPr>
            <w:tcW w:type="dxa" w:w="890"/>
          </w:tcPr>
          <w:p>
            <w:pPr>
              <w:pStyle w:val="null3"/>
            </w:pPr>
            <w:r>
              <w:rPr/>
              <w:t>8</w:t>
            </w:r>
          </w:p>
        </w:tc>
        <w:tc>
          <w:tcPr>
            <w:tcW w:type="dxa" w:w="3178"/>
          </w:tcPr>
          <w:p>
            <w:pPr>
              <w:pStyle w:val="null3"/>
            </w:pPr>
            <w:r>
              <w:rPr/>
              <w:t>资格证书要求</w:t>
            </w:r>
          </w:p>
        </w:tc>
        <w:tc>
          <w:tcPr>
            <w:tcW w:type="dxa" w:w="4238"/>
          </w:tcPr>
          <w:p>
            <w:pPr>
              <w:pStyle w:val="null3"/>
            </w:pPr>
            <w:r>
              <w:rPr/>
              <w:t>（1）投标人须具备有效期内的《林业有害生物防治组织资质》丙级或以上资质（投标时须把证明材料放在响应文件内，并加盖公章）。 （2）投标人具备以下有效期内的民航资质之一，如国家及中国民用航空局后续对前述资质过渡安排另有规定的，从其规定（投标时须把证明材料放在响应文件内，并加盖公章）：①2026年7月1日前核发的，提供《通用航空经营许可证》和《商业非运输航空运营人运行合格证》【根据《通用航空运营许可程序规定》（中华人民共和国交通运输部令2026年第13号）文件的规定，2026年7月1日前核发，且在2027年6月30日前仍有效）】。供应商还须提供《承诺函》格式自拟，承诺中标后在2027年6月30日前完成新版《通用航空运营许可证》的换发（因国家政策原因导致无法换证的除外），履约期间若旧证失效且未完成换发导致飞防停工的，由中标人自行承担责任。②2026年7月1日及以后核发的，提供新版《通用航空运营许可证》。 （3）本次采购接受联合体投标。两个及以上投标人可以组成一个投标联合体，以一个投标人的身份共同参加投标。对联合体的规定如下：1）联合体牵头人由联合体各方自行协商自主选择确定；联合体组成成员须分别具备本项目要求的林业防治资质、民航相关资质，各方资质须满足项目对应履约工作要求。2）投标人的投标文件及中标后签署的合同协议书，对联合体各方均有法律约束力。3）联合体各方应按招标文件的格式签订联合体协议书，在该协议书中必须指定牵头人，授权其代表所有联合体成员负责投标、委派项目负责人和合同实施阶段的主办、协调工作，并约定各方拟承担的工作责任和权利义务。联合体协议书必须加盖所有联合体成员公章并由其法定代表人签字或盖章确认。4）联合体各方签订联合体协议书后，不得再以自己名义单独投标或加入其他联合体在本项目中进行投标，如有违反，其投标和与此有关的联合体的投标将被拒绝。5）联合体中标后，联合体各方应当共同与采购人签订合同，为履行合同向采购人承担连带责任。联合体牵头人应被授权作为联合体各方的代表，向采购人提交承担责任和接受指令。6）联合体投标时，投标文件中除联合体协议书必须联合体各方分别按要求进行签字盖章外，投标文件封面及其他内容及落款中的“投标人”、“投标人名称”、“企业名称”等应填写联合体各方的单位全称，格式表示为：【(主)单位全称(成)单位全称……】，签（盖）章处可由联合体牵头人签（盖）章，视作符合要求。</w:t>
            </w:r>
          </w:p>
        </w:tc>
      </w:tr>
      <w:tr>
        <w:tc>
          <w:tcPr>
            <w:tcW w:type="dxa" w:w="890"/>
          </w:tcPr>
          <w:p>
            <w:pPr>
              <w:pStyle w:val="null3"/>
            </w:pPr>
            <w:r>
              <w:rPr/>
              <w:t>9</w:t>
            </w:r>
          </w:p>
        </w:tc>
        <w:tc>
          <w:tcPr>
            <w:tcW w:type="dxa" w:w="3178"/>
          </w:tcPr>
          <w:p>
            <w:pPr>
              <w:pStyle w:val="null3"/>
            </w:pPr>
            <w:r>
              <w:rPr/>
              <w:t>是否面向中小企业</w:t>
            </w:r>
          </w:p>
        </w:tc>
        <w:tc>
          <w:tcPr>
            <w:tcW w:type="dxa" w:w="4238"/>
          </w:tcPr>
          <w:p>
            <w:pPr>
              <w:pStyle w:val="null3"/>
            </w:pPr>
            <w:r>
              <w:rPr/>
              <w:t>本项目不专门面向中小企业。</w:t>
            </w:r>
          </w:p>
        </w:tc>
      </w:tr>
    </w:tbl>
    <w:p>
      <w:pPr>
        <w:pStyle w:val="null3"/>
        <w:ind w:firstLine="480"/>
      </w:pPr>
      <w:r>
        <w:rPr/>
        <w:t>表二符合性审查表：</w:t>
      </w:r>
    </w:p>
    <w:p>
      <w:pPr>
        <w:pStyle w:val="null3"/>
      </w:pPr>
      <w:r>
        <w:rPr/>
        <w:t>采购包1（2026年郁南县林业有害生物防治）：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2</w:t>
            </w:r>
          </w:p>
        </w:tc>
        <w:tc>
          <w:tcPr>
            <w:tcW w:type="dxa" w:w="3178"/>
          </w:tcPr>
          <w:p>
            <w:pPr>
              <w:pStyle w:val="null3"/>
            </w:pPr>
            <w:r>
              <w:rPr/>
              <w:t>投标文件的签署和盖章及法定代表人证明书、授权书</w:t>
            </w:r>
          </w:p>
        </w:tc>
        <w:tc>
          <w:tcPr>
            <w:tcW w:type="dxa" w:w="4238"/>
          </w:tcPr>
          <w:p>
            <w:pPr>
              <w:pStyle w:val="null3"/>
            </w:pPr>
            <w:r>
              <w:rPr/>
              <w:t>按照招标文件规定要求签署、盖章的位置进行签署、盖章且投标文件有法定代表人签字或盖个人名章(或签字人有法定代表人有效授权书)的，并须提供法定代表人授权代表(如有)身份证复印件。</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投标报价总价和分项报价未超过本项目最高限价。若在投标文件中报价表与投标客户端生成的报价表信息内容不一致，以投标客户端在线填写报价并生成的内容为准。</w:t>
            </w:r>
          </w:p>
        </w:tc>
      </w:tr>
      <w:tr>
        <w:tc>
          <w:tcPr>
            <w:tcW w:type="dxa" w:w="890"/>
          </w:tcPr>
          <w:p>
            <w:pPr>
              <w:pStyle w:val="null3"/>
            </w:pPr>
            <w:r>
              <w:rPr/>
              <w:t>4</w:t>
            </w:r>
          </w:p>
        </w:tc>
        <w:tc>
          <w:tcPr>
            <w:tcW w:type="dxa" w:w="3178"/>
          </w:tcPr>
          <w:p>
            <w:pPr>
              <w:pStyle w:val="null3"/>
            </w:pPr>
            <w:r>
              <w:rPr/>
              <w:t>服务期限</w:t>
            </w:r>
          </w:p>
        </w:tc>
        <w:tc>
          <w:tcPr>
            <w:tcW w:type="dxa" w:w="4238"/>
          </w:tcPr>
          <w:p>
            <w:pPr>
              <w:pStyle w:val="null3"/>
            </w:pPr>
            <w:r>
              <w:rPr/>
              <w:t>服务期符合招标文件要求。</w:t>
            </w:r>
          </w:p>
        </w:tc>
      </w:tr>
      <w:tr>
        <w:tc>
          <w:tcPr>
            <w:tcW w:type="dxa" w:w="890"/>
          </w:tcPr>
          <w:p>
            <w:pPr>
              <w:pStyle w:val="null3"/>
            </w:pPr>
            <w:r>
              <w:rPr/>
              <w:t>5</w:t>
            </w:r>
          </w:p>
        </w:tc>
        <w:tc>
          <w:tcPr>
            <w:tcW w:type="dxa" w:w="3178"/>
          </w:tcPr>
          <w:p>
            <w:pPr>
              <w:pStyle w:val="null3"/>
            </w:pPr>
            <w:r>
              <w:rPr/>
              <w:t>其他无效响应的情形</w:t>
            </w:r>
          </w:p>
        </w:tc>
        <w:tc>
          <w:tcPr>
            <w:tcW w:type="dxa" w:w="4238"/>
          </w:tcPr>
          <w:p>
            <w:pPr>
              <w:pStyle w:val="null3"/>
            </w:pPr>
            <w:r>
              <w:rPr/>
              <w:t>投标文件没有招标文件中规定的其他无效响应条款。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采购包1(2026年郁南县林业有害生物防治):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对项目实施现场的熟悉程度 (8.0分)</w:t>
            </w:r>
          </w:p>
        </w:tc>
        <w:tc>
          <w:tcPr>
            <w:tcW w:type="dxa" w:w="5076"/>
          </w:tcPr>
          <w:p>
            <w:pPr>
              <w:pStyle w:val="null3"/>
              <w:jc w:val="left"/>
            </w:pPr>
            <w:r>
              <w:rPr/>
              <w:t>根据投标人对项目实施现场的熟悉程度（包括但不限于：①项目周边的人文环境情况及应对措施，②项目实施布局图及实施路径安排，③项目范围内的林木情况等内容）进行评审： 1.对项目实施现场深入、具体了解，能充分贴合实际，对项目情况全面分析到位，制定的方案完全贴合本项目采购需求，具备针对性、实施性和有效性，得8分； 2.对项目的认识和理解比较到位，能理解服务内容、范围及标准，对项目情况分析比较到位，制定的方案基本满足本项目采购需求，具备一定针对性、实施性和有效性，得6分； 3.对项目背景、内容、范围及要求理解一般、对项目情况分析片面，制定的方案基本贴合本项目采购需求，比较有针对性、实施性和有效性，得4分； 4.对项目背景、内容、范围及要求理解不到位、缺乏对项目情况分析，制定的方案阐述模糊，长篇大论且空洞，针对性和实施性差的，得2分； 5.未提供方案不得分。</w:t>
            </w:r>
          </w:p>
        </w:tc>
      </w:tr>
      <w:tr>
        <w:tc>
          <w:tcPr>
            <w:tcW w:type="dxa" w:w="922"/>
            <w:gridSpan w:val="2"/>
            <w:vMerge/>
          </w:tcPr>
          <w:p/>
        </w:tc>
        <w:tc>
          <w:tcPr>
            <w:tcW w:type="dxa" w:w="2307"/>
          </w:tcPr>
          <w:p>
            <w:pPr>
              <w:pStyle w:val="null3"/>
              <w:jc w:val="left"/>
            </w:pPr>
            <w:r>
              <w:rPr/>
              <w:t>项目实施及技术方案 (8.0分)</w:t>
            </w:r>
          </w:p>
        </w:tc>
        <w:tc>
          <w:tcPr>
            <w:tcW w:type="dxa" w:w="5076"/>
          </w:tcPr>
          <w:p>
            <w:pPr>
              <w:pStyle w:val="null3"/>
              <w:jc w:val="left"/>
            </w:pPr>
            <w:r>
              <w:rPr/>
              <w:t>根据投标人针对本项目制定的项目实施方案（包括但不限于：①技术、物资、劳动组织准备，②松材线虫病死木、衰弱枯死木、其他病虫致死木、无序砍伐木及枝丫，进行除害处理，③森林保护措施，④应急措施等内容）进行评审： 1.项目实施方案包含上述所列内容，且内容完整、具体、全面详细，针对性及准确性强，流程清晰，技术要点分析科学合理，切实可行，完全满足或优于采购需求的，得8分； 2.项目实施方案包含上述所列内容，且内容比较具体、详细，针对性及准确性比较强，流程比较清晰，技术要点分析科学比较合理，比较可行，比较满足采购需求的，得6分； 3.项目实施方案包含上述所列内容，且内容基本满足，基本有针对性或准确性，基本流程清晰，技术要点分析基本科学合理，基本符合采购需求的，得4分； 4.项目实施方案（上述所列内容缺少一项或以上），内容不完整，流程不清晰，技术要点分析欠科学，缺乏合理性，方案长篇大论且空洞，部分符合或不能完全满足采购需求的，得2分； 5.未提供方案不得分。</w:t>
            </w:r>
          </w:p>
        </w:tc>
      </w:tr>
      <w:tr>
        <w:tc>
          <w:tcPr>
            <w:tcW w:type="dxa" w:w="922"/>
            <w:gridSpan w:val="2"/>
            <w:vMerge/>
          </w:tcPr>
          <w:p/>
        </w:tc>
        <w:tc>
          <w:tcPr>
            <w:tcW w:type="dxa" w:w="2307"/>
          </w:tcPr>
          <w:p>
            <w:pPr>
              <w:pStyle w:val="null3"/>
              <w:jc w:val="left"/>
            </w:pPr>
            <w:r>
              <w:rPr/>
              <w:t>项目实施进度计划 (8.0分)</w:t>
            </w:r>
          </w:p>
        </w:tc>
        <w:tc>
          <w:tcPr>
            <w:tcW w:type="dxa" w:w="5076"/>
          </w:tcPr>
          <w:p>
            <w:pPr>
              <w:pStyle w:val="null3"/>
              <w:jc w:val="left"/>
            </w:pPr>
            <w:r>
              <w:rPr/>
              <w:t>根据投标人的项目实施进度计划（包括但不限于：①作业工期计划，②作业进度控制，③作业进度保证措施，④作业质量确保方法等内容）进行评审： 1.实施进度计划包含上述所列内容，且内容完整、具体、全面，流程清晰，各阶段的保障有可行性、针对性强，完全满足或优于采购需求的，得8分； 2.实施进度计划包含上述所列内容，内容比较具体、全面，流程比较清晰，各阶段的保障比较合理可行、比较有针对性，比较满足采购需求的，得6分； 3.实施进度计划包含上述所列内容，对内容基本具体可行，流程基本清晰，各阶段的保障基本合理可行，基本符合采购需求的，得4分； 4.实施进度计划（上述所列内容缺少一项或以上），对内容不够全面、不够合理可行，流程不够清晰，各阶段的保障不够合理，长篇大论且空洞，部分符合或不能完全满足采购需求的，得2分。 5.未提供方案不得分。</w:t>
            </w:r>
          </w:p>
        </w:tc>
      </w:tr>
      <w:tr>
        <w:tc>
          <w:tcPr>
            <w:tcW w:type="dxa" w:w="922"/>
            <w:gridSpan w:val="2"/>
            <w:vMerge/>
          </w:tcPr>
          <w:p/>
        </w:tc>
        <w:tc>
          <w:tcPr>
            <w:tcW w:type="dxa" w:w="2307"/>
          </w:tcPr>
          <w:p>
            <w:pPr>
              <w:pStyle w:val="null3"/>
              <w:jc w:val="left"/>
            </w:pPr>
            <w:r>
              <w:rPr/>
              <w:t>质量保证措施 (8.0分)</w:t>
            </w:r>
          </w:p>
        </w:tc>
        <w:tc>
          <w:tcPr>
            <w:tcW w:type="dxa" w:w="5076"/>
          </w:tcPr>
          <w:p>
            <w:pPr>
              <w:pStyle w:val="null3"/>
              <w:jc w:val="left"/>
            </w:pPr>
            <w:r>
              <w:rPr/>
              <w:t>根据投标人的质量保证措施（包括但不限于：①质量管理体系、②质量管理机构、③实施各个环节的质量保障和操作规程、④质量保证措施等）进行评审： 1.质量保证措施包含上述所列内容，质量管理体系完善，具备可实施性；质量保证措施具体全面细致、切实可行，得8分； 2.质量保证措施包含上述所列内容，质量管理体系基本完善，具备可实施性；质量保证措施基本具体全面、切实可行，得6分； 3.质量保证措施包含上述所列内容，质量管理体系不够完善，具备可实施性；质量保证措施不够具体全面、切实，得4分； 4.质量保证措施（上述所列内容缺少一项或以上），质量管理体系不完善，可实施性差；质量保证措施不具体全面、切实，措施长篇大论且空洞的，得2分； 5.未提供方案不得分。</w:t>
            </w:r>
          </w:p>
        </w:tc>
      </w:tr>
      <w:tr>
        <w:tc>
          <w:tcPr>
            <w:tcW w:type="dxa" w:w="922"/>
            <w:gridSpan w:val="2"/>
            <w:vMerge/>
          </w:tcPr>
          <w:p/>
        </w:tc>
        <w:tc>
          <w:tcPr>
            <w:tcW w:type="dxa" w:w="2307"/>
          </w:tcPr>
          <w:p>
            <w:pPr>
              <w:pStyle w:val="null3"/>
              <w:jc w:val="left"/>
            </w:pPr>
            <w:r>
              <w:rPr/>
              <w:t>安全文明实施保证措施 (8.0分)</w:t>
            </w:r>
          </w:p>
        </w:tc>
        <w:tc>
          <w:tcPr>
            <w:tcW w:type="dxa" w:w="5076"/>
          </w:tcPr>
          <w:p>
            <w:pPr>
              <w:pStyle w:val="null3"/>
              <w:jc w:val="left"/>
            </w:pPr>
            <w:r>
              <w:rPr/>
              <w:t>根据投标人的安全文明实施保证措施（包括但不限于：①安全管理制度、②实施各个环节的安全保障和操作规程、③现场管控、④工人意外保障情况、⑤环境保护措施等等内容）进行评审： 1.实施各工序环节、安全管理措施和规章制度包含上述所列内容，规范、完善，实用性与可行性好，得8分； 2.实施各工序环节、安全管理措施和规章制度包含上述所列内容，较规范、完善，实用性与可行性较好，得6分； 3.实施各工序环节、安全管理措施和规章制度包含上述所列内容，规范性、完善度一般，有一定的实用性与可行性，得4分； 4.实施各工序环节、安全管理措施和规章制度（上述所列内容缺少一项或以上），规范性、完善度较差，实用性与可行性较差，措施长篇大论且空洞的，得2分； 5.未提供方案不得分。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(6.0分)</w:t>
            </w:r>
          </w:p>
        </w:tc>
        <w:tc>
          <w:tcPr>
            <w:tcW w:type="dxa" w:w="5076"/>
          </w:tcPr>
          <w:p>
            <w:pPr>
              <w:pStyle w:val="null3"/>
              <w:jc w:val="left"/>
            </w:pPr>
            <w:r>
              <w:rPr/>
              <w:t>2023年1月1日至今承接过的同类项目业绩（有害生物防治类），每提供1个得2分，最高得6分。 注：①须提供合同关键页（含合同首页、内容页、签字盖章页）并加盖公章，时间以合同签订时间为准。不提供或提供不全的，不得分。②投标人以联合体形式参加投标的，联合体中的任一方的项目业绩符合的，即可得分。</w:t>
            </w:r>
          </w:p>
        </w:tc>
      </w:tr>
      <w:tr>
        <w:tc>
          <w:tcPr>
            <w:tcW w:type="dxa" w:w="922"/>
            <w:gridSpan w:val="2"/>
            <w:vMerge/>
          </w:tcPr>
          <w:p/>
        </w:tc>
        <w:tc>
          <w:tcPr>
            <w:tcW w:type="dxa" w:w="2307"/>
          </w:tcPr>
          <w:p>
            <w:pPr>
              <w:pStyle w:val="null3"/>
              <w:jc w:val="left"/>
            </w:pPr>
            <w:r>
              <w:rPr/>
              <w:t>拟投入设备 (15.0分)</w:t>
            </w:r>
          </w:p>
        </w:tc>
        <w:tc>
          <w:tcPr>
            <w:tcW w:type="dxa" w:w="5076"/>
          </w:tcPr>
          <w:p>
            <w:pPr>
              <w:pStyle w:val="null3"/>
              <w:jc w:val="left"/>
            </w:pPr>
            <w:r>
              <w:rPr/>
              <w:t>拟投入设备： 1.防治直升机（租赁或自有）每提供1台得5分，本小项最高得10分； 2.防治无人机（租赁或自有）每提供1台得2.5分，本小项最高得5分。 注：①自有直升机须提供有效权属证明材料复印件，权属所有人须和投标人（或联合体各方）名称或者法定代表人名称一致，同时须提供该直升机有效的国籍登记证、适航证、无线电台执照（航空器三证）复印件。租赁直升机须提供与直升机所有人签订的有效期内租赁合同复印件、直升机有效权属证明复印件以及直升机有效的国籍登记证、适航证、无线电台执照（航空器三证）复印件。以上证明材料加盖投标人公章，未提供或资料不全的不得分。 ②自有无人机须提供购买发票复印件，发票抬头须与投标人（或联合体各方）名称一致。租赁无人机须提供有效期内的租赁合同复印件；未提供或资料不全的不得分。</w:t>
            </w:r>
          </w:p>
        </w:tc>
      </w:tr>
      <w:tr>
        <w:tc>
          <w:tcPr>
            <w:tcW w:type="dxa" w:w="922"/>
            <w:gridSpan w:val="2"/>
            <w:vMerge/>
          </w:tcPr>
          <w:p/>
        </w:tc>
        <w:tc>
          <w:tcPr>
            <w:tcW w:type="dxa" w:w="2307"/>
          </w:tcPr>
          <w:p>
            <w:pPr>
              <w:pStyle w:val="null3"/>
              <w:jc w:val="left"/>
            </w:pPr>
            <w:r>
              <w:rPr/>
              <w:t>拟投入项目负责人 (3.0分)</w:t>
            </w:r>
          </w:p>
        </w:tc>
        <w:tc>
          <w:tcPr>
            <w:tcW w:type="dxa" w:w="5076"/>
          </w:tcPr>
          <w:p>
            <w:pPr>
              <w:pStyle w:val="null3"/>
              <w:jc w:val="left"/>
            </w:pPr>
            <w:r>
              <w:rPr/>
              <w:t>拟投入项目负责人： 1.具有林业专业高级工程师或以上的得3分； 2.具有林业专业中级工程师的得2分。 注：①须提供相关证书复印件以及投标截止时间前三个月内任意1个月的社保证明材料，社保证明材料以人力资源和社会保障部门或当地社保机构加盖公章或业务章为准。符合国家或各省市相关文件要求可减免或缓缴社保的，可提供当地政府部门允许缓缴社保的相关文件作为缴纳社保的证明。（如退休返聘人员，须提供退休证明资料、聘用合同复印件并加盖投标人公章作为评审依据）。②投标人以联合体形式参加投标的，项目负责人须为牵头单位的人员。</w:t>
            </w:r>
          </w:p>
        </w:tc>
      </w:tr>
      <w:tr>
        <w:tc>
          <w:tcPr>
            <w:tcW w:type="dxa" w:w="922"/>
            <w:gridSpan w:val="2"/>
            <w:vMerge/>
          </w:tcPr>
          <w:p/>
        </w:tc>
        <w:tc>
          <w:tcPr>
            <w:tcW w:type="dxa" w:w="2307"/>
          </w:tcPr>
          <w:p>
            <w:pPr>
              <w:pStyle w:val="null3"/>
              <w:jc w:val="left"/>
            </w:pPr>
            <w:r>
              <w:rPr/>
              <w:t>拟投入技术团队 (12.0分)</w:t>
            </w:r>
          </w:p>
        </w:tc>
        <w:tc>
          <w:tcPr>
            <w:tcW w:type="dxa" w:w="5076"/>
          </w:tcPr>
          <w:p>
            <w:pPr>
              <w:pStyle w:val="null3"/>
              <w:jc w:val="left"/>
            </w:pPr>
            <w:r>
              <w:rPr/>
              <w:t>拟投入技术团队（项目负责人除外）： 1.具有林业专业中级工程师或以上的每提供一名得2分，本小项最高得4分； 2.具有有害生物防治员证书的每提供一名得2分，本小项最高得4分； 3.具有商用驾驶员执照飞行员的每提供一名得2分，本小项最高得4分。 注：本项最多得12分。同一人员持多项证书不能重复得分。①须提供相关证书复印件以及投标截止时间前三个月内任意1个月的社保证明材料，社保证明材料以人力资源和社会保障部门或当地社保机构加具公章或业务章为准。符合国家或各省市相关文件要求可减免或缓缴社保的，可提供当地政府部门允许缓缴社保的相关文件作为缴纳社保的证明。（如退休返聘人员，须提供退休证明资料、聘用合同复印件并加盖投标人公章作为评审依据）。联合体任意一方提供的成员都可得分。</w:t>
            </w:r>
          </w:p>
        </w:tc>
      </w:tr>
      <w:tr>
        <w:tc>
          <w:tcPr>
            <w:tcW w:type="dxa" w:w="922"/>
            <w:gridSpan w:val="2"/>
            <w:vMerge/>
          </w:tcPr>
          <w:p/>
        </w:tc>
        <w:tc>
          <w:tcPr>
            <w:tcW w:type="dxa" w:w="2307"/>
          </w:tcPr>
          <w:p>
            <w:pPr>
              <w:pStyle w:val="null3"/>
              <w:jc w:val="left"/>
            </w:pPr>
            <w:r>
              <w:rPr/>
              <w:t>团体意外保险 (4.0分)</w:t>
            </w:r>
          </w:p>
        </w:tc>
        <w:tc>
          <w:tcPr>
            <w:tcW w:type="dxa" w:w="5076"/>
          </w:tcPr>
          <w:p>
            <w:pPr>
              <w:pStyle w:val="null3"/>
              <w:jc w:val="left"/>
            </w:pPr>
            <w:r>
              <w:rPr/>
              <w:t>以投标人（或联合体各方）名义为参与本项目的工作人员购买或承诺购买《团体意外保险》的,得4分。 注：已购买的须提供有效期内的团体意外保险投保单复印件，并加盖公章，有效期不能覆盖本项目服务期的还须提供《续保承诺书》，未购买的须提供《承诺函》承诺中标后购买团体意外保险，不提供不得分。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 xml:space="preserve"> </w:t>
      </w:r>
    </w:p>
    <w:p>
      <w:pPr>
        <w:pStyle w:val="null3"/>
        <w:jc w:val="center"/>
      </w:pPr>
      <w:r>
        <w:rPr>
          <w:sz w:val="24"/>
          <w:b/>
        </w:rPr>
        <w:t xml:space="preserve"> </w:t>
      </w:r>
    </w:p>
    <w:p>
      <w:pPr>
        <w:pStyle w:val="null3"/>
        <w:jc w:val="center"/>
      </w:pPr>
      <w:r>
        <w:rPr>
          <w:sz w:val="24"/>
          <w:b/>
        </w:rPr>
        <w:t xml:space="preserve"> </w:t>
      </w:r>
    </w:p>
    <w:p>
      <w:pPr>
        <w:pStyle w:val="null3"/>
        <w:jc w:val="center"/>
      </w:pPr>
      <w:r>
        <w:rPr>
          <w:sz w:val="24"/>
          <w:b/>
        </w:rPr>
        <w:t xml:space="preserve"> </w:t>
      </w:r>
    </w:p>
    <w:p>
      <w:pPr>
        <w:pStyle w:val="null3"/>
        <w:jc w:val="center"/>
      </w:pPr>
      <w:r>
        <w:rPr>
          <w:sz w:val="24"/>
          <w:b/>
        </w:rPr>
        <w:t>广东省政府采购</w:t>
      </w:r>
    </w:p>
    <w:p>
      <w:pPr>
        <w:pStyle w:val="null3"/>
        <w:spacing w:before="150" w:after="150"/>
        <w:jc w:val="both"/>
      </w:pPr>
      <w:r>
        <w:rPr>
          <w:sz w:val="24"/>
        </w:rPr>
        <w:t xml:space="preserve"> </w:t>
      </w:r>
    </w:p>
    <w:p>
      <w:pPr>
        <w:pStyle w:val="null3"/>
        <w:jc w:val="center"/>
      </w:pPr>
      <w:r>
        <w:rPr>
          <w:sz w:val="24"/>
          <w:b/>
        </w:rPr>
        <w:t>合　同　书</w:t>
      </w:r>
    </w:p>
    <w:p>
      <w:pPr>
        <w:pStyle w:val="null3"/>
        <w:jc w:val="center"/>
      </w:pPr>
      <w:r>
        <w:br/>
      </w:r>
      <w:r>
        <w:br/>
      </w:r>
      <w:r>
        <w:br/>
      </w:r>
      <w:r>
        <w:br/>
      </w:r>
      <w:r>
        <w:br/>
      </w:r>
      <w:r>
        <w:br/>
      </w:r>
      <w:r>
        <w:br/>
      </w:r>
      <w:r>
        <w:br/>
      </w:r>
      <w:r>
        <w:rPr>
          <w:sz w:val="24"/>
        </w:rPr>
        <w:t xml:space="preserve">  </w:t>
      </w:r>
    </w:p>
    <w:p>
      <w:pPr>
        <w:pStyle w:val="null3"/>
        <w:jc w:val="center"/>
      </w:pPr>
      <w:r>
        <w:rPr>
          <w:sz w:val="28"/>
          <w:color w:val="222222"/>
        </w:rPr>
        <w:t>采购计划编号：</w:t>
      </w:r>
      <w:r>
        <w:rPr>
          <w:sz w:val="24"/>
          <w:u w:val="single"/>
        </w:rPr>
        <w:t xml:space="preserve">                                                   </w:t>
      </w:r>
    </w:p>
    <w:p>
      <w:pPr>
        <w:pStyle w:val="null3"/>
        <w:spacing w:before="150" w:after="150"/>
        <w:jc w:val="both"/>
      </w:pPr>
      <w:r>
        <w:rPr>
          <w:sz w:val="24"/>
        </w:rPr>
        <w:t xml:space="preserve"> </w:t>
      </w:r>
    </w:p>
    <w:p>
      <w:pPr>
        <w:pStyle w:val="null3"/>
        <w:jc w:val="center"/>
      </w:pPr>
      <w:r>
        <w:rPr>
          <w:sz w:val="28"/>
          <w:color w:val="222222"/>
        </w:rPr>
        <w:t>项目编号：</w:t>
      </w:r>
      <w:r>
        <w:rPr>
          <w:sz w:val="24"/>
          <w:u w:val="single"/>
        </w:rPr>
        <w:t xml:space="preserve">                                                         </w:t>
      </w:r>
    </w:p>
    <w:p>
      <w:pPr>
        <w:pStyle w:val="null3"/>
        <w:spacing w:before="150" w:after="150"/>
        <w:jc w:val="both"/>
      </w:pPr>
      <w:r>
        <w:rPr>
          <w:sz w:val="24"/>
        </w:rPr>
        <w:t xml:space="preserve"> </w:t>
      </w:r>
    </w:p>
    <w:p>
      <w:pPr>
        <w:pStyle w:val="null3"/>
        <w:jc w:val="center"/>
      </w:pPr>
      <w:r>
        <w:rPr>
          <w:sz w:val="28"/>
          <w:color w:val="222222"/>
        </w:rPr>
        <w:t>项目名称：</w:t>
      </w:r>
      <w:r>
        <w:rPr>
          <w:sz w:val="24"/>
          <w:u w:val="single"/>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spacing w:before="150" w:after="150"/>
        <w:jc w:val="both"/>
      </w:pPr>
      <w:r>
        <w:rPr>
          <w:sz w:val="24"/>
          <w:b/>
        </w:rPr>
        <w:t xml:space="preserve"> </w:t>
      </w:r>
      <w:r>
        <w:rPr>
          <w:sz w:val="24"/>
          <w:b/>
        </w:rPr>
        <w:t>注：</w:t>
      </w:r>
      <w:r>
        <w:rPr>
          <w:sz w:val="24"/>
          <w:b/>
        </w:rPr>
        <w:t>本合同仅供参考，</w:t>
      </w:r>
      <w:r>
        <w:rPr>
          <w:sz w:val="24"/>
          <w:b/>
        </w:rPr>
        <w:t>双方</w:t>
      </w:r>
      <w:r>
        <w:rPr>
          <w:sz w:val="24"/>
          <w:b/>
        </w:rPr>
        <w:t>应</w:t>
      </w:r>
      <w:r>
        <w:rPr>
          <w:sz w:val="24"/>
          <w:b/>
        </w:rPr>
        <w:t>根据项目的具体要求进行</w:t>
      </w:r>
      <w:r>
        <w:rPr>
          <w:sz w:val="24"/>
          <w:b/>
        </w:rPr>
        <w:t>填写</w:t>
      </w:r>
      <w:r>
        <w:rPr>
          <w:sz w:val="24"/>
          <w:b/>
        </w:rPr>
        <w:t>。</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r>
        <w:rPr>
          <w:sz w:val="24"/>
          <w:b/>
        </w:rPr>
        <w:t>甲方：</w:t>
      </w:r>
      <w:r>
        <w:rPr>
          <w:sz w:val="24"/>
          <w:b/>
        </w:rPr>
        <w:t xml:space="preserve"> </w:t>
      </w:r>
      <w:r>
        <w:rPr>
          <w:sz w:val="24"/>
          <w:u w:val="single"/>
        </w:rPr>
        <w:t xml:space="preserve">    </w:t>
      </w:r>
    </w:p>
    <w:p>
      <w:pPr>
        <w:pStyle w:val="null3"/>
        <w:jc w:val="both"/>
      </w:pPr>
      <w:r>
        <w:rPr>
          <w:sz w:val="27"/>
          <w:color w:val="222222"/>
        </w:rPr>
        <w:t>电话：</w:t>
      </w:r>
      <w:r>
        <w:rPr>
          <w:sz w:val="27"/>
          <w:color w:val="222222"/>
        </w:rPr>
        <w:t xml:space="preserve"> </w:t>
      </w:r>
      <w:r>
        <w:rPr>
          <w:sz w:val="24"/>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sz w:val="24"/>
          <w:u w:val="single"/>
        </w:rPr>
        <w:t xml:space="preserve">    </w:t>
      </w:r>
      <w:r>
        <w:rPr>
          <w:sz w:val="27"/>
          <w:color w:val="222222"/>
        </w:rPr>
        <w:t>地址：</w:t>
      </w:r>
      <w:r>
        <w:rPr>
          <w:sz w:val="27"/>
          <w:color w:val="222222"/>
        </w:rPr>
        <w:t xml:space="preserve"> </w:t>
      </w:r>
      <w:r>
        <w:rPr>
          <w:sz w:val="24"/>
          <w:u w:val="single"/>
        </w:rPr>
        <w:t xml:space="preserve">      </w:t>
      </w:r>
    </w:p>
    <w:p>
      <w:pPr>
        <w:pStyle w:val="null3"/>
        <w:jc w:val="both"/>
      </w:pPr>
      <w:r>
        <w:rPr>
          <w:sz w:val="24"/>
          <w:b/>
        </w:rPr>
        <w:t>乙方：</w:t>
      </w:r>
      <w:r>
        <w:rPr>
          <w:sz w:val="24"/>
          <w:b/>
        </w:rPr>
        <w:t xml:space="preserve"> </w:t>
      </w:r>
      <w:r>
        <w:rPr>
          <w:sz w:val="24"/>
          <w:u w:val="single"/>
        </w:rPr>
        <w:t xml:space="preserve">    </w:t>
      </w:r>
    </w:p>
    <w:p>
      <w:pPr>
        <w:pStyle w:val="null3"/>
        <w:jc w:val="both"/>
      </w:pPr>
      <w:r>
        <w:rPr>
          <w:sz w:val="27"/>
          <w:color w:val="222222"/>
        </w:rPr>
        <w:t>电话：</w:t>
      </w:r>
      <w:r>
        <w:rPr>
          <w:sz w:val="27"/>
          <w:color w:val="222222"/>
        </w:rPr>
        <w:t xml:space="preserve"> </w:t>
      </w:r>
      <w:r>
        <w:rPr>
          <w:sz w:val="24"/>
          <w:u w:val="single"/>
        </w:rPr>
        <w:t xml:space="preserve">     </w:t>
      </w:r>
      <w:r>
        <w:rPr>
          <w:sz w:val="27"/>
          <w:color w:val="222222"/>
        </w:rPr>
        <w:t>传真：</w:t>
      </w:r>
      <w:r>
        <w:rPr>
          <w:sz w:val="24"/>
          <w:u w:val="single"/>
        </w:rPr>
        <w:t xml:space="preserve">      </w:t>
      </w:r>
      <w:r>
        <w:rPr>
          <w:sz w:val="27"/>
          <w:color w:val="222222"/>
        </w:rPr>
        <w:t>地址：</w:t>
      </w:r>
      <w:r>
        <w:rPr>
          <w:sz w:val="27"/>
          <w:color w:val="222222"/>
        </w:rPr>
        <w:t xml:space="preserve"> </w:t>
      </w:r>
      <w:r>
        <w:rPr>
          <w:sz w:val="24"/>
          <w:u w:val="single"/>
        </w:rPr>
        <w:t xml:space="preserve">     </w:t>
      </w:r>
    </w:p>
    <w:p>
      <w:pPr>
        <w:pStyle w:val="null3"/>
        <w:spacing w:before="150" w:after="150"/>
        <w:jc w:val="both"/>
      </w:pPr>
      <w:r>
        <w:rPr>
          <w:sz w:val="24"/>
        </w:rPr>
        <w:t xml:space="preserve"> </w:t>
      </w:r>
    </w:p>
    <w:p>
      <w:pPr>
        <w:pStyle w:val="null3"/>
        <w:jc w:val="both"/>
      </w:pPr>
      <w:r>
        <w:rPr>
          <w:sz w:val="27"/>
          <w:color w:val="222222"/>
        </w:rPr>
        <w:t xml:space="preserve">  </w:t>
      </w:r>
      <w:r>
        <w:rPr>
          <w:sz w:val="27"/>
          <w:color w:val="222222"/>
        </w:rPr>
        <w:t>根据</w:t>
      </w:r>
      <w:r>
        <w:rPr>
          <w:sz w:val="27"/>
          <w:color w:val="222222"/>
        </w:rPr>
        <w:t xml:space="preserve"> </w:t>
      </w:r>
      <w:r>
        <w:rPr>
          <w:sz w:val="24"/>
          <w:u w:val="single"/>
        </w:rPr>
        <w:t xml:space="preserve">         </w:t>
      </w:r>
      <w:r>
        <w:rPr>
          <w:sz w:val="24"/>
          <w:u w:val="single"/>
        </w:rPr>
        <w:t>项目</w:t>
      </w:r>
      <w:r>
        <w:rPr>
          <w:sz w:val="24"/>
          <w:u w:val="single"/>
        </w:rPr>
        <w:t xml:space="preserve"> </w:t>
      </w:r>
      <w:r>
        <w:rPr>
          <w:sz w:val="27"/>
          <w:color w:val="222222"/>
        </w:rPr>
        <w:t>的采购结果，按照《中华人民共和国政府采购法》，《中华人民共和国民法典</w:t>
      </w:r>
      <w:r>
        <w:rPr>
          <w:sz w:val="27"/>
          <w:color w:val="222222"/>
        </w:rPr>
        <w:t>(</w:t>
      </w:r>
      <w:r>
        <w:rPr>
          <w:sz w:val="27"/>
          <w:color w:val="222222"/>
        </w:rPr>
        <w:t>合同编</w:t>
      </w:r>
      <w:r>
        <w:rPr>
          <w:sz w:val="27"/>
          <w:color w:val="222222"/>
        </w:rPr>
        <w:t>)</w:t>
      </w:r>
      <w:r>
        <w:rPr>
          <w:sz w:val="27"/>
          <w:color w:val="222222"/>
        </w:rPr>
        <w:t>》的规定，经双方协商，本着平等互利和诚实信用的原则，一致同意遵守本合同如下。</w:t>
      </w:r>
    </w:p>
    <w:p>
      <w:pPr>
        <w:pStyle w:val="null3"/>
        <w:jc w:val="both"/>
      </w:pPr>
      <w:r>
        <w:rPr>
          <w:sz w:val="24"/>
          <w:b/>
        </w:rPr>
        <w:t>一、合同金额</w:t>
      </w:r>
    </w:p>
    <w:p>
      <w:pPr>
        <w:pStyle w:val="null3"/>
        <w:jc w:val="both"/>
      </w:pPr>
      <w:r>
        <w:rPr>
          <w:sz w:val="27"/>
          <w:color w:val="222222"/>
        </w:rPr>
        <w:t>　　合同金额为（大写）：</w:t>
      </w:r>
      <w:r>
        <w:rPr>
          <w:sz w:val="27"/>
          <w:color w:val="222222"/>
        </w:rPr>
        <w:t>_____________</w:t>
      </w:r>
      <w:r>
        <w:rPr>
          <w:sz w:val="27"/>
          <w:color w:val="222222"/>
        </w:rPr>
        <w:t>元（￥</w:t>
      </w:r>
      <w:r>
        <w:rPr>
          <w:sz w:val="27"/>
          <w:color w:val="222222"/>
        </w:rPr>
        <w:t>_________</w:t>
      </w:r>
      <w:r>
        <w:rPr>
          <w:sz w:val="27"/>
          <w:color w:val="222222"/>
        </w:rPr>
        <w:t>元）人民币。</w:t>
      </w:r>
    </w:p>
    <w:p>
      <w:pPr>
        <w:pStyle w:val="null3"/>
        <w:jc w:val="both"/>
      </w:pPr>
      <w:r>
        <w:rPr>
          <w:sz w:val="24"/>
          <w:b/>
        </w:rPr>
        <w:t>二、服务范围</w:t>
      </w:r>
    </w:p>
    <w:p>
      <w:pPr>
        <w:pStyle w:val="null3"/>
        <w:jc w:val="both"/>
      </w:pPr>
      <w:r>
        <w:rPr>
          <w:sz w:val="27"/>
          <w:color w:val="222222"/>
        </w:rPr>
        <w:t>　　甲方聘请乙方提供以下服务：</w:t>
      </w:r>
    </w:p>
    <w:p>
      <w:pPr>
        <w:pStyle w:val="null3"/>
        <w:jc w:val="both"/>
      </w:pPr>
      <w:r>
        <w:rPr>
          <w:sz w:val="27"/>
          <w:color w:val="222222"/>
        </w:rPr>
        <w:t xml:space="preserve"> 1</w:t>
      </w:r>
      <w:r>
        <w:rPr>
          <w:sz w:val="27"/>
          <w:color w:val="222222"/>
        </w:rPr>
        <w:t>．</w:t>
      </w:r>
      <w:r>
        <w:rPr>
          <w:sz w:val="27"/>
          <w:color w:val="222222"/>
        </w:rPr>
        <w:t>。</w:t>
      </w:r>
    </w:p>
    <w:p>
      <w:pPr>
        <w:pStyle w:val="null3"/>
        <w:jc w:val="both"/>
      </w:pPr>
      <w:r>
        <w:rPr>
          <w:sz w:val="27"/>
          <w:color w:val="222222"/>
        </w:rPr>
        <w:t xml:space="preserve"> 2</w:t>
      </w:r>
      <w:r>
        <w:rPr>
          <w:sz w:val="27"/>
          <w:color w:val="222222"/>
        </w:rPr>
        <w:t>．</w:t>
      </w:r>
    </w:p>
    <w:p>
      <w:pPr>
        <w:pStyle w:val="null3"/>
        <w:jc w:val="both"/>
      </w:pPr>
      <w:r>
        <w:rPr>
          <w:sz w:val="27"/>
          <w:color w:val="222222"/>
        </w:rPr>
        <w:t>……</w:t>
      </w:r>
    </w:p>
    <w:p>
      <w:pPr>
        <w:pStyle w:val="null3"/>
        <w:jc w:val="both"/>
      </w:pPr>
      <w:r>
        <w:rPr>
          <w:sz w:val="24"/>
          <w:b/>
        </w:rPr>
        <w:t>三、甲方乙方的权利和义务</w:t>
      </w:r>
    </w:p>
    <w:p>
      <w:pPr>
        <w:pStyle w:val="null3"/>
        <w:jc w:val="both"/>
      </w:pPr>
      <w:r>
        <w:rPr>
          <w:sz w:val="27"/>
          <w:color w:val="222222"/>
        </w:rPr>
        <w:t xml:space="preserve"> 1.</w:t>
      </w:r>
      <w:r>
        <w:rPr>
          <w:sz w:val="27"/>
          <w:color w:val="222222"/>
        </w:rPr>
        <w:t>甲方的权利和义务</w:t>
      </w:r>
    </w:p>
    <w:p>
      <w:pPr>
        <w:pStyle w:val="null3"/>
        <w:jc w:val="both"/>
      </w:pPr>
      <w:r>
        <w:rPr>
          <w:sz w:val="27"/>
          <w:color w:val="222222"/>
        </w:rPr>
        <w:t xml:space="preserve"> 2.</w:t>
      </w:r>
      <w:r>
        <w:rPr>
          <w:sz w:val="27"/>
          <w:color w:val="222222"/>
        </w:rPr>
        <w:t>乙方的权利和义务</w:t>
      </w:r>
    </w:p>
    <w:p>
      <w:pPr>
        <w:pStyle w:val="null3"/>
        <w:jc w:val="both"/>
      </w:pPr>
      <w:r>
        <w:rPr>
          <w:sz w:val="24"/>
          <w:b/>
        </w:rPr>
        <w:t>四、服务期间（项目完成期限）</w:t>
      </w:r>
    </w:p>
    <w:p>
      <w:pPr>
        <w:pStyle w:val="null3"/>
        <w:jc w:val="both"/>
      </w:pPr>
      <w:r>
        <w:rPr>
          <w:sz w:val="27"/>
          <w:color w:val="222222"/>
        </w:rPr>
        <w:t xml:space="preserve"> 1.</w:t>
      </w:r>
      <w:r>
        <w:rPr>
          <w:sz w:val="27"/>
          <w:color w:val="222222"/>
        </w:rPr>
        <w:t>委托服务期间自</w:t>
      </w:r>
      <w:r>
        <w:rPr>
          <w:sz w:val="27"/>
          <w:color w:val="222222"/>
        </w:rPr>
        <w:t>______</w:t>
      </w:r>
      <w:r>
        <w:rPr>
          <w:sz w:val="27"/>
          <w:color w:val="222222"/>
        </w:rPr>
        <w:t>年</w:t>
      </w:r>
      <w:r>
        <w:rPr>
          <w:sz w:val="27"/>
          <w:color w:val="222222"/>
        </w:rPr>
        <w:t>______</w:t>
      </w:r>
      <w:r>
        <w:rPr>
          <w:sz w:val="27"/>
          <w:color w:val="222222"/>
        </w:rPr>
        <w:t>月至</w:t>
      </w:r>
      <w:r>
        <w:rPr>
          <w:sz w:val="27"/>
          <w:color w:val="222222"/>
        </w:rPr>
        <w:t>______</w:t>
      </w:r>
      <w:r>
        <w:rPr>
          <w:sz w:val="27"/>
          <w:color w:val="222222"/>
        </w:rPr>
        <w:t>年</w:t>
      </w:r>
      <w:r>
        <w:rPr>
          <w:sz w:val="27"/>
          <w:color w:val="222222"/>
        </w:rPr>
        <w:t>______</w:t>
      </w:r>
      <w:r>
        <w:rPr>
          <w:sz w:val="27"/>
          <w:color w:val="222222"/>
        </w:rPr>
        <w:t>月止。</w:t>
      </w:r>
    </w:p>
    <w:p>
      <w:pPr>
        <w:pStyle w:val="null3"/>
        <w:jc w:val="both"/>
      </w:pPr>
      <w:r>
        <w:rPr>
          <w:sz w:val="24"/>
          <w:b/>
        </w:rPr>
        <w:t>五、付款方式</w:t>
      </w:r>
    </w:p>
    <w:p>
      <w:pPr>
        <w:pStyle w:val="null3"/>
        <w:ind w:firstLine="521"/>
        <w:jc w:val="left"/>
      </w:pPr>
      <w:r>
        <w:rPr>
          <w:sz w:val="27"/>
          <w:color w:val="222222"/>
        </w:rPr>
        <w:t>1.</w:t>
      </w:r>
      <w:r>
        <w:rPr>
          <w:sz w:val="27"/>
          <w:color w:val="222222"/>
        </w:rPr>
        <w:t>预付款</w:t>
      </w:r>
      <w:r>
        <w:rPr>
          <w:sz w:val="27"/>
          <w:color w:val="222222"/>
        </w:rPr>
        <w:t>:</w:t>
      </w:r>
      <w:r>
        <w:rPr>
          <w:sz w:val="27"/>
          <w:color w:val="222222"/>
        </w:rPr>
        <w:t>签订合同后</w:t>
      </w:r>
      <w:r>
        <w:rPr>
          <w:sz w:val="27"/>
          <w:color w:val="222222"/>
        </w:rPr>
        <w:t>10</w:t>
      </w:r>
      <w:r>
        <w:rPr>
          <w:sz w:val="27"/>
          <w:color w:val="222222"/>
        </w:rPr>
        <w:t>日内，乙方向甲方申请支付合同总价的</w:t>
      </w:r>
      <w:r>
        <w:rPr>
          <w:sz w:val="27"/>
          <w:color w:val="222222"/>
        </w:rPr>
        <w:t>30%</w:t>
      </w:r>
      <w:r>
        <w:rPr>
          <w:sz w:val="27"/>
          <w:color w:val="222222"/>
        </w:rPr>
        <w:t>作为预付款；</w:t>
      </w:r>
    </w:p>
    <w:p>
      <w:pPr>
        <w:pStyle w:val="null3"/>
        <w:ind w:firstLine="521"/>
        <w:jc w:val="left"/>
      </w:pPr>
      <w:r>
        <w:rPr>
          <w:sz w:val="27"/>
          <w:color w:val="222222"/>
        </w:rPr>
        <w:t>2.</w:t>
      </w:r>
      <w:r>
        <w:rPr>
          <w:sz w:val="27"/>
          <w:color w:val="222222"/>
        </w:rPr>
        <w:t>进度款</w:t>
      </w:r>
      <w:r>
        <w:rPr>
          <w:sz w:val="27"/>
          <w:color w:val="222222"/>
        </w:rPr>
        <w:t>:</w:t>
      </w:r>
      <w:r>
        <w:rPr>
          <w:sz w:val="27"/>
          <w:color w:val="222222"/>
        </w:rPr>
        <w:t>乙方完成总工作量的</w:t>
      </w:r>
      <w:r>
        <w:rPr>
          <w:sz w:val="27"/>
          <w:color w:val="222222"/>
        </w:rPr>
        <w:t>80%</w:t>
      </w:r>
      <w:r>
        <w:rPr>
          <w:sz w:val="27"/>
          <w:color w:val="222222"/>
        </w:rPr>
        <w:t>，并由监理单位和甲方确认后</w:t>
      </w:r>
      <w:r>
        <w:rPr>
          <w:sz w:val="27"/>
          <w:color w:val="222222"/>
        </w:rPr>
        <w:t>10</w:t>
      </w:r>
      <w:r>
        <w:rPr>
          <w:sz w:val="27"/>
          <w:color w:val="222222"/>
        </w:rPr>
        <w:t>日内，向甲方申请支付合同总价的</w:t>
      </w:r>
      <w:r>
        <w:rPr>
          <w:sz w:val="27"/>
          <w:color w:val="222222"/>
        </w:rPr>
        <w:t>50%</w:t>
      </w:r>
      <w:r>
        <w:rPr>
          <w:sz w:val="27"/>
          <w:color w:val="222222"/>
        </w:rPr>
        <w:t>作为进度款；</w:t>
      </w:r>
    </w:p>
    <w:p>
      <w:pPr>
        <w:pStyle w:val="null3"/>
        <w:ind w:firstLine="521"/>
        <w:jc w:val="left"/>
      </w:pPr>
      <w:r>
        <w:rPr>
          <w:sz w:val="27"/>
          <w:color w:val="222222"/>
        </w:rPr>
        <w:t>3.</w:t>
      </w:r>
      <w:r>
        <w:rPr>
          <w:sz w:val="27"/>
          <w:color w:val="222222"/>
        </w:rPr>
        <w:t>结算款</w:t>
      </w:r>
      <w:r>
        <w:rPr>
          <w:sz w:val="27"/>
          <w:color w:val="222222"/>
        </w:rPr>
        <w:t>:</w:t>
      </w:r>
      <w:r>
        <w:rPr>
          <w:sz w:val="27"/>
          <w:color w:val="222222"/>
        </w:rPr>
        <w:t>乙方完成所有工作，并经监理单位和甲方组织验收合格后</w:t>
      </w:r>
      <w:r>
        <w:rPr>
          <w:sz w:val="27"/>
          <w:color w:val="222222"/>
        </w:rPr>
        <w:t>10</w:t>
      </w:r>
      <w:r>
        <w:rPr>
          <w:sz w:val="27"/>
          <w:color w:val="222222"/>
        </w:rPr>
        <w:t>日内，向甲方申请支付剩余合同价的</w:t>
      </w:r>
      <w:r>
        <w:rPr>
          <w:sz w:val="27"/>
          <w:color w:val="222222"/>
        </w:rPr>
        <w:t>20%</w:t>
      </w:r>
      <w:r>
        <w:rPr>
          <w:sz w:val="27"/>
          <w:color w:val="222222"/>
        </w:rPr>
        <w:t>给乙方。</w:t>
      </w:r>
    </w:p>
    <w:p>
      <w:pPr>
        <w:pStyle w:val="null3"/>
        <w:ind w:firstLine="521"/>
        <w:jc w:val="left"/>
      </w:pPr>
      <w:r>
        <w:rPr>
          <w:sz w:val="27"/>
          <w:color w:val="222222"/>
        </w:rPr>
        <w:t>注：因甲方使用的是财政资金，甲方在前款规定的付款时间为</w:t>
      </w:r>
      <w:r>
        <w:rPr>
          <w:sz w:val="27"/>
          <w:color w:val="222222"/>
        </w:rPr>
        <w:t>:</w:t>
      </w:r>
      <w:r>
        <w:rPr>
          <w:sz w:val="27"/>
          <w:color w:val="222222"/>
        </w:rPr>
        <w:t>向政府采购支付部门提出办理财政支付申请手续的时间（不含政府财政支付部门审核的时间），在规定时间内提出支付申请手续后即视为甲方已经按期支付，不属于甲方违约。</w:t>
      </w:r>
    </w:p>
    <w:p>
      <w:pPr>
        <w:pStyle w:val="null3"/>
        <w:ind w:firstLine="521"/>
        <w:jc w:val="left"/>
      </w:pPr>
      <w:r>
        <w:rPr>
          <w:sz w:val="27"/>
          <w:color w:val="222222"/>
        </w:rPr>
        <w:t>因乙方违约所产生的违约金、赔偿金，甲方有权从未付合同款项中予以扣除，且该扣除不视为甲方违约。</w:t>
      </w:r>
    </w:p>
    <w:p>
      <w:pPr>
        <w:pStyle w:val="null3"/>
        <w:ind w:firstLine="521"/>
        <w:jc w:val="left"/>
      </w:pPr>
      <w:r>
        <w:rPr>
          <w:sz w:val="27"/>
          <w:color w:val="222222"/>
        </w:rPr>
        <w:t>（七）其他：</w:t>
      </w:r>
    </w:p>
    <w:p>
      <w:pPr>
        <w:pStyle w:val="null3"/>
        <w:ind w:firstLine="521"/>
      </w:pPr>
      <w:r>
        <w:rPr>
          <w:sz w:val="27"/>
          <w:color w:val="222222"/>
        </w:rPr>
        <w:t>1.</w:t>
      </w:r>
      <w:r>
        <w:rPr>
          <w:sz w:val="27"/>
          <w:color w:val="222222"/>
        </w:rPr>
        <w:t>乙方凭以下有效文件与甲方结算：</w:t>
      </w:r>
    </w:p>
    <w:p>
      <w:pPr>
        <w:pStyle w:val="null3"/>
        <w:ind w:firstLine="521"/>
      </w:pPr>
      <w:r>
        <w:rPr>
          <w:sz w:val="27"/>
          <w:color w:val="222222"/>
        </w:rPr>
        <w:t>（</w:t>
      </w:r>
      <w:r>
        <w:rPr>
          <w:sz w:val="27"/>
          <w:color w:val="222222"/>
        </w:rPr>
        <w:t>1</w:t>
      </w:r>
      <w:r>
        <w:rPr>
          <w:sz w:val="27"/>
          <w:color w:val="222222"/>
        </w:rPr>
        <w:t>）中标通知书；</w:t>
      </w:r>
    </w:p>
    <w:p>
      <w:pPr>
        <w:pStyle w:val="null3"/>
        <w:ind w:firstLine="521"/>
      </w:pPr>
      <w:r>
        <w:rPr>
          <w:sz w:val="27"/>
          <w:color w:val="222222"/>
        </w:rPr>
        <w:t>（</w:t>
      </w:r>
      <w:r>
        <w:rPr>
          <w:sz w:val="27"/>
          <w:color w:val="222222"/>
        </w:rPr>
        <w:t>2</w:t>
      </w:r>
      <w:r>
        <w:rPr>
          <w:sz w:val="27"/>
          <w:color w:val="222222"/>
        </w:rPr>
        <w:t>）合同；</w:t>
      </w:r>
    </w:p>
    <w:p>
      <w:pPr>
        <w:pStyle w:val="null3"/>
        <w:ind w:firstLine="521"/>
      </w:pPr>
      <w:r>
        <w:rPr>
          <w:sz w:val="27"/>
          <w:color w:val="222222"/>
        </w:rPr>
        <w:t>（</w:t>
      </w:r>
      <w:r>
        <w:rPr>
          <w:sz w:val="27"/>
          <w:color w:val="222222"/>
        </w:rPr>
        <w:t>3</w:t>
      </w:r>
      <w:r>
        <w:rPr>
          <w:sz w:val="27"/>
          <w:color w:val="222222"/>
        </w:rPr>
        <w:t>）乙方开具的正式发票（收款方、出具发票方、合同乙方均必须与乙方名称一致）；</w:t>
      </w:r>
    </w:p>
    <w:p>
      <w:pPr>
        <w:pStyle w:val="null3"/>
        <w:ind w:firstLine="521"/>
      </w:pPr>
      <w:r>
        <w:rPr>
          <w:sz w:val="27"/>
          <w:color w:val="222222"/>
        </w:rPr>
        <w:t>（</w:t>
      </w:r>
      <w:r>
        <w:rPr>
          <w:sz w:val="27"/>
          <w:color w:val="222222"/>
        </w:rPr>
        <w:t>4</w:t>
      </w:r>
      <w:r>
        <w:rPr>
          <w:sz w:val="27"/>
          <w:color w:val="222222"/>
        </w:rPr>
        <w:t>）验收资料（加盖甲方公章）；</w:t>
      </w:r>
    </w:p>
    <w:p>
      <w:pPr>
        <w:pStyle w:val="null3"/>
        <w:ind w:firstLine="521"/>
      </w:pPr>
      <w:r>
        <w:rPr>
          <w:sz w:val="27"/>
          <w:color w:val="222222"/>
        </w:rPr>
        <w:t>（</w:t>
      </w:r>
      <w:r>
        <w:rPr>
          <w:sz w:val="27"/>
          <w:color w:val="222222"/>
        </w:rPr>
        <w:t>5</w:t>
      </w:r>
      <w:r>
        <w:rPr>
          <w:sz w:val="27"/>
          <w:color w:val="222222"/>
        </w:rPr>
        <w:t>）项目相关资料（加盖甲方公章）；</w:t>
      </w:r>
    </w:p>
    <w:p>
      <w:pPr>
        <w:pStyle w:val="null3"/>
        <w:ind w:firstLine="521"/>
      </w:pPr>
      <w:r>
        <w:rPr>
          <w:sz w:val="27"/>
          <w:color w:val="222222"/>
        </w:rPr>
        <w:t>（</w:t>
      </w:r>
      <w:r>
        <w:rPr>
          <w:sz w:val="27"/>
          <w:color w:val="222222"/>
        </w:rPr>
        <w:t>6</w:t>
      </w:r>
      <w:r>
        <w:rPr>
          <w:sz w:val="27"/>
          <w:color w:val="222222"/>
        </w:rPr>
        <w:t>）乙方营业执照；</w:t>
      </w:r>
    </w:p>
    <w:p>
      <w:pPr>
        <w:pStyle w:val="null3"/>
        <w:ind w:firstLine="521"/>
        <w:jc w:val="left"/>
      </w:pPr>
      <w:r>
        <w:rPr>
          <w:sz w:val="27"/>
          <w:color w:val="222222"/>
        </w:rPr>
        <w:t>（</w:t>
      </w:r>
      <w:r>
        <w:rPr>
          <w:sz w:val="27"/>
          <w:color w:val="222222"/>
        </w:rPr>
        <w:t>7</w:t>
      </w:r>
      <w:r>
        <w:rPr>
          <w:sz w:val="27"/>
          <w:color w:val="222222"/>
        </w:rPr>
        <w:t>）乙方银行开户许可证。</w:t>
      </w:r>
    </w:p>
    <w:p>
      <w:pPr>
        <w:pStyle w:val="null3"/>
        <w:ind w:firstLine="521"/>
        <w:jc w:val="left"/>
      </w:pPr>
      <w:r>
        <w:rPr>
          <w:sz w:val="27"/>
          <w:color w:val="222222"/>
        </w:rPr>
        <w:t>2.</w:t>
      </w:r>
      <w:r>
        <w:rPr>
          <w:sz w:val="27"/>
          <w:color w:val="222222"/>
        </w:rPr>
        <w:t>逾期利息：</w:t>
      </w:r>
    </w:p>
    <w:p>
      <w:pPr>
        <w:pStyle w:val="null3"/>
        <w:ind w:firstLine="521"/>
        <w:jc w:val="left"/>
      </w:pPr>
      <w:r>
        <w:rPr>
          <w:sz w:val="27"/>
          <w:color w:val="222222"/>
        </w:rPr>
        <w:t>（</w:t>
      </w:r>
      <w:r>
        <w:rPr>
          <w:sz w:val="27"/>
          <w:color w:val="222222"/>
        </w:rPr>
        <w:t>1</w:t>
      </w:r>
      <w:r>
        <w:rPr>
          <w:sz w:val="27"/>
          <w:color w:val="222222"/>
        </w:rPr>
        <w:t>）项目结算付款期限自双方确认结算金额之日起算，最长不超</w:t>
      </w:r>
      <w:r>
        <w:rPr>
          <w:sz w:val="27"/>
          <w:color w:val="222222"/>
        </w:rPr>
        <w:t>60</w:t>
      </w:r>
      <w:r>
        <w:rPr>
          <w:sz w:val="27"/>
          <w:color w:val="222222"/>
        </w:rPr>
        <w:t>天；</w:t>
      </w:r>
    </w:p>
    <w:p>
      <w:pPr>
        <w:pStyle w:val="null3"/>
        <w:ind w:firstLine="521"/>
        <w:jc w:val="left"/>
      </w:pPr>
      <w:r>
        <w:rPr>
          <w:sz w:val="27"/>
          <w:color w:val="222222"/>
        </w:rPr>
        <w:t>（</w:t>
      </w:r>
      <w:r>
        <w:rPr>
          <w:sz w:val="27"/>
          <w:color w:val="222222"/>
        </w:rPr>
        <w:t>2</w:t>
      </w:r>
      <w:r>
        <w:rPr>
          <w:sz w:val="27"/>
          <w:color w:val="222222"/>
        </w:rPr>
        <w:t>）甲方未按付款期限支付结算款项的，应当支付逾期利息，按照同时期的一年期贷款市场报价利率（</w:t>
      </w:r>
      <w:r>
        <w:rPr>
          <w:sz w:val="27"/>
          <w:color w:val="222222"/>
        </w:rPr>
        <w:t>LPR</w:t>
      </w:r>
      <w:r>
        <w:rPr>
          <w:sz w:val="27"/>
          <w:color w:val="222222"/>
        </w:rPr>
        <w:t>）支付逾期利息。</w:t>
      </w:r>
    </w:p>
    <w:p>
      <w:pPr>
        <w:pStyle w:val="null3"/>
        <w:jc w:val="both"/>
      </w:pPr>
      <w:r>
        <w:rPr>
          <w:sz w:val="24"/>
          <w:b/>
        </w:rPr>
        <w:t>六、知识产权归属</w:t>
      </w:r>
    </w:p>
    <w:p>
      <w:pPr>
        <w:pStyle w:val="null3"/>
        <w:jc w:val="both"/>
      </w:pPr>
      <w:r>
        <w:rPr>
          <w:sz w:val="24"/>
          <w:b/>
        </w:rPr>
        <w:t>七、保密</w:t>
      </w:r>
    </w:p>
    <w:p>
      <w:pPr>
        <w:pStyle w:val="null3"/>
        <w:jc w:val="both"/>
      </w:pPr>
      <w:r>
        <w:rPr>
          <w:sz w:val="24"/>
          <w:b/>
        </w:rPr>
        <w:t>八、违约责任与赔偿损失</w:t>
      </w:r>
    </w:p>
    <w:p>
      <w:pPr>
        <w:pStyle w:val="null3"/>
        <w:jc w:val="both"/>
      </w:pPr>
      <w:r>
        <w:rPr>
          <w:sz w:val="27"/>
          <w:color w:val="222222"/>
        </w:rPr>
        <w:t xml:space="preserve"> 1.</w:t>
      </w:r>
      <w:r>
        <w:rPr>
          <w:sz w:val="27"/>
          <w:color w:val="222222"/>
        </w:rPr>
        <w:t>乙方提供的服务不符合本合同规定的，甲方有权拒收，并且乙方须向甲方方支付本合同总价</w:t>
      </w:r>
      <w:r>
        <w:rPr>
          <w:sz w:val="27"/>
          <w:color w:val="222222"/>
        </w:rPr>
        <w:t>5%</w:t>
      </w:r>
      <w:r>
        <w:rPr>
          <w:sz w:val="27"/>
          <w:color w:val="222222"/>
        </w:rPr>
        <w:t>的违约金。</w:t>
      </w:r>
    </w:p>
    <w:p>
      <w:pPr>
        <w:pStyle w:val="null3"/>
        <w:jc w:val="both"/>
      </w:pPr>
      <w:r>
        <w:rPr>
          <w:sz w:val="27"/>
          <w:color w:val="222222"/>
        </w:rPr>
        <w:t xml:space="preserve"> 2.</w:t>
      </w:r>
      <w:r>
        <w:rPr>
          <w:sz w:val="27"/>
          <w:color w:val="222222"/>
        </w:rPr>
        <w:t>乙方未能按本合同规定的交货时间提供服务，从逾期之日起每日按本合同总价</w:t>
      </w:r>
      <w:r>
        <w:rPr>
          <w:sz w:val="27"/>
          <w:color w:val="222222"/>
        </w:rPr>
        <w:t>3‰</w:t>
      </w:r>
      <w:r>
        <w:rPr>
          <w:sz w:val="27"/>
          <w:color w:val="222222"/>
        </w:rPr>
        <w:t>的数额向甲方支付违约金；逾期半个月以上的，甲方有权终止合同，由此造成的甲方经济损失由乙方承担。</w:t>
      </w:r>
    </w:p>
    <w:p>
      <w:pPr>
        <w:pStyle w:val="null3"/>
        <w:jc w:val="both"/>
      </w:pPr>
      <w:r>
        <w:rPr>
          <w:sz w:val="27"/>
          <w:color w:val="222222"/>
        </w:rPr>
        <w:t xml:space="preserve"> 3.</w:t>
      </w:r>
      <w:r>
        <w:rPr>
          <w:sz w:val="27"/>
          <w:color w:val="222222"/>
        </w:rPr>
        <w:t>甲方无正当理由拒收接受服务，到期拒付服务款项的，甲方向乙方偿付本合同总的</w:t>
      </w:r>
      <w:r>
        <w:rPr>
          <w:sz w:val="27"/>
          <w:color w:val="222222"/>
        </w:rPr>
        <w:t>5%</w:t>
      </w:r>
      <w:r>
        <w:rPr>
          <w:sz w:val="27"/>
          <w:color w:val="222222"/>
        </w:rPr>
        <w:t>的违约金。甲方人逾期付款，则每日按本合同总价的</w:t>
      </w:r>
      <w:r>
        <w:rPr>
          <w:sz w:val="27"/>
          <w:color w:val="222222"/>
        </w:rPr>
        <w:t>3‰</w:t>
      </w:r>
      <w:r>
        <w:rPr>
          <w:sz w:val="27"/>
          <w:color w:val="222222"/>
        </w:rPr>
        <w:t>向乙方偿付违约金。</w:t>
      </w:r>
    </w:p>
    <w:p>
      <w:pPr>
        <w:pStyle w:val="null3"/>
        <w:jc w:val="both"/>
      </w:pPr>
      <w:r>
        <w:rPr>
          <w:sz w:val="27"/>
          <w:color w:val="222222"/>
        </w:rPr>
        <w:t xml:space="preserve"> 4.</w:t>
      </w:r>
      <w:r>
        <w:rPr>
          <w:sz w:val="27"/>
          <w:color w:val="222222"/>
        </w:rPr>
        <w:t>对于因甲方原因导致变更、中止或者终止政府采购合同的，甲方应当依照以下合同约定对供应商受到的损失予以赔偿或者补偿：</w:t>
      </w:r>
    </w:p>
    <w:p>
      <w:pPr>
        <w:pStyle w:val="null3"/>
        <w:jc w:val="both"/>
      </w:pPr>
      <w:r>
        <w:rPr>
          <w:sz w:val="24"/>
          <w:u w:val="single"/>
        </w:rPr>
        <w:t xml:space="preserve">                         </w:t>
      </w:r>
    </w:p>
    <w:p>
      <w:pPr>
        <w:pStyle w:val="null3"/>
        <w:jc w:val="both"/>
      </w:pPr>
      <w:r>
        <w:rPr>
          <w:sz w:val="27"/>
          <w:color w:val="222222"/>
        </w:rPr>
        <w:t xml:space="preserve"> 5.</w:t>
      </w:r>
      <w:r>
        <w:rPr>
          <w:sz w:val="27"/>
          <w:color w:val="222222"/>
        </w:rPr>
        <w:t>其它违约责任按《中华人民共和国民法典</w:t>
      </w:r>
      <w:r>
        <w:rPr>
          <w:sz w:val="27"/>
          <w:color w:val="222222"/>
        </w:rPr>
        <w:t>(</w:t>
      </w:r>
      <w:r>
        <w:rPr>
          <w:sz w:val="27"/>
          <w:color w:val="222222"/>
        </w:rPr>
        <w:t>合同编</w:t>
      </w:r>
      <w:r>
        <w:rPr>
          <w:sz w:val="27"/>
          <w:color w:val="222222"/>
        </w:rPr>
        <w:t>)</w:t>
      </w:r>
      <w:r>
        <w:rPr>
          <w:sz w:val="27"/>
          <w:color w:val="222222"/>
        </w:rPr>
        <w:t>》处理。</w:t>
      </w:r>
    </w:p>
    <w:p>
      <w:pPr>
        <w:pStyle w:val="null3"/>
        <w:jc w:val="both"/>
      </w:pPr>
      <w:r>
        <w:rPr>
          <w:sz w:val="24"/>
          <w:b/>
        </w:rPr>
        <w:t>九、争议的解决</w:t>
      </w:r>
    </w:p>
    <w:p>
      <w:pPr>
        <w:pStyle w:val="null3"/>
        <w:ind w:firstLine="400"/>
        <w:jc w:val="both"/>
      </w:pPr>
      <w:r>
        <w:rPr>
          <w:sz w:val="27"/>
          <w:color w:val="222222"/>
        </w:rPr>
        <w:t>合同执行过程中发生的任何争议，如双方不能通过友好协商解决，按相关法律法规处理。</w:t>
      </w:r>
      <w:r>
        <w:rPr>
          <w:sz w:val="27"/>
          <w:color w:val="222222"/>
        </w:rPr>
        <w:t xml:space="preserve">      </w:t>
      </w:r>
    </w:p>
    <w:p>
      <w:pPr>
        <w:pStyle w:val="null3"/>
        <w:jc w:val="both"/>
      </w:pPr>
      <w:r>
        <w:rPr>
          <w:sz w:val="24"/>
          <w:b/>
        </w:rPr>
        <w:t>十、不可抗力</w:t>
      </w:r>
    </w:p>
    <w:p>
      <w:pPr>
        <w:pStyle w:val="null3"/>
        <w:jc w:val="both"/>
      </w:pPr>
      <w:r>
        <w:rPr>
          <w:sz w:val="27"/>
          <w:color w:val="222222"/>
        </w:rPr>
        <w:t>　　任何一方由于不可抗力原因不能履行合同时，应在不可抗力事件结束后</w:t>
      </w:r>
      <w:r>
        <w:rPr>
          <w:sz w:val="27"/>
          <w:color w:val="222222"/>
        </w:rPr>
        <w:t>1</w:t>
      </w:r>
      <w:r>
        <w:rPr>
          <w:sz w:val="27"/>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十一、税费</w:t>
      </w:r>
    </w:p>
    <w:p>
      <w:pPr>
        <w:pStyle w:val="null3"/>
        <w:jc w:val="both"/>
      </w:pPr>
      <w:r>
        <w:rPr>
          <w:sz w:val="27"/>
          <w:color w:val="222222"/>
        </w:rPr>
        <w:t>　　在中国境内、外发生的与本合同执行有关的一切税费均由乙方负担。</w:t>
      </w:r>
    </w:p>
    <w:p>
      <w:pPr>
        <w:pStyle w:val="null3"/>
        <w:jc w:val="both"/>
      </w:pPr>
      <w:r>
        <w:rPr>
          <w:sz w:val="24"/>
          <w:b/>
        </w:rPr>
        <w:t>十二、其它</w:t>
      </w:r>
    </w:p>
    <w:p>
      <w:pPr>
        <w:pStyle w:val="null3"/>
        <w:jc w:val="both"/>
      </w:pPr>
      <w:r>
        <w:rPr>
          <w:sz w:val="27"/>
          <w:color w:val="222222"/>
        </w:rPr>
        <w:t xml:space="preserve"> 1.</w:t>
      </w:r>
      <w:r>
        <w:rPr>
          <w:sz w:val="27"/>
          <w:color w:val="222222"/>
        </w:rPr>
        <w:t>本合同所有附件、招标文件、投标文件、中标通知书均为合同的有效组成部分，与本合同具有同等法律效力。</w:t>
      </w:r>
    </w:p>
    <w:p>
      <w:pPr>
        <w:pStyle w:val="null3"/>
        <w:jc w:val="both"/>
      </w:pPr>
      <w:r>
        <w:rPr>
          <w:sz w:val="27"/>
          <w:color w:val="222222"/>
        </w:rPr>
        <w:t xml:space="preserve"> 2.</w:t>
      </w:r>
      <w:r>
        <w:rPr>
          <w:sz w:val="27"/>
          <w:color w:val="222222"/>
        </w:rPr>
        <w:t>在执行本合同的过程中，所有经双方签署确认的文件（包括会议纪要、补充协议、往来信函）即成为本合同的有效组成部分。</w:t>
      </w:r>
    </w:p>
    <w:p>
      <w:pPr>
        <w:pStyle w:val="null3"/>
        <w:jc w:val="both"/>
      </w:pPr>
      <w:r>
        <w:rPr>
          <w:sz w:val="27"/>
          <w:color w:val="222222"/>
        </w:rPr>
        <w:t xml:space="preserve"> 3.</w:t>
      </w:r>
      <w:r>
        <w:rPr>
          <w:sz w:val="27"/>
          <w:color w:val="222222"/>
        </w:rPr>
        <w:t>如一方地址、电话、传真号码有变更，应在变更当日内书面通知对方，否则，应承担相应责任。</w:t>
      </w:r>
    </w:p>
    <w:p>
      <w:pPr>
        <w:pStyle w:val="null3"/>
        <w:jc w:val="both"/>
      </w:pPr>
      <w:r>
        <w:rPr>
          <w:sz w:val="27"/>
          <w:color w:val="222222"/>
        </w:rPr>
        <w:t xml:space="preserve"> 4.</w:t>
      </w:r>
      <w:r>
        <w:rPr>
          <w:sz w:val="27"/>
          <w:color w:val="222222"/>
        </w:rPr>
        <w:t>除甲方事先书面同意外，乙方不得部分或全部转让其应履行的合同项下的义务。</w:t>
      </w:r>
    </w:p>
    <w:p>
      <w:pPr>
        <w:pStyle w:val="null3"/>
        <w:jc w:val="both"/>
      </w:pPr>
      <w:r>
        <w:rPr>
          <w:sz w:val="24"/>
          <w:b/>
        </w:rPr>
        <w:t>十三、合同生效</w:t>
      </w:r>
    </w:p>
    <w:p>
      <w:pPr>
        <w:pStyle w:val="null3"/>
        <w:jc w:val="both"/>
      </w:pPr>
      <w:r>
        <w:rPr>
          <w:sz w:val="27"/>
          <w:color w:val="222222"/>
        </w:rPr>
        <w:t xml:space="preserve"> 1.</w:t>
      </w:r>
      <w:r>
        <w:rPr>
          <w:sz w:val="27"/>
          <w:color w:val="222222"/>
        </w:rPr>
        <w:t>本合同在甲乙双方法人代表或其授权代表签字盖章后生效。</w:t>
      </w:r>
    </w:p>
    <w:p>
      <w:pPr>
        <w:pStyle w:val="null3"/>
        <w:jc w:val="both"/>
      </w:pPr>
      <w:r>
        <w:rPr>
          <w:sz w:val="27"/>
          <w:color w:val="222222"/>
        </w:rPr>
        <w:t xml:space="preserve"> 2.</w:t>
      </w:r>
      <w:r>
        <w:rPr>
          <w:sz w:val="27"/>
          <w:color w:val="222222"/>
        </w:rPr>
        <w:t>合同一式</w:t>
      </w:r>
      <w:r>
        <w:rPr>
          <w:sz w:val="24"/>
          <w:u w:val="single"/>
        </w:rPr>
        <w:t xml:space="preserve">   </w:t>
      </w:r>
      <w:r>
        <w:rPr>
          <w:sz w:val="27"/>
          <w:color w:val="222222"/>
        </w:rPr>
        <w:t xml:space="preserve"> </w:t>
      </w:r>
      <w:r>
        <w:rPr>
          <w:sz w:val="27"/>
          <w:color w:val="222222"/>
        </w:rPr>
        <w:t>份。</w:t>
      </w:r>
    </w:p>
    <w:p>
      <w:pPr>
        <w:pStyle w:val="null3"/>
        <w:spacing w:before="150" w:after="150"/>
        <w:jc w:val="both"/>
      </w:pPr>
      <w:r>
        <w:rPr>
          <w:sz w:val="24"/>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 xml:space="preserve">     </w:t>
      </w:r>
      <w:r>
        <w:rPr>
          <w:sz w:val="24"/>
          <w:b/>
        </w:rPr>
        <w:t>代表：</w:t>
      </w:r>
    </w:p>
    <w:p>
      <w:pPr>
        <w:pStyle w:val="null3"/>
        <w:jc w:val="both"/>
      </w:pPr>
      <w:r>
        <w:rPr>
          <w:sz w:val="27"/>
          <w:color w:val="222222"/>
        </w:rPr>
        <w:t>签订地点：</w:t>
      </w:r>
    </w:p>
    <w:p>
      <w:pPr>
        <w:pStyle w:val="null3"/>
        <w:jc w:val="both"/>
      </w:pPr>
      <w:r>
        <w:rPr>
          <w:sz w:val="27"/>
          <w:color w:val="222222"/>
        </w:rPr>
        <w:t>签订日期：　　　年　　月　　日</w:t>
      </w:r>
      <w:r>
        <w:rPr>
          <w:sz w:val="27"/>
          <w:color w:val="222222"/>
        </w:rPr>
        <w:t xml:space="preserve">  </w:t>
      </w:r>
      <w:r>
        <w:rPr>
          <w:sz w:val="27"/>
          <w:color w:val="222222"/>
        </w:rPr>
        <w:t>签订日期：　　　年　　月　　日</w:t>
      </w:r>
    </w:p>
    <w:p>
      <w:pPr>
        <w:pStyle w:val="null3"/>
        <w:jc w:val="both"/>
      </w:pPr>
      <w:r>
        <w:rPr>
          <w:sz w:val="27"/>
          <w:color w:val="222222"/>
        </w:rPr>
        <w:t>开户名称：</w:t>
      </w:r>
    </w:p>
    <w:p>
      <w:pPr>
        <w:pStyle w:val="null3"/>
        <w:jc w:val="both"/>
      </w:pPr>
      <w:r>
        <w:rPr>
          <w:sz w:val="27"/>
          <w:color w:val="222222"/>
        </w:rPr>
        <w:t>银行帐号：</w:t>
      </w:r>
    </w:p>
    <w:p>
      <w:pPr>
        <w:pStyle w:val="null3"/>
        <w:jc w:val="both"/>
      </w:pPr>
      <w:r>
        <w:rPr>
          <w:sz w:val="27"/>
          <w:color w:val="222222"/>
        </w:rPr>
        <w:t>开</w:t>
      </w:r>
      <w:r>
        <w:rPr>
          <w:sz w:val="27"/>
          <w:color w:val="222222"/>
        </w:rPr>
        <w:t>户</w:t>
      </w:r>
      <w:r>
        <w:rPr>
          <w:sz w:val="27"/>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445322-2026-01431</w:t>
      </w:r>
    </w:p>
    <w:p>
      <w:pPr>
        <w:pStyle w:val="null3"/>
        <w:jc w:val="center"/>
        <w:outlineLvl w:val="3"/>
      </w:pPr>
      <w:r>
        <w:rPr>
          <w:sz w:val="24"/>
          <w:b/>
        </w:rPr>
        <w:t>采购项目编号：</w:t>
      </w:r>
      <w:r>
        <w:rPr>
          <w:sz w:val="24"/>
          <w:b/>
        </w:rPr>
        <w:t>445322-2026-01431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云浮市宏正项目管理咨询有限公司</w:t>
      </w:r>
    </w:p>
    <w:p>
      <w:pPr>
        <w:pStyle w:val="null3"/>
        <w:ind w:firstLine="480"/>
      </w:pPr>
      <w:r>
        <w:rPr/>
        <w:t xml:space="preserve"> 你方组织的</w:t>
      </w:r>
      <w:r>
        <w:rPr>
          <w:u w:val="single"/>
        </w:rPr>
        <w:t>“</w:t>
      </w:r>
      <w:r>
        <w:rPr>
          <w:u w:val="single"/>
        </w:rPr>
        <w:t>2026年郁南县林业有害生物防治</w:t>
      </w:r>
      <w:r>
        <w:rPr>
          <w:u w:val="single"/>
        </w:rPr>
        <w:t>”</w:t>
      </w:r>
      <w:r>
        <w:rPr/>
        <w:t>项目的招标[采购项目编号为：</w:t>
      </w:r>
      <w:r>
        <w:rPr>
          <w:u w:val="single"/>
        </w:rPr>
        <w:t>445322-2026-01431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2026年郁南县林业有害生物防治</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云浮市宏正项目管理咨询有限公司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2026年郁南县林业有害生物防治</w:t>
      </w:r>
      <w:r>
        <w:rPr/>
        <w:t>”项目采购[采购项目编号为</w:t>
      </w:r>
      <w:r>
        <w:rPr/>
        <w:t>445322-2026-01431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郁南县林业局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云浮市宏正项目管理咨询有限公司</w:t>
      </w:r>
    </w:p>
    <w:p>
      <w:pPr>
        <w:pStyle w:val="null3"/>
        <w:ind w:firstLine="480"/>
      </w:pPr>
      <w:r>
        <w:rPr/>
        <w:t xml:space="preserve"> 如果我方在贵采购代理机构组织的</w:t>
      </w:r>
      <w:r>
        <w:rPr/>
        <w:t>2026年郁南县林业有害生物防治</w:t>
      </w:r>
      <w:r>
        <w:rPr/>
        <w:t>招标中获中标（采购项目编号：</w:t>
      </w:r>
      <w:r>
        <w:rPr/>
        <w:t>445322-2026-01431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云浮市宏正项目管理咨询有限公司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云浮市宏正项目管理咨询有限公司</w:t>
      </w:r>
    </w:p>
    <w:p>
      <w:pPr>
        <w:pStyle w:val="null3"/>
        <w:ind w:firstLine="480"/>
      </w:pPr>
      <w:r>
        <w:rPr/>
        <w:t>我单位已登记并准备参与“</w:t>
      </w:r>
      <w:r>
        <w:rPr/>
        <w:t>2026年郁南县林业有害生物防治</w:t>
      </w:r>
      <w:r>
        <w:rPr/>
        <w:t>”项目（采购项目编号：</w:t>
      </w:r>
      <w:r>
        <w:rPr/>
        <w:t>445322-2026-01431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lvl w:ilvl="3">
      <w:start w:val="1"/>
      <w:numFmt w:val="bullet"/>
      <w:lvlText w:val=""/>
      <w:lvlJc w:val="left"/>
      <w:pPr>
        <w:ind w:left="108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lvl w:ilvl="3">
      <w:start w:val="1"/>
      <w:numFmt w:val="decimal"/>
      <w:lvlText w:val="%4."/>
      <w:lvlJc w:val="left"/>
      <w:pPr>
        <w:ind w:left="10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