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1C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附件1</w:t>
      </w:r>
    </w:p>
    <w:p w14:paraId="3A3D7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52"/>
          <w:szCs w:val="52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44"/>
          <w:szCs w:val="44"/>
          <w:lang w:val="en-US" w:eastAsia="zh-CN" w:bidi="ar"/>
        </w:rPr>
        <w:t>招 标 需 求</w:t>
      </w:r>
    </w:p>
    <w:p w14:paraId="1C854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24"/>
          <w:szCs w:val="24"/>
          <w:lang w:val="en-US" w:eastAsia="zh-CN" w:bidi="ar"/>
        </w:rPr>
        <w:t xml:space="preserve"> </w:t>
      </w:r>
    </w:p>
    <w:p w14:paraId="6723A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04040"/>
          <w:spacing w:val="0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04040"/>
          <w:spacing w:val="0"/>
          <w:kern w:val="0"/>
          <w:sz w:val="22"/>
          <w:szCs w:val="22"/>
          <w:lang w:val="en-US" w:eastAsia="zh-CN" w:bidi="ar"/>
        </w:rPr>
        <w:t>一、消杀的服务标准和参数要求:</w:t>
      </w:r>
    </w:p>
    <w:p w14:paraId="382F8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2"/>
          <w:szCs w:val="22"/>
          <w:shd w:val="clear" w:color="auto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2"/>
          <w:szCs w:val="22"/>
          <w:shd w:val="clear" w:color="auto" w:fill="FFFFFF"/>
          <w:lang w:val="en-US" w:eastAsia="zh-CN"/>
        </w:rPr>
        <w:t>1</w:t>
      </w: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2"/>
          <w:szCs w:val="22"/>
          <w:shd w:val="clear" w:color="auto" w:fill="FFFFFF"/>
        </w:rPr>
        <w:t>服务频率：4-10月虫害高发季节集中消杀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2"/>
          <w:szCs w:val="22"/>
          <w:shd w:val="clear" w:color="auto" w:fill="FFFFFF"/>
          <w:lang w:val="en-US" w:eastAsia="zh-CN"/>
        </w:rPr>
        <w:t>2-</w:t>
      </w: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2"/>
          <w:szCs w:val="22"/>
          <w:shd w:val="clear" w:color="auto" w:fill="FFFFFF"/>
        </w:rPr>
        <w:t>4次，其他月份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2"/>
          <w:szCs w:val="22"/>
          <w:shd w:val="clear" w:color="auto" w:fill="FFFFFF"/>
          <w:lang w:val="en-US" w:eastAsia="zh-CN"/>
        </w:rPr>
        <w:t>根据虫害的消长</w:t>
      </w: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2"/>
          <w:szCs w:val="22"/>
          <w:shd w:val="clear" w:color="auto" w:fill="FFFFFF"/>
        </w:rPr>
        <w:t>，每月共计集中消杀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2"/>
          <w:szCs w:val="22"/>
          <w:shd w:val="clear" w:color="auto" w:fill="FFFFFF"/>
          <w:lang w:val="en-US" w:eastAsia="zh-CN"/>
        </w:rPr>
        <w:t>1-</w:t>
      </w: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2"/>
          <w:szCs w:val="22"/>
          <w:shd w:val="clear" w:color="auto" w:fill="FFFFFF"/>
        </w:rPr>
        <w:t>2次；如遇特殊情况，需8小时内做出积极响应，服从工作安排。</w:t>
      </w:r>
    </w:p>
    <w:p w14:paraId="69C0CA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60" w:lineRule="exact"/>
        <w:textAlignment w:val="auto"/>
        <w:rPr>
          <w:rFonts w:hint="eastAsia" w:ascii="微软雅黑" w:hAnsi="微软雅黑" w:eastAsia="微软雅黑" w:cs="微软雅黑"/>
          <w:spacing w:val="-2"/>
          <w:sz w:val="22"/>
          <w:szCs w:val="22"/>
          <w:lang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2"/>
          <w:szCs w:val="22"/>
          <w:shd w:val="clear" w:color="auto" w:fill="FFFFFF"/>
        </w:rPr>
        <w:t>2.用药安全要求：响应单位必须注重科学合理用药，不得使用假药、国家禁用的药物，并须确保药物来源和质量正当可靠。使用的药物必须符合GB/T7777-2011 《杀鼠剂安全使用准则》与GB/T27779-2011《卫生杀虫剂安全使用准则》的要求，达到“安全、高效环保"并交替使用药物防止产生耐药性的要求。</w:t>
      </w:r>
      <w:r>
        <w:rPr>
          <w:rFonts w:hint="eastAsia" w:ascii="微软雅黑" w:hAnsi="微软雅黑" w:eastAsia="微软雅黑" w:cs="微软雅黑"/>
          <w:spacing w:val="-3"/>
          <w:sz w:val="22"/>
          <w:szCs w:val="22"/>
          <w:lang w:eastAsia="zh-CN"/>
        </w:rPr>
        <w:t>为保证用药质量，使用药物按照以下标准和要求执行，服务期内使用必要仿制药物的技术标准和要求满足以下内容。</w:t>
      </w:r>
    </w:p>
    <w:tbl>
      <w:tblPr>
        <w:tblStyle w:val="3"/>
        <w:tblpPr w:leftFromText="180" w:rightFromText="180" w:vertAnchor="text" w:horzAnchor="margin" w:tblpY="435"/>
        <w:tblOverlap w:val="never"/>
        <w:tblW w:w="95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2733"/>
        <w:gridCol w:w="1669"/>
        <w:gridCol w:w="2081"/>
        <w:gridCol w:w="2084"/>
      </w:tblGrid>
      <w:tr w14:paraId="5B94F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D9D9D9"/>
            <w:vAlign w:val="center"/>
          </w:tcPr>
          <w:p w14:paraId="4E579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</w:rPr>
              <w:t>序号</w:t>
            </w: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D9D9D9"/>
            <w:vAlign w:val="center"/>
          </w:tcPr>
          <w:p w14:paraId="18E39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</w:rPr>
              <w:t>药品需求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D9D9D9"/>
            <w:vAlign w:val="center"/>
          </w:tcPr>
          <w:p w14:paraId="3C422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</w:rPr>
              <w:t>总有效成分含量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D9D9D9"/>
            <w:vAlign w:val="center"/>
          </w:tcPr>
          <w:p w14:paraId="67CBC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</w:rPr>
              <w:t>灭治对象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D9D9D9"/>
            <w:vAlign w:val="center"/>
          </w:tcPr>
          <w:p w14:paraId="35007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</w:rPr>
              <w:t>使用方法</w:t>
            </w:r>
          </w:p>
        </w:tc>
      </w:tr>
      <w:tr w14:paraId="3941F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79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A6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</w:rPr>
              <w:t>灭鼠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  <w:lang w:eastAsia="zh-CN"/>
              </w:rPr>
              <w:t>毒饵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0C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</w:rPr>
              <w:t>≥0.005%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78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</w:rPr>
              <w:t>鼠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D1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  <w:lang w:eastAsia="zh-CN"/>
              </w:rPr>
              <w:t>投饵</w:t>
            </w:r>
          </w:p>
        </w:tc>
      </w:tr>
      <w:tr w14:paraId="37633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16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D2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B7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  <w:lang w:eastAsia="zh-CN"/>
              </w:rPr>
              <w:t>≥5%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59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  <w:lang w:eastAsia="zh-CN"/>
              </w:rPr>
              <w:t>蚊、蝇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0D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  <w:lang w:eastAsia="zh-CN"/>
              </w:rPr>
              <w:t>超低容量喷雾</w:t>
            </w:r>
          </w:p>
        </w:tc>
      </w:tr>
      <w:tr w14:paraId="33F0C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4A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A0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E5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  <w:lang w:eastAsia="zh-CN"/>
              </w:rPr>
              <w:t>≥12.5%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A0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  <w:lang w:eastAsia="zh-CN"/>
              </w:rPr>
              <w:t>蚊、蝇、蜚蠊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03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  <w:lang w:eastAsia="zh-CN"/>
              </w:rPr>
              <w:t>滞留喷洒</w:t>
            </w:r>
          </w:p>
        </w:tc>
      </w:tr>
      <w:tr w14:paraId="45C2F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54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52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2F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ind w:firstLine="110" w:firstLineChars="50"/>
              <w:jc w:val="center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</w:rPr>
              <w:t>≥0.5%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14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</w:rPr>
              <w:t>孑孓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  <w:lang w:eastAsia="zh-CN"/>
              </w:rPr>
              <w:t>（蚊幼虫）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15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</w:rPr>
              <w:t>撒施</w:t>
            </w:r>
          </w:p>
        </w:tc>
      </w:tr>
      <w:tr w14:paraId="35EDE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97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ind w:firstLine="220" w:firstLineChars="100"/>
              <w:jc w:val="both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37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8A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ind w:firstLine="110" w:firstLineChars="50"/>
              <w:jc w:val="center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</w:rPr>
              <w:t>≥0.05%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FB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</w:rPr>
              <w:t>蜚蠊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52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</w:rPr>
              <w:t>投放</w:t>
            </w:r>
          </w:p>
        </w:tc>
      </w:tr>
    </w:tbl>
    <w:p w14:paraId="02DA2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 w:cs="微软雅黑"/>
          <w:b/>
          <w:bCs/>
          <w:spacing w:val="-4"/>
          <w:position w:val="17"/>
          <w:sz w:val="22"/>
          <w:szCs w:val="22"/>
          <w:lang w:eastAsia="zh-CN"/>
        </w:rPr>
      </w:pPr>
    </w:p>
    <w:p w14:paraId="38FA0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 w:cs="微软雅黑"/>
          <w:b/>
          <w:bCs/>
          <w:spacing w:val="-4"/>
          <w:position w:val="17"/>
          <w:sz w:val="22"/>
          <w:szCs w:val="2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4"/>
          <w:position w:val="17"/>
          <w:sz w:val="22"/>
          <w:szCs w:val="22"/>
          <w:lang w:eastAsia="zh-CN"/>
        </w:rPr>
        <w:t>注：供应商所投药品需满足以上有效成分、含量及剂型，响应文件中须提供农业部颁发的农药登记证、农药生产许可证、企业标准信息公共服务平台备案的企业标准复印件并加盖公章佐证，并提供产品质量承诺书，保证进货渠道正规，无过期产品，否则做无效投标处理。</w:t>
      </w:r>
    </w:p>
    <w:p w14:paraId="6508B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 w:cs="微软雅黑"/>
          <w:b/>
          <w:bCs/>
          <w:spacing w:val="-4"/>
          <w:position w:val="17"/>
          <w:sz w:val="22"/>
          <w:szCs w:val="22"/>
          <w:lang w:eastAsia="zh-CN"/>
        </w:rPr>
      </w:pPr>
    </w:p>
    <w:p w14:paraId="1B511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 w:cs="微软雅黑"/>
          <w:b/>
          <w:bCs/>
          <w:spacing w:val="-4"/>
          <w:position w:val="17"/>
          <w:sz w:val="22"/>
          <w:szCs w:val="22"/>
          <w:lang w:eastAsia="zh-CN"/>
        </w:rPr>
      </w:pPr>
    </w:p>
    <w:p w14:paraId="33168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 w:cs="微软雅黑"/>
          <w:b/>
          <w:bCs/>
          <w:spacing w:val="-4"/>
          <w:position w:val="17"/>
          <w:sz w:val="22"/>
          <w:szCs w:val="22"/>
          <w:lang w:eastAsia="zh-CN"/>
        </w:rPr>
      </w:pPr>
    </w:p>
    <w:p w14:paraId="56079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44"/>
          <w:szCs w:val="44"/>
          <w:lang w:val="en-US" w:eastAsia="zh-CN" w:bidi="ar"/>
        </w:rPr>
      </w:pPr>
    </w:p>
    <w:p w14:paraId="71A17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44"/>
          <w:szCs w:val="44"/>
          <w:lang w:val="en-US" w:eastAsia="zh-CN" w:bidi="ar"/>
        </w:rPr>
      </w:pPr>
    </w:p>
    <w:p w14:paraId="0ACFA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44"/>
          <w:szCs w:val="44"/>
          <w:lang w:val="en-US" w:eastAsia="zh-CN" w:bidi="ar"/>
        </w:rPr>
      </w:pPr>
    </w:p>
    <w:p w14:paraId="7BC58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44"/>
          <w:szCs w:val="44"/>
          <w:lang w:val="en-US" w:eastAsia="zh-CN" w:bidi="ar"/>
        </w:rPr>
      </w:pPr>
    </w:p>
    <w:p w14:paraId="79176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44"/>
          <w:szCs w:val="44"/>
          <w:lang w:val="en-US" w:eastAsia="zh-CN" w:bidi="ar"/>
        </w:rPr>
        <w:t>商务条款</w:t>
      </w:r>
    </w:p>
    <w:p w14:paraId="591D3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44"/>
          <w:szCs w:val="44"/>
          <w:lang w:val="en-US" w:eastAsia="zh-CN" w:bidi="ar"/>
        </w:rPr>
      </w:pPr>
      <w:bookmarkStart w:id="0" w:name="_GoBack"/>
      <w:bookmarkEnd w:id="0"/>
    </w:p>
    <w:p w14:paraId="4B52EC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32"/>
          <w:szCs w:val="32"/>
          <w:lang w:val="en-US" w:eastAsia="zh-CN" w:bidi="ar"/>
        </w:rPr>
        <w:t>在服务合同签订前，须全面了解我院病媒生物发生形势，掌握我院病媒生物发生情况，能对我院病媒生物面积、发生级别全面普查，并出具详尽的普查报告，提供《萍乡市二医院病媒生物综合防制服务防控实施方案和质量控制方案》。</w:t>
      </w:r>
    </w:p>
    <w:p w14:paraId="69ED47F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32"/>
          <w:szCs w:val="32"/>
          <w:lang w:val="en-US" w:eastAsia="zh-CN" w:bidi="ar"/>
        </w:rPr>
        <w:t>报价包含税费、防控药剂费用、防治设施相关费用：本项目不接受联合体响应，不允许转包和分包。</w:t>
      </w:r>
    </w:p>
    <w:p w14:paraId="441685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32"/>
          <w:szCs w:val="32"/>
          <w:lang w:val="en-US" w:eastAsia="zh-CN" w:bidi="ar"/>
        </w:rPr>
        <w:t>验收付款时间：验收达到防治指标，每半年支付合同款50%。</w:t>
      </w:r>
    </w:p>
    <w:p w14:paraId="0BC124B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32"/>
          <w:szCs w:val="32"/>
          <w:lang w:val="en-US" w:eastAsia="zh-CN" w:bidi="ar"/>
        </w:rPr>
        <w:t>项目执行时间：自合同签订之日起3个工作日内启动。</w:t>
      </w:r>
    </w:p>
    <w:p w14:paraId="2B52C1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32"/>
          <w:szCs w:val="32"/>
          <w:lang w:val="en-US" w:eastAsia="zh-CN" w:bidi="ar"/>
        </w:rPr>
        <w:t>具有合格有效的营业执照（经营范围包括“病媒生物防治”或“有害生物防治”等相关内容）；具有有害生物防治服务机构服务能力资质证书。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A9212A"/>
    <w:multiLevelType w:val="singleLevel"/>
    <w:tmpl w:val="61A9212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3365F5"/>
    <w:rsid w:val="3233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2026-08-27T06:30:00Z</dcterms:created>
  <dc:creator>李松</dc:creator>
  <cp:lastModifiedBy>李松</cp:lastModifiedBy>
  <dcterms:modified xsi:type="dcterms:W3CDTF">2026-08-27T07:35:47Z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101416579B1844FBA941BAC1F83CFA0D_11</vt:lpwstr>
  </property>
  <property fmtid="{D5CDD505-2E9C-101B-9397-08002B2CF9AE}" pid="4" name="KSOTemplateDocerSaveRecord">
    <vt:lpwstr>eyJoZGlkIjoiZmRlNGRiODNjMWEwM2IyMzM2ZTlkMjBiNDVkOGMzODEiLCJ1c2VySWQiOiI0NDc0NzA1NTIifQ==</vt:lpwstr>
  </property>
</Properties>
</file>