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4F5AB9">
      <w:pPr>
        <w:spacing w:line="60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重庆市生态环境监测中心食堂四害消杀</w:t>
      </w:r>
    </w:p>
    <w:p w14:paraId="3D235519">
      <w:pPr>
        <w:spacing w:line="60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服务项目招标文件</w:t>
      </w:r>
    </w:p>
    <w:p w14:paraId="51B00C43"/>
    <w:p w14:paraId="09208B2A">
      <w:pPr>
        <w:spacing w:line="600" w:lineRule="exact"/>
        <w:ind w:firstLine="640" w:firstLineChars="200"/>
        <w:rPr>
          <w:rFonts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一、项目基本信息</w:t>
      </w:r>
    </w:p>
    <w:p w14:paraId="42DE5AF8">
      <w:pPr>
        <w:spacing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1. 项目名称：重庆市生态环境监测中心食堂四害消杀服务项目。</w:t>
      </w:r>
    </w:p>
    <w:p w14:paraId="09B37D60">
      <w:pPr>
        <w:spacing w:line="60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2. 项目地点：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重庆市两江新区冉家坝旗山路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252号。</w:t>
      </w:r>
    </w:p>
    <w:p w14:paraId="2D8FF5BF">
      <w:pPr>
        <w:spacing w:line="600" w:lineRule="exact"/>
        <w:ind w:firstLine="2560" w:firstLineChars="8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重庆市生态环境监测中心食堂。</w:t>
      </w:r>
    </w:p>
    <w:p w14:paraId="7031CF66">
      <w:pPr>
        <w:spacing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w:t xml:space="preserve">3.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服务期限：</w:t>
      </w:r>
      <w:r>
        <w:rPr>
          <w:rFonts w:ascii="方正仿宋_GBK" w:hAnsi="方正仿宋_GBK" w:eastAsia="方正仿宋_GBK" w:cs="方正仿宋_GBK"/>
          <w:sz w:val="32"/>
          <w:szCs w:val="32"/>
        </w:rPr>
        <w:t>1年（自合同签订之日起计算，可续签，年度考核不合格自动终止，考核细则见附件）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 w14:paraId="58F30856">
      <w:pPr>
        <w:spacing w:line="60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4. 服务内容：针对食堂区域老鼠、蟑螂、苍蝇、蚊子等四害开展常态化预防、消杀、监测、治理及隐患整改，严格适配食品经营场所卫生安全标准，杜绝消杀药剂污染食材、餐具及加工区域。</w:t>
      </w:r>
    </w:p>
    <w:p w14:paraId="06C75662">
      <w:pPr>
        <w:spacing w:line="600" w:lineRule="exact"/>
        <w:ind w:firstLine="640" w:firstLineChars="200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5.项目预算：不超过5000元/年。</w:t>
      </w:r>
      <w:bookmarkStart w:id="0" w:name="_GoBack"/>
      <w:bookmarkEnd w:id="0"/>
    </w:p>
    <w:p w14:paraId="1CD36F30">
      <w:pPr>
        <w:spacing w:line="600" w:lineRule="exact"/>
        <w:ind w:firstLine="640" w:firstLineChars="200"/>
        <w:rPr>
          <w:rFonts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二、投标人资格要求</w:t>
      </w:r>
    </w:p>
    <w:p w14:paraId="7677C649">
      <w:pPr>
        <w:spacing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本项目所有资格条件均为实质性响应条款，不满足任意一条视为无效投标。</w:t>
      </w:r>
    </w:p>
    <w:p w14:paraId="439D35E8">
      <w:pPr>
        <w:spacing w:line="600" w:lineRule="exact"/>
        <w:ind w:firstLine="640" w:firstLineChars="200"/>
        <w:rPr>
          <w:rFonts w:ascii="方正仿宋_GBK" w:hAnsi="方正仿宋_GBK" w:eastAsia="方正仿宋_GBK" w:cs="方正仿宋_GBK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>1. 企业营业执照、法人身份证。</w:t>
      </w:r>
    </w:p>
    <w:p w14:paraId="72F9809B">
      <w:pPr>
        <w:spacing w:line="600" w:lineRule="exact"/>
        <w:ind w:firstLine="640" w:firstLineChars="200"/>
        <w:rPr>
          <w:rFonts w:ascii="方正仿宋_GBK" w:hAnsi="方正仿宋_GBK" w:eastAsia="方正仿宋_GBK" w:cs="方正仿宋_GBK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 xml:space="preserve">2.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具备中国卫生有害生物防治协会或市级以上行业主管部门颁发的B级及以上有害生物防治服务机构资质证书，资质证书在有效期内。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>信用查询报告、无违法违规承诺书。</w:t>
      </w:r>
    </w:p>
    <w:p w14:paraId="35752650">
      <w:pPr>
        <w:spacing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3. 项目服务人员不少于2名，所有进场作业人员必须100%持证上岗，持有国家人社部门认证的《有害生物防治员职业技能资格证书》，所有上岗人员职业资格证、健康证、社保缴纳证明。</w:t>
      </w:r>
    </w:p>
    <w:p w14:paraId="4E2A35F4">
      <w:pPr>
        <w:spacing w:line="600" w:lineRule="exact"/>
        <w:ind w:firstLine="640" w:firstLineChars="200"/>
        <w:rPr>
          <w:rFonts w:ascii="方正仿宋_GBK" w:hAnsi="方正仿宋_GBK" w:eastAsia="方正仿宋_GBK" w:cs="方正仿宋_GBK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>4. 拟使用消杀药剂三证（登记证、生产许可证、合格证）、检测报告、安全说明书。</w:t>
      </w:r>
    </w:p>
    <w:p w14:paraId="31DFE082">
      <w:pPr>
        <w:spacing w:line="600" w:lineRule="exact"/>
        <w:ind w:firstLine="640" w:firstLineChars="200"/>
        <w:rPr>
          <w:rFonts w:ascii="方正仿宋_GBK" w:hAnsi="方正仿宋_GBK" w:eastAsia="方正仿宋_GBK" w:cs="方正仿宋_GBK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 xml:space="preserve">5.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须具备专业消杀设备（超低容量喷雾器、热烟雾机、灭鼠器械、蚊虫监测设备），需提供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>设备清单、设备合格证明、采购发票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 w14:paraId="7FCFD35D">
      <w:pPr>
        <w:spacing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6. 提供食堂四害消杀实施方案，包含频次计划表、安全作业预案、应急处置方案。</w:t>
      </w:r>
    </w:p>
    <w:p w14:paraId="71EFFEFB">
      <w:pPr>
        <w:spacing w:line="600" w:lineRule="exact"/>
        <w:ind w:firstLine="640" w:firstLineChars="200"/>
        <w:rPr>
          <w:rFonts w:ascii="方正仿宋_GBK" w:hAnsi="方正仿宋_GBK" w:eastAsia="方正仿宋_GBK" w:cs="方正仿宋_GBK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>7. 近三年食堂消杀服务业绩合同（提供2个食堂消杀同类业绩）。</w:t>
      </w:r>
    </w:p>
    <w:p w14:paraId="0D80F928">
      <w:pPr>
        <w:spacing w:line="600" w:lineRule="exact"/>
        <w:ind w:firstLine="640" w:firstLineChars="200"/>
        <w:rPr>
          <w:rFonts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三、人员上岗要求</w:t>
      </w:r>
    </w:p>
    <w:p w14:paraId="4004DB83">
      <w:pPr>
        <w:spacing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1项目配备1名专职技术负责人，具备有害生物防治中级及以上资质，全程负责方案落地、现场督导、隐患整改及对接日常工作。</w:t>
      </w:r>
    </w:p>
    <w:p w14:paraId="7A9E0B0F">
      <w:pPr>
        <w:spacing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2项目服务人员不少于2名，所有进场作业人员必须100%持证上岗，持有国家人社部门认证的《有害生物防治员职业技能资格证书》。</w:t>
      </w:r>
    </w:p>
    <w:p w14:paraId="1C257EFD">
      <w:pPr>
        <w:spacing w:line="600" w:lineRule="exact"/>
        <w:ind w:firstLine="640" w:firstLineChars="200"/>
        <w:rPr>
          <w:rFonts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四、 设备与场地</w:t>
      </w:r>
    </w:p>
    <w:p w14:paraId="3E853EA9">
      <w:pPr>
        <w:spacing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投标人须具备专业消杀设备（超低容量喷雾器、热烟雾机、灭鼠器械、蚊虫监测设备），设备年检合格、性能完好；具备独立的药剂储存、配比场地，符合危化品存放安全规范。</w:t>
      </w:r>
    </w:p>
    <w:p w14:paraId="737C5BB9">
      <w:pPr>
        <w:spacing w:line="600" w:lineRule="exact"/>
        <w:ind w:firstLine="640" w:firstLineChars="200"/>
        <w:rPr>
          <w:rFonts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五、项目服务要求（合规药品+标准化消杀）</w:t>
      </w:r>
    </w:p>
    <w:p w14:paraId="2DD29BF1">
      <w:pPr>
        <w:spacing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1. 所有消杀药品必须为国家农业农村部、卫健委登记备案合规产品，具备农药登记证、生产许可证、产品质量合格证（三证齐全），严禁使用禁限用、高毒、高残留药剂。</w:t>
      </w:r>
    </w:p>
    <w:p w14:paraId="7F3375BB">
      <w:pPr>
        <w:spacing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2. 所有药剂必须标注食品经营场所专用、低毒、环保、无残留，符合《食品安全国家标准 消毒餐（饮）具》《病媒生物预防控制管理规定》相关要求，不得对食材、餐具、厨具、食品加工台面造成污染。</w:t>
      </w:r>
    </w:p>
    <w:p w14:paraId="43AD7706">
      <w:pPr>
        <w:spacing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3. 禁止使用异味浓烈、腐蚀性强、刺激性大的药剂，消杀后无残留异味、无腐蚀性残留，不影响食堂正常运营。</w:t>
      </w:r>
    </w:p>
    <w:p w14:paraId="5A24CB22">
      <w:pPr>
        <w:spacing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w:t>4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. 灭鼠、灭蟑物理器械必须为合规食品场所专用款式，无尖锐外露部件、无二次污染风险，器械摆放符合食堂安全管理规范。</w:t>
      </w:r>
    </w:p>
    <w:p w14:paraId="44356C8A">
      <w:pPr>
        <w:spacing w:line="600" w:lineRule="exact"/>
        <w:ind w:firstLine="640" w:firstLineChars="200"/>
        <w:rPr>
          <w:rFonts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六、标准化消杀作业规范</w:t>
      </w:r>
    </w:p>
    <w:p w14:paraId="5ACD53CD">
      <w:pPr>
        <w:spacing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1. 消杀范围全覆盖</w:t>
      </w:r>
    </w:p>
    <w:p w14:paraId="27AB9705">
      <w:pPr>
        <w:spacing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后厨、就餐区、库房、排水沟、下水道、墙角缝隙、门窗缝隙、垃圾收集点、食堂办公室、1楼库房等四害滋生重点区域。</w:t>
      </w:r>
    </w:p>
    <w:p w14:paraId="3BA3F275">
      <w:pPr>
        <w:spacing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2. 消杀频次标准</w:t>
      </w:r>
    </w:p>
    <w:p w14:paraId="42F78763">
      <w:pPr>
        <w:spacing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（1）常规消杀：每月不少于4次全面消杀，每次包含重点区域巡检、局部强化治理。如遇春夏蚊蝇，秋冬鼠患高发，应适当增加消杀频次；</w:t>
      </w:r>
    </w:p>
    <w:p w14:paraId="4A8446F8">
      <w:pPr>
        <w:spacing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</w:t>
      </w:r>
      <w:r>
        <w:rPr>
          <w:rFonts w:ascii="方正仿宋_GBK" w:hAnsi="方正仿宋_GBK" w:eastAsia="方正仿宋_GBK" w:cs="方正仿宋_GBK"/>
          <w:sz w:val="32"/>
          <w:szCs w:val="32"/>
        </w:rPr>
        <w:t>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）应急消杀：节假日前后、大型就餐活动、雨后潮湿天气，主动提前消杀；接到应急通知，24小时内到场处置。</w:t>
      </w:r>
    </w:p>
    <w:p w14:paraId="4D391527">
      <w:pPr>
        <w:spacing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3. 分类消杀作业方式（科学合规、分区施策）</w:t>
      </w:r>
    </w:p>
    <w:p w14:paraId="1D1035A1">
      <w:pPr>
        <w:spacing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1）灭鼠治理：以物理防治为主，采用粘鼠板、捕鼠笼、防鼠屏障等合规器械，定点隐蔽摆放，定期检查更换，杜绝毒饵直接接触食品区域；定期封堵墙体、管道、门窗孔洞，从源头阻断鼠类通道，建立长效防鼠体系。</w:t>
      </w:r>
    </w:p>
    <w:p w14:paraId="262B66EF">
      <w:pPr>
        <w:spacing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（2）灭蟑治理：针对缝隙、橱柜、下水道等藏匿区域，采用低毒凝胶饵剂、滞留喷洒结合方式，精准点位施药，避免大面积喷洒污染食品设备，定期清除蟑迹、卵鞘，杜绝蟑螂滋生蔓延。</w:t>
      </w:r>
    </w:p>
    <w:p w14:paraId="19C6F2B1">
      <w:pPr>
        <w:spacing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（3）灭蚊灭蝇治理：采用物理诱捕+环保喷雾消杀结合模式，安装灭蚊蝇灯、防蝇纱网，定期对积水区域、垃圾区域消杀，杜绝蚊虫滋生，作业避开食堂就餐及食材加工时段。</w:t>
      </w:r>
    </w:p>
    <w:p w14:paraId="03614384">
      <w:pPr>
        <w:spacing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（4）源头治理：每次作业同步排查四害滋生隐患，对积水、杂物堆积、管道堵塞等问题书面反馈委托方，协助完成整改。</w:t>
      </w:r>
    </w:p>
    <w:p w14:paraId="1027BEB9">
      <w:pPr>
        <w:spacing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4. 作业安全规范</w:t>
      </w:r>
    </w:p>
    <w:p w14:paraId="5535CDFC">
      <w:pPr>
        <w:spacing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（1）作业人员必须统一着装、佩戴上岗证、防护用具，严格按照操作规程施工，作业前提前告知食堂管理人员，避开食材加工、就餐高峰期。</w:t>
      </w:r>
    </w:p>
    <w:p w14:paraId="3B901FED">
      <w:pPr>
        <w:spacing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（2）食品操作台面、食材存放设备、餐具厨具，作业前全部做好遮盖防护，作业后及时通风清洁，确保无药剂残留。</w:t>
      </w:r>
    </w:p>
    <w:p w14:paraId="4E34658C">
      <w:pPr>
        <w:spacing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（3）严禁在裸露食材、半成品、餐具上方直接喷洒药剂，杜绝任何食品安全隐患。</w:t>
      </w:r>
    </w:p>
    <w:p w14:paraId="54CD58D7">
      <w:pPr>
        <w:spacing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（4）每次作业完成后，清理作业垃圾、废弃药剂包装、废旧器械，保持现场整洁。</w:t>
      </w:r>
    </w:p>
    <w:p w14:paraId="3074BCF2">
      <w:pPr>
        <w:spacing w:line="600" w:lineRule="exact"/>
        <w:ind w:firstLine="640" w:firstLineChars="200"/>
        <w:rPr>
          <w:rFonts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七、台账与监测管理</w:t>
      </w:r>
    </w:p>
    <w:p w14:paraId="19819501">
      <w:pPr>
        <w:spacing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1. 每次消杀作业须填写《食堂四害消杀记录表》，详细记录作业时间、区域、药剂名称、用量、作业人员、消杀效果，经食堂负责人签字确认。</w:t>
      </w:r>
    </w:p>
    <w:p w14:paraId="6B6EBF1C">
      <w:pPr>
        <w:spacing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2. 每月提交《四害监测报告》《月度消杀工作总结》，建立完整可追溯的消杀台账。</w:t>
      </w:r>
    </w:p>
    <w:p w14:paraId="02345B78">
      <w:pPr>
        <w:spacing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3. 配合后勤管理、市场监管部门、卫生监督部门检查，随时提供资质文件、作业台账、药剂检测报告等资料。</w:t>
      </w:r>
    </w:p>
    <w:p w14:paraId="59297C51">
      <w:pPr>
        <w:spacing w:line="600" w:lineRule="exact"/>
        <w:ind w:firstLine="640" w:firstLineChars="200"/>
        <w:rPr>
          <w:rFonts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八、服务考核标准</w:t>
      </w:r>
    </w:p>
    <w:p w14:paraId="7E49F07F">
      <w:pPr>
        <w:spacing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1. 四害密度控制标准：严格符合《全国爱卫会除四害标准》，食堂区域无活鼠、鼠迹、鼠粪；无活体蟑螂、蟑迹；无大面积蚊蝇聚集，无滋生地。</w:t>
      </w:r>
    </w:p>
    <w:p w14:paraId="17C576CC">
      <w:pPr>
        <w:spacing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2. 安全零事故：服务期内无药剂污染食材、无人员药剂中毒、无设备腐蚀损坏等安全事故。</w:t>
      </w:r>
    </w:p>
    <w:p w14:paraId="67D92A84">
      <w:pPr>
        <w:spacing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3. 响应时效达标：应急处置、日常巡检、专项消杀按时完成，无拖延、无漏杀、无敷衍作业。</w:t>
      </w:r>
    </w:p>
    <w:p w14:paraId="4EF806A7">
      <w:pPr>
        <w:spacing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4. 台账规范完整：所有记录真实、齐全、规范，可随时核查。</w:t>
      </w:r>
    </w:p>
    <w:p w14:paraId="20085673">
      <w:pPr>
        <w:spacing w:line="600" w:lineRule="exact"/>
        <w:ind w:firstLine="640" w:firstLineChars="200"/>
        <w:rPr>
          <w:rFonts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九、 投标人须知</w:t>
      </w:r>
    </w:p>
    <w:p w14:paraId="2B6DDE93">
      <w:pPr>
        <w:spacing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1. 投标人必须保证所有投标资料真实、有效、完整，存在资质造假、证件过期、资料虚假的，直接取消投标资格，列入委托方采购黑名单。</w:t>
      </w:r>
    </w:p>
    <w:p w14:paraId="4FE3D5FE">
      <w:pPr>
        <w:spacing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2. 中标后不得转包、分包本项目，一经发现，委托方有权单方面终止合同，扣除全部履约保证金。</w:t>
      </w:r>
    </w:p>
    <w:p w14:paraId="35DCDA33">
      <w:pPr>
        <w:spacing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3. 所有消杀药剂、作业人员、服务标准必须与投标文件一致，不得擅自降低标准、更换药剂、减少人员。</w:t>
      </w:r>
    </w:p>
    <w:p w14:paraId="08B1A1A5">
      <w:pPr>
        <w:spacing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4. 服务期间接受委托方后勤部门、食堂管理部门全程监督、考核，月度考核不合格，限期3日内整改；连续两个月考核不合格，无条件终止合同。</w:t>
      </w:r>
    </w:p>
    <w:p w14:paraId="5535A93D">
      <w:pPr>
        <w:spacing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5. 因投标人操作不规范、药剂不合规、消杀不到位，导致食堂卫生不达标、监管部门处罚、食品安全隐患的，由投标人承担全部责任及经济损失。</w:t>
      </w:r>
    </w:p>
    <w:p w14:paraId="04F3CE82">
      <w:pPr>
        <w:spacing w:line="600" w:lineRule="exact"/>
        <w:ind w:firstLine="640" w:firstLineChars="200"/>
        <w:rPr>
          <w:rFonts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十、 合同主要条款</w:t>
      </w:r>
    </w:p>
    <w:p w14:paraId="65BA4B39">
      <w:pPr>
        <w:spacing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1. 付款方式：半年一付。按月考核，考核分数95分及以上，按比例全额支付；低于95分，差1分扣20元。</w:t>
      </w:r>
    </w:p>
    <w:p w14:paraId="1C6B9296">
      <w:pPr>
        <w:spacing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2. 责任界定：药剂污染、操作失误、消杀不达标造成的一切损失、处罚、纠纷，由中标方全权承担；</w:t>
      </w:r>
    </w:p>
    <w:p w14:paraId="29892556">
      <w:pPr>
        <w:spacing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3. 续约条款：服务期满年度综合考核优秀，可优先续签合同；</w:t>
      </w:r>
    </w:p>
    <w:p w14:paraId="66681FDB">
      <w:pPr>
        <w:spacing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4. 终止条款：存在资质失效、人员无证上岗、使用违禁药剂、作业敷衍、安全事故、投诉频发等情况，委托方可单方面无条件终止合同。</w:t>
      </w:r>
    </w:p>
    <w:p w14:paraId="54994A80">
      <w:pPr>
        <w:spacing w:line="600" w:lineRule="exact"/>
        <w:ind w:firstLine="643" w:firstLineChars="200"/>
        <w:rPr>
          <w:rFonts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5.连续两个月考核不合格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(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低于95分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)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，无条件终止合同；</w:t>
      </w:r>
    </w:p>
    <w:p w14:paraId="7A5D30CD">
      <w:pPr>
        <w:spacing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</w:p>
    <w:p w14:paraId="037BF67E">
      <w:pPr>
        <w:spacing w:line="600" w:lineRule="exact"/>
        <w:ind w:firstLine="4480" w:firstLineChars="1400"/>
        <w:rPr>
          <w:rFonts w:ascii="方正仿宋_GBK" w:hAnsi="方正仿宋_GBK" w:eastAsia="方正仿宋_GBK" w:cs="方正仿宋_GBK"/>
          <w:sz w:val="32"/>
          <w:szCs w:val="32"/>
        </w:rPr>
      </w:pPr>
    </w:p>
    <w:p w14:paraId="21650ACE">
      <w:pPr>
        <w:spacing w:line="600" w:lineRule="exact"/>
        <w:ind w:firstLine="4480" w:firstLineChars="1400"/>
        <w:rPr>
          <w:rFonts w:ascii="方正仿宋_GBK" w:hAnsi="方正仿宋_GBK" w:eastAsia="方正仿宋_GBK" w:cs="方正仿宋_GBK"/>
          <w:sz w:val="32"/>
          <w:szCs w:val="32"/>
        </w:rPr>
      </w:pPr>
    </w:p>
    <w:p w14:paraId="572FD408">
      <w:pPr>
        <w:spacing w:line="600" w:lineRule="exact"/>
        <w:ind w:firstLine="4480" w:firstLineChars="1400"/>
        <w:rPr>
          <w:rFonts w:ascii="方正仿宋_GBK" w:hAnsi="方正仿宋_GBK" w:eastAsia="方正仿宋_GBK" w:cs="方正仿宋_GBK"/>
          <w:sz w:val="32"/>
          <w:szCs w:val="32"/>
        </w:rPr>
      </w:pPr>
    </w:p>
    <w:p w14:paraId="7A50A3FF">
      <w:pPr>
        <w:spacing w:line="600" w:lineRule="exact"/>
        <w:ind w:firstLine="4480" w:firstLineChars="1400"/>
        <w:rPr>
          <w:rFonts w:ascii="方正仿宋_GBK" w:hAnsi="方正仿宋_GBK" w:eastAsia="方正仿宋_GBK" w:cs="方正仿宋_GBK"/>
          <w:sz w:val="32"/>
          <w:szCs w:val="32"/>
        </w:rPr>
      </w:pPr>
    </w:p>
    <w:p w14:paraId="1B2AB933">
      <w:pPr>
        <w:spacing w:line="600" w:lineRule="exact"/>
        <w:ind w:firstLine="4480" w:firstLineChars="1400"/>
        <w:rPr>
          <w:rFonts w:ascii="方正仿宋_GBK" w:hAnsi="方正仿宋_GBK" w:eastAsia="方正仿宋_GBK" w:cs="方正仿宋_GBK"/>
          <w:sz w:val="32"/>
          <w:szCs w:val="32"/>
        </w:rPr>
      </w:pPr>
    </w:p>
    <w:p w14:paraId="2413EF62">
      <w:pPr>
        <w:spacing w:line="600" w:lineRule="exact"/>
        <w:ind w:firstLine="4480" w:firstLineChars="1400"/>
        <w:rPr>
          <w:rFonts w:ascii="方正仿宋_GBK" w:hAnsi="方正仿宋_GBK" w:eastAsia="方正仿宋_GBK" w:cs="方正仿宋_GBK"/>
          <w:sz w:val="32"/>
          <w:szCs w:val="32"/>
        </w:rPr>
      </w:pPr>
    </w:p>
    <w:p w14:paraId="1EDE6CE4">
      <w:pPr>
        <w:rPr>
          <w:rFonts w:ascii="方正黑体_GBK" w:hAnsi="方正黑体_GBK" w:eastAsia="方正黑体_GBK" w:cs="方正黑体_GBK"/>
          <w:sz w:val="32"/>
          <w:szCs w:val="32"/>
        </w:rPr>
      </w:pPr>
    </w:p>
    <w:p w14:paraId="6A369E1D">
      <w:pPr>
        <w:rPr>
          <w:rFonts w:hint="eastAsia" w:ascii="方正黑体_GBK" w:hAnsi="方正黑体_GBK" w:eastAsia="方正黑体_GBK" w:cs="方正黑体_GBK"/>
          <w:sz w:val="32"/>
          <w:szCs w:val="32"/>
        </w:rPr>
      </w:pPr>
    </w:p>
    <w:p w14:paraId="0EE286F5">
      <w:pPr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</w:p>
    <w:p w14:paraId="213538C6">
      <w:pPr>
        <w:spacing w:line="400" w:lineRule="exact"/>
        <w:ind w:firstLine="640" w:firstLineChars="200"/>
        <w:jc w:val="center"/>
        <w:rPr>
          <w:rFonts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考核细则</w:t>
      </w:r>
    </w:p>
    <w:tbl>
      <w:tblPr>
        <w:tblStyle w:val="5"/>
        <w:tblW w:w="9150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7307"/>
      </w:tblGrid>
      <w:tr w14:paraId="642ED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843" w:type="dxa"/>
            <w:vAlign w:val="center"/>
          </w:tcPr>
          <w:p w14:paraId="1EDBE9E0">
            <w:pPr>
              <w:adjustRightInd w:val="0"/>
              <w:snapToGrid w:val="0"/>
              <w:spacing w:line="4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</w:rPr>
              <w:t>考核指标</w:t>
            </w:r>
          </w:p>
        </w:tc>
        <w:tc>
          <w:tcPr>
            <w:tcW w:w="7307" w:type="dxa"/>
            <w:vAlign w:val="center"/>
          </w:tcPr>
          <w:p w14:paraId="403B4946">
            <w:pPr>
              <w:adjustRightInd w:val="0"/>
              <w:snapToGrid w:val="0"/>
              <w:spacing w:line="4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</w:rPr>
              <w:t>考核说明</w:t>
            </w:r>
          </w:p>
        </w:tc>
      </w:tr>
      <w:tr w14:paraId="3C93A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843" w:type="dxa"/>
            <w:vAlign w:val="center"/>
          </w:tcPr>
          <w:p w14:paraId="70A6051B">
            <w:pPr>
              <w:adjustRightInd w:val="0"/>
              <w:snapToGrid w:val="0"/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服务频次</w:t>
            </w:r>
          </w:p>
        </w:tc>
        <w:tc>
          <w:tcPr>
            <w:tcW w:w="7307" w:type="dxa"/>
            <w:vAlign w:val="center"/>
          </w:tcPr>
          <w:p w14:paraId="22F8C074">
            <w:pPr>
              <w:adjustRightInd w:val="0"/>
              <w:snapToGrid w:val="0"/>
              <w:spacing w:line="400" w:lineRule="exact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每周1次，每周三下午3点至4点期间，未按合同时间履约施药，一次扣5分。</w:t>
            </w:r>
          </w:p>
        </w:tc>
      </w:tr>
      <w:tr w14:paraId="36568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1843" w:type="dxa"/>
            <w:vAlign w:val="center"/>
          </w:tcPr>
          <w:p w14:paraId="21B7EDA3">
            <w:pPr>
              <w:adjustRightInd w:val="0"/>
              <w:snapToGrid w:val="0"/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服务质量</w:t>
            </w:r>
          </w:p>
        </w:tc>
        <w:tc>
          <w:tcPr>
            <w:tcW w:w="7307" w:type="dxa"/>
            <w:vAlign w:val="center"/>
          </w:tcPr>
          <w:p w14:paraId="13957018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必须统一着装、佩戴上岗证、防护用具，严格遵守灭鼠杀虫技术操作规程，未按要求一次扣3分。</w:t>
            </w:r>
          </w:p>
          <w:p w14:paraId="30557C99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施药前须对上一次施药点位进行清理，未及时清理一次扣3分。</w:t>
            </w:r>
          </w:p>
          <w:p w14:paraId="794CB8A9">
            <w:pPr>
              <w:adjustRightInd w:val="0"/>
              <w:snapToGrid w:val="0"/>
              <w:spacing w:line="400" w:lineRule="exact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3、严禁使用无“三证”的鼠药，急性灭鼠药或其他明文禁用的药物，发现一次甲方有权立即终止合同。</w:t>
            </w:r>
          </w:p>
          <w:p w14:paraId="46F81A36">
            <w:pPr>
              <w:adjustRightInd w:val="0"/>
              <w:snapToGrid w:val="0"/>
              <w:spacing w:line="400" w:lineRule="exact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4、严格遵守食堂管理制度，禁止在备餐和用餐时间进行消杀，发现一次扣5分。</w:t>
            </w:r>
          </w:p>
          <w:p w14:paraId="04FEC0EA">
            <w:pPr>
              <w:adjustRightInd w:val="0"/>
              <w:snapToGrid w:val="0"/>
              <w:spacing w:line="400" w:lineRule="exact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5、每次作业完成后，严禁将作业垃圾、废弃药剂包装、废旧器械留在作业场所，发现一次扣3分。</w:t>
            </w:r>
          </w:p>
          <w:p w14:paraId="39A59085">
            <w:pPr>
              <w:adjustRightInd w:val="0"/>
              <w:snapToGrid w:val="0"/>
              <w:spacing w:line="400" w:lineRule="exact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6、禁止对餐具和食材喷洒药物，发现一次甲方有权立即终止合同，并追究法律责任。</w:t>
            </w:r>
          </w:p>
          <w:p w14:paraId="3881D2FF">
            <w:pPr>
              <w:adjustRightInd w:val="0"/>
              <w:snapToGrid w:val="0"/>
              <w:spacing w:line="400" w:lineRule="exact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7、如发现服务期内有药剂污染食材、有人员药剂中毒、有设备腐蚀损坏等安全事故，发现一次甲方有权立即终止合同，并追究法律责任。</w:t>
            </w:r>
          </w:p>
          <w:p w14:paraId="48BA6297">
            <w:pPr>
              <w:adjustRightInd w:val="0"/>
              <w:snapToGrid w:val="0"/>
              <w:spacing w:line="400" w:lineRule="exact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8、消杀效果未达到要求（要求：无明显的动物活动痕迹），一次扣5分。</w:t>
            </w:r>
          </w:p>
          <w:p w14:paraId="0B7D2076">
            <w:pPr>
              <w:adjustRightInd w:val="0"/>
              <w:snapToGrid w:val="0"/>
              <w:spacing w:line="400" w:lineRule="exact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9、作业前提前告知食堂管理人员，施药人员与甲方代表填写服务报告单作为凭据，未提供报告单一次扣3分。</w:t>
            </w:r>
          </w:p>
        </w:tc>
      </w:tr>
    </w:tbl>
    <w:p w14:paraId="3EFAC78E">
      <w:pPr>
        <w:spacing w:line="600" w:lineRule="exact"/>
        <w:rPr>
          <w:rFonts w:ascii="方正仿宋_GBK" w:hAnsi="方正仿宋_GBK" w:eastAsia="方正仿宋_GBK" w:cs="方正仿宋_GBK"/>
          <w:sz w:val="32"/>
          <w:szCs w:val="32"/>
        </w:rPr>
      </w:pPr>
    </w:p>
    <w:sectPr>
      <w:footerReference r:id="rId3" w:type="default"/>
      <w:pgSz w:w="11906" w:h="16838"/>
      <w:pgMar w:top="1474" w:right="1474" w:bottom="147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原版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原版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等线">
    <w:altName w:val="仿宋_GB2312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20751534"/>
    </w:sdtPr>
    <w:sdtContent>
      <w:p w14:paraId="178EF798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6</w:t>
        </w:r>
        <w:r>
          <w:fldChar w:fldCharType="end"/>
        </w:r>
      </w:p>
    </w:sdtContent>
  </w:sdt>
  <w:p w14:paraId="1E2224B1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D1C756"/>
    <w:multiLevelType w:val="singleLevel"/>
    <w:tmpl w:val="49D1C75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EEE"/>
    <w:rsid w:val="00063A58"/>
    <w:rsid w:val="001B6560"/>
    <w:rsid w:val="00221288"/>
    <w:rsid w:val="002B6FD2"/>
    <w:rsid w:val="002D1CDB"/>
    <w:rsid w:val="00457597"/>
    <w:rsid w:val="00552EEE"/>
    <w:rsid w:val="00706E2D"/>
    <w:rsid w:val="008857DA"/>
    <w:rsid w:val="009A4FAB"/>
    <w:rsid w:val="00A640C7"/>
    <w:rsid w:val="00AD7ADA"/>
    <w:rsid w:val="00C77E88"/>
    <w:rsid w:val="00D54FCF"/>
    <w:rsid w:val="00EB7435"/>
    <w:rsid w:val="12250809"/>
    <w:rsid w:val="1EF782F5"/>
    <w:rsid w:val="22EA5FAE"/>
    <w:rsid w:val="263B046E"/>
    <w:rsid w:val="3F77FD43"/>
    <w:rsid w:val="481E7A60"/>
    <w:rsid w:val="64BC1EF4"/>
    <w:rsid w:val="663C29A9"/>
    <w:rsid w:val="75DFA32C"/>
    <w:rsid w:val="7E9FDADE"/>
    <w:rsid w:val="7FFFD303"/>
    <w:rsid w:val="AFF7A4C1"/>
    <w:rsid w:val="BF5E8B79"/>
    <w:rsid w:val="DB7F6E97"/>
    <w:rsid w:val="FBF3C9D1"/>
    <w:rsid w:val="FEFA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kern w:val="2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daohangxitong.com</Company>
  <Pages>7</Pages>
  <Words>486</Words>
  <Characters>2775</Characters>
  <Lines>23</Lines>
  <Paragraphs>6</Paragraphs>
  <TotalTime>1</TotalTime>
  <ScaleCrop>false</ScaleCrop>
  <LinksUpToDate>false</LinksUpToDate>
  <CharactersWithSpaces>3255</CharactersWithSpaces>
  <Application>WPS Office_12.8.2.25882_F1E327BC-269C-435d-A152-05C5408002CA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2026-08-12T02:31:00Z</dcterms:created>
  <dc:creator>Administrator</dc:creator>
  <cp:lastModifiedBy>JCZX</cp:lastModifiedBy>
  <dcterms:modified xsi:type="dcterms:W3CDTF">2026-08-20T11:45:30Z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eyJoZGlkIjoiYzRiOTEyMmI3YTAwZmUyYzQ3YTkyMTZmNTFlYjQxYmEiLCJ1c2VySWQiOiIxMzAyOTExMDEyIn0=</vt:lpwstr>
  </property>
  <property fmtid="{D5CDD505-2E9C-101B-9397-08002B2CF9AE}" pid="3" name="KSOProductBuildVer">
    <vt:lpwstr>2052-12.8.2.25882</vt:lpwstr>
  </property>
  <property fmtid="{D5CDD505-2E9C-101B-9397-08002B2CF9AE}" pid="4" name="ICV">
    <vt:lpwstr>F4893713D9044385AA6FB066542A5B4B_13</vt:lpwstr>
  </property>
</Properties>
</file>