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440282-2026-01648</w:t>
      </w:r>
    </w:p>
    <w:p>
      <w:pPr>
        <w:pStyle w:val="null3"/>
        <w:jc w:val="center"/>
        <w:outlineLvl w:val="3"/>
      </w:pPr>
      <w:r>
        <w:rPr>
          <w:sz w:val="24"/>
          <w:b/>
        </w:rPr>
        <w:t>采购项目编号：</w:t>
      </w:r>
      <w:r>
        <w:rPr>
          <w:sz w:val="24"/>
          <w:b/>
        </w:rPr>
        <w:t>JCZB2026059CS</w:t>
      </w:r>
    </w:p>
    <w:p>
      <w:pPr>
        <w:pStyle w:val="null3"/>
        <w:jc w:val="center"/>
        <w:outlineLvl w:val="3"/>
      </w:pPr>
      <w:r>
        <w:rPr>
          <w:sz w:val="24"/>
          <w:b/>
        </w:rPr>
        <w:t>项目名称：</w:t>
      </w:r>
      <w:r>
        <w:rPr>
          <w:sz w:val="24"/>
          <w:b/>
        </w:rPr>
        <w:t>广东省韶关市南雄市2026年中央财政林草有害生物防治项目</w:t>
      </w:r>
    </w:p>
    <w:p>
      <w:pPr>
        <w:pStyle w:val="null3"/>
        <w:jc w:val="center"/>
        <w:outlineLvl w:val="3"/>
      </w:pPr>
      <w:r>
        <w:rPr>
          <w:sz w:val="24"/>
          <w:b/>
        </w:rPr>
        <w:t>采购人：</w:t>
      </w:r>
      <w:r>
        <w:rPr>
          <w:sz w:val="24"/>
          <w:b/>
        </w:rPr>
        <w:t>南雄市林业局</w:t>
      </w:r>
    </w:p>
    <w:p>
      <w:pPr>
        <w:pStyle w:val="null3"/>
        <w:jc w:val="center"/>
        <w:outlineLvl w:val="3"/>
      </w:pPr>
      <w:r>
        <w:rPr>
          <w:sz w:val="24"/>
          <w:b/>
        </w:rPr>
        <w:t>采购代理机构：</w:t>
      </w:r>
      <w:r>
        <w:rPr>
          <w:sz w:val="24"/>
          <w:b/>
        </w:rPr>
        <w:t>广东君诚招标代理有限公司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广东君诚招标代理有限公司</w:t>
      </w:r>
      <w:r>
        <w:rPr/>
        <w:t>受</w:t>
      </w:r>
      <w:r>
        <w:rPr/>
        <w:t>南雄市林业局</w:t>
      </w:r>
      <w:r>
        <w:rPr/>
        <w:t>的委托，采用</w:t>
      </w:r>
      <w:r>
        <w:rPr/>
        <w:t>竞争性磋商</w:t>
      </w:r>
      <w:r>
        <w:rPr/>
        <w:t>方式组织采购</w:t>
      </w:r>
      <w:r>
        <w:rPr/>
        <w:t>广东省韶关市南雄市2026年中央财政林草有害生物防治项目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广东省韶关市南雄市2026年中央财政林草有害生物防治项目</w:t>
      </w:r>
    </w:p>
    <w:p>
      <w:pPr>
        <w:pStyle w:val="null3"/>
        <w:ind w:firstLine="480"/>
      </w:pPr>
      <w:r>
        <w:rPr/>
        <w:t>采购计划编号：</w:t>
      </w:r>
      <w:r>
        <w:rPr/>
        <w:t>440282-2026-01648</w:t>
      </w:r>
    </w:p>
    <w:p>
      <w:pPr>
        <w:pStyle w:val="null3"/>
        <w:ind w:firstLine="480"/>
      </w:pPr>
      <w:r>
        <w:rPr/>
        <w:t>采购项目编号：</w:t>
      </w:r>
      <w:r>
        <w:rPr/>
        <w:t>JCZB2026059CS</w:t>
      </w:r>
    </w:p>
    <w:p>
      <w:pPr>
        <w:pStyle w:val="null3"/>
        <w:ind w:firstLine="480"/>
      </w:pPr>
      <w:r>
        <w:rPr/>
        <w:t>采购方式：</w:t>
      </w:r>
      <w:r>
        <w:rPr/>
        <w:t>竞争性磋商</w:t>
      </w:r>
    </w:p>
    <w:p>
      <w:pPr>
        <w:pStyle w:val="null3"/>
        <w:ind w:firstLine="480"/>
      </w:pPr>
      <w:r>
        <w:rPr/>
        <w:t>预算金额：</w:t>
      </w:r>
      <w:r>
        <w:rPr/>
        <w:t>2,900,000.00</w:t>
      </w:r>
      <w:r>
        <w:rPr/>
        <w:t>元</w:t>
      </w:r>
    </w:p>
    <w:p>
      <w:pPr>
        <w:pStyle w:val="null3"/>
        <w:outlineLvl w:val="3"/>
      </w:pPr>
      <w:r>
        <w:rPr>
          <w:sz w:val="24"/>
          <w:b/>
        </w:rPr>
        <w:t>2.项目内容及需求情况（采购项目技术规格、参数及要求）</w:t>
      </w:r>
    </w:p>
    <w:p>
      <w:pPr>
        <w:pStyle w:val="null3"/>
      </w:pPr>
      <w:r>
        <w:rPr/>
        <w:t>采购包1(广东省韶关市南雄市2026年中央财政林草有害生物防治项目):</w:t>
      </w:r>
    </w:p>
    <w:p>
      <w:pPr>
        <w:pStyle w:val="null3"/>
      </w:pPr>
      <w:r>
        <w:rPr/>
        <w:t>采购包预算金额：2,900,000.00元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广东省韶关市南雄市2026年中央财政林草有害生物防治项目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合同履行期限：实施时间为2026年8月至2027年6月，其中松材线虫病疫木清理及松树蛀干害虫防治实施时间至2026年12月，保质期自验收合格之日起至2027年7月31日止；松材线虫病日常调查监测实施时间至2027年6月。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w:t>
      </w:r>
    </w:p>
    <w:p>
      <w:pPr>
        <w:pStyle w:val="null3"/>
      </w:pPr>
      <w:r>
        <w:rPr/>
        <w:t>3）具有良好的商业信誉和健全的财务会计制度：投标（响应）文件中提供《资格条件承诺函》。</w:t>
      </w:r>
    </w:p>
    <w:p>
      <w:pPr>
        <w:pStyle w:val="null3"/>
      </w:pPr>
      <w:r>
        <w:rPr/>
        <w:t>4）履行合同所必需的设备和专业技术能力：投标（响应）文件中提供《资格条件承诺函》。</w:t>
      </w:r>
    </w:p>
    <w:p>
      <w:pPr>
        <w:pStyle w:val="null3"/>
      </w:pPr>
      <w:r>
        <w:rPr/>
        <w:t>5）参加采购活动前3年内，在经营活动中没有重大违法记录：投标（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采购包1（广东省韶关市南雄市2026年中央财政林草有害生物防治项目）：</w:t>
      </w:r>
      <w:r>
        <w:rPr/>
        <w:t>本采购包专门面向中小企业采购，参与的供应商服务全部由符合政策要求的中小企业承接。 （1）供应商为中小企业的，须在投标（响应）文件中提交《中小企业声明函》。 （2）供应商为监狱企业、残疾人福利性单位或工商个体户的，视同小型、微型企业，投标（响应）时须提供相关证明文件，其中监狱企业须供应商提供由省级以上监狱管理局、戒毒管理局（含新疆生产建设兵团）出具的属于监狱企业的证明文件；残疾人福利性单位须提供《残疾人福利性单位声明函》；工商个体户须提供营业执照。 （3）中小企业参加政府采购活动，应当按照国务院批准的中小企业划分标准[《中小企业划型标准规定》（工信部联企业〔2011〕300号）《金融业企业划型标准规定》（银发〔2015〕309号）]和《管理办法》规定，出具《中小企业声明函》。《中小企业声明函》中相关企业[制造商、承建（承接）企业]所属行业应当与采购标的所属行业相一致（本项目采购标的所属行业见第二章 采购需求“2.技术标准与要求：所属行业”）。 （4）供应商提供《中小企业声明函》《残疾人福利性单位声明函》，监狱企业或工商个体户证明文件内容不实的，属于提供虚假材料谋取中标、成交，依照《中华人民共和国政府采购法》等国家有关规定追究相应责任。</w:t>
      </w:r>
    </w:p>
    <w:p>
      <w:pPr>
        <w:pStyle w:val="null3"/>
        <w:outlineLvl w:val="3"/>
      </w:pPr>
      <w:r>
        <w:rPr>
          <w:sz w:val="24"/>
          <w:b/>
        </w:rPr>
        <w:t>3.本项目特定的资格要求：</w:t>
      </w:r>
    </w:p>
    <w:p>
      <w:pPr>
        <w:pStyle w:val="null3"/>
      </w:pPr>
      <w:r>
        <w:rPr/>
        <w:t>采购包1（广东省韶关市南雄市2026年中央财政林草有害生物防治项目）：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3)供应商须具有林业有害生物防治资质丙级或以上资质证书（提供有效证书复印件）。</w:t>
      </w:r>
    </w:p>
    <w:p>
      <w:pPr>
        <w:pStyle w:val="null3"/>
      </w:pPr>
      <w:r>
        <w:rPr/>
        <w:t>4)本采购包不接受联合体投标（响应）。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广东君诚招标代理有限公司网（http://gdjczbdl.com/）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南雄市林业局</w:t>
      </w:r>
    </w:p>
    <w:p>
      <w:pPr>
        <w:pStyle w:val="null3"/>
        <w:ind w:firstLine="480"/>
      </w:pPr>
      <w:r>
        <w:rPr/>
        <w:t>地址：</w:t>
      </w:r>
      <w:r>
        <w:rPr/>
        <w:t>南雄市林荫西路64号</w:t>
      </w:r>
    </w:p>
    <w:p>
      <w:pPr>
        <w:pStyle w:val="null3"/>
        <w:ind w:firstLine="480"/>
      </w:pPr>
      <w:r>
        <w:rPr/>
        <w:t>联系方式：</w:t>
      </w:r>
      <w:r>
        <w:rPr/>
        <w:t>0751-3871257</w:t>
      </w:r>
    </w:p>
    <w:p>
      <w:pPr>
        <w:pStyle w:val="null3"/>
        <w:outlineLvl w:val="3"/>
      </w:pPr>
      <w:r>
        <w:rPr>
          <w:sz w:val="24"/>
          <w:b/>
        </w:rPr>
        <w:t>2.采购代理机构信息</w:t>
      </w:r>
    </w:p>
    <w:p>
      <w:pPr>
        <w:pStyle w:val="null3"/>
        <w:ind w:firstLine="480"/>
      </w:pPr>
      <w:r>
        <w:rPr/>
        <w:t>名称：</w:t>
      </w:r>
      <w:r>
        <w:rPr/>
        <w:t>广东君诚招标代理有限公司</w:t>
      </w:r>
    </w:p>
    <w:p>
      <w:pPr>
        <w:pStyle w:val="null3"/>
        <w:ind w:firstLine="480"/>
      </w:pPr>
      <w:r>
        <w:rPr/>
        <w:t xml:space="preserve"> 地址：</w:t>
      </w:r>
      <w:r>
        <w:rPr/>
        <w:t>广东省韶关市武江区百旺大桥南侧佰旺广场D1栋写字楼406-413号</w:t>
      </w:r>
    </w:p>
    <w:p>
      <w:pPr>
        <w:pStyle w:val="null3"/>
        <w:ind w:firstLine="480"/>
      </w:pPr>
      <w:r>
        <w:rPr/>
        <w:t xml:space="preserve"> 联系方式：</w:t>
      </w:r>
      <w:r>
        <w:rPr/>
        <w:t>0751-8531131</w:t>
      </w:r>
    </w:p>
    <w:p>
      <w:pPr>
        <w:pStyle w:val="null3"/>
        <w:outlineLvl w:val="3"/>
      </w:pPr>
      <w:r>
        <w:rPr>
          <w:sz w:val="24"/>
          <w:b/>
        </w:rPr>
        <w:t xml:space="preserve"> 3.项目联系方式</w:t>
      </w:r>
    </w:p>
    <w:p>
      <w:pPr>
        <w:pStyle w:val="null3"/>
        <w:ind w:firstLine="480"/>
      </w:pPr>
      <w:r>
        <w:rPr/>
        <w:t xml:space="preserve"> 项目联系人：</w:t>
      </w:r>
      <w:r>
        <w:rPr/>
        <w:t>邱小凤</w:t>
      </w:r>
    </w:p>
    <w:p>
      <w:pPr>
        <w:pStyle w:val="null3"/>
        <w:ind w:firstLine="480"/>
      </w:pPr>
      <w:r>
        <w:rPr/>
        <w:t xml:space="preserve"> 电话：</w:t>
      </w:r>
      <w:r>
        <w:rPr/>
        <w:t>0751-8531131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广东君诚招标代理有限公司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660"/>
        <w:gridCol w:w="2226"/>
        <w:gridCol w:w="1319"/>
        <w:gridCol w:w="1072"/>
        <w:gridCol w:w="2721"/>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2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防治任务</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任务数量</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预算金额</w:t>
            </w:r>
          </w:p>
          <w:p>
            <w:pPr>
              <w:pStyle w:val="null3"/>
              <w:jc w:val="center"/>
            </w:pPr>
            <w:r>
              <w:rPr>
                <w:sz w:val="21"/>
                <w:b/>
              </w:rPr>
              <w:t>（万元）</w:t>
            </w:r>
          </w:p>
        </w:tc>
        <w:tc>
          <w:tcPr>
            <w:tcW w:type="dxa" w:w="27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松材线虫病日常调查监测，松材线虫病疫木清理及松树蛀干害虫防治</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日常调查监测3次，防治面积4.11万亩</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290.00</w:t>
            </w:r>
          </w:p>
        </w:tc>
        <w:tc>
          <w:tcPr>
            <w:tcW w:type="dxa" w:w="27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监测范围全市未发生疫情和已实现无疫情的松林，其中松材线虫病疫木清理面积2.34万亩，松树蛀干害虫防治面积1.77万亩。</w:t>
            </w:r>
          </w:p>
        </w:tc>
      </w:tr>
      <w:tr>
        <w:tc>
          <w:tcPr>
            <w:tcW w:type="dxa" w:w="4205"/>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290.00</w:t>
            </w:r>
          </w:p>
        </w:tc>
        <w:tc>
          <w:tcPr>
            <w:tcW w:type="dxa" w:w="27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1"/>
        </w:rPr>
        <w:t>注：</w:t>
      </w:r>
      <w:r>
        <w:rPr>
          <w:sz w:val="21"/>
        </w:rPr>
        <w:t>1.</w:t>
      </w:r>
      <w:r>
        <w:rPr>
          <w:sz w:val="21"/>
        </w:rPr>
        <w:t>供应商必须对本项目的全部内容进行投标报价，如有缺漏，将导致响应无效。</w:t>
      </w:r>
    </w:p>
    <w:p>
      <w:pPr>
        <w:pStyle w:val="null3"/>
        <w:ind w:firstLine="420"/>
        <w:jc w:val="both"/>
      </w:pPr>
      <w:r>
        <w:rPr>
          <w:sz w:val="21"/>
        </w:rPr>
        <w:t>2.</w:t>
      </w:r>
      <w:r>
        <w:rPr>
          <w:sz w:val="21"/>
        </w:rPr>
        <w:t>本项目</w:t>
      </w:r>
      <w:r>
        <w:rPr>
          <w:sz w:val="21"/>
        </w:rPr>
        <w:t>需</w:t>
      </w:r>
      <w:r>
        <w:rPr>
          <w:sz w:val="21"/>
        </w:rPr>
        <w:t>落实的政府采购政策：</w:t>
      </w:r>
      <w:r>
        <w:rPr>
          <w:sz w:val="21"/>
          <w:color w:val="000000"/>
          <w:shd w:fill="FFFFFF" w:val="clear"/>
        </w:rPr>
        <w:t>《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商品包装政府采购需求标准（试行）》（财办库〔2020〕123号）、《快递包装政府采购需求标准（试行）》（财办库〔2020〕123号）、《国务院办公厅关于在政府采购中实施本国产品标准及相关政策的通知》（国办发〔2025〕34号）、《财政部关于贯彻落实&lt;国务院办公厅关于在政府采购中实施本国产品标准及相关政策的通知&gt;的意见》（财库〔2025〕30号）等。</w:t>
      </w:r>
    </w:p>
    <w:p>
      <w:pPr>
        <w:pStyle w:val="null3"/>
        <w:ind w:firstLine="420"/>
        <w:jc w:val="both"/>
      </w:pPr>
      <w:r>
        <w:rPr>
          <w:sz w:val="21"/>
        </w:rPr>
        <w:t>3.</w:t>
      </w:r>
      <w:r>
        <w:rPr>
          <w:sz w:val="21"/>
        </w:rPr>
        <w:t>根据《关于推动解决政府采购异常低价问题的通知》（财库〔2026〕2号）等相关规定，政府采购评审中出现下列情形之一的，评审委员会应当启动异常低价投标（响应）审查程序：</w:t>
      </w:r>
    </w:p>
    <w:p>
      <w:pPr>
        <w:pStyle w:val="null3"/>
        <w:ind w:firstLine="420"/>
        <w:jc w:val="both"/>
      </w:pPr>
      <w:r>
        <w:rPr>
          <w:sz w:val="21"/>
        </w:rPr>
        <w:t>（1）投标（响应）报价低于全部通过符合性审查供应商投标（响应）报价平均值50%的，即投标（响应）报价&lt;全部通过符合性审查供应商投标（响应）报价平均值×50%。</w:t>
      </w:r>
    </w:p>
    <w:p>
      <w:pPr>
        <w:pStyle w:val="null3"/>
        <w:ind w:firstLine="420"/>
        <w:jc w:val="both"/>
      </w:pPr>
      <w:r>
        <w:rPr>
          <w:sz w:val="21"/>
        </w:rPr>
        <w:t>（2）投标（响应）报价低于通过符合性审查且报价次低供应商投标（响应）报价50%的，即投标（响应）报价&lt;通过符合性审查且报价次低供应商投标（响应）报价×50%。</w:t>
      </w:r>
    </w:p>
    <w:p>
      <w:pPr>
        <w:pStyle w:val="null3"/>
        <w:ind w:firstLine="420"/>
        <w:jc w:val="both"/>
      </w:pPr>
      <w:r>
        <w:rPr>
          <w:sz w:val="21"/>
        </w:rPr>
        <w:t>（3）投标（响应）报价低于最高限价45%的，即投标（响应）报价&lt;最高限价×45%。</w:t>
      </w:r>
    </w:p>
    <w:p>
      <w:pPr>
        <w:pStyle w:val="null3"/>
        <w:ind w:firstLine="420"/>
        <w:jc w:val="both"/>
      </w:pPr>
      <w:r>
        <w:rPr>
          <w:sz w:val="21"/>
        </w:rPr>
        <w:t>（4）其他评审委员会认为供应商报价过低，有可能影响产品质量或者不能诚信履约的情形。</w:t>
      </w:r>
    </w:p>
    <w:p>
      <w:pPr>
        <w:pStyle w:val="null3"/>
        <w:ind w:firstLine="420"/>
        <w:jc w:val="both"/>
      </w:pPr>
      <w:r>
        <w:rPr>
          <w:sz w:val="21"/>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p>
      <w:pPr>
        <w:pStyle w:val="null3"/>
      </w:pPr>
      <w:r>
        <w:rPr/>
        <w:t>采购包1（广东省韶关市南雄市2026年中央财政林草有害生物防治项目）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实施时间为2026年8月至2027年6月，其中松材线虫病疫木清理及松树蛀干害虫防治实施时间至2026年12月，保质期自验收合格之日起至2027年7月31日止；松材线虫病日常调查监测实施时间至2027年6月。</w:t>
            </w:r>
          </w:p>
        </w:tc>
      </w:tr>
      <w:tr>
        <w:tc>
          <w:tcPr>
            <w:tcW w:type="dxa" w:w="4153"/>
          </w:tcPr>
          <w:p>
            <w:pPr>
              <w:pStyle w:val="null3"/>
            </w:pPr>
            <w:r>
              <w:rPr/>
              <w:t>标的提供的地点</w:t>
            </w:r>
          </w:p>
        </w:tc>
        <w:tc>
          <w:tcPr>
            <w:tcW w:type="dxa" w:w="4153"/>
          </w:tcPr>
          <w:p>
            <w:pPr>
              <w:pStyle w:val="null3"/>
            </w:pPr>
            <w:r>
              <w:rPr/>
              <w:t>松材线虫病日常调查监测范围全市未发生疫情和已实现无疫情的松林，松材线虫病疫木清理及松树蛀干害虫，防治范围包含南雄市雄州街道，珠玑镇，乌迳镇，水口镇，黄坑镇，全安镇，湖口镇，邓坊镇，坪田镇，界址镇，南亩镇，帽子峰镇。</w:t>
            </w:r>
          </w:p>
        </w:tc>
      </w:tr>
      <w:tr>
        <w:tc>
          <w:tcPr>
            <w:tcW w:type="dxa" w:w="4153"/>
          </w:tcPr>
          <w:p>
            <w:pPr>
              <w:pStyle w:val="null3"/>
            </w:pPr>
            <w:r>
              <w:rPr/>
              <w:t>付款方式</w:t>
            </w:r>
          </w:p>
        </w:tc>
        <w:tc>
          <w:tcPr>
            <w:tcW w:type="dxa" w:w="4153"/>
          </w:tcPr>
          <w:p>
            <w:pPr>
              <w:pStyle w:val="null3"/>
            </w:pPr>
            <w:r>
              <w:rPr/>
              <w:t>1期：支付比例30%,供应商自中标（成交）通知书发出之日起15日内与采购人签订合同，合同签订后5个工作日内支付合同金额的30%</w:t>
            </w:r>
          </w:p>
          <w:p>
            <w:pPr>
              <w:pStyle w:val="null3"/>
            </w:pPr>
            <w:r>
              <w:rPr/>
              <w:t>2期：支付比例70%,项目验收合格后采购人向财政部门办理申请支付剩余合同金额的70%。供应商凭以下资料与采购人结算： （1）合同（附中标通知书）； （2）供应商开具的正式发票； （3）验收报告（加盖采购人公章，预付款除外）。 注：采购人向财政部门提交支付申请材料后，不属于付款违约情形。</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1期：1、验收标准：按照磋商文件、作业设计、合同要求、广东省林业局《广东省松材线虫病防治技术方案》（2025年版）等防治技术要求。 2、验收方法：采取常规检查、竣工验收相结合的方式验收，松材线虫病日常监测调查资料。常规检查包括项目进度、技术措施、施工照片、施工日记、防控效果、项目任务、项目质量等。竣工验收内容包括：项目资料审核和现场检查等。 3、验收内容：防治小班内疫木全部清理，病死树主干和直径1厘米以上的枝桠材全部除害处理，伐桩处理合格，松材线虫病日常监测调查资料。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其他要求，（一）报价要求： 1、投标（响应）报价超出采购预算金额的列为无效投标处理。 2、供应商的报价，为实施、完成本项目以及履行采购文件、投标（响应）文件中约定的所有责任和义务所发生的全部费用。投标（响应）报价包含税费、常规文书材料费、标配工具、运输、保险、药物、人工费、合同实施过程可预见或不可预见的一切费用，采购人不再支付任何费用。 （二）采购人义务：采购人负责清理防治过程中的技术指导，协助成交供应商做好防治工作的宣传和林地所有权人的协调工作等问题。 （三）本项目监理由南雄市林业局选定第三方公司负责。监理单位对项目质量实施监督检查，成交供应商服从监理单位的监督管理。 （四）成交供应商严格按照防治技术要求开展防治作业，确保防治质量，按时完成防治任务，遵守森林防火规定，严禁超范围乱砍滥伐，不得损害他人利益。 （五）安全要求：成交供应商在项目实施期间应做好安全保障措施，做好作业前安全培训工作，购买工伤保险，严格执行农药管理条例和安全使用规定，如果出现以上安全事故，成交供应商承担全部责任。 （六）现场踏勘： 1、投标前，采购人不统一组织现场踏勘。为确保投标（响应）的准确性和措施的可行性，供应商可自行对工程现场及周围环境进行踏勘，以便供应商获取有关编制响应文件和签署合同所需的所有资料。采购人对供应商做出的推论、理解和结论概不负责。 2、供应商在现场勘察过程中，供应商应注意自身安全，如发生意外、财物或其他损失，不论任何原因所造成，采购人均不负责。 3、现场勘察期间的交通、食宿由供应商自行安排，费用自理。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广东省韶关市南雄市2026年中央财政林草有害生物防治项目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2,900,000.00</w:t>
            </w:r>
          </w:p>
        </w:tc>
        <w:tc>
          <w:tcPr>
            <w:tcW w:type="dxa" w:w="933"/>
          </w:tcPr>
          <w:p>
            <w:pPr>
              <w:pStyle w:val="null3"/>
              <w:jc w:val="right"/>
            </w:pPr>
            <w:r>
              <w:rPr/>
              <w:t>2,900,000.00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广东省韶关市南雄市2026年中央财政林草有害生物防治项目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一、项目规模</w:t>
            </w:r>
          </w:p>
          <w:p>
            <w:pPr>
              <w:pStyle w:val="null3"/>
              <w:ind w:firstLine="420"/>
            </w:pPr>
            <w:r>
              <w:rPr>
                <w:sz w:val="21"/>
              </w:rPr>
              <w:t>1</w:t>
            </w:r>
            <w:r>
              <w:rPr>
                <w:sz w:val="21"/>
              </w:rPr>
              <w:t>、松材线虫病日常监测调查</w:t>
            </w:r>
            <w:r>
              <w:rPr>
                <w:sz w:val="21"/>
              </w:rPr>
              <w:t>。监测范围全市未发生疫情和已实现无疫情的松林。</w:t>
            </w:r>
            <w:r>
              <w:rPr>
                <w:sz w:val="21"/>
              </w:rPr>
              <w:t>监测内容</w:t>
            </w:r>
            <w:r>
              <w:rPr>
                <w:sz w:val="21"/>
              </w:rPr>
              <w:t>，调查松树枯死、松针变色等异常情况。监测次数3次，监测时间2026年8月、2027年3月、2027年6月。</w:t>
            </w:r>
          </w:p>
          <w:p>
            <w:pPr>
              <w:pStyle w:val="null3"/>
              <w:ind w:firstLine="420"/>
            </w:pPr>
            <w:r>
              <w:rPr>
                <w:sz w:val="21"/>
              </w:rPr>
              <w:t>2</w:t>
            </w:r>
            <w:r>
              <w:rPr>
                <w:sz w:val="21"/>
              </w:rPr>
              <w:t>、松材线虫病疫木清理及松树蛀干害虫防治。</w:t>
            </w:r>
            <w:r>
              <w:rPr>
                <w:sz w:val="21"/>
              </w:rPr>
              <w:t>应用“松材线虫病疫情防控监管平台”移动端APP，10月前完成全市松材线虫病秋季疫情普查，普查和防治数据信息按要求录入监管平台。</w:t>
            </w:r>
            <w:r>
              <w:rPr>
                <w:sz w:val="21"/>
              </w:rPr>
              <w:t>防治面积4.11万亩，其中松材线虫病疫木清理面积2.34万亩</w:t>
            </w:r>
            <w:r>
              <w:rPr>
                <w:sz w:val="21"/>
              </w:rPr>
              <w:t>，</w:t>
            </w:r>
            <w:r>
              <w:rPr>
                <w:sz w:val="21"/>
              </w:rPr>
              <w:t>松树蛀干害虫防治面积1.77万亩</w:t>
            </w:r>
            <w:r>
              <w:rPr>
                <w:sz w:val="21"/>
              </w:rPr>
              <w:t>。因松材线虫病发生特点是动态变化，松材病枯死树清理除治以实际发生数量为准，采取绩效承包制。防治范围南雄市雄州街道，珠玑镇，乌迳镇，水口镇，黄坑镇，全安镇，湖口镇，邓坊镇，坪田镇，界址镇，南亩镇，帽子峰镇。</w:t>
            </w:r>
          </w:p>
        </w:tc>
      </w:tr>
      <w:tr>
        <w:tc>
          <w:tcPr>
            <w:tcW w:type="dxa" w:w="2076"/>
          </w:tcPr>
          <w:p/>
        </w:tc>
        <w:tc>
          <w:tcPr>
            <w:tcW w:type="dxa" w:w="415"/>
          </w:tcPr>
          <w:p>
            <w:pPr>
              <w:pStyle w:val="null3"/>
            </w:pPr>
            <w:r>
              <w:rPr/>
              <w:t>2</w:t>
            </w:r>
          </w:p>
        </w:tc>
        <w:tc>
          <w:tcPr>
            <w:tcW w:type="dxa" w:w="5814"/>
          </w:tcPr>
          <w:p>
            <w:pPr>
              <w:pStyle w:val="null3"/>
            </w:pPr>
            <w:r>
              <w:rPr>
                <w:sz w:val="21"/>
                <w:b/>
              </w:rPr>
              <w:t>二、防治技术要求</w:t>
            </w:r>
          </w:p>
          <w:p>
            <w:pPr>
              <w:pStyle w:val="null3"/>
              <w:ind w:firstLine="420"/>
            </w:pPr>
            <w:r>
              <w:rPr>
                <w:sz w:val="21"/>
              </w:rPr>
              <w:t>松材线虫病疫木清理及松树蛀干害虫防治采取以下防治技术措施：</w:t>
            </w:r>
          </w:p>
          <w:p>
            <w:pPr>
              <w:pStyle w:val="null3"/>
              <w:ind w:firstLine="420"/>
            </w:pPr>
            <w:r>
              <w:rPr>
                <w:sz w:val="21"/>
              </w:rPr>
              <w:t>1</w:t>
            </w:r>
            <w:r>
              <w:rPr>
                <w:sz w:val="21"/>
              </w:rPr>
              <w:t>、</w:t>
            </w:r>
            <w:r>
              <w:rPr>
                <w:sz w:val="21"/>
              </w:rPr>
              <w:t>粉碎（削片）处理</w:t>
            </w:r>
          </w:p>
          <w:p>
            <w:pPr>
              <w:pStyle w:val="null3"/>
              <w:ind w:firstLine="420"/>
            </w:pPr>
            <w:r>
              <w:rPr>
                <w:sz w:val="21"/>
              </w:rPr>
              <w:t>（1）适用范围：所有疫情发生林分。</w:t>
            </w:r>
          </w:p>
          <w:p>
            <w:pPr>
              <w:pStyle w:val="null3"/>
              <w:ind w:firstLine="420"/>
            </w:pPr>
            <w:r>
              <w:rPr>
                <w:sz w:val="21"/>
              </w:rPr>
              <w:t>（</w:t>
            </w:r>
            <w:r>
              <w:rPr>
                <w:sz w:val="21"/>
              </w:rPr>
              <w:t>2</w:t>
            </w:r>
            <w:r>
              <w:rPr>
                <w:sz w:val="21"/>
              </w:rPr>
              <w:t>）作业要求：就地就近使用粉碎(削片)机对疫木及直径超过1厘米的枝丫进行处理，粉碎物短粒径不超过1厘米(削片厚度不超过0.6厘米)。对集中清除和全面清除疫木采取粉碎(削片)处理措施的，仅限在媒介昆虫非羽化高峰期内进行，严格疫木粉碎(削片)处理监管。</w:t>
            </w:r>
          </w:p>
          <w:p>
            <w:pPr>
              <w:pStyle w:val="null3"/>
              <w:ind w:firstLine="420"/>
            </w:pPr>
            <w:r>
              <w:rPr>
                <w:sz w:val="21"/>
              </w:rPr>
              <w:t>2</w:t>
            </w:r>
            <w:r>
              <w:rPr>
                <w:sz w:val="21"/>
              </w:rPr>
              <w:t>、</w:t>
            </w:r>
            <w:r>
              <w:rPr>
                <w:sz w:val="21"/>
              </w:rPr>
              <w:t>套袋消杀处理</w:t>
            </w:r>
          </w:p>
          <w:p>
            <w:pPr>
              <w:pStyle w:val="null3"/>
              <w:ind w:firstLine="420"/>
            </w:pPr>
            <w:r>
              <w:rPr>
                <w:sz w:val="21"/>
              </w:rPr>
              <w:t>（</w:t>
            </w:r>
            <w:r>
              <w:rPr>
                <w:sz w:val="21"/>
              </w:rPr>
              <w:t>1</w:t>
            </w:r>
            <w:r>
              <w:rPr>
                <w:sz w:val="21"/>
              </w:rPr>
              <w:t>）适用范围：</w:t>
            </w:r>
            <w:r>
              <w:rPr>
                <w:sz w:val="21"/>
              </w:rPr>
              <w:t>山高坡陡、不通道路、人迹罕至、林下草灌丰富、通行困难的非“四旁五边”区域，且不具备粉碎（削片）、旋切、烧毁等除害处理条件的疫情除治区域。</w:t>
            </w:r>
          </w:p>
          <w:p>
            <w:pPr>
              <w:pStyle w:val="null3"/>
              <w:ind w:firstLine="420"/>
            </w:pPr>
            <w:r>
              <w:rPr>
                <w:sz w:val="21"/>
              </w:rPr>
              <w:t>（2）作业要求：将病死树主干及直径1厘米以上的枝丫截成短于60 厘米的长度，然后放入密封塑料袋（或环保袋）中加放消杀药物（如 56%磷化铝片剂按照20-30克/立方米投放）等进行除害处理。消杀袋须密封性好不透气、韧性好不易破、较环保能降解，膜厚度≥0.1毫米、袋子牢固度≥6个月。树木死亡时间较长、已完全干枯的松木要在袋内远离磷化铝等药物的地方喷洒适量水分，以保证熏杀效果。</w:t>
            </w:r>
          </w:p>
          <w:p>
            <w:pPr>
              <w:pStyle w:val="null3"/>
              <w:ind w:firstLine="420"/>
            </w:pPr>
            <w:r>
              <w:rPr>
                <w:sz w:val="21"/>
              </w:rPr>
              <w:t>3</w:t>
            </w:r>
            <w:r>
              <w:rPr>
                <w:sz w:val="21"/>
              </w:rPr>
              <w:t>、</w:t>
            </w:r>
            <w:r>
              <w:rPr>
                <w:sz w:val="21"/>
              </w:rPr>
              <w:t>伐桩处理。伐桩高度不超过5厘米，可不做处理。如发现伐桩上有天牛等媒介昆虫或因地理原因伐桩无法控制在5厘米以下的，采用以下处理方式：</w:t>
            </w:r>
          </w:p>
          <w:p>
            <w:pPr>
              <w:pStyle w:val="null3"/>
              <w:ind w:firstLine="420"/>
            </w:pPr>
            <w:r>
              <w:rPr>
                <w:sz w:val="21"/>
              </w:rPr>
              <w:t>（</w:t>
            </w:r>
            <w:r>
              <w:rPr>
                <w:sz w:val="21"/>
              </w:rPr>
              <w:t>1</w:t>
            </w:r>
            <w:r>
              <w:rPr>
                <w:sz w:val="21"/>
              </w:rPr>
              <w:t>）覆膜处理</w:t>
            </w:r>
          </w:p>
          <w:p>
            <w:pPr>
              <w:pStyle w:val="null3"/>
              <w:ind w:firstLine="420"/>
            </w:pPr>
            <w:r>
              <w:rPr>
                <w:sz w:val="21"/>
              </w:rPr>
              <w:t>①</w:t>
            </w:r>
            <w:r>
              <w:rPr>
                <w:sz w:val="21"/>
              </w:rPr>
              <w:t>适用范围：适用于处理期间室外最高温度满足熏蒸药剂发挥作用的区域，原则上重点生态区域不推荐使用。</w:t>
            </w:r>
          </w:p>
          <w:p>
            <w:pPr>
              <w:pStyle w:val="null3"/>
              <w:ind w:firstLine="420"/>
            </w:pPr>
            <w:r>
              <w:rPr>
                <w:sz w:val="21"/>
              </w:rPr>
              <w:t>②</w:t>
            </w:r>
            <w:r>
              <w:rPr>
                <w:sz w:val="21"/>
              </w:rPr>
              <w:t>作业要求：在伐桩上放置熏蒸药剂，用0.1毫米以上厚度的塑料薄膜覆盖，绑紧后用土将塑料薄膜四周压实。</w:t>
            </w:r>
          </w:p>
          <w:p>
            <w:pPr>
              <w:pStyle w:val="null3"/>
              <w:ind w:firstLine="420"/>
            </w:pPr>
            <w:r>
              <w:rPr>
                <w:sz w:val="21"/>
              </w:rPr>
              <w:t>（</w:t>
            </w:r>
            <w:r>
              <w:rPr>
                <w:sz w:val="21"/>
              </w:rPr>
              <w:t>2</w:t>
            </w:r>
            <w:r>
              <w:rPr>
                <w:sz w:val="21"/>
              </w:rPr>
              <w:t>）钢丝网罩处理</w:t>
            </w:r>
          </w:p>
          <w:p>
            <w:pPr>
              <w:pStyle w:val="null3"/>
              <w:ind w:firstLine="420"/>
            </w:pPr>
            <w:r>
              <w:rPr>
                <w:sz w:val="21"/>
              </w:rPr>
              <w:t>①</w:t>
            </w:r>
            <w:r>
              <w:rPr>
                <w:sz w:val="21"/>
              </w:rPr>
              <w:t>适用范围：所有疫情发生林分。</w:t>
            </w:r>
          </w:p>
          <w:p>
            <w:pPr>
              <w:pStyle w:val="null3"/>
              <w:ind w:firstLine="420"/>
            </w:pPr>
            <w:r>
              <w:rPr>
                <w:sz w:val="21"/>
              </w:rPr>
              <w:t>②</w:t>
            </w:r>
            <w:r>
              <w:rPr>
                <w:sz w:val="21"/>
              </w:rPr>
              <w:t>作业要求：使用钢丝直径≥0.17毫米，网目数≥16目的锻压钢丝网罩覆盖伐桩，并将钢丝网罩严密围裹固定在伐桩上。</w:t>
            </w:r>
          </w:p>
          <w:p>
            <w:pPr>
              <w:pStyle w:val="null3"/>
              <w:ind w:firstLine="420"/>
            </w:pPr>
            <w:r>
              <w:rPr>
                <w:sz w:val="21"/>
              </w:rPr>
              <w:t>4</w:t>
            </w:r>
            <w:r>
              <w:rPr>
                <w:sz w:val="21"/>
              </w:rPr>
              <w:t>、除治标识。除治区域应设置除治标识(套袋消杀、钢丝网罩要有“危险”警示标识)，内容包括除治地点、除治面积和株数、除治方式、作业单位、监督电话等信息。</w:t>
            </w:r>
          </w:p>
          <w:p>
            <w:pPr>
              <w:pStyle w:val="null3"/>
              <w:ind w:firstLine="420"/>
            </w:pPr>
            <w:r>
              <w:rPr>
                <w:sz w:val="21"/>
              </w:rPr>
              <w:t>5</w:t>
            </w:r>
            <w:r>
              <w:rPr>
                <w:sz w:val="21"/>
              </w:rPr>
              <w:t>、</w:t>
            </w:r>
            <w:r>
              <w:rPr>
                <w:sz w:val="21"/>
              </w:rPr>
              <w:t>采取粉碎（削片）防治措施的松材线虫病疫木全部运往南雄市松材线虫病疫木变性处理定点企业处理，确保搬运过</w:t>
            </w:r>
            <w:r>
              <w:rPr>
                <w:sz w:val="21"/>
              </w:rPr>
              <w:t>程</w:t>
            </w:r>
            <w:r>
              <w:rPr>
                <w:sz w:val="21"/>
              </w:rPr>
              <w:t>疫木不流失、不遗落。</w:t>
            </w:r>
          </w:p>
          <w:p>
            <w:pPr>
              <w:pStyle w:val="null3"/>
              <w:ind w:firstLine="420"/>
            </w:pPr>
            <w:r>
              <w:rPr>
                <w:sz w:val="21"/>
              </w:rPr>
              <w:t>6</w:t>
            </w:r>
            <w:r>
              <w:rPr>
                <w:sz w:val="21"/>
              </w:rPr>
              <w:t>、2026年12月31日前完成疫木清理及松树蛀干害虫防治，保质期自验收合格之日起至2027年7月31日止，保质期内出现病枯死树，需1个星期内完成清理除害。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1.采购代理机构：本项目是指广东君诚招标代理有限公司，负责整个采购活动的组织，依法负责编制和发布磋商文件，对磋商文件拥有最终的解释权，不以任何身份出任磋商小组成员。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南雄市林业局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采购机构代理服务收费标准：招标代理服务费按原国家计委颁发的[2002] 1980号文《招标代理服务收费管理暂行办法》及国家发改委颁发的[2011]534号文《国家发改委关于降低部分建设项目收费标准规范收费行为等有关问题的通知》的有关规定，参照广东省物价局粤价函〔2013〕1233号规定的收费标准执行，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投标（响应）文件的递交，1.网上递交：供应商须在投标（响应）文件递交截止时间前完成所有投标（响应）文件的上传。（详细操作方式见广东政府采购智慧云平台网站-操作指南”）。 2.供应商无需到现场参加开标。开标时各供应商须凭CA数字证书登录系统，进入网上开标大厅等候开标解密，开标解密完毕各供应商需在网上开标大厅确认开标结果；如有异议，供应商需在开标后30分钟内通过网上开标大厅提出；如开标后30分钟内未做确认，也未提出异议，则视同默认开标结果。 3.逾期未上传的电子投标（响应）文件以及不按采购文件要求制作的电子投标（响应）文件，采购人与广东政府采购智慧云平台不予受理。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广东君诚招标代理有限公司</w:t>
      </w:r>
      <w:r>
        <w:rPr/>
        <w:t>代收。具体操作要求详见</w:t>
      </w:r>
      <w:r>
        <w:rPr/>
        <w:t>广东君诚招标代理有限公司</w:t>
      </w:r>
      <w:r>
        <w:rPr/>
        <w:t>有关指引，递交事宜请自行咨询</w:t>
      </w:r>
      <w:r>
        <w:rPr/>
        <w:t>广东君诚招标代理有限公司</w:t>
      </w:r>
      <w:r>
        <w:rPr/>
        <w:t>；请各供应商在响应文件递交截止时间前按须知前附表规定的金额递交至</w:t>
      </w:r>
      <w:r>
        <w:rPr/>
        <w:t>广东君诚招标代理有限公司</w:t>
      </w:r>
      <w:r>
        <w:rPr/>
        <w:t>，到账情况以开启时</w:t>
      </w:r>
      <w:r>
        <w:rPr/>
        <w:t>广东君诚招标代理有限公司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广东君诚招标代理有限公司网（http://gdjczbdl.com/）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广东君诚招标代理有限公司网（http://gdjczbdl.com/）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邱小凤</w:t>
      </w:r>
    </w:p>
    <w:p>
      <w:pPr>
        <w:pStyle w:val="null3"/>
        <w:ind w:firstLine="480"/>
      </w:pPr>
      <w:r>
        <w:rPr/>
        <w:t>电话：</w:t>
      </w:r>
      <w:r>
        <w:rPr/>
        <w:t>0751-8531131</w:t>
      </w:r>
    </w:p>
    <w:p>
      <w:pPr>
        <w:pStyle w:val="null3"/>
        <w:ind w:firstLine="480"/>
      </w:pPr>
      <w:r>
        <w:rPr/>
        <w:t>传真：</w:t>
      </w:r>
      <w:r>
        <w:rPr/>
        <w:t>/</w:t>
      </w:r>
    </w:p>
    <w:p>
      <w:pPr>
        <w:pStyle w:val="null3"/>
        <w:ind w:firstLine="480"/>
      </w:pPr>
      <w:r>
        <w:rPr/>
        <w:t>邮箱：</w:t>
      </w:r>
      <w:r>
        <w:rPr/>
        <w:t>gdjczbdl@163.com</w:t>
      </w:r>
    </w:p>
    <w:p>
      <w:pPr>
        <w:pStyle w:val="null3"/>
        <w:ind w:firstLine="480"/>
      </w:pPr>
      <w:r>
        <w:rPr/>
        <w:t>地址：</w:t>
      </w:r>
      <w:r>
        <w:rPr/>
        <w:t>广东省韶关市武江区百旺大桥南侧佰旺广场D1栋写字楼406-413号</w:t>
      </w:r>
    </w:p>
    <w:p>
      <w:pPr>
        <w:pStyle w:val="null3"/>
        <w:ind w:firstLine="480"/>
      </w:pPr>
      <w:r>
        <w:rPr/>
        <w:t>邮编：</w:t>
      </w:r>
      <w:r>
        <w:rPr/>
        <w:t>512026</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政府采购监督管理机构名称：南雄市财政局政府采购监督管理股</w:t>
      </w:r>
    </w:p>
    <w:p>
      <w:pPr>
        <w:pStyle w:val="null3"/>
      </w:pPr>
      <w:r>
        <w:rPr/>
        <w:t>地 址：广东省韶关市南雄市雄中路323号财政局</w:t>
      </w:r>
    </w:p>
    <w:p>
      <w:pPr>
        <w:pStyle w:val="null3"/>
      </w:pPr>
      <w:r>
        <w:rPr/>
        <w:t>电 话：0751-3862501</w:t>
      </w:r>
    </w:p>
    <w:p>
      <w:pPr>
        <w:pStyle w:val="null3"/>
      </w:pPr>
      <w:r>
        <w:rPr/>
        <w:t>邮 编：512400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韶关市南雄市2026年中央财政林草有害生物防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广东君诚招标代理有限公司</w:t>
      </w:r>
      <w:r>
        <w:rPr/>
        <w:t>统一对外发布。</w:t>
      </w:r>
    </w:p>
    <w:p>
      <w:pPr>
        <w:pStyle w:val="null3"/>
        <w:ind w:firstLine="480"/>
      </w:pPr>
      <w:r>
        <w:rPr/>
        <w:t>（2）对</w:t>
      </w:r>
      <w:r>
        <w:rPr/>
        <w:t>广东君诚招标代理有限公司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采购包1（广东省韶关市南雄市2026年中央财政林草有害生物防治项目）：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属于《节能产品政府采购品目清单》、《环境标志产品政府采购品目清单》范围内的，对获得节能产品认证证书（针对非政府强制采购产品）或环境标志产品认证证书的产品给予1%的价格扣除，用扣除后的价格参与评审（本条款中两种价格扣除原则不同时使用）；对属于品目清单内的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采购包1（广东省韶关市南雄市2026年中央财政林草有害生物防治项目）：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本项目特定资格要求</w:t>
            </w:r>
          </w:p>
        </w:tc>
        <w:tc>
          <w:tcPr>
            <w:tcW w:type="dxa" w:w="4238"/>
          </w:tcPr>
          <w:p>
            <w:pPr>
              <w:pStyle w:val="null3"/>
            </w:pPr>
            <w:r>
              <w:rPr/>
              <w:t>供应商须具有林业有害生物防治资质丙级或以上资质证书（提供有效证书复印件）。</w:t>
            </w:r>
          </w:p>
        </w:tc>
      </w:tr>
      <w:tr>
        <w:tc>
          <w:tcPr>
            <w:tcW w:type="dxa" w:w="890"/>
          </w:tcPr>
          <w:p>
            <w:pPr>
              <w:pStyle w:val="null3"/>
            </w:pPr>
            <w:r>
              <w:rPr/>
              <w:t>9</w:t>
            </w:r>
          </w:p>
        </w:tc>
        <w:tc>
          <w:tcPr>
            <w:tcW w:type="dxa" w:w="3178"/>
          </w:tcPr>
          <w:p>
            <w:pPr>
              <w:pStyle w:val="null3"/>
            </w:pPr>
            <w:r>
              <w:rPr/>
              <w:t>关于联合体投标（响应）</w:t>
            </w:r>
          </w:p>
        </w:tc>
        <w:tc>
          <w:tcPr>
            <w:tcW w:type="dxa" w:w="4238"/>
          </w:tcPr>
          <w:p>
            <w:pPr>
              <w:pStyle w:val="null3"/>
            </w:pPr>
            <w:r>
              <w:rPr/>
              <w:t>本采购包不接受联合体投标（响应）。</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本采购包专门面向中小企业采购，参与的供应商服务全部由符合政策要求的中小企业承接。 （1）供应商为中小企业的，须在投标（响应）文件中提交《中小企业声明函》。 （2）供应商为监狱企业、残疾人福利性单位或工商个体户的，视同小型、微型企业，投标（响应）时须提供相关证明文件，其中监狱企业须供应商提供由省级以上监狱管理局、戒毒管理局（含新疆生产建设兵团）出具的属于监狱企业的证明文件；残疾人福利性单位须提供《残疾人福利性单位声明函》；工商个体户须提供营业执照。 （3）中小企业参加政府采购活动，应当按照国务院批准的中小企业划分标准[《中小企业划型标准规定》（工信部联企业〔2011〕300号）《金融业企业划型标准规定》（银发〔2015〕309号）]和《管理办法》规定，出具《中小企业声明函》。《中小企业声明函》中相关企业[制造商、承建（承接）企业]所属行业应当与采购标的所属行业相一致（本项目采购标的所属行业见第二章 采购需求“2.技术标准与要求：所属行业”）。 （4）供应商提供《中小企业声明函》《残疾人福利性单位声明函》，监狱企业或工商个体户证明文件内容不实的，属于提供虚假材料谋取中标、成交，依照《中华人民共和国政府采购法》等国家有关规定追究相应责任。</w:t>
            </w:r>
          </w:p>
        </w:tc>
      </w:tr>
    </w:tbl>
    <w:p>
      <w:pPr>
        <w:pStyle w:val="null3"/>
        <w:ind w:firstLine="480"/>
      </w:pPr>
      <w:r>
        <w:rPr/>
        <w:t>表二符合性审查表：</w:t>
      </w:r>
    </w:p>
    <w:p>
      <w:pPr>
        <w:pStyle w:val="null3"/>
      </w:pPr>
      <w:r>
        <w:rPr/>
        <w:t>采购包1（广东省韶关市南雄市2026年中央财政林草有害生物防治项目）：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响应文件的签署、盖章</w:t>
            </w:r>
          </w:p>
        </w:tc>
        <w:tc>
          <w:tcPr>
            <w:tcW w:type="dxa" w:w="4238"/>
          </w:tcPr>
          <w:p>
            <w:pPr>
              <w:pStyle w:val="null3"/>
            </w:pPr>
            <w:r>
              <w:rPr/>
              <w:t>①按磋商文件要求编制响应文件，并按规定签署、盖章； ②法定代表人/负责人证明书按对应格式文件签署、盖章； ③法定代表人/负责人授权书（授权委托人参加投标的须提供），按对应格式文件签署、盖章。</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响应承诺函已提交并符合磋商文件要求。</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①对本项目全部采购内容进行响应报价，没有报价漏项； ②在经营范围内报价，投标（报价）是固定价且是唯一的，未超过本项目预算金额或最高限价； ③未出现磋商文件规定的异常低价情形，否则磋商小组将启动异常低价投标（响应）审查程序。</w:t>
            </w:r>
          </w:p>
        </w:tc>
      </w:tr>
      <w:tr>
        <w:tc>
          <w:tcPr>
            <w:tcW w:type="dxa" w:w="890"/>
          </w:tcPr>
          <w:p>
            <w:pPr>
              <w:pStyle w:val="null3"/>
            </w:pPr>
            <w:r>
              <w:rPr/>
              <w:t>4</w:t>
            </w:r>
          </w:p>
        </w:tc>
        <w:tc>
          <w:tcPr>
            <w:tcW w:type="dxa" w:w="3178"/>
          </w:tcPr>
          <w:p>
            <w:pPr>
              <w:pStyle w:val="null3"/>
            </w:pPr>
            <w:r>
              <w:rPr/>
              <w:t>“★”号实质性条款响应情况</w:t>
            </w:r>
          </w:p>
        </w:tc>
        <w:tc>
          <w:tcPr>
            <w:tcW w:type="dxa" w:w="4238"/>
          </w:tcPr>
          <w:p>
            <w:pPr>
              <w:pStyle w:val="null3"/>
            </w:pPr>
            <w:r>
              <w:rPr/>
              <w:t>响应文件完全满足磋商文件中实质性响应条款（即标注“★”号条款）。</w:t>
            </w:r>
          </w:p>
        </w:tc>
      </w:tr>
      <w:tr>
        <w:tc>
          <w:tcPr>
            <w:tcW w:type="dxa" w:w="890"/>
          </w:tcPr>
          <w:p>
            <w:pPr>
              <w:pStyle w:val="null3"/>
            </w:pPr>
            <w:r>
              <w:rPr/>
              <w:t>5</w:t>
            </w:r>
          </w:p>
        </w:tc>
        <w:tc>
          <w:tcPr>
            <w:tcW w:type="dxa" w:w="3178"/>
          </w:tcPr>
          <w:p>
            <w:pPr>
              <w:pStyle w:val="null3"/>
            </w:pPr>
            <w:r>
              <w:rPr/>
              <w:t>响应文件有效期</w:t>
            </w:r>
          </w:p>
        </w:tc>
        <w:tc>
          <w:tcPr>
            <w:tcW w:type="dxa" w:w="4238"/>
          </w:tcPr>
          <w:p>
            <w:pPr>
              <w:pStyle w:val="null3"/>
            </w:pPr>
            <w:r>
              <w:rPr/>
              <w:t>符合磋商文件中关于响应文件有效期的要求。</w:t>
            </w:r>
          </w:p>
        </w:tc>
      </w:tr>
      <w:tr>
        <w:tc>
          <w:tcPr>
            <w:tcW w:type="dxa" w:w="890"/>
          </w:tcPr>
          <w:p>
            <w:pPr>
              <w:pStyle w:val="null3"/>
            </w:pPr>
            <w:r>
              <w:rPr/>
              <w:t>6</w:t>
            </w:r>
          </w:p>
        </w:tc>
        <w:tc>
          <w:tcPr>
            <w:tcW w:type="dxa" w:w="3178"/>
          </w:tcPr>
          <w:p>
            <w:pPr>
              <w:pStyle w:val="null3"/>
            </w:pPr>
            <w:r>
              <w:rPr/>
              <w:t>未出现串通投标情形</w:t>
            </w:r>
          </w:p>
        </w:tc>
        <w:tc>
          <w:tcPr>
            <w:tcW w:type="dxa" w:w="4238"/>
          </w:tcPr>
          <w:p>
            <w:pPr>
              <w:pStyle w:val="null3"/>
            </w:pPr>
            <w:r>
              <w:rPr/>
              <w:t>未出现法律、法规所列的视为串通投标情形。</w:t>
            </w:r>
          </w:p>
        </w:tc>
      </w:tr>
      <w:tr>
        <w:tc>
          <w:tcPr>
            <w:tcW w:type="dxa" w:w="890"/>
          </w:tcPr>
          <w:p>
            <w:pPr>
              <w:pStyle w:val="null3"/>
            </w:pPr>
            <w:r>
              <w:rPr/>
              <w:t>7</w:t>
            </w:r>
          </w:p>
        </w:tc>
        <w:tc>
          <w:tcPr>
            <w:tcW w:type="dxa" w:w="3178"/>
          </w:tcPr>
          <w:p>
            <w:pPr>
              <w:pStyle w:val="null3"/>
            </w:pPr>
            <w:r>
              <w:rPr/>
              <w:t>未出现其他无效投标（响应）情形</w:t>
            </w:r>
          </w:p>
        </w:tc>
        <w:tc>
          <w:tcPr>
            <w:tcW w:type="dxa" w:w="4238"/>
          </w:tcPr>
          <w:p>
            <w:pPr>
              <w:pStyle w:val="null3"/>
            </w:pPr>
            <w:r>
              <w:rPr/>
              <w:t>①响应文件未含有采购人不能接受的附加条件； ②不属于法律、法规和磋商文件规定的其他无效投标（响应）情形。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采购包1(广东省韶关市南雄市2026年中央财政林草有害生物防治项目):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技术服务方案 (10.0分)</w:t>
            </w:r>
          </w:p>
        </w:tc>
        <w:tc>
          <w:tcPr>
            <w:tcW w:type="dxa" w:w="5076"/>
          </w:tcPr>
          <w:p>
            <w:pPr>
              <w:pStyle w:val="null3"/>
              <w:jc w:val="left"/>
            </w:pPr>
            <w:r>
              <w:rPr/>
              <w:t>根据响应供应商针对本项目提交的技术服务方案(包括但不限于承诺的技术指标及有针对性的施工措施、人员安排、应急处置等）进行评审： 1、技术服务方案完全涵盖以上全部内容，且整体方案技术可行，思路清晰，目标明确，措施到位，针对性强，方案内容满足或优于采购需求的，得10分； 2、技术服务方案涵盖以上全部内容，但其中1项内容不够完整或不够合理，整体方案技术较可行，思路较清晰，目标较明确，措施较到位，针对性较强，方案内容基本满足采购需求的，得7分； 3、技术服务方案涵盖以上全部内容，但其中2项内容不够完整或不够合理，整体方案技术基本可行，思路基本清晰，目标基本明确，措施基本到位，具有一定针对性，方案内容基本满足采购需求的，得4分； 4、技术服务方案未完全涵盖以上全部内容，或3项内容均不够完整、不够合理，整体方案针对性和可行性较低，方案内容不完全满足采购需求的，得1分； 5、没有相关表述，或提供不相符的内容，不得分。</w:t>
            </w:r>
          </w:p>
        </w:tc>
      </w:tr>
      <w:tr>
        <w:tc>
          <w:tcPr>
            <w:tcW w:type="dxa" w:w="922"/>
            <w:gridSpan w:val="2"/>
            <w:vMerge/>
          </w:tcPr>
          <w:p/>
        </w:tc>
        <w:tc>
          <w:tcPr>
            <w:tcW w:type="dxa" w:w="2307"/>
          </w:tcPr>
          <w:p>
            <w:pPr>
              <w:pStyle w:val="null3"/>
              <w:jc w:val="left"/>
            </w:pPr>
            <w:r>
              <w:rPr/>
              <w:t>工期承诺及保障措施 (10.0分)</w:t>
            </w:r>
          </w:p>
        </w:tc>
        <w:tc>
          <w:tcPr>
            <w:tcW w:type="dxa" w:w="5076"/>
          </w:tcPr>
          <w:p>
            <w:pPr>
              <w:pStyle w:val="null3"/>
              <w:jc w:val="left"/>
            </w:pPr>
            <w:r>
              <w:rPr/>
              <w:t>根据响应供应商对工期承诺及保障措施（包括但不限于施工工期计划安排和施工进度保障措施等）进行评审： 1、项目施工进度计划优于采购需求，施工进度保障措施合理性、可行性高的，得10分； 2、项目施工进度计划满足采购需求，施工进度保障措施较合理可行的，得7分； 3、项目施工进度计划较简单，施工进度保障措施有一定的合理性、可行性的，得4分； 4、项目施工进度计划差，施工进度保障措施不合理、可行性差的，得1分； 5、没有相关表述，或提供不相符的内容，不得分。</w:t>
            </w:r>
          </w:p>
        </w:tc>
      </w:tr>
      <w:tr>
        <w:tc>
          <w:tcPr>
            <w:tcW w:type="dxa" w:w="922"/>
            <w:gridSpan w:val="2"/>
            <w:vMerge/>
          </w:tcPr>
          <w:p/>
        </w:tc>
        <w:tc>
          <w:tcPr>
            <w:tcW w:type="dxa" w:w="2307"/>
          </w:tcPr>
          <w:p>
            <w:pPr>
              <w:pStyle w:val="null3"/>
              <w:jc w:val="left"/>
            </w:pPr>
            <w:r>
              <w:rPr/>
              <w:t>质量承诺及保障措施 (10.0分)</w:t>
            </w:r>
          </w:p>
        </w:tc>
        <w:tc>
          <w:tcPr>
            <w:tcW w:type="dxa" w:w="5076"/>
          </w:tcPr>
          <w:p>
            <w:pPr>
              <w:pStyle w:val="null3"/>
              <w:jc w:val="left"/>
            </w:pPr>
            <w:r>
              <w:rPr/>
              <w:t>根据响应供应商的质量承诺及保障措施（包括施工项目各环节的质量管理、操作规程、现场质量管控措施、防治效果、质量承诺等）进行评审： 1、质量承诺及保障措施方案完全涵盖以上全部内容，且内容详细合理，整体方案可行性高、操作性强的，方案内容满足或优于采购需求的，得10分； 2、质量承诺及保障措施方案涵盖以上全部内容，但其中1项内容不够完整或不够合理，整体方案具备一定的可行性和可操作性，方案内容基本满足采购需求的，得6分； 3、质量承诺及保障措施方案未完全涵盖以上全部内容，或其中2项或以上内容不够完整或不够合理，整体方案可行性和可操作性较低，方案内容不完全满足采购需求的，得2分； 4、没有相关表述，或提供不相符的内容，不得分。</w:t>
            </w:r>
          </w:p>
        </w:tc>
      </w:tr>
      <w:tr>
        <w:tc>
          <w:tcPr>
            <w:tcW w:type="dxa" w:w="922"/>
            <w:gridSpan w:val="2"/>
            <w:vMerge/>
          </w:tcPr>
          <w:p/>
        </w:tc>
        <w:tc>
          <w:tcPr>
            <w:tcW w:type="dxa" w:w="2307"/>
          </w:tcPr>
          <w:p>
            <w:pPr>
              <w:pStyle w:val="null3"/>
              <w:jc w:val="left"/>
            </w:pPr>
            <w:r>
              <w:rPr/>
              <w:t>技术实力 (11.0分)</w:t>
            </w:r>
          </w:p>
        </w:tc>
        <w:tc>
          <w:tcPr>
            <w:tcW w:type="dxa" w:w="5076"/>
          </w:tcPr>
          <w:p>
            <w:pPr>
              <w:pStyle w:val="null3"/>
              <w:jc w:val="left"/>
            </w:pPr>
            <w:r>
              <w:rPr/>
              <w:t>根据供应商拟投入本项目的人员情况进行评分： （一）项目负责人（1人）： 1、拟投入本项目的项目负责人具有林业(或园林)类工程师高级职称的，得3分；具有林业(或园林)类工程师中级职称的，得2分；具有林业(或园林)类工程师初级职称的，得1分；无职称的不得分。本小项最高得3分。 （二）团队人员（除项目负责人外）： 1、拟投入本项目的人员中，具有林业(或园林)类工程师中级职称的，每提供一人得1分；本小项最高得2分。 2、拟投入本项目的人员中，具有林业(或园林)类工程师助理级的，每提供一人得0.5分；本小项最高得1分。 3、拟投入本项目的人员中，具有林业有害生物防治员证书的，每提供一人得1人；本小项最高得5分。 注：①同一人员具有多个证书的，以最高分数计算，不累计计分。②提供上述人员有效期内相关证书复印件及响应供应商近六个月任意一个月购买社保证明材料或在职证明材料（如为退休人员，须提供退休证及在本单位任职的证明）复印件，并加盖供应商公章，不提供不得分。</w:t>
            </w:r>
          </w:p>
        </w:tc>
      </w:tr>
      <w:tr>
        <w:tc>
          <w:tcPr>
            <w:tcW w:type="dxa" w:w="922"/>
            <w:gridSpan w:val="2"/>
            <w:vMerge/>
          </w:tcPr>
          <w:p/>
        </w:tc>
        <w:tc>
          <w:tcPr>
            <w:tcW w:type="dxa" w:w="2307"/>
          </w:tcPr>
          <w:p>
            <w:pPr>
              <w:pStyle w:val="null3"/>
              <w:jc w:val="left"/>
            </w:pPr>
            <w:r>
              <w:rPr/>
              <w:t>应急措施方案 (9.0分)</w:t>
            </w:r>
          </w:p>
        </w:tc>
        <w:tc>
          <w:tcPr>
            <w:tcW w:type="dxa" w:w="5076"/>
          </w:tcPr>
          <w:p>
            <w:pPr>
              <w:pStyle w:val="null3"/>
              <w:jc w:val="left"/>
            </w:pPr>
            <w:r>
              <w:rPr/>
              <w:t>根据供应商提供的应急措施方案（包括但不限于应急预案、突发事件的处理措施和资源调配能力等）进行综合评审： 1、应急处置方案最全面详细、可行性最高，资源调配能力最强，现场秩序维护保障性最科学合理的，得9分； 2、应急处置方案全面详细、可行性高，资源调配能力强，现场秩序维护保障性科学合理的，得6分； 3、应急处置方案基本全面详细、可行性一般，资源调配能力一般，现场秩序维护保障性基本科学合理的，得3分； 4、应急处置方案不够详细，资源调配能力弱，现场秩序维护保障性不够科学合理的，得1分； 5、未提供相关内容阐述的不得分。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对商务要求的响应程度(10.0分) (10.0分)</w:t>
            </w:r>
          </w:p>
        </w:tc>
        <w:tc>
          <w:tcPr>
            <w:tcW w:type="dxa" w:w="5076"/>
          </w:tcPr>
          <w:p>
            <w:pPr>
              <w:pStyle w:val="null3"/>
              <w:jc w:val="left"/>
            </w:pPr>
            <w:r>
              <w:rPr/>
              <w:t>根据供应商对以下商务要求的响应程度进行评审： 1.标的提供的时间及标的提供的地点； 2.响应有效期； 3.付款方式； 4.验收要求； 5.其他要求（包含报价要求、安全要求及现场踏勘要求）。 以上商务要求，每有一项完全满足的，得2分，最高得10分。</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根据供应商完成的类似项目（范围：林业有害生物防治、抚育、植树造林等）业绩进行评审：提供3个（含）以上业绩得5分；提供2个业绩得3分；提供1个业绩得1分。 注：提供项目合同关键页（含签订合同双方的单位名称、项目内容/清单、签订合同双方的落款盖章、签订日期的关键页）复印件加盖供应商公章，未提供或提供不齐全不得分。</w:t>
            </w:r>
          </w:p>
        </w:tc>
      </w:tr>
      <w:tr>
        <w:tc>
          <w:tcPr>
            <w:tcW w:type="dxa" w:w="922"/>
            <w:gridSpan w:val="2"/>
            <w:vMerge/>
          </w:tcPr>
          <w:p/>
        </w:tc>
        <w:tc>
          <w:tcPr>
            <w:tcW w:type="dxa" w:w="2307"/>
          </w:tcPr>
          <w:p>
            <w:pPr>
              <w:pStyle w:val="null3"/>
              <w:jc w:val="left"/>
            </w:pPr>
            <w:r>
              <w:rPr/>
              <w:t>售后服务1 (9.0分)</w:t>
            </w:r>
          </w:p>
        </w:tc>
        <w:tc>
          <w:tcPr>
            <w:tcW w:type="dxa" w:w="5076"/>
          </w:tcPr>
          <w:p>
            <w:pPr>
              <w:pStyle w:val="null3"/>
              <w:jc w:val="left"/>
            </w:pPr>
            <w:r>
              <w:rPr/>
              <w:t>根据响应供应商提供的售后服务方案（包括但不限于：①售后服务计划及内容；②售后服务团队及人员管理；③突发事件应急预案等内容）进行综合评审： 1.售后服务方案完全涵盖了以上全部内容，且整体方案可行性高，思路清晰，措施到位，针对性强，方案内容满足或优于采购需求的，得9分； 2.售后服务方案完全涵盖以上全部内容，但其中1项内容不够完整或不够合理，整体方案较可行，思路较清晰，目标较明确，措施较到位，针对性较强，整体方案基本能满足采购需求的，得5分； 3.售后服务方案未完全涵盖以上全部内容，或其中2项或以上内容不够完整或不够合理，整体方案不完全满足采购需求的，得1分； 4.没有相关表述，或提供不相符的内容，不得分。</w:t>
            </w:r>
          </w:p>
        </w:tc>
      </w:tr>
      <w:tr>
        <w:tc>
          <w:tcPr>
            <w:tcW w:type="dxa" w:w="922"/>
            <w:gridSpan w:val="2"/>
            <w:vMerge/>
          </w:tcPr>
          <w:p/>
        </w:tc>
        <w:tc>
          <w:tcPr>
            <w:tcW w:type="dxa" w:w="2307"/>
          </w:tcPr>
          <w:p>
            <w:pPr>
              <w:pStyle w:val="null3"/>
              <w:jc w:val="left"/>
            </w:pPr>
            <w:r>
              <w:rPr/>
              <w:t>售后服务2 (6.0分)</w:t>
            </w:r>
          </w:p>
        </w:tc>
        <w:tc>
          <w:tcPr>
            <w:tcW w:type="dxa" w:w="5076"/>
          </w:tcPr>
          <w:p>
            <w:pPr>
              <w:pStyle w:val="null3"/>
              <w:jc w:val="left"/>
            </w:pPr>
            <w:r>
              <w:rPr/>
              <w:t>根据响应供应商服务及时性进行评审： 1、承诺在接到采购人通知后的现场服务响应时间≤4小时的，得6分； 2、承诺在接到采购人通知后的现场服务响应时间在4小时（不含）-6小时（含）的，得3分； 3、承诺在接到采购人通知后的现场服务响应时间在6小时（不含）-9小时（含）的，得1分； 4、承诺超出9小时的，不得分。 注：提供承诺函（格式自拟）并加盖供应商公章。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1.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2.根据《关于优化政府采购信用评价工作的通知》（韶财采购[2024]5号）要求，对供应商的诚信状况（普通失信行为）进行评审，具体计算公式如下：响应供应商评审报价=供应商最后一轮报价+供应商最后一轮报价×〔（诚信基础得分一诚信记录得分）÷诚信基础得分〕×5% 两个以上的自然人、法人或者其他组织组成一个联合体，以一个供应商的身份共同参加政府采购活动的，应当对所有联合体成员进行诚信记录查询，诚信记录得分以联合体成员的诚信记录平均得分参与评审。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1.评审小组按照采购文件确定的评审方法、评审程序和评审标准，对响应文件进行评审，根据综合评分情况，提出书面评审报告，按照评审综合得分由高到低顺序推荐3名成交候选供应商。综合得分排名第一的响应供应商为第一成交候选供应商，综合得分排名第二的响应供应商为第二成交候选供应商，综合得分排名第三的响应供应商为第三成交候选供应商。综合得分相同的按最终报价由低到高顺序排列；综合得分且最终报价相同的，按技术得分由高到低顺序排列；如以上都相同的，由评审小组采取随机抽取的方式确定。 2.使用综合评分法的采购项目，提供相同品牌产品（非单一产品采购，以核心产品为准。多个核心产品的，有一种产品品牌相同，即视为提供相同品牌产品）且通过资格审查、符合性审查的不同投标人参加同一合同项下投标的，按一家投标人计算，评审后得分最高的同品牌投标人获得中标（成交）人推荐资格；评审得分相同的，按下列顺序确定一个投标人获得中标（成交）人推荐资格：（1）最终报价者；（2）技术得分高者，如以上都相同的，由采购人或者采购人委托评审小组采取随机抽取方式确定一个投标人获得中标（成交）人推荐资格，其他同品牌投标人不作为中标（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合  同  书</w:t>
      </w:r>
    </w:p>
    <w:p>
      <w:pPr>
        <w:pStyle w:val="null3"/>
        <w:jc w:val="both"/>
      </w:pPr>
      <w:r>
        <w:rPr>
          <w:sz w:val="24"/>
          <w:b/>
        </w:rPr>
        <w:t>合同编号：</w:t>
      </w:r>
      <w:r>
        <w:rPr>
          <w:sz w:val="21"/>
          <w:b/>
          <w:u w:val="single"/>
        </w:rPr>
        <w:t xml:space="preserve">                                  </w:t>
      </w:r>
    </w:p>
    <w:p>
      <w:pPr>
        <w:pStyle w:val="null3"/>
        <w:ind w:firstLine="1889"/>
        <w:jc w:val="both"/>
      </w:pPr>
      <w:r>
        <w:rPr>
          <w:sz w:val="24"/>
          <w:b/>
        </w:rPr>
        <w:t>项目编号：</w:t>
      </w:r>
      <w:r>
        <w:rPr>
          <w:sz w:val="24"/>
          <w:b/>
          <w:u w:val="single"/>
        </w:rPr>
        <w:t xml:space="preserve">                                  </w:t>
      </w:r>
    </w:p>
    <w:p>
      <w:pPr>
        <w:pStyle w:val="null3"/>
        <w:ind w:firstLine="1889"/>
        <w:jc w:val="both"/>
      </w:pPr>
      <w:r>
        <w:rPr>
          <w:sz w:val="24"/>
          <w:b/>
        </w:rPr>
        <w:t>项目名称：</w:t>
      </w:r>
      <w:r>
        <w:rPr>
          <w:sz w:val="24"/>
          <w:b/>
          <w:u w:val="single"/>
        </w:rPr>
        <w:t xml:space="preserve"> 广东省韶关市南雄市2026年中央财政林草有害生物防治项目</w:t>
      </w:r>
    </w:p>
    <w:p>
      <w:pPr>
        <w:pStyle w:val="null3"/>
        <w:ind w:firstLine="1889"/>
        <w:jc w:val="both"/>
      </w:pPr>
      <w:r>
        <w:rPr>
          <w:sz w:val="24"/>
          <w:b/>
        </w:rPr>
        <w:t>签约地点：</w:t>
      </w:r>
      <w:r>
        <w:rPr>
          <w:sz w:val="24"/>
          <w:b/>
          <w:u w:val="single"/>
        </w:rPr>
        <w:t xml:space="preserve"> 南雄市林业局                     </w:t>
      </w:r>
    </w:p>
    <w:p>
      <w:pPr>
        <w:pStyle w:val="null3"/>
        <w:ind w:firstLine="1928"/>
        <w:jc w:val="both"/>
      </w:pPr>
      <w:r>
        <w:rPr>
          <w:sz w:val="24"/>
          <w:b/>
        </w:rPr>
        <w:t>签订日期：</w:t>
      </w:r>
      <w:r>
        <w:rPr>
          <w:sz w:val="21"/>
          <w:b/>
          <w:u w:val="single"/>
        </w:rPr>
        <w:t xml:space="preserve">     </w:t>
      </w:r>
      <w:r>
        <w:rPr>
          <w:sz w:val="24"/>
          <w:b/>
        </w:rPr>
        <w:t>年</w:t>
      </w:r>
      <w:r>
        <w:rPr>
          <w:sz w:val="21"/>
          <w:b/>
          <w:u w:val="single"/>
        </w:rPr>
        <w:t xml:space="preserve">     </w:t>
      </w:r>
      <w:r>
        <w:rPr>
          <w:sz w:val="24"/>
          <w:b/>
        </w:rPr>
        <w:t>月</w:t>
      </w:r>
      <w:r>
        <w:rPr>
          <w:sz w:val="21"/>
          <w:b/>
          <w:u w:val="single"/>
        </w:rPr>
        <w:t xml:space="preserve">     </w:t>
      </w:r>
      <w:r>
        <w:rPr>
          <w:sz w:val="24"/>
          <w:b/>
        </w:rPr>
        <w:t>日</w:t>
      </w:r>
    </w:p>
    <w:p>
      <w:pPr>
        <w:pStyle w:val="null3"/>
      </w:pPr>
      <w:r>
        <w:rPr>
          <w:sz w:val="21"/>
          <w:b/>
        </w:rPr>
        <w:t>甲方：</w:t>
      </w:r>
      <w:r>
        <w:rPr>
          <w:sz w:val="21"/>
          <w:color w:val="000000"/>
          <w:u w:val="single"/>
        </w:rPr>
        <w:t>南雄市林业局</w:t>
      </w:r>
    </w:p>
    <w:p>
      <w:pPr>
        <w:pStyle w:val="null3"/>
        <w:jc w:val="both"/>
      </w:pPr>
      <w:r>
        <w:rPr>
          <w:sz w:val="21"/>
        </w:rPr>
        <w:t>地址：</w:t>
      </w:r>
      <w:r>
        <w:rPr>
          <w:sz w:val="21"/>
          <w:color w:val="000000"/>
          <w:u w:val="single"/>
        </w:rPr>
        <w:t>南雄市林荫西路64号</w:t>
      </w:r>
    </w:p>
    <w:p>
      <w:pPr>
        <w:pStyle w:val="null3"/>
        <w:jc w:val="both"/>
      </w:pPr>
      <w:r>
        <w:rPr>
          <w:sz w:val="21"/>
        </w:rPr>
        <w:t>电话：</w:t>
      </w:r>
      <w:r>
        <w:rPr>
          <w:sz w:val="21"/>
          <w:color w:val="000000"/>
          <w:u w:val="single"/>
        </w:rPr>
        <w:t>0751</w:t>
      </w:r>
      <w:r>
        <w:rPr>
          <w:sz w:val="21"/>
          <w:color w:val="000000"/>
          <w:u w:val="single"/>
        </w:rPr>
        <w:t>－3871257</w:t>
      </w:r>
    </w:p>
    <w:p>
      <w:pPr>
        <w:pStyle w:val="null3"/>
        <w:jc w:val="both"/>
      </w:pPr>
      <w:r>
        <w:rPr>
          <w:sz w:val="21"/>
          <w:b/>
        </w:rPr>
        <w:t>乙方：</w:t>
      </w:r>
      <w:r>
        <w:rPr>
          <w:sz w:val="21"/>
          <w:b/>
          <w:u w:val="single"/>
        </w:rPr>
        <w:t xml:space="preserve">                </w:t>
      </w:r>
    </w:p>
    <w:p>
      <w:pPr>
        <w:pStyle w:val="null3"/>
        <w:jc w:val="both"/>
      </w:pPr>
      <w:r>
        <w:rPr>
          <w:sz w:val="21"/>
        </w:rPr>
        <w:t>地址：</w:t>
      </w:r>
      <w:r>
        <w:rPr>
          <w:sz w:val="21"/>
          <w:b/>
          <w:u w:val="single"/>
        </w:rPr>
        <w:t xml:space="preserve">                </w:t>
      </w:r>
    </w:p>
    <w:p>
      <w:pPr>
        <w:pStyle w:val="null3"/>
        <w:jc w:val="both"/>
      </w:pPr>
      <w:r>
        <w:rPr>
          <w:sz w:val="21"/>
        </w:rPr>
        <w:t>电话：</w:t>
      </w:r>
      <w:r>
        <w:rPr>
          <w:sz w:val="21"/>
          <w:b/>
          <w:u w:val="single"/>
        </w:rPr>
        <w:t xml:space="preserve">                </w:t>
      </w:r>
    </w:p>
    <w:p>
      <w:pPr>
        <w:pStyle w:val="null3"/>
        <w:ind w:firstLine="420"/>
        <w:jc w:val="left"/>
      </w:pPr>
      <w:r>
        <w:rPr>
          <w:sz w:val="21"/>
        </w:rPr>
        <w:t>根据</w:t>
      </w:r>
      <w:r>
        <w:rPr>
          <w:sz w:val="21"/>
          <w:u w:val="single"/>
        </w:rPr>
        <w:t>广东省韶关市南雄市2026年中央财政林草有害生物防治项目</w:t>
      </w:r>
      <w:r>
        <w:rPr>
          <w:sz w:val="21"/>
        </w:rPr>
        <w:t>（项目编号</w:t>
      </w:r>
      <w:r>
        <w:rPr>
          <w:sz w:val="21"/>
          <w:color w:val="000000"/>
        </w:rPr>
        <w:t>：</w:t>
      </w:r>
      <w:r>
        <w:rPr>
          <w:sz w:val="21"/>
          <w:color w:val="000000"/>
          <w:u w:val="single"/>
        </w:rPr>
        <w:t>JCZB2026059CS</w:t>
      </w:r>
      <w:r>
        <w:rPr>
          <w:sz w:val="21"/>
        </w:rPr>
        <w:t>）采购结果，按照《中华人民共和国政府采购法》、《中华人民共和国民法典》的规定，双方本着平等互利和诚实信用原则协商一致同意签订本合同：</w:t>
      </w:r>
    </w:p>
    <w:p>
      <w:pPr>
        <w:pStyle w:val="null3"/>
        <w:ind w:firstLine="422"/>
        <w:jc w:val="both"/>
      </w:pPr>
      <w:r>
        <w:rPr>
          <w:sz w:val="21"/>
          <w:b/>
        </w:rPr>
        <w:t>第一条、合同金额</w:t>
      </w:r>
    </w:p>
    <w:p>
      <w:pPr>
        <w:pStyle w:val="null3"/>
        <w:ind w:firstLine="420"/>
        <w:jc w:val="both"/>
      </w:pPr>
      <w:r>
        <w:rPr>
          <w:sz w:val="21"/>
        </w:rPr>
        <w:t>合同金额为（大写）：</w:t>
      </w:r>
      <w:r>
        <w:rPr>
          <w:sz w:val="21"/>
          <w:u w:val="single"/>
        </w:rPr>
        <w:t xml:space="preserve">           </w:t>
      </w:r>
      <w:r>
        <w:rPr>
          <w:sz w:val="21"/>
        </w:rPr>
        <w:t>整（¥</w:t>
      </w:r>
      <w:r>
        <w:rPr>
          <w:sz w:val="21"/>
          <w:u w:val="single"/>
        </w:rPr>
        <w:t xml:space="preserve">          </w:t>
      </w:r>
      <w:r>
        <w:rPr>
          <w:sz w:val="21"/>
        </w:rPr>
        <w:t>元）。</w:t>
      </w:r>
    </w:p>
    <w:p>
      <w:pPr>
        <w:pStyle w:val="null3"/>
        <w:ind w:firstLine="422"/>
        <w:jc w:val="both"/>
      </w:pPr>
      <w:r>
        <w:rPr>
          <w:sz w:val="21"/>
          <w:b/>
        </w:rPr>
        <w:t>第二条、项目规模、实施时间</w:t>
      </w:r>
    </w:p>
    <w:p>
      <w:pPr>
        <w:pStyle w:val="null3"/>
        <w:ind w:firstLine="420"/>
        <w:jc w:val="both"/>
      </w:pPr>
      <w:r>
        <w:rPr>
          <w:sz w:val="21"/>
        </w:rPr>
        <w:t>一、实施时间：</w:t>
      </w:r>
      <w:r>
        <w:rPr>
          <w:sz w:val="21"/>
        </w:rPr>
        <w:t>实施时间为2026年8月至</w:t>
      </w:r>
      <w:r>
        <w:rPr>
          <w:sz w:val="21"/>
        </w:rPr>
        <w:t>2027</w:t>
      </w:r>
      <w:r>
        <w:rPr>
          <w:sz w:val="21"/>
        </w:rPr>
        <w:t>年6月</w:t>
      </w:r>
      <w:r>
        <w:rPr>
          <w:sz w:val="21"/>
        </w:rPr>
        <w:t>，</w:t>
      </w:r>
      <w:r>
        <w:rPr>
          <w:sz w:val="21"/>
        </w:rPr>
        <w:t>其中松材线虫病疫木清理及松树蛀干害虫防治实施时间至2026年12月，保质期自验收合格之日起至2027年7月31日止；松材线虫病日常调查监测实施时间至2027年6月。</w:t>
      </w:r>
    </w:p>
    <w:p>
      <w:pPr>
        <w:pStyle w:val="null3"/>
        <w:ind w:firstLine="420"/>
        <w:jc w:val="both"/>
      </w:pPr>
      <w:r>
        <w:rPr>
          <w:sz w:val="21"/>
        </w:rPr>
        <w:t>二、项目规模：</w:t>
      </w:r>
    </w:p>
    <w:p>
      <w:pPr>
        <w:pStyle w:val="null3"/>
        <w:ind w:firstLine="420"/>
      </w:pPr>
      <w:r>
        <w:rPr>
          <w:sz w:val="21"/>
        </w:rPr>
        <w:t>1</w:t>
      </w:r>
      <w:r>
        <w:rPr>
          <w:sz w:val="21"/>
        </w:rPr>
        <w:t>、松材线虫病日常监测调查。监测范围全市未发生疫情和已实现无疫情的松林。</w:t>
      </w:r>
      <w:r>
        <w:rPr>
          <w:sz w:val="21"/>
        </w:rPr>
        <w:t>监测内容</w:t>
      </w:r>
      <w:r>
        <w:rPr>
          <w:sz w:val="21"/>
        </w:rPr>
        <w:t>，调查松树枯死、松针变色等异常情况。监测次数3次，监测时间2026年8月、2027年3月、2027年6月。</w:t>
      </w:r>
    </w:p>
    <w:p>
      <w:pPr>
        <w:pStyle w:val="null3"/>
        <w:ind w:firstLine="420"/>
      </w:pPr>
      <w:r>
        <w:rPr>
          <w:sz w:val="21"/>
        </w:rPr>
        <w:t>2</w:t>
      </w:r>
      <w:r>
        <w:rPr>
          <w:sz w:val="21"/>
        </w:rPr>
        <w:t>、松材线虫病疫木清理及松树蛀干害虫防治。</w:t>
      </w:r>
      <w:r>
        <w:rPr>
          <w:sz w:val="21"/>
        </w:rPr>
        <w:t>应用“松材线虫病疫情防控监管平台”移动端APP，10月前完成全市松材线虫病秋季疫情普查，普查和防治数据信息按要求录入监管平台。</w:t>
      </w:r>
      <w:r>
        <w:rPr>
          <w:sz w:val="21"/>
        </w:rPr>
        <w:t>防治面积4.11万亩，其中松材线虫病疫木清理面积2.34万亩</w:t>
      </w:r>
      <w:r>
        <w:rPr>
          <w:sz w:val="21"/>
        </w:rPr>
        <w:t>，</w:t>
      </w:r>
      <w:r>
        <w:rPr>
          <w:sz w:val="21"/>
        </w:rPr>
        <w:t>松树蛀干害虫防治面积1.77万亩</w:t>
      </w:r>
      <w:r>
        <w:rPr>
          <w:sz w:val="21"/>
        </w:rPr>
        <w:t>。因松材线虫病发生特点是动态变化，松材病枯死树清理除治以实际发生数量为准，采取绩效承包制。防治范围南雄市雄州街道，珠玑镇，乌迳镇，水口镇，黄坑镇，全安镇，湖口镇，邓坊镇，坪田镇，界址镇，南亩镇，帽子峰镇。</w:t>
      </w:r>
    </w:p>
    <w:p>
      <w:pPr>
        <w:pStyle w:val="null3"/>
        <w:ind w:firstLine="422"/>
        <w:jc w:val="both"/>
      </w:pPr>
      <w:r>
        <w:rPr>
          <w:sz w:val="21"/>
          <w:b/>
        </w:rPr>
        <w:t>第三条、防治技术要求</w:t>
      </w:r>
    </w:p>
    <w:p>
      <w:pPr>
        <w:pStyle w:val="null3"/>
        <w:ind w:firstLine="420"/>
        <w:jc w:val="both"/>
      </w:pPr>
      <w:r>
        <w:rPr>
          <w:sz w:val="21"/>
        </w:rPr>
        <w:t>松材线虫病疫木清理及松树蛀干害虫防治采取以下防治技术措施：</w:t>
      </w:r>
    </w:p>
    <w:p>
      <w:pPr>
        <w:pStyle w:val="null3"/>
        <w:ind w:firstLine="420"/>
        <w:jc w:val="both"/>
      </w:pPr>
      <w:r>
        <w:rPr>
          <w:sz w:val="21"/>
        </w:rPr>
        <w:t>1</w:t>
      </w:r>
      <w:r>
        <w:rPr>
          <w:sz w:val="21"/>
        </w:rPr>
        <w:t>、</w:t>
      </w:r>
      <w:r>
        <w:rPr>
          <w:sz w:val="21"/>
        </w:rPr>
        <w:t>粉碎（削片）处理</w:t>
      </w:r>
    </w:p>
    <w:p>
      <w:pPr>
        <w:pStyle w:val="null3"/>
        <w:ind w:firstLine="420"/>
        <w:jc w:val="both"/>
      </w:pPr>
      <w:r>
        <w:rPr>
          <w:sz w:val="21"/>
        </w:rPr>
        <w:t>适用范围：所有疫情发生林分</w:t>
      </w:r>
    </w:p>
    <w:p>
      <w:pPr>
        <w:pStyle w:val="null3"/>
        <w:ind w:firstLine="420"/>
        <w:jc w:val="both"/>
      </w:pPr>
      <w:r>
        <w:rPr>
          <w:sz w:val="21"/>
        </w:rPr>
        <w:t>作业要求：就地就近使用粉碎(削片)机对疫木及直径超过1厘米的枝丫进行处理，粉碎物短粒径不超过1厘米(削片厚度不超过0.6厘米)。对集中清除和全面清除疫木采取粉碎(削片)处理措施的，仅限在媒介昆虫非羽化高峰期内进行，严格疫木粉碎(削片)处理监管。</w:t>
      </w:r>
    </w:p>
    <w:p>
      <w:pPr>
        <w:pStyle w:val="null3"/>
        <w:ind w:firstLine="420"/>
        <w:jc w:val="both"/>
      </w:pPr>
      <w:r>
        <w:rPr>
          <w:sz w:val="21"/>
        </w:rPr>
        <w:t>适用范围：</w:t>
      </w:r>
      <w:r>
        <w:rPr>
          <w:sz w:val="21"/>
        </w:rPr>
        <w:t>山高坡陡、不通道路、人迹罕至、林下草灌丰富、通行困难的非“四旁五边”区域，且不具备粉碎（削片）、旋切、烧毁等除害处理条件的疫情除治区域。</w:t>
      </w:r>
    </w:p>
    <w:p>
      <w:pPr>
        <w:pStyle w:val="null3"/>
        <w:ind w:firstLine="420"/>
        <w:jc w:val="both"/>
      </w:pPr>
      <w:r>
        <w:rPr>
          <w:sz w:val="21"/>
        </w:rPr>
        <w:t>作业要求：将病死树主干及直径1厘米以上的枝丫截成短于60 厘米的长度，然后放入密封塑料袋（或环保袋）中加放消杀药物（如 56%磷化铝片剂按照20-30克/立方米投放）等进行除害处理。消杀袋须密封性好不透气、韧性好不易破、较环保能降解，膜厚度≥0.1毫米、袋子牢固度≥6个月。树木死亡时间较长、已完全干枯的松木要在袋内远离磷化铝等药物的地方喷洒适量水分，以保证熏杀效果。</w:t>
      </w:r>
    </w:p>
    <w:p>
      <w:pPr>
        <w:pStyle w:val="null3"/>
        <w:ind w:firstLine="420"/>
        <w:jc w:val="both"/>
      </w:pPr>
      <w:r>
        <w:rPr>
          <w:sz w:val="21"/>
        </w:rPr>
        <w:t>3</w:t>
      </w:r>
      <w:r>
        <w:rPr>
          <w:sz w:val="21"/>
        </w:rPr>
        <w:t>、</w:t>
      </w:r>
      <w:r>
        <w:rPr>
          <w:sz w:val="21"/>
        </w:rPr>
        <w:t>伐桩处理。伐桩高度不超过5厘米，可不做处理。如发现伐桩上有天牛等媒介昆虫或因地理原因伐桩无法控制在5厘米以下的，采用以下处理方式：</w:t>
      </w:r>
    </w:p>
    <w:p>
      <w:pPr>
        <w:pStyle w:val="null3"/>
        <w:ind w:firstLine="420"/>
        <w:jc w:val="both"/>
      </w:pPr>
      <w:r>
        <w:rPr>
          <w:sz w:val="21"/>
        </w:rPr>
        <w:t>（</w:t>
      </w:r>
      <w:r>
        <w:rPr>
          <w:sz w:val="21"/>
        </w:rPr>
        <w:t>1</w:t>
      </w:r>
      <w:r>
        <w:rPr>
          <w:sz w:val="21"/>
        </w:rPr>
        <w:t>）覆膜处理</w:t>
      </w:r>
    </w:p>
    <w:p>
      <w:pPr>
        <w:pStyle w:val="null3"/>
        <w:ind w:firstLine="420"/>
        <w:jc w:val="both"/>
      </w:pPr>
      <w:r>
        <w:rPr>
          <w:sz w:val="21"/>
        </w:rPr>
        <w:t>适用范围：适用于处理期间室外最高温度满足熏蒸药剂发挥作用的区域，原则上重点生态区域不推荐使用。</w:t>
      </w:r>
    </w:p>
    <w:p>
      <w:pPr>
        <w:pStyle w:val="null3"/>
        <w:ind w:firstLine="420"/>
        <w:jc w:val="both"/>
      </w:pPr>
      <w:r>
        <w:rPr>
          <w:sz w:val="21"/>
        </w:rPr>
        <w:t>作业要求：在伐桩上放置熏蒸药剂，用0.1毫米以上厚度的塑料薄膜覆盖，绑紧后用土将塑料薄膜四周压实。</w:t>
      </w:r>
    </w:p>
    <w:p>
      <w:pPr>
        <w:pStyle w:val="null3"/>
        <w:ind w:firstLine="420"/>
        <w:jc w:val="both"/>
      </w:pPr>
      <w:r>
        <w:rPr>
          <w:sz w:val="21"/>
        </w:rPr>
        <w:t>（</w:t>
      </w:r>
      <w:r>
        <w:rPr>
          <w:sz w:val="21"/>
        </w:rPr>
        <w:t>2</w:t>
      </w:r>
      <w:r>
        <w:rPr>
          <w:sz w:val="21"/>
        </w:rPr>
        <w:t>）钢丝网罩处理</w:t>
      </w:r>
    </w:p>
    <w:p>
      <w:pPr>
        <w:pStyle w:val="null3"/>
        <w:ind w:firstLine="420"/>
        <w:jc w:val="both"/>
      </w:pPr>
      <w:r>
        <w:rPr>
          <w:sz w:val="21"/>
        </w:rPr>
        <w:t>适用范围：所有疫情发生林分。</w:t>
      </w:r>
    </w:p>
    <w:p>
      <w:pPr>
        <w:pStyle w:val="null3"/>
        <w:ind w:firstLine="420"/>
        <w:jc w:val="both"/>
      </w:pPr>
      <w:r>
        <w:rPr>
          <w:sz w:val="21"/>
        </w:rPr>
        <w:t>作业要求：使用钢丝直径≥0.17毫米，网目数≥16目的锻压钢丝网罩覆盖伐桩，并将钢丝网罩严密围裹固定在伐桩上。</w:t>
      </w:r>
    </w:p>
    <w:p>
      <w:pPr>
        <w:pStyle w:val="null3"/>
        <w:ind w:firstLine="420"/>
        <w:jc w:val="both"/>
      </w:pPr>
      <w:r>
        <w:rPr>
          <w:sz w:val="21"/>
        </w:rPr>
        <w:t>4</w:t>
      </w:r>
      <w:r>
        <w:rPr>
          <w:sz w:val="21"/>
        </w:rPr>
        <w:t>、除治标识。除治区域应设置除治标识(套袋消杀、钢丝网罩要有“危险”警示标识)，内容包括除治地点、除治面积和株数、除治方式、作业单位、监督电话等信息。</w:t>
      </w:r>
    </w:p>
    <w:p>
      <w:pPr>
        <w:pStyle w:val="null3"/>
        <w:ind w:firstLine="420"/>
        <w:jc w:val="both"/>
      </w:pPr>
      <w:r>
        <w:rPr>
          <w:sz w:val="21"/>
        </w:rPr>
        <w:t>5</w:t>
      </w:r>
      <w:r>
        <w:rPr>
          <w:sz w:val="21"/>
        </w:rPr>
        <w:t>、</w:t>
      </w:r>
      <w:r>
        <w:rPr>
          <w:sz w:val="21"/>
        </w:rPr>
        <w:t>采取粉碎（削片）防治措施的松材线虫病疫木全部运往南雄市松材线虫病疫木变性处理定点企业处理，确保搬运过</w:t>
      </w:r>
      <w:r>
        <w:rPr>
          <w:sz w:val="21"/>
        </w:rPr>
        <w:t>程</w:t>
      </w:r>
      <w:r>
        <w:rPr>
          <w:sz w:val="21"/>
        </w:rPr>
        <w:t>疫木不流失、不遗落。</w:t>
      </w:r>
    </w:p>
    <w:p>
      <w:pPr>
        <w:pStyle w:val="null3"/>
        <w:ind w:firstLine="420"/>
        <w:jc w:val="both"/>
      </w:pPr>
      <w:r>
        <w:rPr>
          <w:sz w:val="21"/>
        </w:rPr>
        <w:t>6</w:t>
      </w:r>
      <w:r>
        <w:rPr>
          <w:sz w:val="21"/>
        </w:rPr>
        <w:t>、2026年12月31日前完成疫木清理及松树蛀干害虫防治，保质期自验收合格之日起至2027年7月31日止，保质期内出现病枯死树，需1个星期内完成清理除害。</w:t>
      </w:r>
    </w:p>
    <w:p>
      <w:pPr>
        <w:pStyle w:val="null3"/>
        <w:ind w:firstLine="422"/>
        <w:jc w:val="both"/>
      </w:pPr>
      <w:r>
        <w:rPr>
          <w:sz w:val="21"/>
          <w:b/>
        </w:rPr>
        <w:t>第四条、验收方法</w:t>
      </w:r>
    </w:p>
    <w:p>
      <w:pPr>
        <w:pStyle w:val="null3"/>
        <w:ind w:firstLine="420"/>
        <w:jc w:val="left"/>
      </w:pPr>
      <w:r>
        <w:rPr>
          <w:sz w:val="21"/>
        </w:rPr>
        <w:t>1、验收标准：</w:t>
      </w:r>
      <w:r>
        <w:rPr>
          <w:sz w:val="21"/>
        </w:rPr>
        <w:t>按照磋商文件、作业设计、合同要求、广东省林业局《</w:t>
      </w:r>
      <w:r>
        <w:rPr>
          <w:sz w:val="21"/>
        </w:rPr>
        <w:t>广东省松材线虫病防治技术方案</w:t>
      </w:r>
      <w:r>
        <w:rPr>
          <w:sz w:val="21"/>
        </w:rPr>
        <w:t>》（2025年版）等防治技术要求。</w:t>
      </w:r>
    </w:p>
    <w:p>
      <w:pPr>
        <w:pStyle w:val="null3"/>
        <w:ind w:firstLine="420"/>
        <w:jc w:val="both"/>
      </w:pPr>
      <w:r>
        <w:rPr>
          <w:sz w:val="21"/>
        </w:rPr>
        <w:t>2</w:t>
      </w:r>
      <w:r>
        <w:rPr>
          <w:sz w:val="21"/>
        </w:rPr>
        <w:t>、验收方法：采取常规检查、竣工验收相结合的方式验收，松材线虫病日常监测调查资料。常规检查包括项目进度、技术措施、施工照片、施工日记、防控效果、项目任务、项目质量等。竣工验收内容包括：项目资料审核和现场检查等。</w:t>
      </w:r>
    </w:p>
    <w:p>
      <w:pPr>
        <w:pStyle w:val="null3"/>
        <w:ind w:firstLine="420"/>
        <w:jc w:val="both"/>
      </w:pPr>
      <w:r>
        <w:rPr>
          <w:sz w:val="21"/>
          <w:color w:val="000000"/>
        </w:rPr>
        <w:t>3</w:t>
      </w:r>
      <w:r>
        <w:rPr>
          <w:sz w:val="21"/>
          <w:color w:val="000000"/>
        </w:rPr>
        <w:t>、验收内容：防治</w:t>
      </w:r>
      <w:r>
        <w:rPr>
          <w:sz w:val="21"/>
        </w:rPr>
        <w:t>小班内疫木全部清理，病死树主干和直径1厘米以上的枝桠材全部除害处理，伐桩处理合格，</w:t>
      </w:r>
      <w:r>
        <w:rPr>
          <w:sz w:val="21"/>
          <w:color w:val="000000"/>
        </w:rPr>
        <w:t>松材线虫病日常监测调查资料。</w:t>
      </w:r>
    </w:p>
    <w:p>
      <w:pPr>
        <w:pStyle w:val="null3"/>
        <w:ind w:firstLine="422"/>
        <w:jc w:val="both"/>
      </w:pPr>
      <w:r>
        <w:rPr>
          <w:sz w:val="21"/>
          <w:b/>
        </w:rPr>
        <w:t>第五条、付款方式</w:t>
      </w:r>
    </w:p>
    <w:p>
      <w:pPr>
        <w:pStyle w:val="null3"/>
        <w:ind w:firstLine="420"/>
        <w:jc w:val="both"/>
      </w:pPr>
      <w:r>
        <w:rPr>
          <w:sz w:val="21"/>
          <w:color w:val="000000"/>
        </w:rPr>
        <w:t>1</w:t>
      </w:r>
      <w:r>
        <w:rPr>
          <w:sz w:val="21"/>
          <w:color w:val="000000"/>
        </w:rPr>
        <w:t>、支付比例30%，乙方自中标（成交）通知书发出之日起15日内与甲方签订合同，合同签订后5个工作日内支付合同金额的30%。</w:t>
      </w:r>
    </w:p>
    <w:p>
      <w:pPr>
        <w:pStyle w:val="null3"/>
        <w:ind w:firstLine="420"/>
        <w:jc w:val="both"/>
      </w:pPr>
      <w:r>
        <w:rPr>
          <w:sz w:val="21"/>
          <w:color w:val="000000"/>
        </w:rPr>
        <w:t>2</w:t>
      </w:r>
      <w:r>
        <w:rPr>
          <w:sz w:val="21"/>
          <w:color w:val="000000"/>
        </w:rPr>
        <w:t>、支付比例70%，项目验收合格后甲方向财政部门办理申请支付剩余合同金额的70%。乙方凭以下资料与甲方结算：</w:t>
      </w:r>
    </w:p>
    <w:p>
      <w:pPr>
        <w:pStyle w:val="null3"/>
        <w:ind w:firstLine="420"/>
        <w:jc w:val="both"/>
      </w:pPr>
      <w:r>
        <w:rPr>
          <w:sz w:val="21"/>
          <w:color w:val="000000"/>
        </w:rPr>
        <w:t>（1）合同（附中标通知书）；</w:t>
      </w:r>
    </w:p>
    <w:p>
      <w:pPr>
        <w:pStyle w:val="null3"/>
        <w:ind w:firstLine="420"/>
        <w:jc w:val="both"/>
      </w:pPr>
      <w:r>
        <w:rPr>
          <w:sz w:val="21"/>
          <w:color w:val="000000"/>
        </w:rPr>
        <w:t>（2）乙方开具的正式发票；</w:t>
      </w:r>
    </w:p>
    <w:p>
      <w:pPr>
        <w:pStyle w:val="null3"/>
        <w:ind w:firstLine="420"/>
        <w:jc w:val="both"/>
      </w:pPr>
      <w:r>
        <w:rPr>
          <w:sz w:val="21"/>
          <w:color w:val="000000"/>
        </w:rPr>
        <w:t>（3）验收报告（加盖甲方公章，预付款除外）。</w:t>
      </w:r>
    </w:p>
    <w:p>
      <w:pPr>
        <w:pStyle w:val="null3"/>
        <w:ind w:firstLine="420"/>
        <w:jc w:val="both"/>
      </w:pPr>
      <w:r>
        <w:rPr>
          <w:sz w:val="21"/>
          <w:color w:val="000000"/>
        </w:rPr>
        <w:t>3</w:t>
      </w:r>
      <w:r>
        <w:rPr>
          <w:sz w:val="21"/>
          <w:color w:val="000000"/>
        </w:rPr>
        <w:t>、甲方向财政部门提交支付申请材料后，不属于付款违约情形。</w:t>
      </w:r>
    </w:p>
    <w:p>
      <w:pPr>
        <w:pStyle w:val="null3"/>
        <w:ind w:firstLine="422"/>
        <w:jc w:val="both"/>
      </w:pPr>
      <w:r>
        <w:rPr>
          <w:sz w:val="21"/>
          <w:b/>
        </w:rPr>
        <w:t>第六条、甲乙双方的权利和义务</w:t>
      </w:r>
    </w:p>
    <w:p>
      <w:pPr>
        <w:pStyle w:val="null3"/>
        <w:ind w:firstLine="420"/>
        <w:jc w:val="both"/>
      </w:pPr>
      <w:r>
        <w:rPr>
          <w:sz w:val="21"/>
        </w:rPr>
        <w:t>1</w:t>
      </w:r>
      <w:r>
        <w:rPr>
          <w:sz w:val="21"/>
        </w:rPr>
        <w:t>、甲方负责清理防治过程中的技术指导，协助乙方做好防治工作的宣传和林地所有权人的协调工作等问题。</w:t>
      </w:r>
    </w:p>
    <w:p>
      <w:pPr>
        <w:pStyle w:val="null3"/>
        <w:ind w:firstLine="420"/>
        <w:jc w:val="both"/>
      </w:pPr>
      <w:r>
        <w:rPr>
          <w:sz w:val="21"/>
        </w:rPr>
        <w:t>2</w:t>
      </w:r>
      <w:r>
        <w:rPr>
          <w:sz w:val="21"/>
        </w:rPr>
        <w:t>、甲方聘请监理单位，对项目质量实施监督检查，乙方服从监理单位的监督管理。</w:t>
      </w:r>
    </w:p>
    <w:p>
      <w:pPr>
        <w:pStyle w:val="null3"/>
        <w:ind w:firstLine="420"/>
        <w:jc w:val="both"/>
      </w:pPr>
      <w:r>
        <w:rPr>
          <w:sz w:val="21"/>
        </w:rPr>
        <w:t>3</w:t>
      </w:r>
      <w:r>
        <w:rPr>
          <w:sz w:val="21"/>
        </w:rPr>
        <w:t>、乙方严格按照防治</w:t>
      </w:r>
      <w:r>
        <w:rPr>
          <w:sz w:val="21"/>
        </w:rPr>
        <w:t>技术要求开展防治作业，确保防治质量</w:t>
      </w:r>
      <w:r>
        <w:rPr>
          <w:sz w:val="21"/>
        </w:rPr>
        <w:t>，按时完成防治任务，</w:t>
      </w:r>
      <w:r>
        <w:rPr>
          <w:sz w:val="21"/>
        </w:rPr>
        <w:t>遵守森林防火规定，严禁超范围乱砍滥伐，不得损害他人利益。</w:t>
      </w:r>
    </w:p>
    <w:p>
      <w:pPr>
        <w:pStyle w:val="null3"/>
        <w:ind w:firstLine="420"/>
        <w:jc w:val="both"/>
      </w:pPr>
      <w:r>
        <w:rPr>
          <w:sz w:val="21"/>
        </w:rPr>
        <w:t>4</w:t>
      </w:r>
      <w:r>
        <w:rPr>
          <w:sz w:val="21"/>
        </w:rPr>
        <w:t>、乙方在项目实施期间</w:t>
      </w:r>
      <w:r>
        <w:rPr>
          <w:sz w:val="21"/>
        </w:rPr>
        <w:t>应做好安全保障措施，做好作业前安全培训工作，购买工伤保险，</w:t>
      </w:r>
      <w:r>
        <w:rPr>
          <w:sz w:val="21"/>
        </w:rPr>
        <w:t>严格执行农药管理条例和安全使用规定，</w:t>
      </w:r>
      <w:r>
        <w:rPr>
          <w:sz w:val="21"/>
        </w:rPr>
        <w:t>如果出现以上安全事故，乙方承担全部责任。</w:t>
      </w:r>
    </w:p>
    <w:p>
      <w:pPr>
        <w:pStyle w:val="null3"/>
        <w:ind w:firstLine="422"/>
        <w:jc w:val="both"/>
      </w:pPr>
      <w:r>
        <w:rPr>
          <w:sz w:val="21"/>
          <w:b/>
        </w:rPr>
        <w:t>第七条、违约责任与赔偿损失</w:t>
      </w:r>
    </w:p>
    <w:p>
      <w:pPr>
        <w:pStyle w:val="null3"/>
        <w:ind w:firstLine="420"/>
        <w:jc w:val="both"/>
      </w:pPr>
      <w:r>
        <w:rPr>
          <w:sz w:val="21"/>
          <w:color w:val="000000"/>
        </w:rPr>
        <w:t>1</w:t>
      </w:r>
      <w:r>
        <w:rPr>
          <w:sz w:val="21"/>
          <w:color w:val="000000"/>
        </w:rPr>
        <w:t>、乙方提供的服务不符合本合同规定的，甲方有权拒收，并且乙方须向甲方方支付本合同总价5%的违约金。</w:t>
      </w:r>
    </w:p>
    <w:p>
      <w:pPr>
        <w:pStyle w:val="null3"/>
        <w:ind w:firstLine="420"/>
        <w:jc w:val="both"/>
      </w:pPr>
      <w:r>
        <w:rPr>
          <w:sz w:val="21"/>
          <w:color w:val="000000"/>
        </w:rPr>
        <w:t>2</w:t>
      </w:r>
      <w:r>
        <w:rPr>
          <w:sz w:val="21"/>
          <w:color w:val="000000"/>
        </w:rPr>
        <w:t>、乙方未能按本合同规定的交货时间提供服务，从逾期之日起每日按本合同总价3‰的数额向甲方支付违约金；逾期半个月以上的，甲方有权终止合同，由此造成的甲方经济损失由乙方承担。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color w:val="000000"/>
        </w:rPr>
        <w:t>3</w:t>
      </w:r>
      <w:r>
        <w:rPr>
          <w:sz w:val="21"/>
          <w:color w:val="000000"/>
        </w:rPr>
        <w:t>、甲方无正当理由拒收接受服务，到期拒付服务款项的，甲方向乙方偿付本合同总额的5%的违约金。甲方人逾期付款，则每日按本合同总价的3‰向乙方偿付违约金。</w:t>
      </w:r>
    </w:p>
    <w:p>
      <w:pPr>
        <w:pStyle w:val="null3"/>
        <w:ind w:firstLine="420"/>
        <w:jc w:val="both"/>
      </w:pPr>
      <w:r>
        <w:rPr>
          <w:sz w:val="21"/>
          <w:color w:val="000000"/>
        </w:rPr>
        <w:t>4</w:t>
      </w:r>
      <w:r>
        <w:rPr>
          <w:sz w:val="21"/>
          <w:color w:val="000000"/>
        </w:rPr>
        <w:t>、对于因甲方原因导致变更、中止或者终止政府采购合同的，甲方应当依照以下合同约定对乙方受到的损失予以赔偿或者补偿。</w:t>
      </w:r>
    </w:p>
    <w:p>
      <w:pPr>
        <w:pStyle w:val="null3"/>
        <w:ind w:firstLine="420"/>
        <w:jc w:val="both"/>
      </w:pPr>
      <w:r>
        <w:rPr>
          <w:sz w:val="21"/>
          <w:color w:val="000000"/>
        </w:rPr>
        <w:t>5</w:t>
      </w:r>
      <w:r>
        <w:rPr>
          <w:sz w:val="21"/>
          <w:color w:val="000000"/>
        </w:rPr>
        <w:t>、任一方违约，违约方需承担守约方追究违约责任发生的律师费、诉讼费、保全费、保函费、调查取证费用等有关费用。</w:t>
      </w:r>
    </w:p>
    <w:p>
      <w:pPr>
        <w:pStyle w:val="null3"/>
        <w:ind w:firstLine="420"/>
        <w:jc w:val="both"/>
      </w:pPr>
      <w:r>
        <w:rPr>
          <w:sz w:val="21"/>
          <w:color w:val="000000"/>
        </w:rPr>
        <w:t>6</w:t>
      </w:r>
      <w:r>
        <w:rPr>
          <w:sz w:val="21"/>
          <w:color w:val="000000"/>
        </w:rPr>
        <w:t>、其他违约责任按《中华人民共和国民法典》处理。</w:t>
      </w:r>
    </w:p>
    <w:p>
      <w:pPr>
        <w:pStyle w:val="null3"/>
        <w:ind w:firstLine="422"/>
        <w:jc w:val="both"/>
      </w:pPr>
      <w:r>
        <w:rPr>
          <w:sz w:val="21"/>
          <w:b/>
        </w:rPr>
        <w:t>第八条、争</w:t>
      </w:r>
      <w:r>
        <w:rPr>
          <w:sz w:val="21"/>
        </w:rPr>
        <w:t>端</w:t>
      </w:r>
      <w:r>
        <w:rPr>
          <w:sz w:val="21"/>
          <w:b/>
        </w:rPr>
        <w:t>的解决</w:t>
      </w:r>
    </w:p>
    <w:p>
      <w:pPr>
        <w:pStyle w:val="null3"/>
        <w:ind w:firstLine="420"/>
        <w:jc w:val="both"/>
      </w:pPr>
      <w:r>
        <w:rPr>
          <w:sz w:val="21"/>
          <w:color w:val="000000"/>
        </w:rPr>
        <w:t>合同执行过程中发生的任何争议，如双方不能通过友好协商解决，甲、乙双方一致同意向南雄市人民法院提起诉讼。</w:t>
      </w:r>
    </w:p>
    <w:p>
      <w:pPr>
        <w:pStyle w:val="null3"/>
        <w:ind w:firstLine="422"/>
        <w:jc w:val="both"/>
      </w:pPr>
      <w:r>
        <w:rPr>
          <w:sz w:val="21"/>
          <w:b/>
        </w:rPr>
        <w:t>第九条、不可抗力</w:t>
      </w:r>
    </w:p>
    <w:p>
      <w:pPr>
        <w:pStyle w:val="null3"/>
        <w:ind w:firstLine="420"/>
        <w:jc w:val="both"/>
      </w:pPr>
      <w:r>
        <w:rPr>
          <w:sz w:val="21"/>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第十条、税费</w:t>
      </w:r>
    </w:p>
    <w:p>
      <w:pPr>
        <w:pStyle w:val="null3"/>
        <w:ind w:firstLine="420"/>
        <w:jc w:val="both"/>
      </w:pPr>
      <w:r>
        <w:rPr>
          <w:sz w:val="21"/>
          <w:color w:val="000000"/>
        </w:rPr>
        <w:t>在中国境内、外发生的与本合同执行有关的一切税费均由乙方负担。</w:t>
      </w:r>
    </w:p>
    <w:p>
      <w:pPr>
        <w:pStyle w:val="null3"/>
        <w:ind w:firstLine="422"/>
        <w:jc w:val="both"/>
      </w:pPr>
      <w:r>
        <w:rPr>
          <w:sz w:val="21"/>
          <w:b/>
        </w:rPr>
        <w:t>第十一条、其它</w:t>
      </w:r>
    </w:p>
    <w:p>
      <w:pPr>
        <w:pStyle w:val="null3"/>
        <w:ind w:firstLine="420"/>
        <w:jc w:val="both"/>
      </w:pPr>
      <w:r>
        <w:rPr>
          <w:sz w:val="21"/>
          <w:color w:val="000000"/>
        </w:rPr>
        <w:t>1</w:t>
      </w:r>
      <w:r>
        <w:rPr>
          <w:sz w:val="21"/>
          <w:color w:val="000000"/>
        </w:rPr>
        <w:t>、本合同所有附件、磋商文件、响应文件、成交通知书均为合同的有效组成部分，与本合同具有同等法律效力。</w:t>
      </w:r>
    </w:p>
    <w:p>
      <w:pPr>
        <w:pStyle w:val="null3"/>
        <w:ind w:firstLine="420"/>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20"/>
        <w:jc w:val="both"/>
      </w:pPr>
      <w:r>
        <w:rPr>
          <w:sz w:val="21"/>
          <w:color w:val="000000"/>
        </w:rPr>
        <w:t>3</w:t>
      </w:r>
      <w:r>
        <w:rPr>
          <w:sz w:val="21"/>
          <w:color w:val="000000"/>
        </w:rPr>
        <w:t>、如一方地址、电话、传真号码有变更，应在变更当日内书面通知对方，否则，应承担相应责任。</w:t>
      </w:r>
    </w:p>
    <w:p>
      <w:pPr>
        <w:pStyle w:val="null3"/>
        <w:ind w:firstLine="420"/>
        <w:jc w:val="both"/>
      </w:pPr>
      <w:r>
        <w:rPr>
          <w:sz w:val="21"/>
          <w:color w:val="000000"/>
        </w:rPr>
        <w:t>4</w:t>
      </w:r>
      <w:r>
        <w:rPr>
          <w:sz w:val="21"/>
          <w:color w:val="000000"/>
        </w:rPr>
        <w:t>、除甲方事先书面同意外，乙方不得部分或全部转让其应履行的合同项下的义务。</w:t>
      </w:r>
    </w:p>
    <w:p>
      <w:pPr>
        <w:pStyle w:val="null3"/>
        <w:ind w:firstLine="422"/>
        <w:jc w:val="both"/>
      </w:pPr>
      <w:r>
        <w:rPr>
          <w:sz w:val="21"/>
          <w:b/>
        </w:rPr>
        <w:t>第十二条、合同生效</w:t>
      </w:r>
    </w:p>
    <w:p>
      <w:pPr>
        <w:pStyle w:val="null3"/>
        <w:ind w:firstLine="420"/>
        <w:jc w:val="both"/>
      </w:pPr>
      <w:r>
        <w:rPr>
          <w:sz w:val="21"/>
          <w:color w:val="000000"/>
        </w:rPr>
        <w:t>1</w:t>
      </w:r>
      <w:r>
        <w:rPr>
          <w:sz w:val="21"/>
          <w:color w:val="000000"/>
        </w:rPr>
        <w:t>、本合同在甲乙双方法人代表或其授权代表签字盖章后生效。</w:t>
      </w:r>
    </w:p>
    <w:p>
      <w:pPr>
        <w:pStyle w:val="null3"/>
        <w:ind w:firstLine="420"/>
        <w:jc w:val="both"/>
      </w:pPr>
      <w:r>
        <w:rPr>
          <w:sz w:val="21"/>
          <w:color w:val="000000"/>
        </w:rPr>
        <w:t>2</w:t>
      </w:r>
      <w:r>
        <w:rPr>
          <w:sz w:val="21"/>
          <w:color w:val="000000"/>
        </w:rPr>
        <w:t>、本合同一式</w:t>
      </w:r>
      <w:r>
        <w:rPr>
          <w:sz w:val="21"/>
          <w:color w:val="000000"/>
          <w:u w:val="single"/>
        </w:rPr>
        <w:t xml:space="preserve">   </w:t>
      </w:r>
      <w:r>
        <w:rPr>
          <w:sz w:val="21"/>
          <w:color w:val="000000"/>
        </w:rPr>
        <w:t>份，甲方执</w:t>
      </w:r>
      <w:r>
        <w:rPr>
          <w:sz w:val="21"/>
          <w:color w:val="000000"/>
          <w:u w:val="single"/>
        </w:rPr>
        <w:t xml:space="preserve">   </w:t>
      </w:r>
      <w:r>
        <w:rPr>
          <w:sz w:val="21"/>
          <w:color w:val="000000"/>
        </w:rPr>
        <w:t>份，乙方执</w:t>
      </w:r>
      <w:r>
        <w:rPr>
          <w:sz w:val="21"/>
          <w:color w:val="000000"/>
          <w:u w:val="single"/>
        </w:rPr>
        <w:t xml:space="preserve">   </w:t>
      </w:r>
      <w:r>
        <w:rPr>
          <w:sz w:val="21"/>
          <w:color w:val="000000"/>
        </w:rPr>
        <w:t>份，甲乙双方人员机构的变动变更，不影响本合同的执行,未尽事宜由双方协商签订补充协议。</w:t>
      </w:r>
    </w:p>
    <w:p>
      <w:pPr>
        <w:pStyle w:val="null3"/>
        <w:ind w:firstLine="210"/>
        <w:jc w:val="both"/>
      </w:pPr>
      <w:r>
        <w:rPr>
          <w:sz w:val="21"/>
        </w:rPr>
        <w:t>甲方（盖章）：                     乙方（盖章）：</w:t>
      </w:r>
    </w:p>
    <w:p>
      <w:pPr>
        <w:pStyle w:val="null3"/>
        <w:ind w:firstLine="420"/>
        <w:jc w:val="both"/>
      </w:pPr>
      <w:r>
        <w:rPr>
          <w:sz w:val="21"/>
        </w:rPr>
        <w:t>代表（签字）：                     代表（签字）：</w:t>
      </w:r>
    </w:p>
    <w:p>
      <w:pPr>
        <w:pStyle w:val="null3"/>
        <w:ind w:firstLine="420"/>
        <w:jc w:val="both"/>
      </w:pPr>
      <w:r>
        <w:rPr>
          <w:sz w:val="21"/>
        </w:rPr>
        <w:t>签订日期：   年   月   日          签订日期：   年   月   日</w:t>
      </w:r>
    </w:p>
    <w:p>
      <w:pPr>
        <w:pStyle w:val="null3"/>
        <w:spacing w:before="0" w:after="0"/>
        <w:ind w:left="0" w:right="0"/>
        <w:jc w:val="both"/>
      </w:pPr>
      <w:r>
        <w:rPr>
          <w:sz w:val="27"/>
          <w:color w:val="222222"/>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440282-2026-01648</w:t>
      </w:r>
    </w:p>
    <w:p>
      <w:pPr>
        <w:pStyle w:val="null3"/>
        <w:jc w:val="center"/>
        <w:outlineLvl w:val="3"/>
      </w:pPr>
      <w:r>
        <w:rPr>
          <w:sz w:val="24"/>
          <w:b/>
        </w:rPr>
        <w:t>采购项目编号：</w:t>
      </w:r>
      <w:r>
        <w:rPr>
          <w:sz w:val="24"/>
          <w:b/>
        </w:rPr>
        <w:t>JCZB2026059CS</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广东君诚招标代理有限公司</w:t>
      </w:r>
    </w:p>
    <w:p>
      <w:pPr>
        <w:pStyle w:val="null3"/>
        <w:ind w:firstLine="480"/>
      </w:pPr>
      <w:r>
        <w:rPr/>
        <w:t xml:space="preserve"> 你方组织的</w:t>
      </w:r>
      <w:r>
        <w:rPr>
          <w:u w:val="single"/>
        </w:rPr>
        <w:t>“</w:t>
      </w:r>
      <w:r>
        <w:rPr>
          <w:u w:val="single"/>
        </w:rPr>
        <w:t>广东省韶关市南雄市2026年中央财政林草有害生物防治项目</w:t>
      </w:r>
      <w:r>
        <w:rPr>
          <w:u w:val="single"/>
        </w:rPr>
        <w:t>”</w:t>
      </w:r>
      <w:r>
        <w:rPr/>
        <w:t>项目的竞争性磋商[采购项目编号为：</w:t>
      </w:r>
      <w:r>
        <w:rPr>
          <w:u w:val="single"/>
        </w:rPr>
        <w:t>JCZB2026059CS</w:t>
      </w:r>
      <w:r>
        <w:rPr/>
        <w:t>]，我方愿参与响应。</w:t>
      </w:r>
    </w:p>
    <w:p>
      <w:pPr>
        <w:pStyle w:val="null3"/>
        <w:ind w:firstLine="480"/>
      </w:pPr>
      <w:r>
        <w:rPr/>
        <w:t>我方确认收到贵方提供的</w:t>
      </w:r>
      <w:r>
        <w:rPr>
          <w:u w:val="single"/>
        </w:rPr>
        <w:t>“</w:t>
      </w:r>
      <w:r>
        <w:rPr>
          <w:u w:val="single"/>
        </w:rPr>
        <w:t>广东省韶关市南雄市2026年中央财政林草有害生物防治项目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广东君诚招标代理有限公司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广东省韶关市南雄市2026年中央财政林草有害生物防治项目</w:t>
      </w:r>
      <w:r>
        <w:rPr/>
        <w:t>”项目采购[采购项目编号为</w:t>
      </w:r>
      <w:r>
        <w:rPr/>
        <w:t>JCZB2026059CS</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南雄市林业局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广东君诚招标代理有限公司</w:t>
      </w:r>
    </w:p>
    <w:p>
      <w:pPr>
        <w:pStyle w:val="null3"/>
        <w:ind w:firstLine="480"/>
      </w:pPr>
      <w:r>
        <w:rPr/>
        <w:t>我单位参加贵公司组织的</w:t>
      </w:r>
      <w:r>
        <w:rPr/>
        <w:t>广东省韶关市南雄市2026年中央财政林草有害生物防治项目</w:t>
      </w:r>
      <w:r>
        <w:rPr/>
        <w:t>（采购项目编号：</w:t>
      </w:r>
      <w:r>
        <w:rPr/>
        <w:t>JCZB2026059CS</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广东君诚招标代理有限公司</w:t>
      </w:r>
    </w:p>
    <w:p>
      <w:pPr>
        <w:pStyle w:val="null3"/>
        <w:ind w:firstLine="480"/>
      </w:pPr>
      <w:r>
        <w:rPr/>
        <w:t>我单位已登记并准备参与“</w:t>
      </w:r>
      <w:r>
        <w:rPr/>
        <w:t>广东省韶关市南雄市2026年中央财政林草有害生物防治项目</w:t>
      </w:r>
      <w:r>
        <w:rPr/>
        <w:t>”项目（采购项目编号：</w:t>
      </w:r>
      <w:r>
        <w:rPr/>
        <w:t>JCZB2026059CS</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