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A0180">
      <w:pPr>
        <w:spacing w:before="624" w:beforeLines="200" w:after="624" w:afterLines="200" w:line="600" w:lineRule="auto"/>
        <w:jc w:val="center"/>
        <w:textAlignment w:val="top"/>
        <w:rPr>
          <w:rFonts w:hint="eastAsia" w:ascii="宋体" w:hAnsi="宋体" w:eastAsia="宋体" w:cs="宋体"/>
          <w:b/>
          <w:color w:val="000000" w:themeColor="text1"/>
          <w:spacing w:val="20"/>
          <w:sz w:val="44"/>
          <w:szCs w:val="22"/>
          <w14:textFill>
            <w14:solidFill>
              <w14:schemeClr w14:val="tx1"/>
            </w14:solidFill>
          </w14:textFill>
        </w:rPr>
      </w:pPr>
      <w:bookmarkStart w:id="0" w:name="_Toc519952764"/>
      <w:bookmarkStart w:id="1" w:name="_Toc521327886"/>
      <w:r>
        <w:rPr>
          <w:rFonts w:hint="eastAsia" w:ascii="宋体" w:hAnsi="宋体" w:eastAsia="宋体" w:cs="宋体"/>
          <w:b/>
          <w:color w:val="000000" w:themeColor="text1"/>
          <w:spacing w:val="20"/>
          <w:sz w:val="44"/>
          <w:szCs w:val="22"/>
          <w14:textFill>
            <w14:solidFill>
              <w14:schemeClr w14:val="tx1"/>
            </w14:solidFill>
          </w14:textFill>
        </w:rPr>
        <w:t>2026年</w:t>
      </w:r>
      <w:bookmarkEnd w:id="0"/>
      <w:bookmarkEnd w:id="1"/>
      <w:r>
        <w:rPr>
          <w:rFonts w:hint="eastAsia" w:ascii="宋体" w:hAnsi="宋体" w:eastAsia="宋体" w:cs="宋体"/>
          <w:b/>
          <w:color w:val="000000" w:themeColor="text1"/>
          <w:spacing w:val="20"/>
          <w:sz w:val="44"/>
          <w:szCs w:val="22"/>
          <w14:textFill>
            <w14:solidFill>
              <w14:schemeClr w14:val="tx1"/>
            </w14:solidFill>
          </w14:textFill>
        </w:rPr>
        <w:t>度</w:t>
      </w:r>
    </w:p>
    <w:p w14:paraId="4E586962">
      <w:pPr>
        <w:spacing w:before="624" w:beforeLines="200" w:after="624" w:afterLines="200" w:line="600" w:lineRule="auto"/>
        <w:jc w:val="center"/>
        <w:rPr>
          <w:rFonts w:eastAsia="宋体" w:cs="宋体"/>
          <w:b/>
          <w:spacing w:val="20"/>
          <w:sz w:val="44"/>
        </w:rPr>
      </w:pPr>
      <w:r>
        <w:rPr>
          <w:rFonts w:hint="eastAsia" w:ascii="宋体" w:hAnsi="宋体" w:eastAsia="宋体" w:cs="宋体"/>
          <w:b/>
          <w:spacing w:val="20"/>
          <w:sz w:val="44"/>
        </w:rPr>
        <w:t>宝之云华北基地</w:t>
      </w:r>
      <w:r>
        <w:rPr>
          <w:rFonts w:hint="eastAsia" w:eastAsia="宋体" w:cs="宋体"/>
          <w:b/>
          <w:spacing w:val="20"/>
          <w:sz w:val="44"/>
        </w:rPr>
        <w:t>A1A2A4A5楼</w:t>
      </w:r>
    </w:p>
    <w:p w14:paraId="30CFC54C">
      <w:pPr>
        <w:spacing w:before="624" w:beforeLines="200" w:after="624" w:afterLines="200" w:line="600" w:lineRule="auto"/>
        <w:jc w:val="center"/>
        <w:rPr>
          <w:rFonts w:eastAsia="宋体"/>
          <w:b/>
          <w:spacing w:val="20"/>
          <w:sz w:val="44"/>
        </w:rPr>
      </w:pPr>
      <w:r>
        <w:rPr>
          <w:rFonts w:hint="eastAsia" w:eastAsia="宋体" w:cs="宋体"/>
          <w:b/>
          <w:spacing w:val="20"/>
          <w:sz w:val="44"/>
        </w:rPr>
        <w:t>有害生物防治</w:t>
      </w:r>
      <w:r>
        <w:rPr>
          <w:rFonts w:hint="eastAsia" w:ascii="宋体" w:hAnsi="宋体" w:eastAsia="宋体" w:cs="宋体"/>
          <w:b/>
          <w:spacing w:val="20"/>
          <w:sz w:val="44"/>
        </w:rPr>
        <w:t>服务项目</w:t>
      </w:r>
    </w:p>
    <w:p w14:paraId="2DD0AF48">
      <w:pPr>
        <w:spacing w:before="624" w:beforeLines="200" w:after="624" w:afterLines="200" w:line="600" w:lineRule="auto"/>
        <w:jc w:val="center"/>
        <w:rPr>
          <w:rFonts w:eastAsia="宋体"/>
          <w:b/>
          <w:bCs/>
          <w:spacing w:val="2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20"/>
          <w:sz w:val="44"/>
          <w:szCs w:val="44"/>
        </w:rPr>
        <w:t>技术规范书</w:t>
      </w:r>
    </w:p>
    <w:p w14:paraId="39E11940">
      <w:pPr>
        <w:ind w:firstLine="843" w:firstLineChars="400"/>
        <w:rPr>
          <w:rStyle w:val="24"/>
          <w:rFonts w:hint="eastAsia" w:ascii="宋体" w:hAnsi="宋体" w:eastAsia="宋体" w:cs="宋体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Theme="minorHAnsi" w:hAnsiTheme="minorHAnsi" w:eastAsiaTheme="minorEastAsia" w:cstheme="minorBidi"/>
          <w:b/>
          <w:kern w:val="2"/>
          <w:sz w:val="21"/>
          <w:szCs w:val="24"/>
        </w:rPr>
        <w:id w:val="147478145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b/>
          <w:bCs/>
          <w:kern w:val="2"/>
          <w:sz w:val="21"/>
          <w:szCs w:val="24"/>
        </w:rPr>
      </w:sdtEndPr>
      <w:sdtContent>
        <w:p w14:paraId="0B9279A8">
          <w:pPr>
            <w:pStyle w:val="37"/>
            <w:spacing w:before="0" w:after="0"/>
            <w:outlineLvl w:val="9"/>
          </w:pPr>
          <w:r>
            <w:t>目录</w:t>
          </w:r>
        </w:p>
        <w:p w14:paraId="0D51C780">
          <w:pPr>
            <w:pStyle w:val="17"/>
            <w:tabs>
              <w:tab w:val="right" w:leader="dot" w:pos="8306"/>
            </w:tabs>
            <w:ind w:firstLine="440"/>
          </w:pPr>
          <w:r>
            <w:rPr>
              <w:rFonts w:hint="eastAsia" w:ascii="宋体" w:hAnsi="宋体" w:eastAsia="宋体" w:cs="宋体"/>
              <w:sz w:val="22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0"/>
              <w:szCs w:val="22"/>
            </w:rPr>
            <w:instrText xml:space="preserve">TOC\o"1-2"\h\u</w:instrText>
          </w:r>
          <w:r>
            <w:rPr>
              <w:rFonts w:hint="eastAsia" w:ascii="宋体" w:hAnsi="宋体" w:eastAsia="宋体" w:cs="宋体"/>
              <w:sz w:val="22"/>
              <w:szCs w:val="22"/>
            </w:rPr>
            <w:fldChar w:fldCharType="separate"/>
          </w:r>
          <w:r>
            <w:fldChar w:fldCharType="begin"/>
          </w:r>
          <w:r>
            <w:instrText xml:space="preserve"> HYPERLINK \l "_Toc12071" </w:instrText>
          </w:r>
          <w:r>
            <w:fldChar w:fldCharType="separate"/>
          </w:r>
          <w:r>
            <w:t>1. 总则</w:t>
          </w:r>
          <w:r>
            <w:tab/>
          </w:r>
          <w:r>
            <w:fldChar w:fldCharType="begin"/>
          </w:r>
          <w:r>
            <w:instrText xml:space="preserve"> PAGEREF _Toc12071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55F2616">
          <w:pPr>
            <w:pStyle w:val="17"/>
            <w:tabs>
              <w:tab w:val="right" w:leader="dot" w:pos="8306"/>
            </w:tabs>
            <w:ind w:firstLine="420"/>
          </w:pPr>
          <w:r>
            <w:fldChar w:fldCharType="begin"/>
          </w:r>
          <w:r>
            <w:instrText xml:space="preserve"> HYPERLINK \l "_Toc25854" </w:instrText>
          </w:r>
          <w:r>
            <w:fldChar w:fldCharType="separate"/>
          </w:r>
          <w:r>
            <w:t>2. 项目背景</w:t>
          </w:r>
          <w:r>
            <w:tab/>
          </w:r>
          <w:r>
            <w:fldChar w:fldCharType="begin"/>
          </w:r>
          <w:r>
            <w:instrText xml:space="preserve"> PAGEREF _Toc25854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7E44D063">
          <w:pPr>
            <w:pStyle w:val="17"/>
            <w:tabs>
              <w:tab w:val="right" w:leader="dot" w:pos="8306"/>
            </w:tabs>
            <w:ind w:firstLine="420"/>
          </w:pPr>
          <w:r>
            <w:fldChar w:fldCharType="begin"/>
          </w:r>
          <w:r>
            <w:instrText xml:space="preserve"> HYPERLINK \l "_Toc26034" </w:instrText>
          </w:r>
          <w:r>
            <w:fldChar w:fldCharType="separate"/>
          </w:r>
          <w:r>
            <w:t>3. 术语定义</w:t>
          </w:r>
          <w:r>
            <w:tab/>
          </w:r>
          <w:r>
            <w:fldChar w:fldCharType="begin"/>
          </w:r>
          <w:r>
            <w:instrText xml:space="preserve"> PAGEREF _Toc26034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30FB6139">
          <w:pPr>
            <w:pStyle w:val="17"/>
            <w:tabs>
              <w:tab w:val="right" w:leader="dot" w:pos="8306"/>
            </w:tabs>
            <w:ind w:firstLine="420"/>
          </w:pPr>
          <w:r>
            <w:fldChar w:fldCharType="begin"/>
          </w:r>
          <w:r>
            <w:instrText xml:space="preserve"> HYPERLINK \l "_Toc306" </w:instrText>
          </w:r>
          <w:r>
            <w:fldChar w:fldCharType="separate"/>
          </w:r>
          <w:r>
            <w:rPr>
              <w:rFonts w:ascii="黑体" w:hAnsi="黑体" w:eastAsia="黑体" w:cs="黑体"/>
            </w:rPr>
            <w:t xml:space="preserve">4. </w:t>
          </w:r>
          <w:r>
            <w:t>服务期限</w:t>
          </w:r>
          <w:r>
            <w:tab/>
          </w:r>
          <w:r>
            <w:fldChar w:fldCharType="begin"/>
          </w:r>
          <w:r>
            <w:instrText xml:space="preserve"> PAGEREF _Toc306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36CD99E7">
          <w:pPr>
            <w:pStyle w:val="17"/>
            <w:tabs>
              <w:tab w:val="right" w:leader="dot" w:pos="8306"/>
            </w:tabs>
            <w:ind w:firstLine="420"/>
          </w:pPr>
          <w:r>
            <w:fldChar w:fldCharType="begin"/>
          </w:r>
          <w:r>
            <w:instrText xml:space="preserve"> HYPERLINK \l "_Toc25099" </w:instrText>
          </w:r>
          <w:r>
            <w:fldChar w:fldCharType="separate"/>
          </w:r>
          <w:r>
            <w:rPr>
              <w:rFonts w:ascii="黑体" w:hAnsi="黑体" w:eastAsia="黑体" w:cs="黑体"/>
            </w:rPr>
            <w:t xml:space="preserve">5. </w:t>
          </w:r>
          <w:r>
            <w:t>服务范围及内容</w:t>
          </w:r>
          <w:r>
            <w:tab/>
          </w:r>
          <w:r>
            <w:fldChar w:fldCharType="begin"/>
          </w:r>
          <w:r>
            <w:instrText xml:space="preserve"> PAGEREF _Toc25099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089616BA">
          <w:pPr>
            <w:pStyle w:val="17"/>
            <w:tabs>
              <w:tab w:val="right" w:leader="dot" w:pos="8306"/>
            </w:tabs>
            <w:ind w:firstLine="420"/>
          </w:pPr>
          <w:r>
            <w:fldChar w:fldCharType="begin"/>
          </w:r>
          <w:r>
            <w:instrText xml:space="preserve"> HYPERLINK \l "_Toc5669" </w:instrText>
          </w:r>
          <w:r>
            <w:fldChar w:fldCharType="separate"/>
          </w:r>
          <w:r>
            <w:rPr>
              <w:rFonts w:ascii="黑体" w:hAnsi="黑体" w:eastAsia="黑体" w:cs="黑体"/>
            </w:rPr>
            <w:t xml:space="preserve">6. </w:t>
          </w:r>
          <w:r>
            <w:t>服务响应时间要求</w:t>
          </w:r>
          <w:r>
            <w:tab/>
          </w:r>
          <w:r>
            <w:fldChar w:fldCharType="begin"/>
          </w:r>
          <w:r>
            <w:instrText xml:space="preserve"> PAGEREF _Toc5669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00F28EF4">
          <w:pPr>
            <w:pStyle w:val="17"/>
            <w:tabs>
              <w:tab w:val="right" w:leader="dot" w:pos="8306"/>
            </w:tabs>
            <w:ind w:firstLine="420"/>
          </w:pPr>
          <w:r>
            <w:fldChar w:fldCharType="begin"/>
          </w:r>
          <w:r>
            <w:instrText xml:space="preserve"> HYPERLINK \l "_Toc8534" </w:instrText>
          </w:r>
          <w:r>
            <w:fldChar w:fldCharType="separate"/>
          </w:r>
          <w:r>
            <w:rPr>
              <w:rFonts w:ascii="黑体" w:hAnsi="黑体" w:eastAsia="黑体" w:cs="黑体"/>
            </w:rPr>
            <w:t xml:space="preserve">7. </w:t>
          </w:r>
          <w:r>
            <w:t>能力与安全要求</w:t>
          </w:r>
          <w:r>
            <w:tab/>
          </w:r>
          <w:r>
            <w:fldChar w:fldCharType="begin"/>
          </w:r>
          <w:r>
            <w:instrText xml:space="preserve"> PAGEREF _Toc8534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7462CEA6">
          <w:pPr>
            <w:pStyle w:val="17"/>
            <w:tabs>
              <w:tab w:val="right" w:leader="dot" w:pos="8306"/>
            </w:tabs>
            <w:ind w:firstLine="420"/>
          </w:pPr>
          <w:r>
            <w:fldChar w:fldCharType="begin"/>
          </w:r>
          <w:r>
            <w:instrText xml:space="preserve"> HYPERLINK \l "_Toc16666" </w:instrText>
          </w:r>
          <w:r>
            <w:fldChar w:fldCharType="separate"/>
          </w:r>
          <w:r>
            <w:rPr>
              <w:rFonts w:ascii="黑体" w:hAnsi="黑体" w:eastAsia="黑体" w:cs="黑体"/>
            </w:rPr>
            <w:t xml:space="preserve">8. </w:t>
          </w:r>
          <w:r>
            <w:t>交付物要求</w:t>
          </w:r>
          <w:r>
            <w:tab/>
          </w:r>
          <w:r>
            <w:fldChar w:fldCharType="begin"/>
          </w:r>
          <w:r>
            <w:instrText xml:space="preserve"> PAGEREF _Toc16666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0D9EB65D">
          <w:pPr>
            <w:pStyle w:val="17"/>
            <w:tabs>
              <w:tab w:val="right" w:leader="dot" w:pos="8306"/>
            </w:tabs>
            <w:ind w:firstLine="420"/>
          </w:pPr>
          <w:r>
            <w:fldChar w:fldCharType="begin"/>
          </w:r>
          <w:r>
            <w:instrText xml:space="preserve"> HYPERLINK \l "_Toc5275" </w:instrText>
          </w:r>
          <w:r>
            <w:fldChar w:fldCharType="separate"/>
          </w:r>
          <w:r>
            <w:rPr>
              <w:rFonts w:ascii="黑体" w:hAnsi="黑体" w:eastAsia="黑体" w:cs="黑体"/>
            </w:rPr>
            <w:t xml:space="preserve">9. </w:t>
          </w:r>
          <w:r>
            <w:t>服务质量考核</w:t>
          </w:r>
          <w:r>
            <w:tab/>
          </w:r>
          <w:r>
            <w:fldChar w:fldCharType="begin"/>
          </w:r>
          <w:r>
            <w:instrText xml:space="preserve"> PAGEREF _Toc5275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1CC6B6C6">
          <w:pPr>
            <w:pStyle w:val="17"/>
            <w:tabs>
              <w:tab w:val="right" w:leader="dot" w:pos="8306"/>
            </w:tabs>
            <w:ind w:firstLine="420"/>
          </w:pPr>
          <w:r>
            <w:fldChar w:fldCharType="begin"/>
          </w:r>
          <w:r>
            <w:instrText xml:space="preserve"> HYPERLINK \l "_Toc27562" </w:instrText>
          </w:r>
          <w:r>
            <w:fldChar w:fldCharType="separate"/>
          </w:r>
          <w:r>
            <w:rPr>
              <w:rFonts w:ascii="黑体" w:hAnsi="黑体" w:eastAsia="黑体" w:cs="黑体"/>
            </w:rPr>
            <w:t xml:space="preserve">10. </w:t>
          </w:r>
          <w:r>
            <w:t>报价规则</w:t>
          </w:r>
          <w:r>
            <w:tab/>
          </w:r>
          <w:r>
            <w:fldChar w:fldCharType="begin"/>
          </w:r>
          <w:r>
            <w:instrText xml:space="preserve"> PAGEREF _Toc27562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0E5E8B1F">
          <w:pPr>
            <w:pStyle w:val="17"/>
            <w:tabs>
              <w:tab w:val="right" w:leader="dot" w:pos="8306"/>
            </w:tabs>
            <w:ind w:firstLine="420"/>
          </w:pPr>
          <w:r>
            <w:fldChar w:fldCharType="begin"/>
          </w:r>
          <w:r>
            <w:instrText xml:space="preserve"> HYPERLINK \l "_Toc32082" </w:instrText>
          </w:r>
          <w:r>
            <w:fldChar w:fldCharType="separate"/>
          </w:r>
          <w:r>
            <w:rPr>
              <w:rFonts w:ascii="黑体" w:hAnsi="黑体" w:eastAsia="黑体" w:cs="黑体"/>
            </w:rPr>
            <w:t xml:space="preserve">11. </w:t>
          </w:r>
          <w:r>
            <w:t>验收与结算</w:t>
          </w:r>
          <w:r>
            <w:tab/>
          </w:r>
          <w:r>
            <w:fldChar w:fldCharType="begin"/>
          </w:r>
          <w:r>
            <w:instrText xml:space="preserve"> PAGEREF _Toc32082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5C0BD8C9">
          <w:pPr>
            <w:pStyle w:val="17"/>
            <w:tabs>
              <w:tab w:val="right" w:leader="dot" w:pos="8306"/>
            </w:tabs>
            <w:ind w:firstLine="420"/>
          </w:pPr>
          <w:r>
            <w:fldChar w:fldCharType="begin"/>
          </w:r>
          <w:r>
            <w:instrText xml:space="preserve"> HYPERLINK \l "_Toc737" </w:instrText>
          </w:r>
          <w:r>
            <w:fldChar w:fldCharType="separate"/>
          </w:r>
          <w:r>
            <w:rPr>
              <w:rFonts w:ascii="黑体" w:hAnsi="黑体" w:eastAsia="黑体" w:cs="黑体"/>
            </w:rPr>
            <w:t xml:space="preserve">12. </w:t>
          </w:r>
          <w:r>
            <w:t>附件</w:t>
          </w:r>
          <w:r>
            <w:tab/>
          </w:r>
          <w:r>
            <w:fldChar w:fldCharType="begin"/>
          </w:r>
          <w:r>
            <w:instrText xml:space="preserve"> PAGEREF _Toc737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4D887D85">
          <w:pPr>
            <w:pStyle w:val="17"/>
            <w:tabs>
              <w:tab w:val="right" w:leader="dot" w:pos="8306"/>
            </w:tabs>
            <w:ind w:firstLine="420"/>
          </w:pPr>
        </w:p>
        <w:p w14:paraId="084443BE">
          <w:pPr>
            <w:snapToGrid w:val="0"/>
            <w:spacing w:line="360" w:lineRule="auto"/>
            <w:ind w:firstLine="420" w:firstLineChars="200"/>
            <w:jc w:val="left"/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szCs w:val="22"/>
            </w:rPr>
            <w:fldChar w:fldCharType="end"/>
          </w:r>
        </w:p>
      </w:sdtContent>
    </w:sdt>
    <w:p w14:paraId="01C30305">
      <w:pPr>
        <w:pStyle w:val="17"/>
        <w:tabs>
          <w:tab w:val="right" w:leader="dot" w:pos="8296"/>
        </w:tabs>
        <w:ind w:firstLine="420"/>
        <w:rPr>
          <w:rFonts w:hint="eastAsia"/>
          <w:sz w:val="22"/>
          <w14:ligatures w14:val="standardContextual"/>
        </w:rPr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TOC \o "1-3" \h \z \u </w:instrText>
      </w:r>
      <w:r>
        <w:rPr>
          <w:rFonts w:hint="eastAsia" w:ascii="宋体" w:hAnsi="宋体" w:eastAsia="宋体" w:cs="宋体"/>
        </w:rPr>
        <w:fldChar w:fldCharType="separate"/>
      </w:r>
      <w:r>
        <w:fldChar w:fldCharType="begin"/>
      </w:r>
      <w:r>
        <w:instrText xml:space="preserve"> HYPERLINK \l "_Toc233375569" </w:instrText>
      </w:r>
      <w:r>
        <w:fldChar w:fldCharType="separate"/>
      </w:r>
      <w:r>
        <w:rPr>
          <w:rStyle w:val="25"/>
        </w:rPr>
        <w:t>1. 总则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_Toc233375569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1577EAE">
      <w:pPr>
        <w:pStyle w:val="17"/>
        <w:tabs>
          <w:tab w:val="right" w:leader="dot" w:pos="8296"/>
        </w:tabs>
        <w:ind w:firstLine="420"/>
        <w:rPr>
          <w:rFonts w:hint="eastAsia"/>
          <w:sz w:val="22"/>
          <w14:ligatures w14:val="standardContextual"/>
        </w:rPr>
      </w:pPr>
      <w:r>
        <w:fldChar w:fldCharType="begin"/>
      </w:r>
      <w:r>
        <w:instrText xml:space="preserve"> HYPERLINK \l "_Toc233375570" </w:instrText>
      </w:r>
      <w:r>
        <w:fldChar w:fldCharType="separate"/>
      </w:r>
      <w:r>
        <w:rPr>
          <w:rStyle w:val="25"/>
        </w:rPr>
        <w:t>2. 项目背景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_Toc233375570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4A3A4F8">
      <w:pPr>
        <w:pStyle w:val="17"/>
        <w:tabs>
          <w:tab w:val="right" w:leader="dot" w:pos="8296"/>
        </w:tabs>
        <w:ind w:firstLine="420"/>
        <w:rPr>
          <w:rFonts w:hint="eastAsia"/>
          <w:sz w:val="22"/>
          <w14:ligatures w14:val="standardContextual"/>
        </w:rPr>
      </w:pPr>
      <w:r>
        <w:fldChar w:fldCharType="begin"/>
      </w:r>
      <w:r>
        <w:instrText xml:space="preserve"> HYPERLINK \l "_Toc233375571" </w:instrText>
      </w:r>
      <w:r>
        <w:fldChar w:fldCharType="separate"/>
      </w:r>
      <w:r>
        <w:rPr>
          <w:rStyle w:val="25"/>
        </w:rPr>
        <w:t>3. 术语定义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_Toc233375571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4FC7AB7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"_Toc233375572" </w:instrText>
      </w:r>
      <w:r>
        <w:fldChar w:fldCharType="separate"/>
      </w:r>
      <w:r>
        <w:rPr>
          <w:rStyle w:val="25"/>
        </w:rPr>
        <w:t>3.1. 有害生物防治服务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_Toc233375572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4FC6FEF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"_Toc233375573" </w:instrText>
      </w:r>
      <w:r>
        <w:fldChar w:fldCharType="separate"/>
      </w:r>
      <w:r>
        <w:rPr>
          <w:rStyle w:val="25"/>
        </w:rPr>
        <w:t>3.2. 点位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_Toc233375573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35EF92B">
      <w:pPr>
        <w:pStyle w:val="17"/>
        <w:tabs>
          <w:tab w:val="right" w:leader="dot" w:pos="8296"/>
        </w:tabs>
        <w:ind w:firstLine="420"/>
        <w:rPr>
          <w:rFonts w:hint="eastAsia"/>
          <w:sz w:val="22"/>
          <w14:ligatures w14:val="standardContextual"/>
        </w:rPr>
      </w:pPr>
      <w:r>
        <w:fldChar w:fldCharType="begin"/>
      </w:r>
      <w:r>
        <w:instrText xml:space="preserve"> HYPERLINK \l "_Toc233375574" </w:instrText>
      </w:r>
      <w:r>
        <w:fldChar w:fldCharType="separate"/>
      </w:r>
      <w:r>
        <w:rPr>
          <w:rStyle w:val="25"/>
          <w:rFonts w:ascii="黑体" w:hAnsi="黑体" w:cs="黑体"/>
        </w:rPr>
        <w:t>4.</w:t>
      </w:r>
      <w:r>
        <w:rPr>
          <w:rStyle w:val="25"/>
        </w:rPr>
        <w:t xml:space="preserve"> 服务期限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_Toc233375574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D89BC30">
      <w:pPr>
        <w:pStyle w:val="17"/>
        <w:tabs>
          <w:tab w:val="right" w:leader="dot" w:pos="8296"/>
        </w:tabs>
        <w:ind w:firstLine="420"/>
        <w:rPr>
          <w:rFonts w:hint="eastAsia"/>
          <w:sz w:val="22"/>
          <w14:ligatures w14:val="standardContextual"/>
        </w:rPr>
      </w:pPr>
      <w:r>
        <w:fldChar w:fldCharType="begin"/>
      </w:r>
      <w:r>
        <w:instrText xml:space="preserve"> HYPERLINK \l "_Toc233375575" </w:instrText>
      </w:r>
      <w:r>
        <w:fldChar w:fldCharType="separate"/>
      </w:r>
      <w:r>
        <w:rPr>
          <w:rStyle w:val="25"/>
          <w:rFonts w:ascii="黑体" w:hAnsi="黑体" w:cs="黑体"/>
        </w:rPr>
        <w:t>5.</w:t>
      </w:r>
      <w:r>
        <w:rPr>
          <w:rStyle w:val="25"/>
        </w:rPr>
        <w:t xml:space="preserve"> 服务范围及内容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_Toc233375575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80567EA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"_Toc233375576" </w:instrText>
      </w:r>
      <w:r>
        <w:fldChar w:fldCharType="separate"/>
      </w:r>
      <w:r>
        <w:rPr>
          <w:rStyle w:val="25"/>
        </w:rPr>
        <w:t>5.1. 服务内容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_Toc233375576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27033D4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"_Toc233375577" </w:instrText>
      </w:r>
      <w:r>
        <w:fldChar w:fldCharType="separate"/>
      </w:r>
      <w:r>
        <w:rPr>
          <w:rStyle w:val="25"/>
        </w:rPr>
        <w:t>5.2. 服务需求计划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_Toc233375577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5813238">
      <w:pPr>
        <w:pStyle w:val="17"/>
        <w:tabs>
          <w:tab w:val="right" w:leader="dot" w:pos="8296"/>
        </w:tabs>
        <w:ind w:firstLine="420"/>
        <w:rPr>
          <w:rFonts w:hint="eastAsia"/>
          <w:sz w:val="22"/>
          <w14:ligatures w14:val="standardContextual"/>
        </w:rPr>
      </w:pPr>
      <w:r>
        <w:fldChar w:fldCharType="begin"/>
      </w:r>
      <w:r>
        <w:instrText xml:space="preserve"> HYPERLINK \l "_Toc233375578" </w:instrText>
      </w:r>
      <w:r>
        <w:fldChar w:fldCharType="separate"/>
      </w:r>
      <w:r>
        <w:rPr>
          <w:rStyle w:val="25"/>
          <w:rFonts w:ascii="黑体" w:hAnsi="黑体" w:cs="黑体"/>
        </w:rPr>
        <w:t>6.</w:t>
      </w:r>
      <w:r>
        <w:rPr>
          <w:rStyle w:val="25"/>
        </w:rPr>
        <w:t xml:space="preserve"> 服务响应时间要求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_Toc233375578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8705EE4">
      <w:pPr>
        <w:pStyle w:val="17"/>
        <w:tabs>
          <w:tab w:val="right" w:leader="dot" w:pos="8296"/>
        </w:tabs>
        <w:ind w:firstLine="420"/>
        <w:rPr>
          <w:rFonts w:hint="eastAsia"/>
          <w:sz w:val="22"/>
          <w14:ligatures w14:val="standardContextual"/>
        </w:rPr>
      </w:pPr>
      <w:r>
        <w:fldChar w:fldCharType="begin"/>
      </w:r>
      <w:r>
        <w:instrText xml:space="preserve"> HYPERLINK \l "_Toc233375579" </w:instrText>
      </w:r>
      <w:r>
        <w:fldChar w:fldCharType="separate"/>
      </w:r>
      <w:r>
        <w:rPr>
          <w:rStyle w:val="25"/>
          <w:rFonts w:ascii="黑体" w:hAnsi="黑体" w:cs="黑体"/>
        </w:rPr>
        <w:t>7.</w:t>
      </w:r>
      <w:r>
        <w:rPr>
          <w:rStyle w:val="25"/>
        </w:rPr>
        <w:t xml:space="preserve"> 能力与安全要求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_Toc233375579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9F534C8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"_Toc233375580" </w:instrText>
      </w:r>
      <w:r>
        <w:fldChar w:fldCharType="separate"/>
      </w:r>
      <w:r>
        <w:rPr>
          <w:rStyle w:val="25"/>
        </w:rPr>
        <w:t>7.1. 单位资质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_Toc233375580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EF6C255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"_Toc233375581" </w:instrText>
      </w:r>
      <w:r>
        <w:fldChar w:fldCharType="separate"/>
      </w:r>
      <w:r>
        <w:rPr>
          <w:rStyle w:val="25"/>
        </w:rPr>
        <w:t>7.2. 服务团队要求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_Toc233375581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B8A2360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"_Toc233375582" </w:instrText>
      </w:r>
      <w:r>
        <w:fldChar w:fldCharType="separate"/>
      </w:r>
      <w:r>
        <w:rPr>
          <w:rStyle w:val="25"/>
        </w:rPr>
        <w:t>7.3. 作业设备与药剂要求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_Toc233375582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D7BF450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"_Toc233375583" </w:instrText>
      </w:r>
      <w:r>
        <w:fldChar w:fldCharType="separate"/>
      </w:r>
      <w:r>
        <w:rPr>
          <w:rStyle w:val="25"/>
        </w:rPr>
        <w:t>7.4. 现场作业人员的管理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_Toc233375583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758841D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"_Toc233375584" </w:instrText>
      </w:r>
      <w:r>
        <w:fldChar w:fldCharType="separate"/>
      </w:r>
      <w:r>
        <w:rPr>
          <w:rStyle w:val="25"/>
        </w:rPr>
        <w:t>7.5. 现场作业安全防范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_Toc233375584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9D151AF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"_Toc233375585" </w:instrText>
      </w:r>
      <w:r>
        <w:fldChar w:fldCharType="separate"/>
      </w:r>
      <w:r>
        <w:rPr>
          <w:rStyle w:val="25"/>
        </w:rPr>
        <w:t>7.6. 安全教育及措施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_Toc233375585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7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E3777E0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"_Toc233375586" </w:instrText>
      </w:r>
      <w:r>
        <w:fldChar w:fldCharType="separate"/>
      </w:r>
      <w:r>
        <w:rPr>
          <w:rStyle w:val="25"/>
        </w:rPr>
        <w:t>7.7. 作业前的培训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_Toc233375586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7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0FE82ED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"_Toc233375587" </w:instrText>
      </w:r>
      <w:r>
        <w:fldChar w:fldCharType="separate"/>
      </w:r>
      <w:r>
        <w:rPr>
          <w:rStyle w:val="25"/>
        </w:rPr>
        <w:t>7.8. 指定维护联系人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_Toc233375587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7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EF17A91">
      <w:pPr>
        <w:pStyle w:val="17"/>
        <w:tabs>
          <w:tab w:val="right" w:leader="dot" w:pos="8296"/>
        </w:tabs>
        <w:ind w:firstLine="420"/>
        <w:rPr>
          <w:rFonts w:hint="eastAsia"/>
          <w:sz w:val="22"/>
          <w14:ligatures w14:val="standardContextual"/>
        </w:rPr>
      </w:pPr>
      <w:r>
        <w:fldChar w:fldCharType="begin"/>
      </w:r>
      <w:r>
        <w:instrText xml:space="preserve"> HYPERLINK \l "_Toc233375588" </w:instrText>
      </w:r>
      <w:r>
        <w:fldChar w:fldCharType="separate"/>
      </w:r>
      <w:r>
        <w:rPr>
          <w:rStyle w:val="25"/>
          <w:rFonts w:ascii="黑体" w:hAnsi="黑体" w:cs="黑体"/>
        </w:rPr>
        <w:t>8.</w:t>
      </w:r>
      <w:r>
        <w:rPr>
          <w:rStyle w:val="25"/>
        </w:rPr>
        <w:t xml:space="preserve"> 交付物要求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_Toc233375588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7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0F7D68E">
      <w:pPr>
        <w:pStyle w:val="17"/>
        <w:tabs>
          <w:tab w:val="right" w:leader="dot" w:pos="8296"/>
        </w:tabs>
        <w:ind w:firstLine="420"/>
        <w:rPr>
          <w:rFonts w:hint="eastAsia"/>
          <w:sz w:val="22"/>
          <w14:ligatures w14:val="standardContextual"/>
        </w:rPr>
      </w:pPr>
      <w:r>
        <w:fldChar w:fldCharType="begin"/>
      </w:r>
      <w:r>
        <w:instrText xml:space="preserve"> HYPERLINK \l "_Toc233375589" </w:instrText>
      </w:r>
      <w:r>
        <w:fldChar w:fldCharType="separate"/>
      </w:r>
      <w:r>
        <w:rPr>
          <w:rStyle w:val="25"/>
          <w:rFonts w:ascii="黑体" w:hAnsi="黑体" w:cs="黑体"/>
        </w:rPr>
        <w:t>9.</w:t>
      </w:r>
      <w:r>
        <w:rPr>
          <w:rStyle w:val="25"/>
        </w:rPr>
        <w:t xml:space="preserve"> 服务质量考核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_Toc233375589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EEEEEA3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"_Toc233375590" </w:instrText>
      </w:r>
      <w:r>
        <w:fldChar w:fldCharType="separate"/>
      </w:r>
      <w:r>
        <w:rPr>
          <w:rStyle w:val="25"/>
        </w:rPr>
        <w:t>9.1. 责任穿透条款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_Toc233375590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F45B004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"_Toc233375591" </w:instrText>
      </w:r>
      <w:r>
        <w:fldChar w:fldCharType="separate"/>
      </w:r>
      <w:r>
        <w:rPr>
          <w:rStyle w:val="25"/>
        </w:rPr>
        <w:t>9.2. 动态追偿机制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_Toc233375591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F7E6A42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"_Toc233375592" </w:instrText>
      </w:r>
      <w:r>
        <w:fldChar w:fldCharType="separate"/>
      </w:r>
      <w:r>
        <w:rPr>
          <w:rStyle w:val="25"/>
        </w:rPr>
        <w:t>9.3. 法律救济承诺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_Toc233375592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FBF59E4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"_Toc233375593" </w:instrText>
      </w:r>
      <w:r>
        <w:fldChar w:fldCharType="separate"/>
      </w:r>
      <w:r>
        <w:rPr>
          <w:rStyle w:val="25"/>
        </w:rPr>
        <w:t>9.4. 考核流程合规性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_Toc233375593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AE859AB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"_Toc233375594" </w:instrText>
      </w:r>
      <w:r>
        <w:fldChar w:fldCharType="separate"/>
      </w:r>
      <w:r>
        <w:rPr>
          <w:rStyle w:val="25"/>
        </w:rPr>
        <w:t>9.5. 免责声明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_Toc233375594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EC4C6CB">
      <w:pPr>
        <w:pStyle w:val="17"/>
        <w:tabs>
          <w:tab w:val="right" w:leader="dot" w:pos="8296"/>
        </w:tabs>
        <w:ind w:firstLine="420"/>
        <w:rPr>
          <w:rFonts w:hint="eastAsia"/>
          <w:sz w:val="22"/>
          <w14:ligatures w14:val="standardContextual"/>
        </w:rPr>
      </w:pPr>
      <w:r>
        <w:fldChar w:fldCharType="begin"/>
      </w:r>
      <w:r>
        <w:instrText xml:space="preserve"> HYPERLINK \l "_Toc233375595" </w:instrText>
      </w:r>
      <w:r>
        <w:fldChar w:fldCharType="separate"/>
      </w:r>
      <w:r>
        <w:rPr>
          <w:rStyle w:val="25"/>
          <w:rFonts w:ascii="黑体" w:hAnsi="黑体" w:cs="黑体"/>
        </w:rPr>
        <w:t>10.</w:t>
      </w:r>
      <w:r>
        <w:rPr>
          <w:rStyle w:val="25"/>
        </w:rPr>
        <w:t xml:space="preserve"> 报价规则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_Toc233375595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E0B3322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"_Toc233375596" </w:instrText>
      </w:r>
      <w:r>
        <w:fldChar w:fldCharType="separate"/>
      </w:r>
      <w:r>
        <w:rPr>
          <w:rStyle w:val="25"/>
        </w:rPr>
        <w:t>10.1. 报价依据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_Toc233375596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EB593F1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"_Toc233375597" </w:instrText>
      </w:r>
      <w:r>
        <w:fldChar w:fldCharType="separate"/>
      </w:r>
      <w:r>
        <w:rPr>
          <w:rStyle w:val="25"/>
        </w:rPr>
        <w:t>10.2. 费用分类明细要求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_Toc233375597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6F9504D">
      <w:pPr>
        <w:pStyle w:val="17"/>
        <w:tabs>
          <w:tab w:val="right" w:leader="dot" w:pos="8296"/>
        </w:tabs>
        <w:ind w:firstLine="420"/>
        <w:rPr>
          <w:rFonts w:hint="eastAsia"/>
          <w:sz w:val="22"/>
          <w14:ligatures w14:val="standardContextual"/>
        </w:rPr>
      </w:pPr>
      <w:r>
        <w:fldChar w:fldCharType="begin"/>
      </w:r>
      <w:r>
        <w:instrText xml:space="preserve"> HYPERLINK \l "_Toc233375598" </w:instrText>
      </w:r>
      <w:r>
        <w:fldChar w:fldCharType="separate"/>
      </w:r>
      <w:r>
        <w:rPr>
          <w:rStyle w:val="25"/>
          <w:rFonts w:ascii="黑体" w:hAnsi="黑体" w:cs="黑体"/>
        </w:rPr>
        <w:t>11.</w:t>
      </w:r>
      <w:r>
        <w:rPr>
          <w:rStyle w:val="25"/>
        </w:rPr>
        <w:t xml:space="preserve"> 验收与结算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_Toc233375598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58A8C50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"_Toc233375599" </w:instrText>
      </w:r>
      <w:r>
        <w:fldChar w:fldCharType="separate"/>
      </w:r>
      <w:r>
        <w:rPr>
          <w:rStyle w:val="25"/>
        </w:rPr>
        <w:t>11.1. 验收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_Toc233375599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F35B9F2">
      <w:pPr>
        <w:pStyle w:val="14"/>
        <w:tabs>
          <w:tab w:val="right" w:leader="dot" w:pos="8296"/>
        </w:tabs>
        <w:rPr>
          <w:rFonts w:hint="eastAsia" w:cstheme="minorBidi"/>
          <w:kern w:val="2"/>
          <w:szCs w:val="24"/>
          <w14:ligatures w14:val="standardContextual"/>
        </w:rPr>
      </w:pPr>
      <w:r>
        <w:fldChar w:fldCharType="begin"/>
      </w:r>
      <w:r>
        <w:instrText xml:space="preserve"> HYPERLINK \l "_Toc233375600" </w:instrText>
      </w:r>
      <w:r>
        <w:fldChar w:fldCharType="separate"/>
      </w:r>
      <w:r>
        <w:rPr>
          <w:rStyle w:val="25"/>
        </w:rPr>
        <w:t>11.1.1. 验收依据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_Toc233375600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B2B4D6E">
      <w:pPr>
        <w:pStyle w:val="14"/>
        <w:tabs>
          <w:tab w:val="right" w:leader="dot" w:pos="8296"/>
        </w:tabs>
        <w:rPr>
          <w:rFonts w:hint="eastAsia" w:cstheme="minorBidi"/>
          <w:kern w:val="2"/>
          <w:szCs w:val="24"/>
          <w14:ligatures w14:val="standardContextual"/>
        </w:rPr>
      </w:pPr>
      <w:r>
        <w:fldChar w:fldCharType="begin"/>
      </w:r>
      <w:r>
        <w:instrText xml:space="preserve"> HYPERLINK \l "_Toc233375601" </w:instrText>
      </w:r>
      <w:r>
        <w:fldChar w:fldCharType="separate"/>
      </w:r>
      <w:r>
        <w:rPr>
          <w:rStyle w:val="25"/>
        </w:rPr>
        <w:t>11.1.2. 验收类型及流程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_Toc233375601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74670F7">
      <w:pPr>
        <w:pStyle w:val="14"/>
        <w:tabs>
          <w:tab w:val="right" w:leader="dot" w:pos="8296"/>
        </w:tabs>
        <w:rPr>
          <w:rFonts w:hint="eastAsia" w:cstheme="minorBidi"/>
          <w:kern w:val="2"/>
          <w:szCs w:val="24"/>
          <w14:ligatures w14:val="standardContextual"/>
        </w:rPr>
      </w:pPr>
      <w:r>
        <w:fldChar w:fldCharType="begin"/>
      </w:r>
      <w:r>
        <w:instrText xml:space="preserve"> HYPERLINK \l "_Toc233375602" </w:instrText>
      </w:r>
      <w:r>
        <w:fldChar w:fldCharType="separate"/>
      </w:r>
      <w:r>
        <w:rPr>
          <w:rStyle w:val="25"/>
        </w:rPr>
        <w:t>11.1.3. 验收标准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_Toc233375602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468A53F">
      <w:pPr>
        <w:pStyle w:val="14"/>
        <w:tabs>
          <w:tab w:val="right" w:leader="dot" w:pos="8296"/>
        </w:tabs>
        <w:rPr>
          <w:rFonts w:hint="eastAsia" w:cstheme="minorBidi"/>
          <w:kern w:val="2"/>
          <w:szCs w:val="24"/>
          <w14:ligatures w14:val="standardContextual"/>
        </w:rPr>
      </w:pPr>
      <w:r>
        <w:fldChar w:fldCharType="begin"/>
      </w:r>
      <w:r>
        <w:instrText xml:space="preserve"> HYPERLINK \l "_Toc233375603" </w:instrText>
      </w:r>
      <w:r>
        <w:fldChar w:fldCharType="separate"/>
      </w:r>
      <w:r>
        <w:rPr>
          <w:rStyle w:val="25"/>
        </w:rPr>
        <w:t>11.1.4. 异议处理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_Toc233375603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D9842EC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"_Toc233375604" </w:instrText>
      </w:r>
      <w:r>
        <w:fldChar w:fldCharType="separate"/>
      </w:r>
      <w:r>
        <w:rPr>
          <w:rStyle w:val="25"/>
        </w:rPr>
        <w:t>11.2. 结算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_Toc233375604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54C13D3">
      <w:pPr>
        <w:pStyle w:val="14"/>
        <w:tabs>
          <w:tab w:val="right" w:leader="dot" w:pos="8296"/>
        </w:tabs>
        <w:rPr>
          <w:rFonts w:hint="eastAsia" w:cstheme="minorBidi"/>
          <w:kern w:val="2"/>
          <w:szCs w:val="24"/>
          <w14:ligatures w14:val="standardContextual"/>
        </w:rPr>
      </w:pPr>
      <w:r>
        <w:fldChar w:fldCharType="begin"/>
      </w:r>
      <w:r>
        <w:instrText xml:space="preserve"> HYPERLINK \l "_Toc233375605" </w:instrText>
      </w:r>
      <w:r>
        <w:fldChar w:fldCharType="separate"/>
      </w:r>
      <w:r>
        <w:rPr>
          <w:rStyle w:val="25"/>
        </w:rPr>
        <w:t>11.2.1. 结算依据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_Toc233375605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2A1796C">
      <w:pPr>
        <w:pStyle w:val="14"/>
        <w:tabs>
          <w:tab w:val="right" w:leader="dot" w:pos="8296"/>
        </w:tabs>
        <w:rPr>
          <w:rFonts w:hint="eastAsia" w:cstheme="minorBidi"/>
          <w:kern w:val="2"/>
          <w:szCs w:val="24"/>
          <w14:ligatures w14:val="standardContextual"/>
        </w:rPr>
      </w:pPr>
      <w:r>
        <w:fldChar w:fldCharType="begin"/>
      </w:r>
      <w:r>
        <w:instrText xml:space="preserve"> HYPERLINK \l "_Toc233375606" </w:instrText>
      </w:r>
      <w:r>
        <w:fldChar w:fldCharType="separate"/>
      </w:r>
      <w:r>
        <w:rPr>
          <w:rStyle w:val="25"/>
        </w:rPr>
        <w:t>11.2.2. 费用构成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_Toc233375606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7BBC9C7">
      <w:pPr>
        <w:pStyle w:val="14"/>
        <w:tabs>
          <w:tab w:val="right" w:leader="dot" w:pos="8296"/>
        </w:tabs>
        <w:rPr>
          <w:rFonts w:hint="eastAsia" w:cstheme="minorBidi"/>
          <w:kern w:val="2"/>
          <w:szCs w:val="24"/>
          <w14:ligatures w14:val="standardContextual"/>
        </w:rPr>
      </w:pPr>
      <w:r>
        <w:fldChar w:fldCharType="begin"/>
      </w:r>
      <w:r>
        <w:instrText xml:space="preserve"> HYPERLINK \l "_Toc233375607" </w:instrText>
      </w:r>
      <w:r>
        <w:fldChar w:fldCharType="separate"/>
      </w:r>
      <w:r>
        <w:rPr>
          <w:rStyle w:val="25"/>
        </w:rPr>
        <w:t>11.2.3. 扣款规则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_Toc233375607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10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A388AD8">
      <w:pPr>
        <w:pStyle w:val="14"/>
        <w:tabs>
          <w:tab w:val="right" w:leader="dot" w:pos="8296"/>
        </w:tabs>
        <w:rPr>
          <w:rFonts w:hint="eastAsia" w:cstheme="minorBidi"/>
          <w:kern w:val="2"/>
          <w:szCs w:val="24"/>
          <w14:ligatures w14:val="standardContextual"/>
        </w:rPr>
      </w:pPr>
      <w:r>
        <w:fldChar w:fldCharType="begin"/>
      </w:r>
      <w:r>
        <w:instrText xml:space="preserve"> HYPERLINK \l "_Toc233375608" </w:instrText>
      </w:r>
      <w:r>
        <w:fldChar w:fldCharType="separate"/>
      </w:r>
      <w:r>
        <w:rPr>
          <w:rStyle w:val="25"/>
        </w:rPr>
        <w:t>11.2.4. 特殊情况处理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_Toc233375608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10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6337019">
      <w:pPr>
        <w:pStyle w:val="17"/>
        <w:tabs>
          <w:tab w:val="right" w:leader="dot" w:pos="8296"/>
        </w:tabs>
        <w:ind w:firstLine="420"/>
        <w:rPr>
          <w:rFonts w:hint="eastAsia"/>
          <w:sz w:val="22"/>
          <w14:ligatures w14:val="standardContextual"/>
        </w:rPr>
      </w:pPr>
      <w:r>
        <w:fldChar w:fldCharType="begin"/>
      </w:r>
      <w:r>
        <w:instrText xml:space="preserve"> HYPERLINK \l "_Toc233375609" </w:instrText>
      </w:r>
      <w:r>
        <w:fldChar w:fldCharType="separate"/>
      </w:r>
      <w:r>
        <w:rPr>
          <w:rStyle w:val="25"/>
          <w:rFonts w:ascii="黑体" w:hAnsi="黑体" w:cs="黑体"/>
        </w:rPr>
        <w:t>12.</w:t>
      </w:r>
      <w:r>
        <w:rPr>
          <w:rStyle w:val="25"/>
        </w:rPr>
        <w:t xml:space="preserve"> 附件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_Toc233375609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10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E6078BA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"_Toc233375610" </w:instrText>
      </w:r>
      <w:r>
        <w:fldChar w:fldCharType="separate"/>
      </w:r>
      <w:r>
        <w:rPr>
          <w:rStyle w:val="25"/>
        </w:rPr>
        <w:t>12.1. 附件1：《考核指标》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_Toc233375610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10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60444F9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"_Toc233375611" </w:instrText>
      </w:r>
      <w:r>
        <w:fldChar w:fldCharType="separate"/>
      </w:r>
      <w:r>
        <w:rPr>
          <w:rStyle w:val="25"/>
        </w:rPr>
        <w:t>12.2. 附件2：《预防性维护操作程序要求》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_Toc233375611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10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CD6D049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"_Toc233375612" </w:instrText>
      </w:r>
      <w:r>
        <w:fldChar w:fldCharType="separate"/>
      </w:r>
      <w:r>
        <w:rPr>
          <w:rStyle w:val="25"/>
        </w:rPr>
        <w:t>12.3. 附件3：《关键零部件清单》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_Toc233375612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8015377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"_Toc233375613" </w:instrText>
      </w:r>
      <w:r>
        <w:fldChar w:fldCharType="separate"/>
      </w:r>
      <w:r>
        <w:rPr>
          <w:rStyle w:val="25"/>
        </w:rPr>
        <w:t>12.4. 附件4：《维护人员名单》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_Toc233375613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5EBD8FD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"_Toc233375614" </w:instrText>
      </w:r>
      <w:r>
        <w:fldChar w:fldCharType="separate"/>
      </w:r>
      <w:r>
        <w:rPr>
          <w:rStyle w:val="25"/>
        </w:rPr>
        <w:t>12.5. 附件5：《培训内容》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_Toc233375614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3F05D2A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"_Toc233375615" </w:instrText>
      </w:r>
      <w:r>
        <w:fldChar w:fldCharType="separate"/>
      </w:r>
      <w:r>
        <w:rPr>
          <w:rStyle w:val="25"/>
        </w:rPr>
        <w:t>12.6. 附件6：《联络人员名单》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_Toc233375615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7330CD1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"_Toc233375616" </w:instrText>
      </w:r>
      <w:r>
        <w:fldChar w:fldCharType="separate"/>
      </w:r>
      <w:r>
        <w:rPr>
          <w:rStyle w:val="25"/>
        </w:rPr>
        <w:t>12.7. 附件7：《技术服务单模板》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_Toc233375616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13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C7F91CF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"_Toc233375617" </w:instrText>
      </w:r>
      <w:r>
        <w:fldChar w:fldCharType="separate"/>
      </w:r>
      <w:r>
        <w:rPr>
          <w:rStyle w:val="25"/>
        </w:rPr>
        <w:t>12.8. 附件8：《培训签到表》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_Toc233375617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5096A8C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"_Toc233375618" </w:instrText>
      </w:r>
      <w:r>
        <w:fldChar w:fldCharType="separate"/>
      </w:r>
      <w:r>
        <w:rPr>
          <w:rStyle w:val="25"/>
        </w:rPr>
        <w:t>12.9. 附件9：《培训考核表》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_Toc233375618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549471D">
      <w:pPr>
        <w:pStyle w:val="19"/>
        <w:tabs>
          <w:tab w:val="right" w:leader="dot" w:pos="8296"/>
        </w:tabs>
        <w:ind w:firstLine="420"/>
        <w:rPr>
          <w:rFonts w:hint="eastAsia"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"_Toc233375619" </w:instrText>
      </w:r>
      <w:r>
        <w:fldChar w:fldCharType="separate"/>
      </w:r>
      <w:r>
        <w:rPr>
          <w:rStyle w:val="25"/>
        </w:rPr>
        <w:t>12.10. 附件10：《服务总结模板》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_Toc233375619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1ACAC53">
      <w:pPr>
        <w:snapToGrid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81" w:charSpace="0"/>
        </w:sectPr>
      </w:pPr>
      <w:r>
        <w:rPr>
          <w:rFonts w:hint="eastAsia" w:ascii="宋体" w:hAnsi="宋体" w:eastAsia="宋体" w:cs="宋体"/>
        </w:rPr>
        <w:fldChar w:fldCharType="end"/>
      </w:r>
    </w:p>
    <w:p w14:paraId="485BA94B">
      <w:pPr>
        <w:pStyle w:val="2"/>
        <w:widowControl/>
        <w:numPr>
          <w:ilvl w:val="0"/>
          <w:numId w:val="2"/>
        </w:numPr>
        <w:spacing w:before="0"/>
      </w:pPr>
      <w:bookmarkStart w:id="2" w:name="_Toc17628"/>
      <w:bookmarkStart w:id="3" w:name="_Toc12071"/>
      <w:bookmarkStart w:id="4" w:name="_Toc233375569"/>
      <w:r>
        <w:t>总则</w:t>
      </w:r>
      <w:bookmarkEnd w:id="2"/>
      <w:bookmarkEnd w:id="3"/>
      <w:bookmarkEnd w:id="4"/>
    </w:p>
    <w:p w14:paraId="7F7A8479">
      <w:pPr>
        <w:pStyle w:val="13"/>
        <w:spacing w:before="0" w:after="0"/>
        <w:ind w:firstLine="480"/>
      </w:pPr>
      <w:r>
        <w:t>本技术附件指上海宝信数据中心有限公司（以下简称“甲方”），委托外部供应商或服务商（以下简称“乙方”）提供有害生物防治技术服务，保障数据中心机房、配电室、电池间、软水站等区域环境整洁安全，有效防控鼠、蟑螂、蚊虫、苍蝇等有害生物滋生蔓延，同时明确乙方提供的服务标准、服务内容方面的约定、以及计费原则，服务质量要求等，是关联合同的一部分。</w:t>
      </w:r>
    </w:p>
    <w:p w14:paraId="1A391B2F">
      <w:pPr>
        <w:pStyle w:val="2"/>
        <w:widowControl/>
        <w:numPr>
          <w:ilvl w:val="0"/>
          <w:numId w:val="2"/>
        </w:numPr>
        <w:spacing w:before="0"/>
      </w:pPr>
      <w:bookmarkStart w:id="5" w:name="_Toc25854"/>
      <w:bookmarkStart w:id="6" w:name="_Toc233375570"/>
      <w:bookmarkStart w:id="7" w:name="_Toc15425"/>
      <w:r>
        <w:t>项目背景</w:t>
      </w:r>
      <w:bookmarkEnd w:id="5"/>
      <w:bookmarkEnd w:id="6"/>
      <w:bookmarkEnd w:id="7"/>
    </w:p>
    <w:p w14:paraId="1BD48C0E">
      <w:pPr>
        <w:pStyle w:val="13"/>
        <w:spacing w:before="0" w:after="0"/>
        <w:ind w:firstLine="480"/>
      </w:pPr>
      <w:r>
        <w:t>甲方运营的大型数据中心华北项目基地，位于河北省张家口市宣化区宝之云华北基地，目前基地包含</w:t>
      </w:r>
      <w:r>
        <w:rPr>
          <w:rStyle w:val="24"/>
          <w:color w:val="000000"/>
        </w:rPr>
        <w:t>A1/B1、A2/B2、A4/B4、A5/B5</w:t>
      </w:r>
      <w:r>
        <w:rPr>
          <w:rStyle w:val="24"/>
          <w:rFonts w:hint="eastAsia"/>
          <w:color w:val="000000"/>
        </w:rPr>
        <w:t>等</w:t>
      </w:r>
      <w:r>
        <w:t>多栋楼宇，区域涵盖机房、配电室、电池间、楼层通道、门厅、软水站等功能区域。</w:t>
      </w:r>
    </w:p>
    <w:p w14:paraId="440DAE7B">
      <w:pPr>
        <w:pStyle w:val="13"/>
        <w:spacing w:before="0" w:after="0"/>
        <w:ind w:firstLine="480"/>
      </w:pPr>
      <w:r>
        <w:t>为规避有害生物对电气设备、线缆、机房环境及现场工作人员造成安全隐患，规范全域有害生物消杀、物理防治设施布设、季度巡检等工作，本附件明确乙方作业内容、记录台账、服务报告等要求，通过标准化作业保障基地环境与设备安全稳定运行。</w:t>
      </w:r>
    </w:p>
    <w:p w14:paraId="5BEB83C4">
      <w:pPr>
        <w:pStyle w:val="2"/>
        <w:widowControl/>
        <w:numPr>
          <w:ilvl w:val="0"/>
          <w:numId w:val="2"/>
        </w:numPr>
        <w:spacing w:before="0"/>
      </w:pPr>
      <w:bookmarkStart w:id="8" w:name="_Toc26034"/>
      <w:bookmarkStart w:id="9" w:name="_Toc233375571"/>
      <w:bookmarkStart w:id="10" w:name="_Toc11179"/>
      <w:r>
        <w:t>术语定义</w:t>
      </w:r>
      <w:bookmarkEnd w:id="8"/>
      <w:bookmarkEnd w:id="9"/>
      <w:bookmarkEnd w:id="10"/>
    </w:p>
    <w:p w14:paraId="752AE34C">
      <w:pPr>
        <w:pStyle w:val="3"/>
        <w:widowControl/>
        <w:numPr>
          <w:ilvl w:val="0"/>
          <w:numId w:val="3"/>
        </w:numPr>
        <w:spacing w:before="0"/>
      </w:pPr>
      <w:bookmarkStart w:id="11" w:name="_Toc13087"/>
      <w:bookmarkStart w:id="12" w:name="_Toc233375572"/>
      <w:bookmarkStart w:id="13" w:name="_Toc16209"/>
      <w:bookmarkStart w:id="14" w:name="_Toc26616"/>
      <w:bookmarkStart w:id="15" w:name="_Toc3425"/>
      <w:r>
        <w:t>有害生物防治服务</w:t>
      </w:r>
      <w:bookmarkEnd w:id="11"/>
      <w:bookmarkEnd w:id="12"/>
      <w:bookmarkEnd w:id="13"/>
    </w:p>
    <w:bookmarkEnd w:id="14"/>
    <w:bookmarkEnd w:id="15"/>
    <w:p w14:paraId="095EC66F">
      <w:pPr>
        <w:pStyle w:val="13"/>
        <w:spacing w:before="0" w:after="0"/>
        <w:ind w:firstLine="480"/>
      </w:pPr>
      <w:r>
        <w:t>指针对数据中心全域区域，依据国家病媒生物防制相关标准、公共场所消杀规范及甲方运维管理要求，定期开展滞留喷洒消杀、物理防治设施布设、季度巡检、突发虫害应急处置等计划性、预防性作业服务。</w:t>
      </w:r>
    </w:p>
    <w:p w14:paraId="13EF527D">
      <w:pPr>
        <w:pStyle w:val="3"/>
        <w:widowControl/>
        <w:numPr>
          <w:ilvl w:val="0"/>
          <w:numId w:val="3"/>
        </w:numPr>
        <w:spacing w:before="0"/>
      </w:pPr>
      <w:bookmarkStart w:id="16" w:name="_Toc30367"/>
      <w:bookmarkStart w:id="17" w:name="_Toc31149"/>
      <w:bookmarkStart w:id="18" w:name="_Toc233375573"/>
      <w:r>
        <w:t>点位</w:t>
      </w:r>
      <w:bookmarkEnd w:id="16"/>
      <w:bookmarkEnd w:id="17"/>
      <w:bookmarkEnd w:id="18"/>
    </w:p>
    <w:p w14:paraId="5F3C47CC">
      <w:pPr>
        <w:pStyle w:val="13"/>
        <w:widowControl/>
        <w:spacing w:before="0" w:after="0"/>
        <w:ind w:firstLine="480"/>
        <w:rPr>
          <w:color w:val="000000"/>
        </w:rPr>
      </w:pPr>
      <w:r>
        <w:rPr>
          <w:color w:val="000000"/>
        </w:rPr>
        <w:t>指本项目有害生物防治服务中，依据《病媒生物预防控制管理规定》《公共场所卫生管理条例》及本项目服务范围约定，需独立开展消杀、巡检、设施安装的具体区域、设施单元，是服务数量统计与服务费用核算的核心基本单位。具体包括：</w:t>
      </w:r>
    </w:p>
    <w:p w14:paraId="269B3467">
      <w:pPr>
        <w:pStyle w:val="13"/>
        <w:widowControl/>
        <w:numPr>
          <w:ilvl w:val="0"/>
          <w:numId w:val="4"/>
        </w:numPr>
        <w:spacing w:before="0" w:after="0"/>
        <w:ind w:firstLineChars="0"/>
        <w:rPr>
          <w:rFonts w:hint="eastAsia" w:ascii="宋体" w:hAnsi="宋体" w:cs="宋体"/>
          <w:color w:val="000000"/>
        </w:rPr>
      </w:pPr>
      <w:r>
        <w:rPr>
          <w:color w:val="000000"/>
        </w:rPr>
        <w:t>各楼宇门厅、软水站、机房、配电室、电池间等消杀作业区域；</w:t>
      </w:r>
    </w:p>
    <w:p w14:paraId="2B361E59">
      <w:pPr>
        <w:pStyle w:val="13"/>
        <w:widowControl/>
        <w:numPr>
          <w:ilvl w:val="0"/>
          <w:numId w:val="4"/>
        </w:numPr>
        <w:spacing w:before="0" w:after="0"/>
        <w:ind w:firstLineChars="0"/>
        <w:rPr>
          <w:rFonts w:hint="eastAsia" w:ascii="宋体" w:hAnsi="宋体" w:cs="宋体"/>
          <w:color w:val="000000"/>
        </w:rPr>
      </w:pPr>
      <w:r>
        <w:rPr>
          <w:color w:val="000000"/>
        </w:rPr>
        <w:t>挡鼠板、防虫网、捕鼠装置等物理防治设施巡检点位；</w:t>
      </w:r>
    </w:p>
    <w:p w14:paraId="56370862">
      <w:pPr>
        <w:pStyle w:val="13"/>
        <w:widowControl/>
        <w:numPr>
          <w:ilvl w:val="0"/>
          <w:numId w:val="4"/>
        </w:numPr>
        <w:spacing w:before="0" w:after="0"/>
        <w:ind w:firstLineChars="0"/>
        <w:rPr>
          <w:rFonts w:hint="eastAsia" w:ascii="宋体" w:hAnsi="宋体" w:cs="宋体"/>
          <w:color w:val="000000"/>
        </w:rPr>
      </w:pPr>
      <w:r>
        <w:rPr>
          <w:color w:val="000000"/>
        </w:rPr>
        <w:t>全域有害生物警示标识牌安装点位。</w:t>
      </w:r>
    </w:p>
    <w:p w14:paraId="18497F74">
      <w:pPr>
        <w:pStyle w:val="2"/>
        <w:widowControl/>
        <w:numPr>
          <w:ilvl w:val="0"/>
          <w:numId w:val="2"/>
        </w:numPr>
        <w:spacing w:before="0"/>
        <w:rPr>
          <w:rFonts w:hint="eastAsia" w:ascii="黑体" w:hAnsi="黑体" w:cs="黑体"/>
        </w:rPr>
      </w:pPr>
      <w:bookmarkStart w:id="19" w:name="_Toc233375574"/>
      <w:bookmarkStart w:id="20" w:name="_Toc306"/>
      <w:bookmarkStart w:id="21" w:name="_Toc29220"/>
      <w:r>
        <w:t>服务期限</w:t>
      </w:r>
      <w:bookmarkEnd w:id="19"/>
      <w:bookmarkEnd w:id="20"/>
      <w:bookmarkEnd w:id="21"/>
    </w:p>
    <w:p w14:paraId="56AB558A">
      <w:pPr>
        <w:pStyle w:val="13"/>
        <w:spacing w:before="0" w:after="0"/>
        <w:ind w:firstLine="480"/>
      </w:pPr>
      <w:r>
        <w:rPr>
          <w:color w:val="000000"/>
        </w:rPr>
        <w:t>服务期限为合同签订之日起至2026年12月31日，具体时间以正式合同为准。服务期限内，乙方需全面履行本附件约定的全部责任和义务。</w:t>
      </w:r>
    </w:p>
    <w:p w14:paraId="05FD6528">
      <w:pPr>
        <w:pStyle w:val="2"/>
        <w:widowControl/>
        <w:numPr>
          <w:ilvl w:val="0"/>
          <w:numId w:val="2"/>
        </w:numPr>
        <w:spacing w:before="0"/>
        <w:rPr>
          <w:rFonts w:hint="eastAsia" w:ascii="黑体" w:hAnsi="黑体" w:cs="黑体"/>
        </w:rPr>
      </w:pPr>
      <w:bookmarkStart w:id="22" w:name="_Toc25099"/>
      <w:bookmarkStart w:id="23" w:name="_Toc29367"/>
      <w:bookmarkStart w:id="24" w:name="_Toc233375575"/>
      <w:r>
        <w:t>服务范围及内容</w:t>
      </w:r>
      <w:bookmarkEnd w:id="22"/>
      <w:bookmarkEnd w:id="23"/>
      <w:bookmarkEnd w:id="24"/>
    </w:p>
    <w:p w14:paraId="651E50B9">
      <w:pPr>
        <w:pStyle w:val="13"/>
        <w:spacing w:before="0" w:after="0"/>
        <w:ind w:firstLine="480"/>
      </w:pPr>
      <w:r>
        <w:rPr>
          <w:color w:val="000000"/>
        </w:rPr>
        <w:t>服务范围为宝之云华北基地A1/B1、A2/B2、A4/B4、A5/B5室内区域，包含数据楼配电室、电池间、机房、门厅，柴发楼软水站。</w:t>
      </w:r>
    </w:p>
    <w:p w14:paraId="570BB4F4">
      <w:pPr>
        <w:pStyle w:val="3"/>
        <w:widowControl/>
        <w:numPr>
          <w:ilvl w:val="0"/>
          <w:numId w:val="5"/>
        </w:numPr>
        <w:spacing w:before="0"/>
      </w:pPr>
      <w:bookmarkStart w:id="25" w:name="_Toc32376"/>
      <w:bookmarkStart w:id="26" w:name="_Toc233375576"/>
      <w:bookmarkStart w:id="27" w:name="_Toc20806"/>
      <w:bookmarkStart w:id="28" w:name="_Toc17423"/>
      <w:bookmarkStart w:id="29" w:name="_Toc319"/>
      <w:r>
        <w:t>服务内容</w:t>
      </w:r>
      <w:bookmarkEnd w:id="25"/>
      <w:bookmarkEnd w:id="26"/>
      <w:bookmarkEnd w:id="27"/>
    </w:p>
    <w:bookmarkEnd w:id="28"/>
    <w:bookmarkEnd w:id="29"/>
    <w:p w14:paraId="7729D61F">
      <w:pPr>
        <w:pStyle w:val="13"/>
        <w:spacing w:before="0" w:after="0"/>
        <w:ind w:firstLine="480"/>
      </w:pPr>
      <w:r>
        <w:rPr>
          <w:color w:val="000000"/>
        </w:rPr>
        <w:t>乙方在合同期限内，按照本附件服务范围提供下表全部服务，严格遵循国家病媒生物防制规范、药剂使用标准开展作业。</w:t>
      </w:r>
    </w:p>
    <w:tbl>
      <w:tblPr>
        <w:tblStyle w:val="21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654"/>
        <w:gridCol w:w="3577"/>
        <w:gridCol w:w="2722"/>
      </w:tblGrid>
      <w:tr w14:paraId="4E0B1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1B08492B">
            <w:pPr>
              <w:keepNext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  <w:t>序号</w:t>
            </w:r>
          </w:p>
        </w:tc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27EBAB4C">
            <w:pPr>
              <w:keepNext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  <w:t>服务内容</w:t>
            </w:r>
          </w:p>
        </w:tc>
        <w:tc>
          <w:tcPr>
            <w:tcW w:w="20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171750B0">
            <w:pPr>
              <w:keepNext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  <w:t>服务内容描述</w:t>
            </w:r>
          </w:p>
        </w:tc>
        <w:tc>
          <w:tcPr>
            <w:tcW w:w="1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747F2DC0">
            <w:pPr>
              <w:keepNext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  <w:t>服务模式</w:t>
            </w:r>
          </w:p>
        </w:tc>
      </w:tr>
      <w:tr w14:paraId="10453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83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AD7B204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1</w:t>
            </w:r>
          </w:p>
        </w:tc>
        <w:tc>
          <w:tcPr>
            <w:tcW w:w="960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FD4F8A7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警示牌</w:t>
            </w:r>
          </w:p>
        </w:tc>
        <w:tc>
          <w:tcPr>
            <w:tcW w:w="2076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853F729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按照规范开展物理警示牌制作安装</w:t>
            </w:r>
          </w:p>
        </w:tc>
        <w:tc>
          <w:tcPr>
            <w:tcW w:w="1580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83DA73B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全包模式</w:t>
            </w:r>
          </w:p>
        </w:tc>
      </w:tr>
      <w:tr w14:paraId="3E698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83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9BF027D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2</w:t>
            </w:r>
          </w:p>
        </w:tc>
        <w:tc>
          <w:tcPr>
            <w:tcW w:w="960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FCF5A30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捕鼠设施</w:t>
            </w:r>
          </w:p>
        </w:tc>
        <w:tc>
          <w:tcPr>
            <w:tcW w:w="2076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0C3C90B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按照有害生物防治点图进行安装/布置</w:t>
            </w:r>
          </w:p>
        </w:tc>
        <w:tc>
          <w:tcPr>
            <w:tcW w:w="1580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2046A29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耗材甲方提供，乙方安装/布置</w:t>
            </w:r>
          </w:p>
        </w:tc>
      </w:tr>
      <w:tr w14:paraId="2C84A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83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13195D2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3</w:t>
            </w:r>
          </w:p>
        </w:tc>
        <w:tc>
          <w:tcPr>
            <w:tcW w:w="960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64D7B99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室内滞留喷洒</w:t>
            </w:r>
          </w:p>
        </w:tc>
        <w:tc>
          <w:tcPr>
            <w:tcW w:w="2076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58B5C0C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A1.A2.A4.A5门厅；B1.B2.B4.B5软水站采用40%呋虫胺进行人工消杀</w:t>
            </w:r>
          </w:p>
        </w:tc>
        <w:tc>
          <w:tcPr>
            <w:tcW w:w="1580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E570C6E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全包模式</w:t>
            </w:r>
          </w:p>
        </w:tc>
      </w:tr>
      <w:tr w14:paraId="02A7B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0A455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4</w:t>
            </w:r>
          </w:p>
        </w:tc>
        <w:tc>
          <w:tcPr>
            <w:tcW w:w="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D4EFB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物理设施巡检</w:t>
            </w:r>
          </w:p>
        </w:tc>
        <w:tc>
          <w:tcPr>
            <w:tcW w:w="20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BE7FF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挡鼠板、防虫网、捕鼠装置季节巡查巡检</w:t>
            </w:r>
          </w:p>
        </w:tc>
        <w:tc>
          <w:tcPr>
            <w:tcW w:w="1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0025F">
            <w:pPr>
              <w:keepNext/>
              <w:snapToGrid w:val="0"/>
              <w:jc w:val="left"/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5"/>
                <w:szCs w:val="15"/>
              </w:rPr>
              <w:t>设施如有损坏需要更换上报甲方</w:t>
            </w:r>
          </w:p>
        </w:tc>
      </w:tr>
    </w:tbl>
    <w:p w14:paraId="780E1F9A">
      <w:pPr>
        <w:pStyle w:val="13"/>
        <w:widowControl/>
        <w:spacing w:before="0" w:after="0"/>
        <w:ind w:firstLine="480"/>
        <w:rPr>
          <w:color w:val="000000"/>
        </w:rPr>
      </w:pPr>
      <w:r>
        <w:rPr>
          <w:color w:val="000000"/>
        </w:rPr>
        <w:t>乙方需在服务周期内提供完整专业有害生物防治技术服务，具体要求：</w:t>
      </w:r>
    </w:p>
    <w:p w14:paraId="50DF47A4">
      <w:pPr>
        <w:pStyle w:val="13"/>
        <w:widowControl/>
        <w:numPr>
          <w:ilvl w:val="0"/>
          <w:numId w:val="6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严格依据《病媒生物预防控制管理规定》《公共场所消杀技术规范》开展作业，合理选用合规消杀药剂、器械，完成警示牌布设、滞留喷洒、设施巡检等全部工作；</w:t>
      </w:r>
    </w:p>
    <w:p w14:paraId="20CC3054">
      <w:pPr>
        <w:pStyle w:val="13"/>
        <w:widowControl/>
        <w:numPr>
          <w:ilvl w:val="0"/>
          <w:numId w:val="6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按约定频次完成周期性作业，针对鼠、蟑、蚊、蝇等四害开展专项防控，发现虫害隐患及时处置并提交整改建议；</w:t>
      </w:r>
    </w:p>
    <w:p w14:paraId="5466C082">
      <w:pPr>
        <w:pStyle w:val="13"/>
        <w:widowControl/>
        <w:numPr>
          <w:ilvl w:val="0"/>
          <w:numId w:val="6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作业全程留存影像、台账、记录，按期提交全套服务报告、巡检记录、药剂使用清单等交付物；</w:t>
      </w:r>
    </w:p>
    <w:p w14:paraId="04F42BB3">
      <w:pPr>
        <w:pStyle w:val="13"/>
        <w:widowControl/>
        <w:numPr>
          <w:ilvl w:val="0"/>
          <w:numId w:val="6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若国家相关规范、药剂使用标准发生更新，乙方须立即按照最新标准执行</w:t>
      </w:r>
      <w:r>
        <w:rPr>
          <w:rFonts w:hint="eastAsia"/>
          <w:color w:val="000000"/>
        </w:rPr>
        <w:t>。</w:t>
      </w:r>
    </w:p>
    <w:p w14:paraId="263D17CB">
      <w:pPr>
        <w:pStyle w:val="3"/>
        <w:widowControl/>
        <w:numPr>
          <w:ilvl w:val="0"/>
          <w:numId w:val="5"/>
        </w:numPr>
        <w:spacing w:before="0"/>
      </w:pPr>
      <w:bookmarkStart w:id="30" w:name="_Toc15540"/>
      <w:bookmarkStart w:id="31" w:name="_Toc10162"/>
      <w:bookmarkStart w:id="32" w:name="_Toc233375577"/>
      <w:bookmarkStart w:id="33" w:name="_Toc25605"/>
      <w:r>
        <w:t>服务需求计划</w:t>
      </w:r>
      <w:bookmarkEnd w:id="30"/>
      <w:bookmarkEnd w:id="31"/>
      <w:bookmarkEnd w:id="32"/>
    </w:p>
    <w:bookmarkEnd w:id="33"/>
    <w:p w14:paraId="10C68F34">
      <w:pPr>
        <w:pStyle w:val="13"/>
        <w:spacing w:before="0" w:after="0"/>
        <w:ind w:firstLine="480"/>
      </w:pPr>
      <w:r>
        <w:t>本项目下一服务周期作业计划如下，表格仅包含人工+耗材类技术服务，甲方提供捕鼠装置等部分设备，具体作业计划、区域、频次如下：</w:t>
      </w:r>
    </w:p>
    <w:p w14:paraId="2C708A2B">
      <w:pPr>
        <w:pStyle w:val="13"/>
        <w:spacing w:before="0" w:after="0"/>
        <w:ind w:firstLine="48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271645" cy="2820670"/>
            <wp:effectExtent l="0" t="0" r="8255" b="11430"/>
            <wp:docPr id="4" name="图片 4" descr="83143435-78c8-4d63-bbb4-8751dcad4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3143435-78c8-4d63-bbb4-8751dcad4f4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1645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87" w:name="_GoBack"/>
      <w:bookmarkEnd w:id="287"/>
    </w:p>
    <w:p w14:paraId="74716A03">
      <w:pPr>
        <w:pStyle w:val="2"/>
        <w:widowControl/>
        <w:numPr>
          <w:ilvl w:val="0"/>
          <w:numId w:val="2"/>
        </w:numPr>
        <w:spacing w:before="0"/>
        <w:rPr>
          <w:rFonts w:hint="eastAsia" w:ascii="黑体" w:hAnsi="黑体" w:cs="黑体"/>
        </w:rPr>
      </w:pPr>
      <w:bookmarkStart w:id="34" w:name="_Toc21846"/>
      <w:bookmarkStart w:id="35" w:name="_Toc5669"/>
      <w:bookmarkStart w:id="36" w:name="_Toc233375578"/>
      <w:r>
        <w:t>服务响应时间要求</w:t>
      </w:r>
      <w:bookmarkEnd w:id="34"/>
      <w:bookmarkEnd w:id="35"/>
      <w:bookmarkEnd w:id="36"/>
    </w:p>
    <w:p w14:paraId="3DFCDF7D">
      <w:pPr>
        <w:pStyle w:val="13"/>
        <w:spacing w:before="0" w:after="0"/>
        <w:ind w:firstLine="480"/>
      </w:pPr>
      <w:r>
        <w:t>本项目不涉及时限响应要求。</w:t>
      </w:r>
    </w:p>
    <w:p w14:paraId="2916958E">
      <w:pPr>
        <w:pStyle w:val="2"/>
        <w:widowControl/>
        <w:numPr>
          <w:ilvl w:val="0"/>
          <w:numId w:val="2"/>
        </w:numPr>
        <w:spacing w:before="0"/>
        <w:rPr>
          <w:rFonts w:hint="eastAsia" w:ascii="黑体" w:hAnsi="黑体" w:cs="黑体"/>
        </w:rPr>
      </w:pPr>
      <w:bookmarkStart w:id="37" w:name="_Toc25635"/>
      <w:bookmarkStart w:id="38" w:name="_Toc233375579"/>
      <w:bookmarkStart w:id="39" w:name="_Toc8534"/>
      <w:r>
        <w:t>能力与安全要求</w:t>
      </w:r>
      <w:bookmarkEnd w:id="37"/>
      <w:bookmarkEnd w:id="38"/>
      <w:bookmarkEnd w:id="39"/>
    </w:p>
    <w:p w14:paraId="62742593">
      <w:pPr>
        <w:pStyle w:val="3"/>
        <w:widowControl/>
        <w:numPr>
          <w:ilvl w:val="0"/>
          <w:numId w:val="7"/>
        </w:numPr>
        <w:spacing w:before="0"/>
      </w:pPr>
      <w:bookmarkStart w:id="40" w:name="_Toc233375580"/>
      <w:bookmarkStart w:id="41" w:name="_Toc32104"/>
      <w:bookmarkStart w:id="42" w:name="_Toc12611"/>
      <w:bookmarkStart w:id="43" w:name="_Toc20680"/>
      <w:bookmarkStart w:id="44" w:name="_Toc30995"/>
      <w:r>
        <w:t>单位资质</w:t>
      </w:r>
      <w:bookmarkEnd w:id="40"/>
      <w:bookmarkEnd w:id="41"/>
      <w:bookmarkEnd w:id="42"/>
    </w:p>
    <w:p w14:paraId="1CD27310">
      <w:pPr>
        <w:pStyle w:val="13"/>
        <w:spacing w:before="0" w:after="0"/>
        <w:ind w:firstLine="480"/>
      </w:pPr>
      <w:r>
        <w:t>乙方须具备正规有效病媒生物防制服务资质、有害生物防治企业资质，且资质证书均在有效期内。</w:t>
      </w:r>
    </w:p>
    <w:p w14:paraId="5094ED8D">
      <w:pPr>
        <w:pStyle w:val="3"/>
        <w:widowControl/>
        <w:numPr>
          <w:ilvl w:val="0"/>
          <w:numId w:val="7"/>
        </w:numPr>
        <w:spacing w:before="0"/>
      </w:pPr>
      <w:bookmarkStart w:id="45" w:name="_Toc23358"/>
      <w:bookmarkStart w:id="46" w:name="_Toc233375581"/>
      <w:bookmarkStart w:id="47" w:name="_Toc25521"/>
      <w:r>
        <w:t>服务团队要求</w:t>
      </w:r>
      <w:bookmarkEnd w:id="45"/>
      <w:bookmarkEnd w:id="46"/>
      <w:bookmarkEnd w:id="47"/>
    </w:p>
    <w:bookmarkEnd w:id="43"/>
    <w:bookmarkEnd w:id="44"/>
    <w:p w14:paraId="7C6A11A9">
      <w:pPr>
        <w:pStyle w:val="13"/>
        <w:spacing w:before="0" w:after="0"/>
        <w:ind w:firstLine="480"/>
      </w:pPr>
      <w:r>
        <w:t>为保证服务质量，乙方应成立专门的项目组，需提供技术服务人员清单，清单中不低于1名项目负责人，负责服务团队的管理、双方的协调沟通、资源的调配、服务实施的管理、服务报告提交和质量管控。清单中维护技术人员以及安全管理人员配置不低于3人，应具有相关的职业资格证书，如：有害生物消杀作业上岗证、安全管理等专业证书。</w:t>
      </w:r>
    </w:p>
    <w:p w14:paraId="0C347FA0">
      <w:pPr>
        <w:pStyle w:val="13"/>
        <w:spacing w:before="0" w:after="0"/>
        <w:ind w:firstLine="480"/>
      </w:pPr>
      <w:r>
        <w:t>承诺本项目的所有成员的稳定性，</w:t>
      </w:r>
      <w:r>
        <w:rPr>
          <w:rFonts w:hint="eastAsia"/>
        </w:rPr>
        <w:t>服务</w:t>
      </w:r>
      <w:r>
        <w:t>人员名单按附件四《维护人员名单》事先约定，如需更换成员，须保证替换人员的认证资质和从业经验不低于原有人员，并须提前一个月向买方提交书面申请并经相关维护人员签字同意。未经甲方同</w:t>
      </w:r>
      <w:r>
        <w:rPr>
          <w:rFonts w:hint="eastAsia"/>
        </w:rPr>
        <w:t>意</w:t>
      </w:r>
      <w:r>
        <w:t>随意更换的，</w:t>
      </w:r>
      <w:r>
        <w:rPr>
          <w:rFonts w:hint="eastAsia"/>
        </w:rPr>
        <w:t>甲方</w:t>
      </w:r>
      <w:r>
        <w:t>有权采用考核扣分、罚款等处罚措施或解除合同。</w:t>
      </w:r>
    </w:p>
    <w:p w14:paraId="5510E116">
      <w:pPr>
        <w:pStyle w:val="3"/>
        <w:widowControl/>
        <w:numPr>
          <w:ilvl w:val="0"/>
          <w:numId w:val="7"/>
        </w:numPr>
        <w:spacing w:before="0"/>
      </w:pPr>
      <w:bookmarkStart w:id="48" w:name="_Toc9995"/>
      <w:bookmarkStart w:id="49" w:name="_Toc28521"/>
      <w:bookmarkStart w:id="50" w:name="_Toc233375582"/>
      <w:r>
        <w:t>作业设备与药剂要求</w:t>
      </w:r>
      <w:bookmarkEnd w:id="48"/>
      <w:bookmarkEnd w:id="49"/>
      <w:bookmarkEnd w:id="50"/>
    </w:p>
    <w:p w14:paraId="0397D92B">
      <w:pPr>
        <w:pStyle w:val="13"/>
        <w:widowControl/>
        <w:numPr>
          <w:ilvl w:val="0"/>
          <w:numId w:val="8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乙方使用的消杀器械、喷洒设备须完好合规，定期检修保养，进场前提供设备清单及检修记录；</w:t>
      </w:r>
    </w:p>
    <w:p w14:paraId="737307BB">
      <w:pPr>
        <w:pStyle w:val="13"/>
        <w:widowControl/>
        <w:numPr>
          <w:ilvl w:val="0"/>
          <w:numId w:val="8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所有消杀药剂须为国家农药登记证、卫生许可证齐全的合规产品，严禁使用违禁、高毒药剂；进场时提供药剂品牌、型号、技术说明书（MSDS），甲方有权现场核查。</w:t>
      </w:r>
    </w:p>
    <w:p w14:paraId="1EFC8B38">
      <w:pPr>
        <w:pStyle w:val="3"/>
        <w:widowControl/>
        <w:numPr>
          <w:ilvl w:val="0"/>
          <w:numId w:val="7"/>
        </w:numPr>
        <w:spacing w:before="0"/>
      </w:pPr>
      <w:bookmarkStart w:id="51" w:name="_Toc27139"/>
      <w:bookmarkStart w:id="52" w:name="_Toc233375583"/>
      <w:bookmarkStart w:id="53" w:name="_Toc2377"/>
      <w:bookmarkStart w:id="54" w:name="_Toc8575"/>
      <w:bookmarkStart w:id="55" w:name="_Toc31357"/>
      <w:r>
        <w:t>现场作业人员的管理</w:t>
      </w:r>
      <w:bookmarkEnd w:id="51"/>
      <w:bookmarkEnd w:id="52"/>
      <w:bookmarkEnd w:id="53"/>
    </w:p>
    <w:bookmarkEnd w:id="54"/>
    <w:bookmarkEnd w:id="55"/>
    <w:p w14:paraId="5975A79A">
      <w:pPr>
        <w:pStyle w:val="13"/>
        <w:spacing w:before="0" w:after="0"/>
        <w:ind w:firstLine="480"/>
      </w:pPr>
      <w:r>
        <w:t>乙方安排至现场的作业人员应遵守下列要求：</w:t>
      </w:r>
    </w:p>
    <w:p w14:paraId="11ABAAFF">
      <w:pPr>
        <w:pStyle w:val="13"/>
        <w:numPr>
          <w:ilvl w:val="0"/>
          <w:numId w:val="9"/>
        </w:numPr>
        <w:spacing w:before="0" w:after="0"/>
        <w:ind w:firstLineChars="0"/>
        <w:rPr>
          <w:color w:val="000000"/>
        </w:rPr>
      </w:pPr>
      <w:r>
        <w:t>乙方派出的作业人员在现场必须严格遵守甲方制定的各项管理制度，包括但不限于商密管理制度、消防管理规定、出入管理制度等，严格按照双方核定的维保作业流程（MOP）作业。在消杀作业前，必须持有甲方开具的作业单。</w:t>
      </w:r>
    </w:p>
    <w:p w14:paraId="01CBA945">
      <w:pPr>
        <w:pStyle w:val="13"/>
        <w:numPr>
          <w:ilvl w:val="0"/>
          <w:numId w:val="9"/>
        </w:numPr>
        <w:spacing w:before="0" w:after="0"/>
        <w:ind w:firstLineChars="0"/>
        <w:rPr>
          <w:color w:val="000000"/>
        </w:rPr>
      </w:pPr>
      <w:r>
        <w:t>甲方按附件约定的作业人员名单对乙方作业人员进行核准，如乙方提出人员变更需求时，须经甲方审批后方可变更；甲方有权拒绝乙方擅自变更的技术人员进入现场实施服务。</w:t>
      </w:r>
    </w:p>
    <w:p w14:paraId="7D296B1E">
      <w:pPr>
        <w:pStyle w:val="13"/>
        <w:numPr>
          <w:ilvl w:val="0"/>
          <w:numId w:val="9"/>
        </w:numPr>
        <w:spacing w:before="0" w:after="0"/>
        <w:ind w:firstLineChars="0"/>
        <w:rPr>
          <w:color w:val="000000"/>
        </w:rPr>
      </w:pPr>
      <w:r>
        <w:t>甲方对乙方作业人员的消杀工作按合同内容实施考核。</w:t>
      </w:r>
      <w:bookmarkStart w:id="56" w:name="_Toc26717692"/>
      <w:bookmarkStart w:id="57" w:name="_Toc519952778"/>
      <w:bookmarkStart w:id="58" w:name="_Toc384"/>
    </w:p>
    <w:bookmarkEnd w:id="56"/>
    <w:bookmarkEnd w:id="57"/>
    <w:bookmarkEnd w:id="58"/>
    <w:p w14:paraId="38FF60CD">
      <w:pPr>
        <w:pStyle w:val="3"/>
        <w:widowControl/>
        <w:numPr>
          <w:ilvl w:val="0"/>
          <w:numId w:val="7"/>
        </w:numPr>
        <w:spacing w:before="0"/>
      </w:pPr>
      <w:bookmarkStart w:id="59" w:name="_Toc19607"/>
      <w:bookmarkStart w:id="60" w:name="_Toc28893"/>
      <w:bookmarkStart w:id="61" w:name="_Toc233375584"/>
      <w:bookmarkStart w:id="62" w:name="_Toc5558"/>
      <w:bookmarkStart w:id="63" w:name="_Toc24203"/>
      <w:r>
        <w:t>现场作业安全防范</w:t>
      </w:r>
      <w:bookmarkEnd w:id="59"/>
      <w:bookmarkEnd w:id="60"/>
      <w:bookmarkEnd w:id="61"/>
    </w:p>
    <w:bookmarkEnd w:id="62"/>
    <w:bookmarkEnd w:id="63"/>
    <w:p w14:paraId="38316F77">
      <w:pPr>
        <w:pStyle w:val="13"/>
        <w:numPr>
          <w:ilvl w:val="0"/>
          <w:numId w:val="10"/>
        </w:numPr>
        <w:spacing w:before="0" w:after="0"/>
        <w:ind w:firstLineChars="0"/>
      </w:pPr>
      <w:r>
        <w:t>机房、配电室、电池间等带电区域作业时，严禁触碰电气设备、线缆，禁止在设备周边违规喷洒药剂；</w:t>
      </w:r>
    </w:p>
    <w:p w14:paraId="5B8DFDA6">
      <w:pPr>
        <w:pStyle w:val="13"/>
        <w:numPr>
          <w:ilvl w:val="0"/>
          <w:numId w:val="10"/>
        </w:numPr>
        <w:spacing w:before="0" w:after="0"/>
        <w:ind w:firstLineChars="0"/>
      </w:pPr>
      <w:r>
        <w:t>高处作业、药剂调配、密闭空间消杀等危险作业，必须严格执行安全操作规程，佩戴防护用具，防范人员中毒、摔伤、触电等安全事故；</w:t>
      </w:r>
    </w:p>
    <w:p w14:paraId="7148A5D7">
      <w:pPr>
        <w:pStyle w:val="13"/>
        <w:numPr>
          <w:ilvl w:val="0"/>
          <w:numId w:val="10"/>
        </w:numPr>
        <w:spacing w:before="0" w:after="0"/>
        <w:ind w:firstLineChars="0"/>
      </w:pPr>
      <w:r>
        <w:t>药剂、耗材分类存放，远离火源、电源，杜绝消防安全隐患。</w:t>
      </w:r>
    </w:p>
    <w:p w14:paraId="0B0F0F76">
      <w:pPr>
        <w:pStyle w:val="3"/>
        <w:widowControl/>
        <w:numPr>
          <w:ilvl w:val="0"/>
          <w:numId w:val="7"/>
        </w:numPr>
        <w:spacing w:before="0"/>
      </w:pPr>
      <w:bookmarkStart w:id="64" w:name="_Toc1702"/>
      <w:bookmarkStart w:id="65" w:name="_Toc26717693"/>
      <w:bookmarkStart w:id="66" w:name="_Toc7121"/>
      <w:bookmarkStart w:id="67" w:name="_Toc519952779"/>
      <w:bookmarkStart w:id="68" w:name="_Toc23209"/>
      <w:bookmarkStart w:id="69" w:name="_Toc5540"/>
      <w:bookmarkStart w:id="70" w:name="_Toc233375585"/>
      <w:bookmarkStart w:id="71" w:name="_Toc6047"/>
      <w:bookmarkStart w:id="72" w:name="_Toc7776"/>
      <w:r>
        <w:t>安全教育及措施</w:t>
      </w:r>
      <w:bookmarkEnd w:id="64"/>
      <w:bookmarkEnd w:id="65"/>
      <w:bookmarkEnd w:id="66"/>
      <w:bookmarkEnd w:id="67"/>
      <w:bookmarkEnd w:id="68"/>
      <w:bookmarkEnd w:id="69"/>
      <w:bookmarkEnd w:id="70"/>
    </w:p>
    <w:bookmarkEnd w:id="71"/>
    <w:bookmarkEnd w:id="72"/>
    <w:p w14:paraId="5BD0DA23">
      <w:pPr>
        <w:pStyle w:val="13"/>
        <w:spacing w:before="0" w:after="0"/>
        <w:ind w:firstLine="480"/>
      </w:pPr>
      <w:r>
        <w:t>进场作业前，所有人员必须接受甲方安全管理部门的安全教育，若不满足安全教育所需的材料要求，甲方有权要求整改或不予签署技术附件。若具有危险作业（按甲方的作业分类）时，必须提供作业方案给甲方评审，配备相应的防范设施。安全教育所需材料如下：</w:t>
      </w:r>
    </w:p>
    <w:p w14:paraId="10907FF9">
      <w:pPr>
        <w:pStyle w:val="13"/>
        <w:numPr>
          <w:ilvl w:val="0"/>
          <w:numId w:val="11"/>
        </w:numPr>
        <w:spacing w:before="0" w:after="0"/>
        <w:ind w:firstLineChars="0"/>
      </w:pPr>
      <w:r>
        <w:t>运维服务项目工程安全教育名单；</w:t>
      </w:r>
    </w:p>
    <w:p w14:paraId="128A3360">
      <w:pPr>
        <w:pStyle w:val="13"/>
        <w:numPr>
          <w:ilvl w:val="0"/>
          <w:numId w:val="11"/>
        </w:numPr>
        <w:spacing w:before="0" w:after="0"/>
        <w:ind w:firstLineChars="0"/>
      </w:pPr>
      <w:r>
        <w:t>服务项目工程特种作业人员名单；</w:t>
      </w:r>
    </w:p>
    <w:p w14:paraId="5AE19B07">
      <w:pPr>
        <w:pStyle w:val="13"/>
        <w:numPr>
          <w:ilvl w:val="0"/>
          <w:numId w:val="11"/>
        </w:numPr>
        <w:spacing w:before="0" w:after="0"/>
        <w:ind w:firstLineChars="0"/>
      </w:pPr>
      <w:r>
        <w:t>上海宝信数据中心有限公司业务外包施工安全管理协议；</w:t>
      </w:r>
    </w:p>
    <w:p w14:paraId="0FC3B7EE">
      <w:pPr>
        <w:pStyle w:val="13"/>
        <w:spacing w:before="0" w:after="0"/>
        <w:ind w:firstLine="480"/>
      </w:pPr>
      <w:r>
        <w:t>以上所需材料若因安全管理办法发生调整，以甲方安全管理最新规定实施办理。</w:t>
      </w:r>
    </w:p>
    <w:p w14:paraId="6273E812">
      <w:pPr>
        <w:pStyle w:val="3"/>
        <w:widowControl/>
        <w:numPr>
          <w:ilvl w:val="0"/>
          <w:numId w:val="7"/>
        </w:numPr>
        <w:spacing w:before="0"/>
      </w:pPr>
      <w:bookmarkStart w:id="73" w:name="_Toc16758"/>
      <w:bookmarkStart w:id="74" w:name="_Toc233375586"/>
      <w:bookmarkStart w:id="75" w:name="_Toc18870"/>
      <w:bookmarkStart w:id="76" w:name="_Toc26693"/>
      <w:bookmarkStart w:id="77" w:name="_Toc28948"/>
      <w:bookmarkStart w:id="78" w:name="_Toc32556"/>
      <w:r>
        <w:t>作业前的培训</w:t>
      </w:r>
      <w:bookmarkEnd w:id="73"/>
      <w:bookmarkEnd w:id="74"/>
      <w:bookmarkEnd w:id="75"/>
      <w:bookmarkEnd w:id="76"/>
    </w:p>
    <w:bookmarkEnd w:id="77"/>
    <w:bookmarkEnd w:id="78"/>
    <w:p w14:paraId="139AE6BD">
      <w:pPr>
        <w:pStyle w:val="13"/>
        <w:spacing w:before="0" w:after="0"/>
        <w:ind w:firstLine="480"/>
      </w:pPr>
      <w:r>
        <w:t>乙方在本合同周期的作业前，至少须接受1次甲方关于甲方管理制度、安全制度及其它相关技术方面的培训，具体培训内容见附件五《培训内容》。</w:t>
      </w:r>
    </w:p>
    <w:p w14:paraId="38929F3A">
      <w:pPr>
        <w:pStyle w:val="3"/>
        <w:widowControl/>
        <w:numPr>
          <w:ilvl w:val="0"/>
          <w:numId w:val="7"/>
        </w:numPr>
        <w:spacing w:before="0"/>
      </w:pPr>
      <w:bookmarkStart w:id="79" w:name="_Toc13424"/>
      <w:bookmarkStart w:id="80" w:name="_Toc17951"/>
      <w:bookmarkStart w:id="81" w:name="_Toc26717694"/>
      <w:bookmarkStart w:id="82" w:name="_Toc19151"/>
      <w:bookmarkStart w:id="83" w:name="_Toc10622"/>
      <w:bookmarkStart w:id="84" w:name="_Toc233375587"/>
      <w:bookmarkStart w:id="85" w:name="_Toc32726"/>
      <w:bookmarkStart w:id="86" w:name="_Toc9693"/>
      <w:r>
        <w:t>指定维护联系人</w:t>
      </w:r>
      <w:bookmarkEnd w:id="79"/>
      <w:bookmarkEnd w:id="80"/>
      <w:bookmarkEnd w:id="81"/>
      <w:bookmarkEnd w:id="82"/>
      <w:bookmarkEnd w:id="83"/>
      <w:bookmarkEnd w:id="84"/>
    </w:p>
    <w:bookmarkEnd w:id="85"/>
    <w:bookmarkEnd w:id="86"/>
    <w:p w14:paraId="6BF3413E">
      <w:pPr>
        <w:pStyle w:val="13"/>
        <w:spacing w:before="0" w:after="0"/>
        <w:ind w:firstLine="480"/>
      </w:pPr>
      <w:r>
        <w:t>甲乙双方需要指定联系人，包括技术和商务方面，以利于双方在维护过程中的及时沟通，且能够满足条款6中的时限要求，联系人名单及联络方式在附件六《联络人员名单》中列出。</w:t>
      </w:r>
    </w:p>
    <w:p w14:paraId="6E1AEB2C">
      <w:pPr>
        <w:pStyle w:val="2"/>
        <w:widowControl/>
        <w:numPr>
          <w:ilvl w:val="0"/>
          <w:numId w:val="2"/>
        </w:numPr>
        <w:spacing w:before="0"/>
        <w:rPr>
          <w:rFonts w:hint="eastAsia" w:ascii="黑体" w:hAnsi="黑体" w:cs="黑体"/>
        </w:rPr>
      </w:pPr>
      <w:bookmarkStart w:id="87" w:name="_Toc16666"/>
      <w:bookmarkStart w:id="88" w:name="_Toc233375588"/>
      <w:bookmarkStart w:id="89" w:name="_Toc23431"/>
      <w:r>
        <w:t>交付物要求</w:t>
      </w:r>
      <w:bookmarkEnd w:id="87"/>
      <w:bookmarkEnd w:id="88"/>
      <w:bookmarkEnd w:id="89"/>
    </w:p>
    <w:p w14:paraId="19BCD65F">
      <w:pPr>
        <w:pStyle w:val="13"/>
        <w:widowControl/>
        <w:spacing w:before="0" w:after="0"/>
        <w:ind w:firstLine="480"/>
        <w:rPr>
          <w:color w:val="000000"/>
        </w:rPr>
      </w:pPr>
      <w:r>
        <w:rPr>
          <w:color w:val="000000"/>
        </w:rPr>
        <w:t>乙方提交的各类服务资料、报告、台账为本次服务核心交付成果，须满足合规性、完整性、真实性、可追溯性要求，具体规定如下：</w:t>
      </w:r>
    </w:p>
    <w:p w14:paraId="7C78B6D3">
      <w:pPr>
        <w:pStyle w:val="13"/>
        <w:widowControl/>
        <w:numPr>
          <w:ilvl w:val="0"/>
          <w:numId w:val="12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所有资料统一使用A4纸张编制，排版清晰、页码完整，不得涂改、缺页、缺项；</w:t>
      </w:r>
    </w:p>
    <w:p w14:paraId="3E0AC552">
      <w:pPr>
        <w:pStyle w:val="13"/>
        <w:widowControl/>
        <w:numPr>
          <w:ilvl w:val="0"/>
          <w:numId w:val="12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正式服务报告、汇总台账须加盖乙方单位公章，编制人、审核人、批准人亲笔签字（禁止代签）；</w:t>
      </w:r>
    </w:p>
    <w:p w14:paraId="3E40C09E">
      <w:pPr>
        <w:pStyle w:val="13"/>
        <w:widowControl/>
        <w:numPr>
          <w:ilvl w:val="0"/>
          <w:numId w:val="12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交付文件必须明确项目名称、服务区域、作业日期、委托单位、服务单位、作业依据标准、药剂型号、作业人员等基础信息；</w:t>
      </w:r>
    </w:p>
    <w:p w14:paraId="552A4178">
      <w:pPr>
        <w:pStyle w:val="13"/>
        <w:widowControl/>
        <w:numPr>
          <w:ilvl w:val="0"/>
          <w:numId w:val="12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台账及报告核心内容包含：现场作业原始记录、药剂使用明细、巡检点位状态、虫害排查结果、隐患说明、整改建议，所有数据、记录必须与现场实际一致，严禁编造篡改；发现虫害隐患、设施损坏等问题须单独标注并说明；</w:t>
      </w:r>
    </w:p>
    <w:p w14:paraId="511E6ACA">
      <w:pPr>
        <w:pStyle w:val="13"/>
        <w:widowControl/>
        <w:numPr>
          <w:ilvl w:val="0"/>
          <w:numId w:val="12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报告须附：消杀药剂资质证书复印件、作业设备检修记录、作业人员资质复印件、现场作业影像资料，保证作业过程规范可查；</w:t>
      </w:r>
    </w:p>
    <w:p w14:paraId="16F3AB31">
      <w:pPr>
        <w:pStyle w:val="13"/>
        <w:widowControl/>
        <w:numPr>
          <w:ilvl w:val="0"/>
          <w:numId w:val="12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服务结论客观明确，分为防控合格、存在虫害隐患禁止模糊表述；对不合格点位、隐患问题同步提交整改方案及复查计划。</w:t>
      </w:r>
    </w:p>
    <w:p w14:paraId="1CFB282E">
      <w:pPr>
        <w:pStyle w:val="2"/>
        <w:widowControl/>
        <w:numPr>
          <w:ilvl w:val="0"/>
          <w:numId w:val="2"/>
        </w:numPr>
        <w:spacing w:before="0"/>
        <w:rPr>
          <w:rFonts w:hint="eastAsia" w:ascii="黑体" w:hAnsi="黑体" w:cs="黑体"/>
        </w:rPr>
      </w:pPr>
      <w:bookmarkStart w:id="90" w:name="_Toc26474"/>
      <w:bookmarkStart w:id="91" w:name="_Toc233375589"/>
      <w:bookmarkStart w:id="92" w:name="_Toc5275"/>
      <w:bookmarkStart w:id="93" w:name="_Toc3291"/>
      <w:r>
        <w:t>服务质量考核</w:t>
      </w:r>
      <w:bookmarkEnd w:id="90"/>
      <w:bookmarkEnd w:id="91"/>
      <w:bookmarkEnd w:id="92"/>
    </w:p>
    <w:bookmarkEnd w:id="93"/>
    <w:p w14:paraId="6A413B15">
      <w:pPr>
        <w:pStyle w:val="13"/>
        <w:spacing w:before="0" w:after="0"/>
        <w:ind w:firstLine="480"/>
      </w:pPr>
      <w:r>
        <w:t>为保障乙方服务标准与甲方及终端用户要求的一致性，乙方须履行以下承诺：</w:t>
      </w:r>
    </w:p>
    <w:p w14:paraId="638494AE">
      <w:pPr>
        <w:pStyle w:val="3"/>
        <w:widowControl/>
        <w:numPr>
          <w:ilvl w:val="0"/>
          <w:numId w:val="13"/>
        </w:numPr>
        <w:spacing w:before="0"/>
      </w:pPr>
      <w:bookmarkStart w:id="94" w:name="_Toc28363"/>
      <w:bookmarkStart w:id="95" w:name="_Toc5242"/>
      <w:bookmarkStart w:id="96" w:name="_Toc233375590"/>
      <w:bookmarkStart w:id="97" w:name="_Toc18590"/>
      <w:bookmarkStart w:id="98" w:name="_Toc10190"/>
      <w:bookmarkStart w:id="99" w:name="_Toc26432"/>
      <w:r>
        <w:t>责任穿透条款</w:t>
      </w:r>
      <w:bookmarkEnd w:id="94"/>
      <w:bookmarkEnd w:id="95"/>
      <w:bookmarkEnd w:id="96"/>
    </w:p>
    <w:bookmarkEnd w:id="97"/>
    <w:bookmarkEnd w:id="98"/>
    <w:bookmarkEnd w:id="99"/>
    <w:p w14:paraId="7048C14F">
      <w:pPr>
        <w:pStyle w:val="13"/>
        <w:spacing w:before="0" w:after="0"/>
        <w:ind w:firstLine="480"/>
      </w:pPr>
      <w:r>
        <w:t>乙方服务须完全满足《附件一：考核指标》的约定，因乙方服务瑕疵导致终端用户对甲方的扣款、索赔等处罚，乙方应于收到甲方书面通知后​5个工作日内同步承担对应损失，赔偿范围包括：</w:t>
      </w:r>
    </w:p>
    <w:p w14:paraId="322CD555">
      <w:pPr>
        <w:pStyle w:val="13"/>
        <w:spacing w:before="0" w:after="0"/>
        <w:ind w:firstLine="480"/>
      </w:pPr>
      <w:r>
        <w:t>终端用户直接扣款金额（按附件一标准）；</w:t>
      </w:r>
    </w:p>
    <w:p w14:paraId="7D00EB6D">
      <w:pPr>
        <w:pStyle w:val="13"/>
        <w:spacing w:before="0" w:after="0"/>
        <w:ind w:firstLine="480"/>
      </w:pPr>
      <w:r>
        <w:t>甲方因乙方违约产生的商誉损失（按实际损失计算）；</w:t>
      </w:r>
    </w:p>
    <w:p w14:paraId="2754B4BA">
      <w:pPr>
        <w:pStyle w:val="3"/>
        <w:widowControl/>
        <w:numPr>
          <w:ilvl w:val="0"/>
          <w:numId w:val="13"/>
        </w:numPr>
        <w:spacing w:before="0"/>
      </w:pPr>
      <w:bookmarkStart w:id="100" w:name="_Toc233375591"/>
      <w:bookmarkStart w:id="101" w:name="_Toc24204"/>
      <w:bookmarkStart w:id="102" w:name="_Toc14105"/>
      <w:bookmarkStart w:id="103" w:name="_Toc7921"/>
      <w:bookmarkStart w:id="104" w:name="_Toc11008"/>
      <w:bookmarkStart w:id="105" w:name="_Toc8766"/>
      <w:r>
        <w:t>动态追偿机制</w:t>
      </w:r>
      <w:bookmarkEnd w:id="100"/>
      <w:bookmarkEnd w:id="101"/>
      <w:bookmarkEnd w:id="102"/>
    </w:p>
    <w:bookmarkEnd w:id="103"/>
    <w:bookmarkEnd w:id="104"/>
    <w:bookmarkEnd w:id="105"/>
    <w:p w14:paraId="77A60E6C">
      <w:pPr>
        <w:pStyle w:val="13"/>
        <w:spacing w:before="0" w:after="0"/>
        <w:ind w:firstLine="480"/>
      </w:pPr>
      <w:r>
        <w:t>乙方服务质量考核结果与甲方接受终端用户考核结果实时联动，同步追偿规则如下：</w:t>
      </w:r>
    </w:p>
    <w:p w14:paraId="388430AF">
      <w:pPr>
        <w:pStyle w:val="13"/>
        <w:spacing w:before="0" w:after="0"/>
        <w:ind w:firstLine="480"/>
      </w:pPr>
      <w:r>
        <w:t>扣分追偿：单次违约行为按《附件十一：供应商服务扣分确认单》记录，扣分对应的经济赔偿金额按附件一执行；</w:t>
      </w:r>
    </w:p>
    <w:p w14:paraId="424C6F55">
      <w:pPr>
        <w:pStyle w:val="3"/>
        <w:widowControl/>
        <w:numPr>
          <w:ilvl w:val="0"/>
          <w:numId w:val="13"/>
        </w:numPr>
        <w:spacing w:before="0"/>
      </w:pPr>
      <w:bookmarkStart w:id="106" w:name="_Toc579"/>
      <w:bookmarkStart w:id="107" w:name="_Toc233375592"/>
      <w:bookmarkStart w:id="108" w:name="_Toc6851"/>
      <w:bookmarkStart w:id="109" w:name="_Toc4336"/>
      <w:bookmarkStart w:id="110" w:name="_Toc21799"/>
      <w:bookmarkStart w:id="111" w:name="_Toc24855"/>
      <w:r>
        <w:t>法律救济承诺</w:t>
      </w:r>
      <w:bookmarkEnd w:id="106"/>
      <w:bookmarkEnd w:id="107"/>
      <w:bookmarkEnd w:id="108"/>
    </w:p>
    <w:bookmarkEnd w:id="109"/>
    <w:bookmarkEnd w:id="110"/>
    <w:bookmarkEnd w:id="111"/>
    <w:p w14:paraId="0957EDD8">
      <w:pPr>
        <w:pStyle w:val="13"/>
        <w:spacing w:before="0" w:after="0"/>
        <w:ind w:firstLine="480"/>
      </w:pPr>
      <w:r>
        <w:t>若因乙方原因，造成用户对甲方启动重大违约处罚程序时，乙方须额外承担甲方为应对争议产生的律师费、鉴定费等合理支出。</w:t>
      </w:r>
    </w:p>
    <w:p w14:paraId="0D4C2268">
      <w:pPr>
        <w:pStyle w:val="3"/>
        <w:widowControl/>
        <w:numPr>
          <w:ilvl w:val="0"/>
          <w:numId w:val="13"/>
        </w:numPr>
        <w:spacing w:before="0"/>
      </w:pPr>
      <w:bookmarkStart w:id="112" w:name="_Toc15719"/>
      <w:bookmarkStart w:id="113" w:name="_Toc13943"/>
      <w:bookmarkStart w:id="114" w:name="_Toc233375593"/>
      <w:bookmarkStart w:id="115" w:name="_Toc13621"/>
      <w:bookmarkStart w:id="116" w:name="_Toc28748"/>
      <w:bookmarkStart w:id="117" w:name="_Toc14885"/>
      <w:r>
        <w:t>考核流程合规性</w:t>
      </w:r>
      <w:bookmarkEnd w:id="112"/>
      <w:bookmarkEnd w:id="113"/>
      <w:bookmarkEnd w:id="114"/>
      <w:bookmarkEnd w:id="115"/>
      <w:bookmarkEnd w:id="116"/>
      <w:bookmarkEnd w:id="117"/>
    </w:p>
    <w:p w14:paraId="3CD0A654">
      <w:pPr>
        <w:pStyle w:val="13"/>
        <w:spacing w:before="0" w:after="0"/>
        <w:ind w:firstLine="480"/>
      </w:pPr>
      <w:r>
        <w:t>单次扣分需经《附件十一：供应商服务扣分确认单》书面确认，乙方拒签或逾期未反馈视为默认。</w:t>
      </w:r>
    </w:p>
    <w:p w14:paraId="2B89C759">
      <w:pPr>
        <w:pStyle w:val="3"/>
        <w:widowControl/>
        <w:numPr>
          <w:ilvl w:val="0"/>
          <w:numId w:val="13"/>
        </w:numPr>
        <w:spacing w:before="0"/>
      </w:pPr>
      <w:bookmarkStart w:id="118" w:name="_Toc15829"/>
      <w:bookmarkStart w:id="119" w:name="_Toc233375594"/>
      <w:bookmarkStart w:id="120" w:name="_Toc23026"/>
      <w:bookmarkStart w:id="121" w:name="_Toc1228"/>
      <w:bookmarkStart w:id="122" w:name="_Toc24519"/>
      <w:bookmarkStart w:id="123" w:name="_Toc10227"/>
      <w:r>
        <w:t>免责声明</w:t>
      </w:r>
      <w:bookmarkEnd w:id="118"/>
      <w:bookmarkEnd w:id="119"/>
      <w:bookmarkEnd w:id="120"/>
    </w:p>
    <w:bookmarkEnd w:id="121"/>
    <w:bookmarkEnd w:id="122"/>
    <w:bookmarkEnd w:id="123"/>
    <w:p w14:paraId="5FB16B36">
      <w:pPr>
        <w:pStyle w:val="13"/>
        <w:spacing w:before="0" w:after="0"/>
        <w:ind w:firstLine="480"/>
      </w:pPr>
      <w:r>
        <w:t>因乙方服务不达标，或直接原因导致用户对甲方采取包括但不限于终止合同、索赔损失等重大处罚时，乙方除需承担赔偿甲方因此产生的全部直接及间接损失。</w:t>
      </w:r>
    </w:p>
    <w:p w14:paraId="346AD434">
      <w:pPr>
        <w:pStyle w:val="2"/>
        <w:widowControl/>
        <w:numPr>
          <w:ilvl w:val="0"/>
          <w:numId w:val="2"/>
        </w:numPr>
        <w:spacing w:before="0"/>
        <w:rPr>
          <w:rFonts w:hint="eastAsia" w:ascii="黑体" w:hAnsi="黑体" w:cs="黑体"/>
        </w:rPr>
      </w:pPr>
      <w:bookmarkStart w:id="124" w:name="_Toc27562"/>
      <w:bookmarkStart w:id="125" w:name="_Toc233375595"/>
      <w:bookmarkStart w:id="126" w:name="_Toc25792"/>
      <w:r>
        <w:t>报价规则</w:t>
      </w:r>
      <w:bookmarkEnd w:id="124"/>
      <w:bookmarkEnd w:id="125"/>
      <w:bookmarkEnd w:id="126"/>
    </w:p>
    <w:p w14:paraId="015BA3B7">
      <w:pPr>
        <w:pStyle w:val="3"/>
        <w:widowControl/>
        <w:numPr>
          <w:ilvl w:val="0"/>
          <w:numId w:val="14"/>
        </w:numPr>
        <w:spacing w:before="0"/>
      </w:pPr>
      <w:bookmarkStart w:id="127" w:name="_Toc25140"/>
      <w:bookmarkStart w:id="128" w:name="_Toc32281"/>
      <w:bookmarkStart w:id="129" w:name="_Toc233375596"/>
      <w:bookmarkStart w:id="130" w:name="_Toc25515"/>
      <w:bookmarkStart w:id="131" w:name="_Toc16613"/>
      <w:r>
        <w:t>报价依据</w:t>
      </w:r>
      <w:bookmarkEnd w:id="127"/>
      <w:bookmarkEnd w:id="128"/>
      <w:bookmarkEnd w:id="129"/>
    </w:p>
    <w:bookmarkEnd w:id="130"/>
    <w:bookmarkEnd w:id="131"/>
    <w:p w14:paraId="33A44845">
      <w:pPr>
        <w:pStyle w:val="13"/>
        <w:spacing w:before="0" w:after="0"/>
        <w:ind w:firstLine="480"/>
      </w:pPr>
      <w:r>
        <w:t>乙方报价需以本技术附件及全部附件内容为核心依据，具体包括但不限于：</w:t>
      </w:r>
    </w:p>
    <w:p w14:paraId="40756006">
      <w:pPr>
        <w:pStyle w:val="13"/>
        <w:numPr>
          <w:ilvl w:val="0"/>
          <w:numId w:val="15"/>
        </w:numPr>
        <w:spacing w:before="0" w:after="0"/>
        <w:ind w:firstLineChars="0"/>
        <w:rPr>
          <w:color w:val="000000"/>
        </w:rPr>
      </w:pPr>
      <w:r>
        <w:t>第5章“服务范围及内容”明确的范围以及需求计划；</w:t>
      </w:r>
    </w:p>
    <w:p w14:paraId="71F1AD2A">
      <w:pPr>
        <w:pStyle w:val="13"/>
        <w:numPr>
          <w:ilvl w:val="0"/>
          <w:numId w:val="15"/>
        </w:numPr>
        <w:spacing w:before="0" w:after="0"/>
        <w:ind w:firstLineChars="0"/>
        <w:rPr>
          <w:color w:val="000000"/>
        </w:rPr>
      </w:pPr>
      <w:r>
        <w:t>《附件1：考核指标》中与服务质量挂钩的扣款规则。</w:t>
      </w:r>
    </w:p>
    <w:p w14:paraId="5F8D2AD4">
      <w:pPr>
        <w:pStyle w:val="3"/>
        <w:widowControl/>
        <w:numPr>
          <w:ilvl w:val="0"/>
          <w:numId w:val="14"/>
        </w:numPr>
        <w:spacing w:before="0"/>
      </w:pPr>
      <w:bookmarkStart w:id="132" w:name="_Toc23282"/>
      <w:bookmarkStart w:id="133" w:name="_Toc233375597"/>
      <w:bookmarkStart w:id="134" w:name="_Toc4529"/>
      <w:bookmarkStart w:id="135" w:name="_Toc16578"/>
      <w:bookmarkStart w:id="136" w:name="_Toc30226"/>
      <w:r>
        <w:t>费用分类明细要求</w:t>
      </w:r>
      <w:bookmarkEnd w:id="132"/>
      <w:bookmarkEnd w:id="133"/>
      <w:bookmarkEnd w:id="134"/>
    </w:p>
    <w:bookmarkEnd w:id="135"/>
    <w:bookmarkEnd w:id="136"/>
    <w:p w14:paraId="45B0E98C">
      <w:pPr>
        <w:pStyle w:val="13"/>
        <w:spacing w:before="0" w:after="0"/>
        <w:ind w:firstLine="480"/>
      </w:pPr>
      <w:r>
        <w:t>乙方提交的报价文件需按费用类型单独列项，格式参考本项目正式《询价单》，同时不得修改计划数量，确保每项报价可追溯、可核查。</w:t>
      </w:r>
    </w:p>
    <w:p w14:paraId="2EFC743B">
      <w:pPr>
        <w:pStyle w:val="2"/>
        <w:widowControl/>
        <w:numPr>
          <w:ilvl w:val="0"/>
          <w:numId w:val="2"/>
        </w:numPr>
        <w:spacing w:before="0"/>
        <w:rPr>
          <w:rFonts w:hint="eastAsia" w:ascii="黑体" w:hAnsi="黑体" w:cs="黑体"/>
        </w:rPr>
      </w:pPr>
      <w:bookmarkStart w:id="137" w:name="_Toc23090"/>
      <w:bookmarkStart w:id="138" w:name="_Toc32082"/>
      <w:bookmarkStart w:id="139" w:name="_Toc233375598"/>
      <w:r>
        <w:t>验收与结算</w:t>
      </w:r>
      <w:bookmarkEnd w:id="137"/>
      <w:bookmarkEnd w:id="138"/>
      <w:bookmarkEnd w:id="139"/>
    </w:p>
    <w:p w14:paraId="2603C324">
      <w:pPr>
        <w:pStyle w:val="3"/>
        <w:widowControl/>
        <w:numPr>
          <w:ilvl w:val="0"/>
          <w:numId w:val="16"/>
        </w:numPr>
        <w:spacing w:before="0"/>
      </w:pPr>
      <w:bookmarkStart w:id="140" w:name="_Toc233375599"/>
      <w:bookmarkStart w:id="141" w:name="_Toc19285"/>
      <w:bookmarkStart w:id="142" w:name="_Toc20552"/>
      <w:bookmarkStart w:id="143" w:name="_Toc2667"/>
      <w:bookmarkStart w:id="144" w:name="_Toc21817"/>
      <w:r>
        <w:t>验收</w:t>
      </w:r>
      <w:bookmarkEnd w:id="140"/>
      <w:bookmarkEnd w:id="141"/>
      <w:bookmarkEnd w:id="142"/>
    </w:p>
    <w:bookmarkEnd w:id="143"/>
    <w:bookmarkEnd w:id="144"/>
    <w:p w14:paraId="79620F65">
      <w:pPr>
        <w:pStyle w:val="4"/>
        <w:widowControl/>
        <w:numPr>
          <w:ilvl w:val="0"/>
          <w:numId w:val="17"/>
        </w:numPr>
        <w:spacing w:before="0"/>
      </w:pPr>
      <w:bookmarkStart w:id="145" w:name="_Toc233375600"/>
      <w:bookmarkStart w:id="146" w:name="_Toc19579"/>
      <w:bookmarkStart w:id="147" w:name="_Toc27961"/>
      <w:r>
        <w:t>验收依据</w:t>
      </w:r>
      <w:bookmarkEnd w:id="145"/>
    </w:p>
    <w:bookmarkEnd w:id="146"/>
    <w:bookmarkEnd w:id="147"/>
    <w:p w14:paraId="41F5954B">
      <w:pPr>
        <w:pStyle w:val="13"/>
        <w:spacing w:before="0" w:after="0"/>
        <w:ind w:firstLine="480"/>
      </w:pPr>
      <w:r>
        <w:t>验收以本技术附件约定的服务范围、服务内容、服务要求、交付物标准，及服务单、服务总结、结算单等全部附件内容为核心依据。</w:t>
      </w:r>
    </w:p>
    <w:p w14:paraId="056D44FA">
      <w:pPr>
        <w:pStyle w:val="4"/>
        <w:widowControl/>
        <w:numPr>
          <w:ilvl w:val="0"/>
          <w:numId w:val="17"/>
        </w:numPr>
        <w:spacing w:before="0"/>
      </w:pPr>
      <w:bookmarkStart w:id="148" w:name="_Toc233375601"/>
      <w:bookmarkStart w:id="149" w:name="_Toc24502"/>
      <w:bookmarkStart w:id="150" w:name="_Toc9229"/>
      <w:r>
        <w:t>验收类型及流程</w:t>
      </w:r>
      <w:bookmarkEnd w:id="148"/>
    </w:p>
    <w:bookmarkEnd w:id="149"/>
    <w:bookmarkEnd w:id="150"/>
    <w:p w14:paraId="4BFBDF6B">
      <w:pPr>
        <w:pStyle w:val="13"/>
        <w:spacing w:before="0" w:after="0"/>
        <w:ind w:firstLine="482"/>
      </w:pPr>
      <w:r>
        <w:rPr>
          <w:b/>
        </w:rPr>
        <w:t>服务验收：</w:t>
      </w:r>
      <w:r>
        <w:t>针对约定服务内容，乙方完成相关服务工作，并按第8条要求的提交相关材料，经甲方在交付物上签字确认，视为服务验收合格，未通过则乙方需在约定时限内整改后重新申请验收。</w:t>
      </w:r>
    </w:p>
    <w:p w14:paraId="18B6F958">
      <w:pPr>
        <w:pStyle w:val="4"/>
        <w:widowControl/>
        <w:numPr>
          <w:ilvl w:val="0"/>
          <w:numId w:val="17"/>
        </w:numPr>
        <w:spacing w:before="0"/>
      </w:pPr>
      <w:bookmarkStart w:id="151" w:name="_Toc233375602"/>
      <w:bookmarkStart w:id="152" w:name="_Toc906"/>
      <w:bookmarkStart w:id="153" w:name="_Toc15095"/>
      <w:r>
        <w:t>验收标准</w:t>
      </w:r>
      <w:bookmarkEnd w:id="151"/>
    </w:p>
    <w:bookmarkEnd w:id="152"/>
    <w:bookmarkEnd w:id="153"/>
    <w:p w14:paraId="3E8866E8">
      <w:pPr>
        <w:pStyle w:val="13"/>
        <w:spacing w:before="0" w:after="0"/>
        <w:ind w:firstLine="482"/>
        <w:rPr>
          <w:b/>
        </w:rPr>
      </w:pPr>
      <w:r>
        <w:rPr>
          <w:b/>
        </w:rPr>
        <w:t>交付物标准：</w:t>
      </w:r>
      <w:r>
        <w:t>技术服务单、服务记录、服务报告等资料完整、真实，无模糊表述，满足本附件第8章约定。</w:t>
      </w:r>
    </w:p>
    <w:p w14:paraId="11E0A621">
      <w:pPr>
        <w:pStyle w:val="13"/>
        <w:spacing w:before="0" w:after="0"/>
        <w:ind w:firstLine="482"/>
        <w:rPr>
          <w:b/>
        </w:rPr>
      </w:pPr>
      <w:r>
        <w:rPr>
          <w:b/>
        </w:rPr>
        <w:t>服务过程标准：</w:t>
      </w:r>
      <w:r>
        <w:t>服务流程符合双方核定的维保作业流程（MOP），安全操作无违规记录。</w:t>
      </w:r>
    </w:p>
    <w:p w14:paraId="7251FD47">
      <w:pPr>
        <w:pStyle w:val="4"/>
        <w:widowControl/>
        <w:numPr>
          <w:ilvl w:val="0"/>
          <w:numId w:val="17"/>
        </w:numPr>
        <w:spacing w:before="0"/>
      </w:pPr>
      <w:bookmarkStart w:id="154" w:name="_Toc233375603"/>
      <w:bookmarkStart w:id="155" w:name="_Toc10893"/>
      <w:bookmarkStart w:id="156" w:name="_Toc13333"/>
      <w:r>
        <w:t>异议处理</w:t>
      </w:r>
      <w:bookmarkEnd w:id="154"/>
    </w:p>
    <w:bookmarkEnd w:id="155"/>
    <w:bookmarkEnd w:id="156"/>
    <w:p w14:paraId="4E6E7CF6">
      <w:pPr>
        <w:pStyle w:val="13"/>
        <w:spacing w:before="0" w:after="0"/>
        <w:ind w:firstLine="480"/>
      </w:pPr>
      <w:r>
        <w:t>甲方对验收结果有异议的，需在验收期限内以书面形式告知乙方，说明异议事项及依据。乙方应在收到异议通知后3个工作日内响应，5个工作日内共同核实并提出解决方案，逾期未达成一致的，按本附件争议解决条款执行。</w:t>
      </w:r>
    </w:p>
    <w:p w14:paraId="7FBCC00E">
      <w:pPr>
        <w:pStyle w:val="3"/>
        <w:widowControl/>
        <w:numPr>
          <w:ilvl w:val="0"/>
          <w:numId w:val="16"/>
        </w:numPr>
        <w:spacing w:before="0"/>
      </w:pPr>
      <w:bookmarkStart w:id="157" w:name="_Toc28951"/>
      <w:bookmarkStart w:id="158" w:name="_Toc233375604"/>
      <w:bookmarkStart w:id="159" w:name="_Toc13033"/>
      <w:bookmarkStart w:id="160" w:name="_Toc22319"/>
      <w:bookmarkStart w:id="161" w:name="_Toc25757"/>
      <w:r>
        <w:t>结算</w:t>
      </w:r>
      <w:bookmarkEnd w:id="157"/>
      <w:bookmarkEnd w:id="158"/>
      <w:bookmarkEnd w:id="159"/>
    </w:p>
    <w:bookmarkEnd w:id="160"/>
    <w:bookmarkEnd w:id="161"/>
    <w:p w14:paraId="0720DF5C">
      <w:pPr>
        <w:pStyle w:val="4"/>
        <w:widowControl/>
        <w:numPr>
          <w:ilvl w:val="0"/>
          <w:numId w:val="18"/>
        </w:numPr>
        <w:spacing w:before="0"/>
      </w:pPr>
      <w:bookmarkStart w:id="162" w:name="_Toc16121"/>
      <w:bookmarkStart w:id="163" w:name="_Toc8396"/>
      <w:bookmarkStart w:id="164" w:name="_Toc233375605"/>
      <w:r>
        <w:t>结算依据</w:t>
      </w:r>
      <w:bookmarkEnd w:id="162"/>
      <w:bookmarkEnd w:id="163"/>
      <w:bookmarkEnd w:id="164"/>
    </w:p>
    <w:p w14:paraId="13259315">
      <w:pPr>
        <w:pStyle w:val="13"/>
        <w:widowControl/>
        <w:spacing w:before="0" w:after="0"/>
        <w:ind w:firstLine="482"/>
        <w:rPr>
          <w:b/>
        </w:rPr>
      </w:pPr>
      <w:r>
        <w:rPr>
          <w:b/>
        </w:rPr>
        <w:t>双方确认的《服务报告》《供应商服务扣分确认单》。</w:t>
      </w:r>
    </w:p>
    <w:p w14:paraId="23884B1F">
      <w:pPr>
        <w:pStyle w:val="13"/>
        <w:widowControl/>
        <w:spacing w:before="0" w:after="0"/>
        <w:ind w:firstLine="482"/>
        <w:rPr>
          <w:b/>
        </w:rPr>
      </w:pPr>
      <w:r>
        <w:rPr>
          <w:b/>
        </w:rPr>
        <w:t>考核结果及对应的扣款、违约金约定。</w:t>
      </w:r>
    </w:p>
    <w:p w14:paraId="3EB6AA78">
      <w:pPr>
        <w:pStyle w:val="13"/>
        <w:widowControl/>
        <w:spacing w:before="0" w:after="0"/>
        <w:ind w:firstLine="482"/>
        <w:rPr>
          <w:b/>
        </w:rPr>
      </w:pPr>
      <w:r>
        <w:rPr>
          <w:b/>
        </w:rPr>
        <w:t>合同约定或要求的结算材料。</w:t>
      </w:r>
    </w:p>
    <w:p w14:paraId="00B69F01">
      <w:pPr>
        <w:pStyle w:val="4"/>
        <w:widowControl/>
        <w:numPr>
          <w:ilvl w:val="0"/>
          <w:numId w:val="18"/>
        </w:numPr>
        <w:spacing w:before="0"/>
      </w:pPr>
      <w:bookmarkStart w:id="165" w:name="_Toc233375606"/>
      <w:bookmarkStart w:id="166" w:name="_Toc20574"/>
      <w:bookmarkStart w:id="167" w:name="_Toc5311"/>
      <w:r>
        <w:t>费用构成</w:t>
      </w:r>
      <w:bookmarkEnd w:id="165"/>
    </w:p>
    <w:bookmarkEnd w:id="166"/>
    <w:bookmarkEnd w:id="167"/>
    <w:p w14:paraId="78FEA1EE">
      <w:pPr>
        <w:pStyle w:val="13"/>
        <w:spacing w:before="0" w:after="0"/>
        <w:ind w:firstLine="482"/>
        <w:rPr>
          <w:b/>
        </w:rPr>
      </w:pPr>
      <w:r>
        <w:rPr>
          <w:b/>
        </w:rPr>
        <w:t>人工费用：</w:t>
      </w:r>
      <w:r>
        <w:t>涵盖于本项目中预防性检测等人工成本，具体按本附件5.2条约定。</w:t>
      </w:r>
    </w:p>
    <w:p w14:paraId="5B972CFC">
      <w:pPr>
        <w:pStyle w:val="4"/>
        <w:widowControl/>
        <w:numPr>
          <w:ilvl w:val="0"/>
          <w:numId w:val="18"/>
        </w:numPr>
        <w:spacing w:before="0"/>
      </w:pPr>
      <w:bookmarkStart w:id="168" w:name="_Toc233375607"/>
      <w:bookmarkStart w:id="169" w:name="_Toc28293"/>
      <w:bookmarkStart w:id="170" w:name="_Toc4247"/>
      <w:r>
        <w:t>扣款规则</w:t>
      </w:r>
      <w:bookmarkEnd w:id="168"/>
    </w:p>
    <w:bookmarkEnd w:id="169"/>
    <w:bookmarkEnd w:id="170"/>
    <w:p w14:paraId="51A598C9">
      <w:pPr>
        <w:pStyle w:val="13"/>
        <w:spacing w:before="0" w:after="0"/>
        <w:ind w:firstLine="482"/>
      </w:pPr>
      <w:r>
        <w:rPr>
          <w:b/>
        </w:rPr>
        <w:t>单次考核扣款：</w:t>
      </w:r>
      <w:r>
        <w:t>《供应商服务扣分确认单》中确认的扣款金额，从当期结算费用中直接抵扣。</w:t>
      </w:r>
    </w:p>
    <w:p w14:paraId="58E33DAC">
      <w:pPr>
        <w:pStyle w:val="13"/>
        <w:spacing w:before="0" w:after="0"/>
        <w:ind w:firstLine="482"/>
        <w:rPr>
          <w:b/>
        </w:rPr>
      </w:pPr>
      <w:r>
        <w:rPr>
          <w:b/>
        </w:rPr>
        <w:t>损失赔偿：</w:t>
      </w:r>
      <w:r>
        <w:t>因乙方服务瑕疵导致的终端用户扣款、甲方商誉损失等，按本附件9条约定从结算费用中抵扣，或由乙方另行支付。</w:t>
      </w:r>
    </w:p>
    <w:p w14:paraId="20C1C37B">
      <w:pPr>
        <w:pStyle w:val="4"/>
        <w:widowControl/>
        <w:numPr>
          <w:ilvl w:val="0"/>
          <w:numId w:val="18"/>
        </w:numPr>
        <w:spacing w:before="0"/>
      </w:pPr>
      <w:bookmarkStart w:id="171" w:name="_Toc233375608"/>
      <w:bookmarkStart w:id="172" w:name="_Toc23741"/>
      <w:bookmarkStart w:id="173" w:name="_Toc12446"/>
      <w:r>
        <w:t>特殊情况处理</w:t>
      </w:r>
      <w:bookmarkEnd w:id="171"/>
    </w:p>
    <w:bookmarkEnd w:id="172"/>
    <w:bookmarkEnd w:id="173"/>
    <w:p w14:paraId="447510E9">
      <w:pPr>
        <w:pStyle w:val="13"/>
        <w:spacing w:before="0" w:after="0"/>
        <w:ind w:firstLine="480"/>
      </w:pPr>
      <w:r>
        <w:t>因不可抗力导致服务中断或费用调整的，乙方需提供有效证明，双方协商调整结算金额。非乙方责任（如甲方自购设备故障、第三方系统问题）导致的额外工作量，费用另行协商结算。</w:t>
      </w:r>
    </w:p>
    <w:p w14:paraId="5A16A292">
      <w:pPr>
        <w:pStyle w:val="2"/>
        <w:widowControl/>
        <w:numPr>
          <w:ilvl w:val="0"/>
          <w:numId w:val="2"/>
        </w:numPr>
        <w:spacing w:before="0"/>
        <w:rPr>
          <w:rFonts w:hint="eastAsia" w:ascii="黑体" w:hAnsi="黑体" w:cs="黑体"/>
        </w:rPr>
      </w:pPr>
      <w:bookmarkStart w:id="174" w:name="_Toc24905"/>
      <w:bookmarkStart w:id="175" w:name="_Toc233375609"/>
      <w:bookmarkStart w:id="176" w:name="_Toc737"/>
      <w:r>
        <w:t>附件</w:t>
      </w:r>
      <w:bookmarkEnd w:id="174"/>
      <w:bookmarkEnd w:id="175"/>
      <w:bookmarkEnd w:id="176"/>
    </w:p>
    <w:p w14:paraId="31679268">
      <w:pPr>
        <w:pStyle w:val="3"/>
        <w:widowControl/>
        <w:numPr>
          <w:ilvl w:val="0"/>
          <w:numId w:val="19"/>
        </w:numPr>
        <w:spacing w:before="0"/>
      </w:pPr>
      <w:bookmarkStart w:id="177" w:name="_Toc27901"/>
      <w:bookmarkStart w:id="178" w:name="_Toc9360"/>
      <w:bookmarkStart w:id="179" w:name="_Toc233375610"/>
      <w:bookmarkStart w:id="180" w:name="_Toc16882"/>
      <w:bookmarkStart w:id="181" w:name="_Toc12508"/>
      <w:r>
        <w:t>附件1：《考核指标》</w:t>
      </w:r>
      <w:bookmarkEnd w:id="177"/>
      <w:bookmarkEnd w:id="178"/>
      <w:bookmarkEnd w:id="179"/>
    </w:p>
    <w:bookmarkEnd w:id="180"/>
    <w:bookmarkEnd w:id="181"/>
    <w:p w14:paraId="6D6871AD">
      <w:pPr>
        <w:pStyle w:val="13"/>
        <w:spacing w:before="0" w:after="0"/>
        <w:ind w:firstLine="480"/>
      </w:pPr>
      <w:r>
        <w:t>该考核指标为用户对甲方的考核指标，已摘取与本服务相关的考核项目，包含但不限于以下表格内容：</w:t>
      </w:r>
    </w:p>
    <w:tbl>
      <w:tblPr>
        <w:tblStyle w:val="21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4"/>
        <w:gridCol w:w="5501"/>
        <w:gridCol w:w="1903"/>
      </w:tblGrid>
      <w:tr w14:paraId="28556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7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DDE824">
            <w:pPr>
              <w:widowControl/>
              <w:snapToGrid w:val="0"/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考核指标</w:t>
            </w:r>
          </w:p>
        </w:tc>
        <w:tc>
          <w:tcPr>
            <w:tcW w:w="31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1F954F">
            <w:pPr>
              <w:widowControl/>
              <w:snapToGrid w:val="0"/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考核标准</w:t>
            </w:r>
          </w:p>
        </w:tc>
        <w:tc>
          <w:tcPr>
            <w:tcW w:w="110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AF9E36">
            <w:pPr>
              <w:widowControl/>
              <w:snapToGrid w:val="0"/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每1分扣款金额</w:t>
            </w:r>
          </w:p>
        </w:tc>
      </w:tr>
      <w:tr w14:paraId="5979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1F9D3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消杀作业合规性</w:t>
            </w:r>
          </w:p>
        </w:tc>
        <w:tc>
          <w:tcPr>
            <w:tcW w:w="31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DE684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所有作业区域逐区登记，药剂使用、喷洒操作符合规范，发现1处违规作业扣1分；</w:t>
            </w:r>
          </w:p>
        </w:tc>
        <w:tc>
          <w:tcPr>
            <w:tcW w:w="110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53087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2000</w:t>
            </w:r>
          </w:p>
        </w:tc>
      </w:tr>
      <w:tr w14:paraId="5EBD2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0B4C4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现场安全管理</w:t>
            </w:r>
          </w:p>
        </w:tc>
        <w:tc>
          <w:tcPr>
            <w:tcW w:w="31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7A824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作业现场按要求佩戴防护用具、规范存放药剂耗材，遵守甲方现场管理规定；发生一般安全隐患扣2分；</w:t>
            </w:r>
          </w:p>
        </w:tc>
        <w:tc>
          <w:tcPr>
            <w:tcW w:w="110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E5D8D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2000</w:t>
            </w:r>
          </w:p>
        </w:tc>
      </w:tr>
      <w:tr w14:paraId="38926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8DF72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工期履约率</w:t>
            </w:r>
          </w:p>
        </w:tc>
        <w:tc>
          <w:tcPr>
            <w:tcW w:w="31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50703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按约定周期、时间完成全部作业，无正当理由延误的，每延误1天扣1分；不可抗力延误须提前24小时书面报备，否则按延误处理；</w:t>
            </w:r>
          </w:p>
        </w:tc>
        <w:tc>
          <w:tcPr>
            <w:tcW w:w="110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EC981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2000</w:t>
            </w:r>
          </w:p>
        </w:tc>
      </w:tr>
      <w:tr w14:paraId="7090A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A99A0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原始记录完整性</w:t>
            </w:r>
          </w:p>
        </w:tc>
        <w:tc>
          <w:tcPr>
            <w:tcW w:w="31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861CB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作业台账、巡检记录需包含作业区域、药剂用量、人员签字、作业时间、设施状态等信息，数据真实可追溯，无涂改缺项；记录不完整每处扣1分；</w:t>
            </w:r>
          </w:p>
        </w:tc>
        <w:tc>
          <w:tcPr>
            <w:tcW w:w="110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075D3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2000</w:t>
            </w:r>
          </w:p>
        </w:tc>
      </w:tr>
      <w:tr w14:paraId="62F4D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E5399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报告交付及时性</w:t>
            </w:r>
          </w:p>
        </w:tc>
        <w:tc>
          <w:tcPr>
            <w:tcW w:w="31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DEF97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当期作业完成后15个工作日内提交完整服务报告及台账，逾期1天扣1分；</w:t>
            </w:r>
          </w:p>
        </w:tc>
        <w:tc>
          <w:tcPr>
            <w:tcW w:w="110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146F0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2000</w:t>
            </w:r>
          </w:p>
        </w:tc>
      </w:tr>
      <w:tr w14:paraId="00902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F5D12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报告合规性</w:t>
            </w:r>
          </w:p>
        </w:tc>
        <w:tc>
          <w:tcPr>
            <w:tcW w:w="3183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66161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报告签章齐全、附件资料完整，缺项、签章无效、资料缺失的，每处扣1分；</w:t>
            </w:r>
          </w:p>
        </w:tc>
        <w:tc>
          <w:tcPr>
            <w:tcW w:w="110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6973E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2000</w:t>
            </w:r>
          </w:p>
        </w:tc>
      </w:tr>
    </w:tbl>
    <w:p w14:paraId="34B6B8FC">
      <w:pPr>
        <w:pStyle w:val="3"/>
        <w:widowControl/>
        <w:numPr>
          <w:ilvl w:val="0"/>
          <w:numId w:val="19"/>
        </w:numPr>
        <w:spacing w:before="0"/>
      </w:pPr>
      <w:bookmarkStart w:id="182" w:name="_Toc233375611"/>
      <w:bookmarkStart w:id="183" w:name="_Toc5680"/>
      <w:bookmarkStart w:id="184" w:name="_Toc15346"/>
      <w:bookmarkStart w:id="185" w:name="_Toc14147"/>
      <w:bookmarkStart w:id="186" w:name="_Toc1995"/>
      <w:r>
        <w:t>附件2：《预防性维护操作程序要求》</w:t>
      </w:r>
      <w:bookmarkEnd w:id="182"/>
      <w:bookmarkEnd w:id="183"/>
      <w:bookmarkEnd w:id="184"/>
    </w:p>
    <w:bookmarkEnd w:id="185"/>
    <w:bookmarkEnd w:id="186"/>
    <w:p w14:paraId="60E37A68">
      <w:pPr>
        <w:pStyle w:val="13"/>
        <w:widowControl/>
        <w:spacing w:before="0" w:after="0"/>
        <w:ind w:firstLine="480"/>
        <w:rPr>
          <w:color w:val="000000"/>
        </w:rPr>
      </w:pPr>
      <w:r>
        <w:rPr>
          <w:color w:val="000000"/>
        </w:rPr>
        <w:t>双方技术人员共同确定有害生物防治作业方案，方案至少包含以下内容：</w:t>
      </w:r>
    </w:p>
    <w:p w14:paraId="11DBCB7A">
      <w:pPr>
        <w:pStyle w:val="13"/>
        <w:widowControl/>
        <w:spacing w:before="0" w:after="0"/>
        <w:ind w:firstLine="480"/>
        <w:rPr>
          <w:color w:val="000000"/>
        </w:rPr>
      </w:pPr>
      <w:r>
        <w:rPr>
          <w:color w:val="000000"/>
        </w:rPr>
        <w:t>作业MOP标准流程；</w:t>
      </w:r>
    </w:p>
    <w:p w14:paraId="3819C177">
      <w:pPr>
        <w:pStyle w:val="13"/>
        <w:widowControl/>
        <w:numPr>
          <w:ilvl w:val="0"/>
          <w:numId w:val="20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本次作业总体目标；</w:t>
      </w:r>
    </w:p>
    <w:p w14:paraId="4F1FCA45">
      <w:pPr>
        <w:pStyle w:val="13"/>
        <w:widowControl/>
        <w:numPr>
          <w:ilvl w:val="0"/>
          <w:numId w:val="20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作业前置条件（场地状态、设备环境、安全前置要求等）；</w:t>
      </w:r>
    </w:p>
    <w:p w14:paraId="119FA351">
      <w:pPr>
        <w:pStyle w:val="13"/>
        <w:widowControl/>
        <w:numPr>
          <w:ilvl w:val="0"/>
          <w:numId w:val="20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作业所需消杀器械、防护工具、药剂清单；</w:t>
      </w:r>
    </w:p>
    <w:p w14:paraId="344923A2">
      <w:pPr>
        <w:pStyle w:val="13"/>
        <w:widowControl/>
        <w:numPr>
          <w:ilvl w:val="0"/>
          <w:numId w:val="20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分步作业流程；</w:t>
      </w:r>
    </w:p>
    <w:p w14:paraId="74E8C315">
      <w:pPr>
        <w:pStyle w:val="13"/>
        <w:widowControl/>
        <w:numPr>
          <w:ilvl w:val="0"/>
          <w:numId w:val="20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检查内容及配套记录表单；</w:t>
      </w:r>
    </w:p>
    <w:p w14:paraId="2090F68A">
      <w:pPr>
        <w:pStyle w:val="13"/>
        <w:widowControl/>
        <w:numPr>
          <w:ilvl w:val="0"/>
          <w:numId w:val="20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作业合格判定标准；</w:t>
      </w:r>
    </w:p>
    <w:p w14:paraId="744ED3FC">
      <w:pPr>
        <w:pStyle w:val="13"/>
        <w:widowControl/>
        <w:numPr>
          <w:ilvl w:val="0"/>
          <w:numId w:val="20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两次作业周期内虫害异常事件记录表、问题分析表；</w:t>
      </w:r>
    </w:p>
    <w:p w14:paraId="0F27722C">
      <w:pPr>
        <w:pStyle w:val="13"/>
        <w:widowControl/>
        <w:numPr>
          <w:ilvl w:val="0"/>
          <w:numId w:val="20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作业风险提示、药剂安全使用注意事项；</w:t>
      </w:r>
    </w:p>
    <w:p w14:paraId="7753ACC4">
      <w:pPr>
        <w:pStyle w:val="13"/>
        <w:widowControl/>
        <w:numPr>
          <w:ilvl w:val="0"/>
          <w:numId w:val="20"/>
        </w:numPr>
        <w:spacing w:before="0" w:after="0"/>
        <w:ind w:firstLineChars="0"/>
        <w:rPr>
          <w:color w:val="000000"/>
        </w:rPr>
      </w:pPr>
      <w:r>
        <w:rPr>
          <w:color w:val="000000"/>
        </w:rPr>
        <w:t>编制单位、编制人、编制日期。</w:t>
      </w:r>
    </w:p>
    <w:p w14:paraId="6017D08A">
      <w:pPr>
        <w:pStyle w:val="3"/>
        <w:widowControl/>
        <w:numPr>
          <w:ilvl w:val="0"/>
          <w:numId w:val="19"/>
        </w:numPr>
        <w:spacing w:before="0"/>
      </w:pPr>
      <w:bookmarkStart w:id="187" w:name="_Toc233375612"/>
      <w:bookmarkStart w:id="188" w:name="_Toc11481"/>
      <w:bookmarkStart w:id="189" w:name="_Toc21046"/>
      <w:bookmarkStart w:id="190" w:name="_Toc10961"/>
      <w:bookmarkStart w:id="191" w:name="_Toc13018"/>
      <w:r>
        <w:t>附件3：《关键零部件清单》</w:t>
      </w:r>
      <w:bookmarkEnd w:id="187"/>
      <w:bookmarkEnd w:id="188"/>
      <w:bookmarkEnd w:id="189"/>
    </w:p>
    <w:bookmarkEnd w:id="190"/>
    <w:bookmarkEnd w:id="191"/>
    <w:p w14:paraId="0CA8295C">
      <w:pPr>
        <w:pStyle w:val="13"/>
        <w:spacing w:before="0" w:after="0"/>
        <w:ind w:firstLine="480"/>
      </w:pPr>
      <w:r>
        <w:t>本项目不涉及。</w:t>
      </w:r>
    </w:p>
    <w:p w14:paraId="2A475F20">
      <w:pPr>
        <w:pStyle w:val="3"/>
        <w:widowControl/>
        <w:numPr>
          <w:ilvl w:val="0"/>
          <w:numId w:val="19"/>
        </w:numPr>
        <w:spacing w:before="0"/>
      </w:pPr>
      <w:bookmarkStart w:id="192" w:name="_Toc27831"/>
      <w:bookmarkStart w:id="193" w:name="_Toc25842"/>
      <w:bookmarkStart w:id="194" w:name="_Toc233375613"/>
      <w:bookmarkStart w:id="195" w:name="_Toc25355"/>
      <w:bookmarkStart w:id="196" w:name="_Toc7249"/>
      <w:r>
        <w:t>附件4：《维护人员名单》</w:t>
      </w:r>
      <w:bookmarkEnd w:id="192"/>
      <w:bookmarkEnd w:id="193"/>
      <w:bookmarkEnd w:id="194"/>
    </w:p>
    <w:bookmarkEnd w:id="195"/>
    <w:bookmarkEnd w:id="196"/>
    <w:p w14:paraId="0F192B04">
      <w:pPr>
        <w:pStyle w:val="13"/>
        <w:spacing w:before="0" w:after="0"/>
        <w:ind w:firstLine="480"/>
      </w:pPr>
      <w:r>
        <w:t>声明：以下人员均为经过培训合格的专业服务人员（盖章）</w:t>
      </w:r>
    </w:p>
    <w:tbl>
      <w:tblPr>
        <w:tblStyle w:val="21"/>
        <w:tblW w:w="823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1"/>
        <w:gridCol w:w="1048"/>
        <w:gridCol w:w="1837"/>
        <w:gridCol w:w="900"/>
        <w:gridCol w:w="1044"/>
        <w:gridCol w:w="1488"/>
        <w:gridCol w:w="1440"/>
      </w:tblGrid>
      <w:tr w14:paraId="6AF8D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5393EA81">
            <w:pPr>
              <w:widowControl/>
              <w:textAlignment w:val="top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04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6C983D96">
            <w:pPr>
              <w:widowControl/>
              <w:ind w:firstLine="200" w:firstLineChars="100"/>
              <w:textAlignment w:val="top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人员姓名</w:t>
            </w:r>
          </w:p>
        </w:tc>
        <w:tc>
          <w:tcPr>
            <w:tcW w:w="183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77FA4D2">
            <w:pPr>
              <w:widowControl/>
              <w:ind w:firstLine="400" w:firstLineChars="200"/>
              <w:textAlignment w:val="top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66E2D38B">
            <w:pPr>
              <w:widowControl/>
              <w:textAlignment w:val="top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104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6DA71BC">
            <w:pPr>
              <w:widowControl/>
              <w:textAlignment w:val="top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培训方式</w:t>
            </w:r>
          </w:p>
        </w:tc>
        <w:tc>
          <w:tcPr>
            <w:tcW w:w="148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54A04E7">
            <w:pPr>
              <w:widowControl/>
              <w:textAlignment w:val="top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作业证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3AACFF6">
            <w:pPr>
              <w:widowControl/>
              <w:ind w:firstLine="400" w:firstLineChars="200"/>
              <w:textAlignment w:val="top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3B511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81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66C86CC2">
            <w:pPr>
              <w:widowControl/>
              <w:textAlignment w:val="top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0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32012B50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71E777EC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57F08D19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4261D55E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3E435675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3858A224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AFC0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81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320D5758">
            <w:pPr>
              <w:widowControl/>
              <w:textAlignment w:val="top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0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44DCA22F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5F46CF65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3A8F4C3B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66C348C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028B2C8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545F66EA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12BCF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81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6240EF13">
            <w:pPr>
              <w:widowControl/>
              <w:textAlignment w:val="top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7020A7C2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FD0A0FC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71BC9F69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6C3C845D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68AEE27D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1833B53F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1BD8C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81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758C7D60">
            <w:pPr>
              <w:widowControl/>
              <w:textAlignment w:val="top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0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9B2B813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484C6F78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375D1BC5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09FF31DB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1E285782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0CB1CB81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9A8B4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673BBC93">
            <w:pPr>
              <w:widowControl/>
              <w:textAlignment w:val="top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79BE50FB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15359783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4402267A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18ADE67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6782E537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3A059FB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2C27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381B7CB8">
            <w:pPr>
              <w:widowControl/>
              <w:textAlignment w:val="top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118C7623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549CE7A4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26F70FF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84EA820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6C94A405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1D655033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</w:tbl>
    <w:p w14:paraId="0A1F1D61">
      <w:pPr>
        <w:pStyle w:val="13"/>
        <w:spacing w:before="0" w:after="0"/>
        <w:ind w:firstLine="480"/>
      </w:pPr>
      <w:r>
        <w:t>附1：专业人员资格证书复印件</w:t>
      </w:r>
    </w:p>
    <w:p w14:paraId="66B6CD5B">
      <w:pPr>
        <w:pStyle w:val="3"/>
        <w:widowControl/>
        <w:numPr>
          <w:ilvl w:val="0"/>
          <w:numId w:val="19"/>
        </w:numPr>
        <w:spacing w:before="0"/>
      </w:pPr>
      <w:bookmarkStart w:id="197" w:name="_Toc19563"/>
      <w:bookmarkStart w:id="198" w:name="_Toc4391"/>
      <w:bookmarkStart w:id="199" w:name="_Toc233375614"/>
      <w:bookmarkStart w:id="200" w:name="_Toc20291"/>
      <w:bookmarkStart w:id="201" w:name="_Toc15246"/>
      <w:r>
        <w:t>附件5：《培训内容》</w:t>
      </w:r>
      <w:bookmarkEnd w:id="197"/>
      <w:bookmarkEnd w:id="198"/>
      <w:bookmarkEnd w:id="199"/>
    </w:p>
    <w:bookmarkEnd w:id="200"/>
    <w:bookmarkEnd w:id="201"/>
    <w:tbl>
      <w:tblPr>
        <w:tblStyle w:val="21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1326"/>
        <w:gridCol w:w="5574"/>
        <w:gridCol w:w="841"/>
      </w:tblGrid>
      <w:tr w14:paraId="71E515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0DF101F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专业类型：电气</w:t>
            </w:r>
            <w:r>
              <w:rPr>
                <w:rStyle w:val="29"/>
                <w:rFonts w:hint="eastAsia" w:ascii="宋体" w:hAnsi="宋体" w:eastAsia="宋体" w:cs="宋体"/>
                <w:sz w:val="20"/>
                <w:szCs w:val="20"/>
                <w:lang w:bidi="ar"/>
              </w:rPr>
              <w:sym w:font="Wingdings" w:char="00A8"/>
            </w:r>
            <w:r>
              <w:rPr>
                <w:rStyle w:val="30"/>
                <w:rFonts w:hint="default" w:ascii="宋体" w:hAnsi="宋体" w:eastAsia="宋体" w:cs="宋体"/>
                <w:sz w:val="20"/>
                <w:szCs w:val="20"/>
                <w:lang w:bidi="ar"/>
              </w:rPr>
              <w:t>暖通</w:t>
            </w:r>
            <w:r>
              <w:rPr>
                <w:rStyle w:val="29"/>
                <w:rFonts w:hint="eastAsia" w:ascii="宋体" w:hAnsi="宋体" w:eastAsia="宋体" w:cs="宋体"/>
                <w:sz w:val="20"/>
                <w:szCs w:val="20"/>
                <w:lang w:bidi="ar"/>
              </w:rPr>
              <w:sym w:font="Wingdings" w:char="00A8"/>
            </w:r>
            <w:r>
              <w:rPr>
                <w:rStyle w:val="30"/>
                <w:rFonts w:hint="default" w:ascii="宋体" w:hAnsi="宋体" w:eastAsia="宋体" w:cs="宋体"/>
                <w:sz w:val="20"/>
                <w:szCs w:val="20"/>
                <w:lang w:bidi="ar"/>
              </w:rPr>
              <w:t>基建</w:t>
            </w:r>
            <w:r>
              <w:rPr>
                <w:rStyle w:val="29"/>
                <w:rFonts w:hint="eastAsia" w:ascii="宋体" w:hAnsi="宋体" w:eastAsia="宋体" w:cs="宋体"/>
                <w:sz w:val="20"/>
                <w:szCs w:val="20"/>
                <w:lang w:bidi="ar"/>
              </w:rPr>
              <w:sym w:font="Wingdings" w:char="00A8"/>
            </w:r>
            <w:r>
              <w:rPr>
                <w:rStyle w:val="30"/>
                <w:rFonts w:hint="default" w:ascii="宋体" w:hAnsi="宋体" w:eastAsia="宋体" w:cs="宋体"/>
                <w:sz w:val="20"/>
                <w:szCs w:val="20"/>
                <w:lang w:bidi="ar"/>
              </w:rPr>
              <w:t>弱电</w:t>
            </w:r>
            <w:r>
              <w:rPr>
                <w:rStyle w:val="29"/>
                <w:rFonts w:hint="eastAsia" w:ascii="宋体" w:hAnsi="宋体" w:eastAsia="宋体" w:cs="宋体"/>
                <w:sz w:val="20"/>
                <w:szCs w:val="20"/>
                <w:lang w:bidi="ar"/>
              </w:rPr>
              <w:sym w:font="Wingdings" w:char="00A8"/>
            </w:r>
            <w:r>
              <w:rPr>
                <w:rStyle w:val="30"/>
                <w:rFonts w:hint="default" w:ascii="宋体" w:hAnsi="宋体" w:eastAsia="宋体" w:cs="宋体"/>
                <w:sz w:val="20"/>
                <w:szCs w:val="20"/>
                <w:lang w:bidi="ar"/>
              </w:rPr>
              <w:t>其他</w:t>
            </w:r>
            <w:r>
              <w:rPr>
                <w:rStyle w:val="29"/>
                <w:rFonts w:hint="eastAsia" w:ascii="宋体" w:hAnsi="宋体" w:eastAsia="宋体" w:cs="宋体"/>
                <w:sz w:val="20"/>
                <w:szCs w:val="20"/>
                <w:lang w:bidi="ar"/>
              </w:rPr>
              <w:sym w:font="Wingdings" w:char="00A8"/>
            </w:r>
          </w:p>
        </w:tc>
      </w:tr>
      <w:tr w14:paraId="358FCE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7C7304D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638E29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类型</w:t>
            </w:r>
          </w:p>
        </w:tc>
        <w:tc>
          <w:tcPr>
            <w:tcW w:w="3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5FE9CB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课件名称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27384A86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是/否</w:t>
            </w:r>
          </w:p>
        </w:tc>
      </w:tr>
      <w:tr w14:paraId="573DE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3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690012D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42DF5CB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安全培训</w:t>
            </w:r>
          </w:p>
        </w:tc>
        <w:tc>
          <w:tcPr>
            <w:tcW w:w="3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0DF451B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《外来人员安全行为规范》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70F08C2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14:paraId="37A93E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7D9AF1D5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3C3C7702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76AE60A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《外来作业或服务单位安全教育内容》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1ABF4AE7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14:paraId="6230C1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3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72C368B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4D96086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制度培训</w:t>
            </w:r>
          </w:p>
        </w:tc>
        <w:tc>
          <w:tcPr>
            <w:tcW w:w="3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0FCE41D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CBD40P104《机房出入管理制度》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76C0EC28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14:paraId="625CD3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038C83A2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40A28BDC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36DC3EA1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CBD40P105《机房环境管理制度》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3A5B79CF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14:paraId="7E9D8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1E285657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0C851B9B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6980AE2C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CBD40P106《机房门禁管理制度》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08A6B5E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14:paraId="15E3B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7BB7DBFC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577F40EA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47EA4047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CBD40P107《机房施工管理制度》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00B0B38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14:paraId="7DC724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5B5633D4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150F3FE5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0512F75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CBD40P109《机房用电管理制度》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43A721C4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是</w:t>
            </w:r>
          </w:p>
        </w:tc>
      </w:tr>
      <w:tr w14:paraId="1D9370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3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5BC7D451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7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1C29128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其他培训</w:t>
            </w:r>
          </w:p>
        </w:tc>
        <w:tc>
          <w:tcPr>
            <w:tcW w:w="3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6EB781A1"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10F4E21F"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1566A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3C5511F4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269E9755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2D205B9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4D6777AB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5A10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1E5EC861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353A0010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0D2142F4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501235A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17C71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6D50BAC8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4D1A7B46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0BF80692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6" w:type="dxa"/>
              <w:left w:w="6" w:type="dxa"/>
              <w:right w:w="6" w:type="dxa"/>
            </w:tcMar>
            <w:vAlign w:val="center"/>
          </w:tcPr>
          <w:p w14:paraId="4520D639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</w:tbl>
    <w:p w14:paraId="4AFB83C2">
      <w:pPr>
        <w:pStyle w:val="3"/>
        <w:widowControl/>
        <w:numPr>
          <w:ilvl w:val="0"/>
          <w:numId w:val="19"/>
        </w:numPr>
        <w:spacing w:before="0"/>
      </w:pPr>
      <w:bookmarkStart w:id="202" w:name="_Toc233375615"/>
      <w:bookmarkStart w:id="203" w:name="_Toc26860"/>
      <w:bookmarkStart w:id="204" w:name="_Toc5666"/>
      <w:bookmarkStart w:id="205" w:name="_Toc16174"/>
      <w:bookmarkStart w:id="206" w:name="_Toc7241"/>
      <w:r>
        <w:t>附件6：《联络人员名单》</w:t>
      </w:r>
      <w:bookmarkEnd w:id="202"/>
      <w:bookmarkEnd w:id="203"/>
      <w:bookmarkEnd w:id="204"/>
    </w:p>
    <w:bookmarkEnd w:id="205"/>
    <w:bookmarkEnd w:id="206"/>
    <w:tbl>
      <w:tblPr>
        <w:tblStyle w:val="21"/>
        <w:tblW w:w="4997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286"/>
        <w:gridCol w:w="1292"/>
        <w:gridCol w:w="1370"/>
        <w:gridCol w:w="1314"/>
        <w:gridCol w:w="1526"/>
        <w:gridCol w:w="979"/>
      </w:tblGrid>
      <w:tr w14:paraId="4D594E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8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FA8D8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76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137A8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专业</w:t>
            </w:r>
          </w:p>
        </w:tc>
        <w:tc>
          <w:tcPr>
            <w:tcW w:w="767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4FB59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甲方人员姓名</w:t>
            </w:r>
          </w:p>
        </w:tc>
        <w:tc>
          <w:tcPr>
            <w:tcW w:w="813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F6AFC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联系电话</w:t>
            </w:r>
          </w:p>
        </w:tc>
        <w:tc>
          <w:tcPr>
            <w:tcW w:w="780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C192A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乙方人员姓名</w:t>
            </w:r>
          </w:p>
        </w:tc>
        <w:tc>
          <w:tcPr>
            <w:tcW w:w="906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246E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联系电话</w:t>
            </w:r>
          </w:p>
        </w:tc>
        <w:tc>
          <w:tcPr>
            <w:tcW w:w="581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B6EAC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6BD06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87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761505D1">
            <w:pPr>
              <w:widowControl/>
              <w:ind w:firstLine="360" w:firstLineChars="200"/>
              <w:textAlignment w:val="top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1F8D17BE">
            <w:pPr>
              <w:widowControl/>
              <w:ind w:firstLine="360" w:firstLineChars="200"/>
              <w:textAlignment w:val="top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商务</w:t>
            </w:r>
          </w:p>
        </w:tc>
        <w:tc>
          <w:tcPr>
            <w:tcW w:w="7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02D48E66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F677F46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308A7E52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4C1CCAC2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079B4C72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E37B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87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36258035">
            <w:pPr>
              <w:widowControl/>
              <w:ind w:firstLine="360" w:firstLineChars="200"/>
              <w:textAlignment w:val="top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57B4361D">
            <w:pPr>
              <w:widowControl/>
              <w:ind w:firstLine="360" w:firstLineChars="200"/>
              <w:textAlignment w:val="top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技术主管</w:t>
            </w:r>
          </w:p>
        </w:tc>
        <w:tc>
          <w:tcPr>
            <w:tcW w:w="7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378CCD9A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2FB86955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50ADBA4B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33D0B5F9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68E1EC6B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6BAE9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87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79C19BE7">
            <w:pPr>
              <w:widowControl/>
              <w:ind w:firstLine="360" w:firstLineChars="200"/>
              <w:textAlignment w:val="top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1386E721">
            <w:pPr>
              <w:widowControl/>
              <w:ind w:firstLine="360" w:firstLineChars="200"/>
              <w:textAlignment w:val="top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现场技术</w:t>
            </w:r>
          </w:p>
        </w:tc>
        <w:tc>
          <w:tcPr>
            <w:tcW w:w="7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395D9A5B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56F765D5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6C0A6EDF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674C60B0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78262D8E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</w:tbl>
    <w:p w14:paraId="23DCE868">
      <w:pPr>
        <w:rPr>
          <w:rFonts w:hint="eastAsia" w:ascii="宋体" w:hAnsi="宋体" w:eastAsia="宋体" w:cs="宋体"/>
        </w:rPr>
        <w:sectPr>
          <w:headerReference r:id="rId4" w:type="default"/>
          <w:pgSz w:w="11906" w:h="16838"/>
          <w:pgMar w:top="1119" w:right="1726" w:bottom="720" w:left="1780" w:header="851" w:footer="992" w:gutter="0"/>
          <w:cols w:space="425" w:num="1"/>
          <w:docGrid w:type="lines" w:linePitch="312" w:charSpace="0"/>
        </w:sectPr>
      </w:pPr>
    </w:p>
    <w:p w14:paraId="6CCCA9D5">
      <w:pPr>
        <w:pStyle w:val="3"/>
        <w:widowControl/>
        <w:numPr>
          <w:ilvl w:val="0"/>
          <w:numId w:val="19"/>
        </w:numPr>
        <w:spacing w:before="0"/>
      </w:pPr>
      <w:bookmarkStart w:id="207" w:name="_Toc27209"/>
      <w:bookmarkStart w:id="208" w:name="_Toc28557"/>
      <w:bookmarkStart w:id="209" w:name="_Toc233375616"/>
      <w:bookmarkStart w:id="210" w:name="_Toc20244"/>
      <w:bookmarkStart w:id="211" w:name="_Toc29570"/>
      <w:r>
        <w:t>附件7：《技术服务单模板》</w:t>
      </w:r>
      <w:bookmarkEnd w:id="207"/>
      <w:bookmarkEnd w:id="208"/>
      <w:bookmarkEnd w:id="209"/>
    </w:p>
    <w:bookmarkEnd w:id="210"/>
    <w:bookmarkEnd w:id="211"/>
    <w:p w14:paraId="029C383C">
      <w:pPr>
        <w:pStyle w:val="13"/>
        <w:spacing w:before="0" w:after="0"/>
        <w:ind w:firstLine="480"/>
        <w:rPr>
          <w:rStyle w:val="26"/>
          <w:rFonts w:ascii="Times New Roman" w:hAnsi="Times New Roman" w:eastAsia="宋体"/>
          <w:sz w:val="24"/>
        </w:rPr>
      </w:pPr>
      <w:bookmarkStart w:id="212" w:name="_Toc9438"/>
      <w:bookmarkStart w:id="213" w:name="_Toc18128"/>
      <w:r>
        <w:t>本项目不涉及。</w:t>
      </w:r>
    </w:p>
    <w:p w14:paraId="3E25FFFB">
      <w:pPr>
        <w:sectPr>
          <w:pgSz w:w="11906" w:h="16838"/>
          <w:pgMar w:top="1119" w:right="720" w:bottom="720" w:left="720" w:header="851" w:footer="992" w:gutter="0"/>
          <w:cols w:space="425" w:num="1"/>
          <w:docGrid w:type="lines" w:linePitch="312" w:charSpace="0"/>
        </w:sectPr>
      </w:pPr>
    </w:p>
    <w:bookmarkEnd w:id="212"/>
    <w:bookmarkEnd w:id="213"/>
    <w:p w14:paraId="52DA2424">
      <w:pPr>
        <w:pStyle w:val="3"/>
        <w:widowControl/>
        <w:numPr>
          <w:ilvl w:val="0"/>
          <w:numId w:val="19"/>
        </w:numPr>
        <w:spacing w:before="0"/>
      </w:pPr>
      <w:bookmarkStart w:id="214" w:name="_Toc23115"/>
      <w:bookmarkStart w:id="215" w:name="_Toc1242"/>
      <w:bookmarkStart w:id="216" w:name="_Toc233375617"/>
      <w:bookmarkStart w:id="217" w:name="_Toc22069"/>
      <w:bookmarkStart w:id="218" w:name="_Toc16877"/>
      <w:r>
        <w:t>附件8：《培训签到表》</w:t>
      </w:r>
      <w:bookmarkEnd w:id="214"/>
      <w:bookmarkEnd w:id="215"/>
      <w:bookmarkEnd w:id="216"/>
    </w:p>
    <w:bookmarkEnd w:id="217"/>
    <w:bookmarkEnd w:id="218"/>
    <w:p w14:paraId="15A94F66">
      <w:pPr>
        <w:pStyle w:val="13"/>
        <w:spacing w:before="0" w:after="0"/>
        <w:ind w:firstLine="480"/>
      </w:pPr>
      <w:r>
        <w:t>本项目不涉及。</w:t>
      </w:r>
    </w:p>
    <w:p w14:paraId="1B57B920">
      <w:pPr>
        <w:pStyle w:val="32"/>
        <w:widowControl/>
        <w:numPr>
          <w:ilvl w:val="0"/>
          <w:numId w:val="0"/>
        </w:numPr>
        <w:spacing w:line="360" w:lineRule="auto"/>
        <w:ind w:firstLine="420" w:firstLineChars="200"/>
        <w:jc w:val="both"/>
        <w:outlineLvl w:val="9"/>
        <w:rPr>
          <w:rFonts w:hint="eastAsia" w:ascii="宋体" w:hAnsi="宋体" w:eastAsia="宋体" w:cs="宋体"/>
          <w:szCs w:val="28"/>
        </w:rPr>
        <w:sectPr>
          <w:pgSz w:w="11906" w:h="16838"/>
          <w:pgMar w:top="1119" w:right="720" w:bottom="720" w:left="720" w:header="851" w:footer="992" w:gutter="0"/>
          <w:cols w:space="425" w:num="1"/>
          <w:docGrid w:type="lines" w:linePitch="312" w:charSpace="0"/>
        </w:sectPr>
      </w:pPr>
    </w:p>
    <w:p w14:paraId="0F65B587">
      <w:pPr>
        <w:pStyle w:val="3"/>
        <w:widowControl/>
        <w:numPr>
          <w:ilvl w:val="0"/>
          <w:numId w:val="19"/>
        </w:numPr>
        <w:spacing w:before="0"/>
      </w:pPr>
      <w:bookmarkStart w:id="219" w:name="_Toc12102"/>
      <w:bookmarkStart w:id="220" w:name="_Toc233375618"/>
      <w:bookmarkStart w:id="221" w:name="_Toc25821"/>
      <w:bookmarkStart w:id="222" w:name="_Toc17092"/>
      <w:bookmarkStart w:id="223" w:name="_Toc3946"/>
      <w:r>
        <w:t>附件9：《培训考核表》</w:t>
      </w:r>
      <w:bookmarkEnd w:id="219"/>
      <w:bookmarkEnd w:id="220"/>
      <w:bookmarkEnd w:id="221"/>
    </w:p>
    <w:bookmarkEnd w:id="222"/>
    <w:bookmarkEnd w:id="223"/>
    <w:p w14:paraId="4BF1B8A9">
      <w:pPr>
        <w:pStyle w:val="13"/>
        <w:spacing w:before="0" w:after="0"/>
        <w:ind w:firstLine="480"/>
      </w:pPr>
      <w:r>
        <w:t>本项目不涉及。</w:t>
      </w:r>
    </w:p>
    <w:p w14:paraId="13460337">
      <w:pPr>
        <w:rPr>
          <w:rFonts w:hint="eastAsia" w:ascii="宋体" w:hAnsi="宋体" w:eastAsia="宋体" w:cs="宋体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FF603F5">
      <w:pPr>
        <w:pStyle w:val="3"/>
        <w:widowControl/>
        <w:numPr>
          <w:ilvl w:val="0"/>
          <w:numId w:val="19"/>
        </w:numPr>
        <w:spacing w:before="0"/>
      </w:pPr>
      <w:bookmarkStart w:id="224" w:name="_Toc17434"/>
      <w:bookmarkStart w:id="225" w:name="_Toc20664"/>
      <w:bookmarkStart w:id="226" w:name="_Toc233375619"/>
      <w:bookmarkStart w:id="227" w:name="_Toc3086"/>
      <w:bookmarkStart w:id="228" w:name="_Toc13797"/>
      <w:r>
        <w:t>附件10：《服务总结模板》</w:t>
      </w:r>
      <w:bookmarkEnd w:id="224"/>
      <w:bookmarkEnd w:id="225"/>
      <w:bookmarkEnd w:id="226"/>
    </w:p>
    <w:p w14:paraId="1C02C9F0"/>
    <w:p w14:paraId="3209C073"/>
    <w:p w14:paraId="3B28C176"/>
    <w:p w14:paraId="2592A2DC"/>
    <w:p w14:paraId="057EA758"/>
    <w:p w14:paraId="66E69124"/>
    <w:bookmarkEnd w:id="227"/>
    <w:bookmarkEnd w:id="228"/>
    <w:p w14:paraId="365AF86E">
      <w:pPr>
        <w:spacing w:line="360" w:lineRule="auto"/>
        <w:ind w:firstLine="420" w:firstLineChars="200"/>
        <w:jc w:val="center"/>
        <w:rPr>
          <w:rFonts w:hint="eastAsia" w:ascii="宋体" w:hAnsi="宋体" w:eastAsia="宋体" w:cs="宋体"/>
          <w:color w:val="FF0000"/>
          <w:sz w:val="52"/>
          <w:szCs w:val="52"/>
        </w:rPr>
      </w:pPr>
      <w:r>
        <w:rPr>
          <w:rFonts w:hint="eastAsia" w:ascii="宋体" w:hAnsi="宋体" w:eastAsia="宋体" w:cs="宋体"/>
          <w:color w:val="FF0000"/>
          <w:szCs w:val="28"/>
        </w:rPr>
        <w:t>【</w:t>
      </w:r>
      <w:r>
        <w:rPr>
          <w:rFonts w:hint="eastAsia" w:ascii="宋体" w:hAnsi="宋体" w:eastAsia="宋体" w:cs="宋体"/>
          <w:color w:val="FF0000"/>
          <w:sz w:val="52"/>
          <w:szCs w:val="52"/>
        </w:rPr>
        <w:t>输入机房名称或项目名称】</w:t>
      </w:r>
    </w:p>
    <w:p w14:paraId="5AF97272">
      <w:pPr>
        <w:spacing w:line="360" w:lineRule="auto"/>
        <w:ind w:firstLine="420" w:firstLineChars="200"/>
        <w:jc w:val="center"/>
        <w:rPr>
          <w:rFonts w:hint="eastAsia" w:ascii="宋体" w:hAnsi="宋体" w:eastAsia="宋体" w:cs="宋体"/>
          <w:color w:val="FF0000"/>
          <w:sz w:val="52"/>
          <w:szCs w:val="52"/>
        </w:rPr>
      </w:pPr>
      <w:r>
        <w:rPr>
          <w:rFonts w:hint="eastAsia" w:ascii="宋体" w:hAnsi="宋体" w:eastAsia="宋体" w:cs="宋体"/>
          <w:color w:val="FF0000"/>
          <w:szCs w:val="28"/>
        </w:rPr>
        <w:t>【</w:t>
      </w:r>
      <w:r>
        <w:rPr>
          <w:rFonts w:hint="eastAsia" w:ascii="宋体" w:hAnsi="宋体" w:eastAsia="宋体" w:cs="宋体"/>
          <w:color w:val="FF0000"/>
          <w:sz w:val="52"/>
          <w:szCs w:val="52"/>
        </w:rPr>
        <w:t>输入工作内容名称】</w:t>
      </w:r>
    </w:p>
    <w:p w14:paraId="2EA85B21">
      <w:pPr>
        <w:spacing w:line="360" w:lineRule="auto"/>
        <w:ind w:firstLine="1040" w:firstLineChars="200"/>
        <w:jc w:val="center"/>
        <w:rPr>
          <w:rFonts w:hint="eastAsia" w:ascii="宋体" w:hAnsi="宋体" w:eastAsia="宋体" w:cs="宋体"/>
          <w:color w:val="FF0000"/>
          <w:sz w:val="52"/>
          <w:szCs w:val="52"/>
        </w:rPr>
      </w:pPr>
    </w:p>
    <w:p w14:paraId="0BBCC10E">
      <w:pPr>
        <w:spacing w:line="360" w:lineRule="auto"/>
        <w:ind w:firstLine="1040" w:firstLineChars="200"/>
        <w:jc w:val="center"/>
        <w:rPr>
          <w:rFonts w:hint="eastAsia" w:ascii="宋体" w:hAnsi="宋体" w:eastAsia="宋体" w:cs="宋体"/>
          <w:color w:val="FF0000"/>
          <w:sz w:val="52"/>
          <w:szCs w:val="52"/>
        </w:rPr>
      </w:pPr>
    </w:p>
    <w:p w14:paraId="6346F52C">
      <w:pPr>
        <w:spacing w:line="360" w:lineRule="auto"/>
        <w:ind w:firstLine="1040" w:firstLineChars="200"/>
        <w:jc w:val="center"/>
        <w:rPr>
          <w:rFonts w:hint="eastAsia" w:ascii="宋体" w:hAnsi="宋体" w:eastAsia="宋体" w:cs="宋体"/>
          <w:color w:val="FF0000"/>
          <w:sz w:val="52"/>
          <w:szCs w:val="52"/>
        </w:rPr>
      </w:pPr>
    </w:p>
    <w:p w14:paraId="343896F1">
      <w:pPr>
        <w:spacing w:line="360" w:lineRule="auto"/>
        <w:ind w:firstLine="1040" w:firstLineChars="200"/>
        <w:jc w:val="center"/>
        <w:rPr>
          <w:rFonts w:hint="eastAsia" w:ascii="宋体" w:hAnsi="宋体" w:eastAsia="宋体" w:cs="宋体"/>
          <w:color w:val="FF0000"/>
          <w:sz w:val="52"/>
          <w:szCs w:val="52"/>
        </w:rPr>
      </w:pPr>
    </w:p>
    <w:p w14:paraId="7A035BFC">
      <w:pPr>
        <w:spacing w:line="360" w:lineRule="auto"/>
        <w:ind w:firstLine="1040" w:firstLineChars="200"/>
        <w:jc w:val="center"/>
        <w:rPr>
          <w:rFonts w:hint="eastAsia" w:ascii="宋体" w:hAnsi="宋体" w:eastAsia="宋体" w:cs="宋体"/>
          <w:color w:val="FF0000"/>
          <w:sz w:val="52"/>
          <w:szCs w:val="52"/>
        </w:rPr>
      </w:pPr>
    </w:p>
    <w:p w14:paraId="6DECDAD7">
      <w:pPr>
        <w:spacing w:line="360" w:lineRule="auto"/>
        <w:ind w:firstLine="1040" w:firstLineChars="200"/>
        <w:jc w:val="center"/>
        <w:rPr>
          <w:rFonts w:hint="eastAsia" w:ascii="宋体" w:hAnsi="宋体" w:eastAsia="宋体" w:cs="宋体"/>
          <w:color w:val="FF0000"/>
          <w:sz w:val="52"/>
          <w:szCs w:val="52"/>
        </w:rPr>
      </w:pPr>
    </w:p>
    <w:p w14:paraId="32945388">
      <w:pPr>
        <w:pStyle w:val="20"/>
        <w:spacing w:before="0" w:after="0"/>
      </w:pPr>
      <w:r>
        <w:t>总结报告</w:t>
      </w:r>
    </w:p>
    <w:tbl>
      <w:tblPr>
        <w:tblStyle w:val="21"/>
        <w:tblW w:w="71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671"/>
        <w:gridCol w:w="2084"/>
        <w:gridCol w:w="2038"/>
      </w:tblGrid>
      <w:tr w14:paraId="69449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320" w:type="dxa"/>
            <w:vAlign w:val="center"/>
          </w:tcPr>
          <w:p w14:paraId="7F5551C2">
            <w:pPr>
              <w:spacing w:line="360" w:lineRule="auto"/>
              <w:rPr>
                <w:rFonts w:hint="eastAsia" w:ascii="宋体" w:hAnsi="宋体" w:eastAsia="宋体" w:cs="宋体"/>
                <w:szCs w:val="28"/>
              </w:rPr>
            </w:pPr>
            <w:r>
              <w:rPr>
                <w:rFonts w:hint="eastAsia" w:ascii="宋体" w:hAnsi="宋体" w:eastAsia="宋体" w:cs="宋体"/>
                <w:szCs w:val="28"/>
              </w:rPr>
              <w:t>编制：</w:t>
            </w:r>
          </w:p>
        </w:tc>
        <w:tc>
          <w:tcPr>
            <w:tcW w:w="1671" w:type="dxa"/>
            <w:tcBorders>
              <w:bottom w:val="single" w:color="auto" w:sz="4" w:space="0"/>
            </w:tcBorders>
            <w:vAlign w:val="center"/>
          </w:tcPr>
          <w:p w14:paraId="072E7904">
            <w:pPr>
              <w:spacing w:line="360" w:lineRule="auto"/>
              <w:ind w:firstLine="31680"/>
              <w:rPr>
                <w:rFonts w:hint="eastAsia" w:ascii="宋体" w:hAnsi="宋体" w:eastAsia="宋体" w:cs="宋体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1CE5338C">
            <w:pPr>
              <w:spacing w:line="360" w:lineRule="auto"/>
              <w:rPr>
                <w:rFonts w:hint="eastAsia" w:ascii="宋体" w:hAnsi="宋体" w:eastAsia="宋体" w:cs="宋体"/>
                <w:szCs w:val="28"/>
              </w:rPr>
            </w:pPr>
            <w:r>
              <w:rPr>
                <w:rFonts w:hint="eastAsia" w:ascii="宋体" w:hAnsi="宋体" w:eastAsia="宋体" w:cs="宋体"/>
                <w:szCs w:val="28"/>
              </w:rPr>
              <w:t>编制日期：</w:t>
            </w:r>
          </w:p>
        </w:tc>
        <w:tc>
          <w:tcPr>
            <w:tcW w:w="2038" w:type="dxa"/>
            <w:tcBorders>
              <w:bottom w:val="single" w:color="auto" w:sz="4" w:space="0"/>
            </w:tcBorders>
            <w:vAlign w:val="center"/>
          </w:tcPr>
          <w:p w14:paraId="1FF731F7">
            <w:pPr>
              <w:spacing w:line="360" w:lineRule="auto"/>
              <w:ind w:firstLine="31680"/>
              <w:rPr>
                <w:rFonts w:hint="eastAsia" w:ascii="宋体" w:hAnsi="宋体" w:eastAsia="宋体" w:cs="宋体"/>
                <w:szCs w:val="28"/>
              </w:rPr>
            </w:pPr>
          </w:p>
        </w:tc>
      </w:tr>
      <w:tr w14:paraId="41556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320" w:type="dxa"/>
            <w:vAlign w:val="center"/>
          </w:tcPr>
          <w:p w14:paraId="08174E52">
            <w:pPr>
              <w:spacing w:line="360" w:lineRule="auto"/>
              <w:rPr>
                <w:rFonts w:hint="eastAsia" w:ascii="宋体" w:hAnsi="宋体" w:eastAsia="宋体" w:cs="宋体"/>
                <w:szCs w:val="28"/>
              </w:rPr>
            </w:pPr>
            <w:r>
              <w:rPr>
                <w:rFonts w:hint="eastAsia" w:ascii="宋体" w:hAnsi="宋体" w:eastAsia="宋体" w:cs="宋体"/>
                <w:szCs w:val="28"/>
              </w:rPr>
              <w:t>审核：</w:t>
            </w:r>
          </w:p>
        </w:tc>
        <w:tc>
          <w:tcPr>
            <w:tcW w:w="16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245D29">
            <w:pPr>
              <w:spacing w:line="360" w:lineRule="auto"/>
              <w:ind w:firstLine="31680"/>
              <w:rPr>
                <w:rFonts w:hint="eastAsia" w:ascii="宋体" w:hAnsi="宋体" w:eastAsia="宋体" w:cs="宋体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6B16984D">
            <w:pPr>
              <w:spacing w:line="360" w:lineRule="auto"/>
              <w:rPr>
                <w:rFonts w:hint="eastAsia" w:ascii="宋体" w:hAnsi="宋体" w:eastAsia="宋体" w:cs="宋体"/>
                <w:szCs w:val="28"/>
              </w:rPr>
            </w:pPr>
            <w:r>
              <w:rPr>
                <w:rFonts w:hint="eastAsia" w:ascii="宋体" w:hAnsi="宋体" w:eastAsia="宋体" w:cs="宋体"/>
                <w:szCs w:val="28"/>
              </w:rPr>
              <w:t>审核日期：</w:t>
            </w:r>
          </w:p>
        </w:tc>
        <w:tc>
          <w:tcPr>
            <w:tcW w:w="20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DDBAD5">
            <w:pPr>
              <w:spacing w:line="360" w:lineRule="auto"/>
              <w:ind w:firstLine="31680"/>
              <w:rPr>
                <w:rFonts w:hint="eastAsia" w:ascii="宋体" w:hAnsi="宋体" w:eastAsia="宋体" w:cs="宋体"/>
                <w:szCs w:val="28"/>
              </w:rPr>
            </w:pPr>
          </w:p>
        </w:tc>
      </w:tr>
      <w:tr w14:paraId="60998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320" w:type="dxa"/>
            <w:vAlign w:val="center"/>
          </w:tcPr>
          <w:p w14:paraId="03A93DE1">
            <w:pPr>
              <w:spacing w:line="360" w:lineRule="auto"/>
              <w:rPr>
                <w:rFonts w:hint="eastAsia" w:ascii="宋体" w:hAnsi="宋体" w:eastAsia="宋体" w:cs="宋体"/>
                <w:szCs w:val="28"/>
              </w:rPr>
            </w:pPr>
            <w:r>
              <w:rPr>
                <w:rFonts w:hint="eastAsia" w:ascii="宋体" w:hAnsi="宋体" w:eastAsia="宋体" w:cs="宋体"/>
                <w:szCs w:val="28"/>
              </w:rPr>
              <w:t>批准：</w:t>
            </w:r>
          </w:p>
        </w:tc>
        <w:tc>
          <w:tcPr>
            <w:tcW w:w="16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B797AA">
            <w:pPr>
              <w:spacing w:line="360" w:lineRule="auto"/>
              <w:ind w:firstLine="31680"/>
              <w:rPr>
                <w:rFonts w:hint="eastAsia" w:ascii="宋体" w:hAnsi="宋体" w:eastAsia="宋体" w:cs="宋体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34420DB4">
            <w:pPr>
              <w:spacing w:line="360" w:lineRule="auto"/>
              <w:rPr>
                <w:rFonts w:hint="eastAsia" w:ascii="宋体" w:hAnsi="宋体" w:eastAsia="宋体" w:cs="宋体"/>
                <w:szCs w:val="28"/>
              </w:rPr>
            </w:pPr>
            <w:r>
              <w:rPr>
                <w:rFonts w:hint="eastAsia" w:ascii="宋体" w:hAnsi="宋体" w:eastAsia="宋体" w:cs="宋体"/>
                <w:szCs w:val="28"/>
              </w:rPr>
              <w:t>批准日期：</w:t>
            </w:r>
          </w:p>
        </w:tc>
        <w:tc>
          <w:tcPr>
            <w:tcW w:w="20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148E07">
            <w:pPr>
              <w:spacing w:line="360" w:lineRule="auto"/>
              <w:ind w:firstLine="31680"/>
              <w:rPr>
                <w:rFonts w:hint="eastAsia" w:ascii="宋体" w:hAnsi="宋体" w:eastAsia="宋体" w:cs="宋体"/>
                <w:szCs w:val="28"/>
              </w:rPr>
            </w:pPr>
          </w:p>
        </w:tc>
      </w:tr>
    </w:tbl>
    <w:p w14:paraId="7C1D2392">
      <w:pPr>
        <w:pStyle w:val="5"/>
        <w:spacing w:line="360" w:lineRule="auto"/>
        <w:ind w:left="1680" w:firstLineChars="200"/>
        <w:rPr>
          <w:rFonts w:hint="eastAsia" w:ascii="宋体" w:hAnsi="宋体" w:eastAsia="宋体" w:cs="宋体"/>
          <w:szCs w:val="28"/>
        </w:rPr>
      </w:pPr>
      <w:r>
        <w:rPr>
          <w:rFonts w:hint="eastAsia" w:ascii="宋体" w:hAnsi="宋体" w:eastAsia="宋体" w:cs="宋体"/>
          <w:szCs w:val="28"/>
        </w:rPr>
        <w:br w:type="page"/>
      </w:r>
    </w:p>
    <w:p w14:paraId="04EA959F">
      <w:pPr>
        <w:pStyle w:val="2"/>
        <w:numPr>
          <w:ilvl w:val="0"/>
          <w:numId w:val="21"/>
        </w:numPr>
        <w:spacing w:before="0"/>
      </w:pPr>
      <w:bookmarkStart w:id="229" w:name="_Toc233375620"/>
      <w:bookmarkStart w:id="230" w:name="_Toc522"/>
      <w:bookmarkStart w:id="231" w:name="_Toc519952809"/>
      <w:bookmarkStart w:id="232" w:name="_Toc26276"/>
      <w:r>
        <w:t>工作概况</w:t>
      </w:r>
      <w:bookmarkEnd w:id="229"/>
      <w:bookmarkEnd w:id="230"/>
      <w:bookmarkEnd w:id="231"/>
      <w:bookmarkEnd w:id="232"/>
    </w:p>
    <w:p w14:paraId="367AB8B9">
      <w:pPr>
        <w:pStyle w:val="13"/>
        <w:spacing w:before="0" w:after="0"/>
        <w:ind w:firstLine="480"/>
      </w:pPr>
      <w:r>
        <w:t>工作名称：工作内容名称或合同名称</w:t>
      </w:r>
    </w:p>
    <w:p w14:paraId="1D0D6162">
      <w:pPr>
        <w:pStyle w:val="13"/>
        <w:spacing w:before="0" w:after="0"/>
        <w:ind w:firstLine="480"/>
      </w:pPr>
      <w:r>
        <w:t>工作负责人：XXX</w:t>
      </w:r>
    </w:p>
    <w:p w14:paraId="255DADB7">
      <w:pPr>
        <w:pStyle w:val="13"/>
        <w:spacing w:before="0" w:after="0"/>
        <w:ind w:firstLine="480"/>
      </w:pPr>
      <w:r>
        <w:t>工作性质：1、预防性有害生物防治；2、周期性消杀/巡检服务；</w:t>
      </w:r>
    </w:p>
    <w:p w14:paraId="15DE1967">
      <w:pPr>
        <w:pStyle w:val="13"/>
        <w:spacing w:before="0" w:after="0"/>
        <w:ind w:firstLine="480"/>
      </w:pPr>
      <w:r>
        <w:t>开始日期：xxxx年xx月</w:t>
      </w:r>
    </w:p>
    <w:p w14:paraId="048148AE">
      <w:pPr>
        <w:pStyle w:val="13"/>
        <w:spacing w:before="0" w:after="0"/>
        <w:ind w:firstLine="480"/>
      </w:pPr>
      <w:r>
        <w:t>原计划完成日期：xxxx年xx月</w:t>
      </w:r>
    </w:p>
    <w:p w14:paraId="6ECE00E4">
      <w:pPr>
        <w:pStyle w:val="13"/>
        <w:spacing w:before="0" w:after="0"/>
        <w:ind w:firstLine="480"/>
      </w:pPr>
      <w:r>
        <w:t>实际完成日期：xxxx年xx月</w:t>
      </w:r>
    </w:p>
    <w:p w14:paraId="7005282E">
      <w:pPr>
        <w:pStyle w:val="2"/>
        <w:numPr>
          <w:ilvl w:val="0"/>
          <w:numId w:val="21"/>
        </w:numPr>
        <w:spacing w:before="0"/>
      </w:pPr>
      <w:bookmarkStart w:id="233" w:name="_Toc233375621"/>
      <w:bookmarkStart w:id="234" w:name="_Toc519952810"/>
      <w:bookmarkStart w:id="235" w:name="_Toc25563"/>
      <w:bookmarkStart w:id="236" w:name="_Toc26852"/>
      <w:r>
        <w:t>主要工作内容</w:t>
      </w:r>
      <w:bookmarkEnd w:id="233"/>
      <w:bookmarkEnd w:id="234"/>
      <w:bookmarkEnd w:id="235"/>
      <w:bookmarkEnd w:id="236"/>
    </w:p>
    <w:p w14:paraId="10E36892">
      <w:pPr>
        <w:pStyle w:val="3"/>
        <w:spacing w:before="0"/>
      </w:pPr>
      <w:bookmarkStart w:id="237" w:name="_Toc519952811"/>
      <w:bookmarkStart w:id="238" w:name="_Toc3316"/>
      <w:bookmarkStart w:id="239" w:name="_Toc20615"/>
      <w:bookmarkStart w:id="240" w:name="_Toc233375622"/>
      <w:r>
        <w:t>2.1服务内容</w:t>
      </w:r>
      <w:bookmarkEnd w:id="237"/>
      <w:bookmarkEnd w:id="238"/>
      <w:bookmarkEnd w:id="239"/>
      <w:bookmarkEnd w:id="240"/>
    </w:p>
    <w:p w14:paraId="7F2F6640">
      <w:pPr>
        <w:pStyle w:val="4"/>
        <w:numPr>
          <w:ilvl w:val="0"/>
          <w:numId w:val="22"/>
        </w:numPr>
        <w:spacing w:before="0"/>
        <w:rPr>
          <w:rFonts w:hint="eastAsia" w:ascii="黑体" w:hAnsi="黑体" w:cs="黑体"/>
        </w:rPr>
      </w:pPr>
      <w:bookmarkStart w:id="241" w:name="_Toc519952812"/>
      <w:bookmarkStart w:id="242" w:name="_Toc233375623"/>
      <w:r>
        <w:rPr>
          <w:rFonts w:hint="eastAsia"/>
        </w:rPr>
        <w:t>消杀</w:t>
      </w:r>
      <w:r>
        <w:t>服务概述</w:t>
      </w:r>
      <w:bookmarkEnd w:id="241"/>
      <w:bookmarkEnd w:id="242"/>
    </w:p>
    <w:p w14:paraId="5872B4D0">
      <w:pPr>
        <w:pStyle w:val="13"/>
        <w:spacing w:before="0" w:after="0"/>
        <w:ind w:firstLine="480"/>
      </w:pPr>
      <w:r>
        <w:t>简单说明本次工作的工作概况</w:t>
      </w:r>
    </w:p>
    <w:p w14:paraId="438F6A4D">
      <w:pPr>
        <w:pStyle w:val="4"/>
        <w:numPr>
          <w:ilvl w:val="0"/>
          <w:numId w:val="22"/>
        </w:numPr>
        <w:spacing w:before="0"/>
        <w:rPr>
          <w:rFonts w:hint="eastAsia" w:ascii="黑体" w:hAnsi="黑体" w:cs="黑体"/>
        </w:rPr>
      </w:pPr>
      <w:bookmarkStart w:id="243" w:name="_Toc519952813"/>
      <w:bookmarkStart w:id="244" w:name="_Toc233375624"/>
      <w:r>
        <w:t>消杀内容</w:t>
      </w:r>
      <w:bookmarkEnd w:id="243"/>
      <w:bookmarkEnd w:id="244"/>
    </w:p>
    <w:p w14:paraId="6FEDE489">
      <w:pPr>
        <w:pStyle w:val="13"/>
        <w:spacing w:before="0" w:after="0"/>
        <w:ind w:firstLine="480"/>
      </w:pPr>
      <w:r>
        <w:t>说明本次工作的具体内容、计划目标</w:t>
      </w:r>
    </w:p>
    <w:p w14:paraId="14655070">
      <w:pPr>
        <w:pStyle w:val="2"/>
        <w:numPr>
          <w:ilvl w:val="0"/>
          <w:numId w:val="21"/>
        </w:numPr>
        <w:spacing w:before="0"/>
      </w:pPr>
      <w:bookmarkStart w:id="245" w:name="_Toc22114"/>
      <w:bookmarkStart w:id="246" w:name="_Toc519952814"/>
      <w:bookmarkStart w:id="247" w:name="_Toc2680"/>
      <w:bookmarkStart w:id="248" w:name="_Toc233375625"/>
      <w:r>
        <w:t>完成情况</w:t>
      </w:r>
      <w:bookmarkEnd w:id="245"/>
      <w:bookmarkEnd w:id="246"/>
      <w:bookmarkEnd w:id="247"/>
      <w:bookmarkEnd w:id="248"/>
    </w:p>
    <w:p w14:paraId="0DCB8520">
      <w:pPr>
        <w:pStyle w:val="3"/>
        <w:numPr>
          <w:ilvl w:val="0"/>
          <w:numId w:val="23"/>
        </w:numPr>
        <w:spacing w:before="0"/>
        <w:rPr>
          <w:rFonts w:hint="eastAsia" w:ascii="黑体" w:hAnsi="黑体" w:cs="黑体"/>
        </w:rPr>
      </w:pPr>
      <w:bookmarkStart w:id="249" w:name="_Toc31178"/>
      <w:bookmarkStart w:id="250" w:name="_Toc30492"/>
      <w:bookmarkStart w:id="251" w:name="_Toc519952815"/>
      <w:bookmarkStart w:id="252" w:name="_Toc233375626"/>
      <w:r>
        <w:t>主要参与人员</w:t>
      </w:r>
      <w:bookmarkEnd w:id="249"/>
      <w:bookmarkEnd w:id="250"/>
      <w:bookmarkEnd w:id="251"/>
      <w:bookmarkEnd w:id="252"/>
    </w:p>
    <w:p w14:paraId="53BEC516">
      <w:pPr>
        <w:pStyle w:val="13"/>
        <w:numPr>
          <w:ilvl w:val="0"/>
          <w:numId w:val="24"/>
        </w:numPr>
        <w:spacing w:before="0" w:after="0"/>
        <w:ind w:firstLineChars="0"/>
        <w:rPr>
          <w:rFonts w:hint="eastAsia" w:ascii="宋体" w:hAnsi="宋体" w:cs="宋体"/>
        </w:rPr>
      </w:pPr>
      <w:r>
        <w:t>主要负责人：xxxx</w:t>
      </w:r>
    </w:p>
    <w:p w14:paraId="589BBA20">
      <w:pPr>
        <w:pStyle w:val="13"/>
        <w:numPr>
          <w:ilvl w:val="0"/>
          <w:numId w:val="24"/>
        </w:numPr>
        <w:spacing w:before="0" w:after="0"/>
        <w:ind w:firstLineChars="0"/>
        <w:rPr>
          <w:rFonts w:hint="eastAsia" w:ascii="宋体" w:hAnsi="宋体" w:cs="宋体"/>
        </w:rPr>
      </w:pPr>
      <w:r>
        <w:t>参与人员：参与部门名称与合计人数</w:t>
      </w:r>
    </w:p>
    <w:p w14:paraId="6940555C">
      <w:pPr>
        <w:pStyle w:val="3"/>
        <w:numPr>
          <w:ilvl w:val="0"/>
          <w:numId w:val="23"/>
        </w:numPr>
        <w:spacing w:before="0"/>
        <w:rPr>
          <w:rFonts w:hint="eastAsia" w:ascii="黑体" w:hAnsi="黑体" w:cs="黑体"/>
        </w:rPr>
      </w:pPr>
      <w:bookmarkStart w:id="253" w:name="_Toc31824"/>
      <w:bookmarkStart w:id="254" w:name="_Toc17742"/>
      <w:bookmarkStart w:id="255" w:name="_Toc233375627"/>
      <w:r>
        <w:t>规模和工作量；说明本次工作范围数量以及历时完成时间</w:t>
      </w:r>
      <w:bookmarkEnd w:id="253"/>
      <w:bookmarkEnd w:id="254"/>
      <w:bookmarkEnd w:id="255"/>
    </w:p>
    <w:p w14:paraId="64178E4D">
      <w:pPr>
        <w:pStyle w:val="13"/>
        <w:spacing w:before="0" w:after="0"/>
        <w:ind w:firstLine="480"/>
      </w:pPr>
      <w:bookmarkStart w:id="256" w:name="_Toc519952816"/>
      <w:r>
        <w:t>3.2.1完成情况</w:t>
      </w:r>
      <w:bookmarkEnd w:id="256"/>
    </w:p>
    <w:p w14:paraId="76BAFEAE">
      <w:pPr>
        <w:pStyle w:val="4"/>
        <w:spacing w:before="0"/>
      </w:pPr>
      <w:bookmarkStart w:id="257" w:name="_Toc519952817"/>
      <w:bookmarkStart w:id="258" w:name="_Toc233375628"/>
      <w:r>
        <w:t>3.2.1完成内容</w:t>
      </w:r>
      <w:bookmarkEnd w:id="257"/>
      <w:bookmarkEnd w:id="258"/>
    </w:p>
    <w:tbl>
      <w:tblPr>
        <w:tblStyle w:val="2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9"/>
        <w:gridCol w:w="4101"/>
      </w:tblGrid>
      <w:tr w14:paraId="37D1D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9" w:hRule="atLeast"/>
        </w:trPr>
        <w:tc>
          <w:tcPr>
            <w:tcW w:w="2593" w:type="pct"/>
            <w:shd w:val="clear" w:color="auto" w:fill="E6E6E6"/>
          </w:tcPr>
          <w:p w14:paraId="7EC949D3">
            <w:pPr>
              <w:rPr>
                <w:rFonts w:hint="eastAsia" w:ascii="宋体" w:hAnsi="宋体" w:eastAsia="宋体" w:cs="宋体"/>
                <w:b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Cs w:val="28"/>
              </w:rPr>
              <w:t>详细内容</w:t>
            </w:r>
          </w:p>
        </w:tc>
        <w:tc>
          <w:tcPr>
            <w:tcW w:w="2406" w:type="pct"/>
            <w:shd w:val="clear" w:color="auto" w:fill="E6E6E6"/>
          </w:tcPr>
          <w:p w14:paraId="0B222428">
            <w:pPr>
              <w:rPr>
                <w:rFonts w:hint="eastAsia" w:ascii="宋体" w:hAnsi="宋体" w:eastAsia="宋体" w:cs="宋体"/>
                <w:b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Cs w:val="28"/>
              </w:rPr>
              <w:t>实际完成情况</w:t>
            </w:r>
          </w:p>
        </w:tc>
      </w:tr>
      <w:tr w14:paraId="02505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2593" w:type="pct"/>
          </w:tcPr>
          <w:p w14:paraId="089CEA43">
            <w:pPr>
              <w:rPr>
                <w:rFonts w:hint="eastAsia" w:ascii="宋体" w:hAnsi="宋体" w:eastAsia="宋体" w:cs="宋体"/>
                <w:szCs w:val="28"/>
              </w:rPr>
            </w:pPr>
            <w:r>
              <w:rPr>
                <w:rFonts w:hint="eastAsia" w:ascii="宋体" w:hAnsi="宋体" w:eastAsia="宋体" w:cs="宋体"/>
                <w:szCs w:val="28"/>
              </w:rPr>
              <w:t>逐项写入计划工作内容的项目</w:t>
            </w:r>
          </w:p>
        </w:tc>
        <w:tc>
          <w:tcPr>
            <w:tcW w:w="2406" w:type="pct"/>
          </w:tcPr>
          <w:p w14:paraId="06D3B195">
            <w:pPr>
              <w:rPr>
                <w:rFonts w:hint="eastAsia" w:ascii="宋体" w:hAnsi="宋体" w:eastAsia="宋体" w:cs="宋体"/>
                <w:szCs w:val="28"/>
              </w:rPr>
            </w:pPr>
            <w:r>
              <w:rPr>
                <w:rFonts w:hint="eastAsia" w:ascii="宋体" w:hAnsi="宋体" w:eastAsia="宋体" w:cs="宋体"/>
                <w:szCs w:val="28"/>
              </w:rPr>
              <w:t>确认实际完成情况和进度</w:t>
            </w:r>
          </w:p>
        </w:tc>
      </w:tr>
    </w:tbl>
    <w:p w14:paraId="605FDDBE">
      <w:pPr>
        <w:pStyle w:val="3"/>
        <w:numPr>
          <w:ilvl w:val="0"/>
          <w:numId w:val="23"/>
        </w:numPr>
        <w:spacing w:before="0"/>
        <w:rPr>
          <w:rFonts w:hint="eastAsia" w:ascii="黑体" w:hAnsi="黑体" w:cs="黑体"/>
        </w:rPr>
      </w:pPr>
      <w:bookmarkStart w:id="259" w:name="_Toc233375629"/>
      <w:bookmarkStart w:id="260" w:name="_Toc23359"/>
      <w:bookmarkStart w:id="261" w:name="_Toc903"/>
      <w:bookmarkStart w:id="262" w:name="_Toc519952818"/>
      <w:r>
        <w:t>完成统计</w:t>
      </w:r>
      <w:bookmarkEnd w:id="259"/>
      <w:bookmarkEnd w:id="260"/>
      <w:bookmarkEnd w:id="261"/>
      <w:bookmarkEnd w:id="262"/>
    </w:p>
    <w:p w14:paraId="58CABC28">
      <w:pPr>
        <w:pStyle w:val="13"/>
        <w:spacing w:before="0" w:after="0"/>
        <w:ind w:firstLine="480"/>
      </w:pPr>
      <w:r>
        <w:t>根据实际完成进度以表格方式，说明各机房或个区域的消杀结果</w:t>
      </w:r>
    </w:p>
    <w:tbl>
      <w:tblPr>
        <w:tblStyle w:val="2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93"/>
        <w:gridCol w:w="2382"/>
        <w:gridCol w:w="3330"/>
      </w:tblGrid>
      <w:tr w14:paraId="2DEDE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pct"/>
          </w:tcPr>
          <w:p w14:paraId="74A13E38">
            <w:pPr>
              <w:pStyle w:val="5"/>
              <w:ind w:firstLine="0"/>
              <w:rPr>
                <w:rFonts w:hint="eastAsia" w:ascii="宋体" w:hAnsi="宋体" w:eastAsia="宋体" w:cs="宋体"/>
                <w:szCs w:val="28"/>
              </w:rPr>
            </w:pPr>
            <w:r>
              <w:rPr>
                <w:rFonts w:hint="eastAsia" w:ascii="宋体" w:hAnsi="宋体" w:eastAsia="宋体" w:cs="宋体"/>
                <w:szCs w:val="28"/>
              </w:rPr>
              <w:t>序号</w:t>
            </w:r>
          </w:p>
        </w:tc>
        <w:tc>
          <w:tcPr>
            <w:tcW w:w="1169" w:type="pct"/>
          </w:tcPr>
          <w:p w14:paraId="68DCD590">
            <w:pPr>
              <w:pStyle w:val="5"/>
              <w:ind w:firstLine="0"/>
              <w:rPr>
                <w:rFonts w:hint="eastAsia" w:ascii="宋体" w:hAnsi="宋体" w:eastAsia="宋体" w:cs="宋体"/>
                <w:szCs w:val="28"/>
              </w:rPr>
            </w:pPr>
            <w:r>
              <w:rPr>
                <w:rFonts w:hint="eastAsia" w:ascii="宋体" w:hAnsi="宋体" w:eastAsia="宋体" w:cs="宋体"/>
                <w:szCs w:val="28"/>
              </w:rPr>
              <w:t>服务地点</w:t>
            </w:r>
          </w:p>
        </w:tc>
        <w:tc>
          <w:tcPr>
            <w:tcW w:w="1397" w:type="pct"/>
          </w:tcPr>
          <w:p w14:paraId="7AF9F2D0">
            <w:pPr>
              <w:pStyle w:val="5"/>
              <w:ind w:firstLine="0"/>
              <w:rPr>
                <w:rFonts w:hint="eastAsia" w:ascii="宋体" w:hAnsi="宋体" w:eastAsia="宋体" w:cs="宋体"/>
                <w:szCs w:val="28"/>
              </w:rPr>
            </w:pPr>
            <w:r>
              <w:rPr>
                <w:rFonts w:hint="eastAsia" w:ascii="宋体" w:hAnsi="宋体" w:eastAsia="宋体" w:cs="宋体"/>
                <w:szCs w:val="28"/>
              </w:rPr>
              <w:t>工作内容</w:t>
            </w:r>
          </w:p>
        </w:tc>
        <w:tc>
          <w:tcPr>
            <w:tcW w:w="1953" w:type="pct"/>
          </w:tcPr>
          <w:p w14:paraId="61E51F47">
            <w:pPr>
              <w:pStyle w:val="5"/>
              <w:ind w:left="1680" w:firstLine="0"/>
              <w:rPr>
                <w:rFonts w:hint="eastAsia" w:ascii="宋体" w:hAnsi="宋体" w:eastAsia="宋体" w:cs="宋体"/>
                <w:szCs w:val="28"/>
              </w:rPr>
            </w:pPr>
            <w:r>
              <w:rPr>
                <w:rFonts w:hint="eastAsia" w:ascii="宋体" w:hAnsi="宋体" w:eastAsia="宋体" w:cs="宋体"/>
                <w:szCs w:val="28"/>
              </w:rPr>
              <w:t>结果说明</w:t>
            </w:r>
          </w:p>
        </w:tc>
      </w:tr>
      <w:tr w14:paraId="7BCD4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pct"/>
          </w:tcPr>
          <w:p w14:paraId="19F49F9F">
            <w:pPr>
              <w:pStyle w:val="5"/>
              <w:ind w:left="1680" w:firstLine="0"/>
              <w:rPr>
                <w:rFonts w:hint="eastAsia" w:ascii="宋体" w:hAnsi="宋体" w:eastAsia="宋体" w:cs="宋体"/>
                <w:szCs w:val="28"/>
              </w:rPr>
            </w:pPr>
          </w:p>
        </w:tc>
        <w:tc>
          <w:tcPr>
            <w:tcW w:w="1169" w:type="pct"/>
          </w:tcPr>
          <w:p w14:paraId="589C65F6">
            <w:pPr>
              <w:pStyle w:val="5"/>
              <w:ind w:left="1680" w:firstLine="0"/>
              <w:rPr>
                <w:rFonts w:hint="eastAsia" w:ascii="宋体" w:hAnsi="宋体" w:eastAsia="宋体" w:cs="宋体"/>
                <w:szCs w:val="28"/>
              </w:rPr>
            </w:pPr>
          </w:p>
        </w:tc>
        <w:tc>
          <w:tcPr>
            <w:tcW w:w="1397" w:type="pct"/>
          </w:tcPr>
          <w:p w14:paraId="030067FC">
            <w:pPr>
              <w:pStyle w:val="5"/>
              <w:ind w:left="1680" w:firstLine="0"/>
              <w:rPr>
                <w:rFonts w:hint="eastAsia" w:ascii="宋体" w:hAnsi="宋体" w:eastAsia="宋体" w:cs="宋体"/>
                <w:szCs w:val="28"/>
              </w:rPr>
            </w:pPr>
          </w:p>
        </w:tc>
        <w:tc>
          <w:tcPr>
            <w:tcW w:w="1953" w:type="pct"/>
          </w:tcPr>
          <w:p w14:paraId="41A1EB50">
            <w:pPr>
              <w:pStyle w:val="5"/>
              <w:ind w:left="1680" w:firstLine="0"/>
              <w:rPr>
                <w:rFonts w:hint="eastAsia" w:ascii="宋体" w:hAnsi="宋体" w:eastAsia="宋体" w:cs="宋体"/>
                <w:szCs w:val="28"/>
              </w:rPr>
            </w:pPr>
          </w:p>
        </w:tc>
      </w:tr>
    </w:tbl>
    <w:p w14:paraId="0C62D309">
      <w:pPr>
        <w:pStyle w:val="2"/>
        <w:numPr>
          <w:ilvl w:val="0"/>
          <w:numId w:val="21"/>
        </w:numPr>
        <w:spacing w:before="0"/>
      </w:pPr>
      <w:bookmarkStart w:id="263" w:name="_Toc17599"/>
      <w:bookmarkStart w:id="264" w:name="_Toc233375630"/>
      <w:bookmarkStart w:id="265" w:name="_Toc24320"/>
      <w:bookmarkStart w:id="266" w:name="_Toc519952819"/>
      <w:r>
        <w:t>消杀结果</w:t>
      </w:r>
      <w:bookmarkEnd w:id="263"/>
      <w:bookmarkEnd w:id="264"/>
      <w:bookmarkEnd w:id="265"/>
      <w:bookmarkEnd w:id="266"/>
    </w:p>
    <w:p w14:paraId="4646A728">
      <w:pPr>
        <w:pStyle w:val="13"/>
        <w:spacing w:before="0" w:after="0"/>
        <w:ind w:firstLine="480"/>
      </w:pPr>
      <w:r>
        <w:t>附上消杀报告或归纳性说明“详见消杀报告或记录”</w:t>
      </w:r>
    </w:p>
    <w:p w14:paraId="1F878DCA">
      <w:pPr>
        <w:pStyle w:val="2"/>
        <w:numPr>
          <w:ilvl w:val="0"/>
          <w:numId w:val="21"/>
        </w:numPr>
        <w:spacing w:before="0"/>
      </w:pPr>
      <w:bookmarkStart w:id="267" w:name="_Toc519952820"/>
      <w:bookmarkStart w:id="268" w:name="_Toc16263"/>
      <w:bookmarkStart w:id="269" w:name="_Toc24787"/>
      <w:bookmarkStart w:id="270" w:name="_Toc233375631"/>
      <w:r>
        <w:t>缺陷情况</w:t>
      </w:r>
      <w:bookmarkEnd w:id="267"/>
      <w:bookmarkEnd w:id="268"/>
      <w:bookmarkEnd w:id="269"/>
      <w:bookmarkEnd w:id="270"/>
    </w:p>
    <w:p w14:paraId="2E573335">
      <w:pPr>
        <w:pStyle w:val="13"/>
        <w:spacing w:before="0" w:after="0"/>
        <w:ind w:firstLine="480"/>
      </w:pPr>
      <w:r>
        <w:t>根据服务结果对全部工作中发现的问题进行汇总说明</w:t>
      </w:r>
    </w:p>
    <w:p w14:paraId="62545444">
      <w:pPr>
        <w:pStyle w:val="2"/>
        <w:numPr>
          <w:ilvl w:val="0"/>
          <w:numId w:val="21"/>
        </w:numPr>
        <w:spacing w:before="0"/>
      </w:pPr>
      <w:bookmarkStart w:id="271" w:name="_Toc2755"/>
      <w:bookmarkStart w:id="272" w:name="_Toc519952821"/>
      <w:bookmarkStart w:id="273" w:name="_Toc233375632"/>
      <w:bookmarkStart w:id="274" w:name="_Toc23184"/>
      <w:r>
        <w:t>原因分析</w:t>
      </w:r>
      <w:bookmarkEnd w:id="271"/>
      <w:bookmarkEnd w:id="272"/>
      <w:bookmarkEnd w:id="273"/>
      <w:bookmarkEnd w:id="274"/>
    </w:p>
    <w:p w14:paraId="583190A4">
      <w:pPr>
        <w:pStyle w:val="13"/>
        <w:spacing w:before="0" w:after="0"/>
        <w:ind w:firstLine="480"/>
      </w:pPr>
      <w:r>
        <w:t>对缺陷情况进行原因分析</w:t>
      </w:r>
    </w:p>
    <w:p w14:paraId="0086B88D">
      <w:pPr>
        <w:pStyle w:val="2"/>
        <w:numPr>
          <w:ilvl w:val="0"/>
          <w:numId w:val="21"/>
        </w:numPr>
        <w:spacing w:before="0"/>
      </w:pPr>
      <w:bookmarkStart w:id="275" w:name="_Toc4613"/>
      <w:bookmarkStart w:id="276" w:name="_Toc31722"/>
      <w:bookmarkStart w:id="277" w:name="_Toc519952822"/>
      <w:bookmarkStart w:id="278" w:name="_Toc233375633"/>
      <w:r>
        <w:t>缺陷改进</w:t>
      </w:r>
      <w:bookmarkEnd w:id="275"/>
      <w:bookmarkEnd w:id="276"/>
      <w:bookmarkEnd w:id="277"/>
      <w:bookmarkEnd w:id="278"/>
    </w:p>
    <w:p w14:paraId="4B62ABF3">
      <w:pPr>
        <w:pStyle w:val="13"/>
        <w:spacing w:before="0" w:after="0"/>
        <w:ind w:firstLine="480"/>
      </w:pPr>
      <w:r>
        <w:t>根据缺陷情况进行跟踪处理说明或整改建议说明</w:t>
      </w:r>
    </w:p>
    <w:p w14:paraId="236B61FF">
      <w:pPr>
        <w:pStyle w:val="2"/>
        <w:numPr>
          <w:ilvl w:val="0"/>
          <w:numId w:val="21"/>
        </w:numPr>
        <w:spacing w:before="0"/>
      </w:pPr>
      <w:bookmarkStart w:id="279" w:name="_Toc1948"/>
      <w:bookmarkStart w:id="280" w:name="_Toc233375634"/>
      <w:bookmarkStart w:id="281" w:name="_Toc519952823"/>
      <w:bookmarkStart w:id="282" w:name="_Toc11854"/>
      <w:r>
        <w:t>总结</w:t>
      </w:r>
      <w:bookmarkEnd w:id="279"/>
      <w:bookmarkEnd w:id="280"/>
      <w:bookmarkEnd w:id="281"/>
      <w:bookmarkEnd w:id="282"/>
    </w:p>
    <w:p w14:paraId="699B34F9">
      <w:pPr>
        <w:pStyle w:val="13"/>
        <w:spacing w:before="0" w:after="0"/>
        <w:ind w:firstLine="480"/>
        <w:sectPr>
          <w:headerReference r:id="rId5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81" w:charSpace="0"/>
        </w:sectPr>
      </w:pPr>
      <w:r>
        <w:t>根据本次工作进行总结</w:t>
      </w:r>
    </w:p>
    <w:p w14:paraId="024C1D49">
      <w:pPr>
        <w:pStyle w:val="13"/>
        <w:widowControl/>
        <w:spacing w:before="0" w:after="0"/>
        <w:ind w:firstLine="482"/>
        <w:rPr>
          <w:rStyle w:val="26"/>
          <w:rFonts w:ascii="Times New Roman" w:hAnsi="Times New Roman" w:eastAsia="宋体"/>
          <w:sz w:val="24"/>
        </w:rPr>
      </w:pPr>
      <w:bookmarkStart w:id="283" w:name="_Toc17028"/>
      <w:bookmarkStart w:id="284" w:name="_Toc27155"/>
      <w:bookmarkStart w:id="285" w:name="_Toc16909"/>
      <w:r>
        <w:rPr>
          <w:b/>
        </w:rPr>
        <w:t>12.11.</w:t>
      </w:r>
      <w:r>
        <w:rPr>
          <w:rStyle w:val="26"/>
          <w:rFonts w:ascii="Times New Roman" w:hAnsi="Times New Roman" w:eastAsia="宋体"/>
          <w:sz w:val="24"/>
        </w:rPr>
        <w:t>附件11：《供应商服务扣分确认单》</w:t>
      </w:r>
    </w:p>
    <w:bookmarkEnd w:id="283"/>
    <w:bookmarkEnd w:id="284"/>
    <w:bookmarkEnd w:id="285"/>
    <w:tbl>
      <w:tblPr>
        <w:tblStyle w:val="21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6853"/>
      </w:tblGrid>
      <w:tr w14:paraId="17D09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C316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供应商服务扣分确认单</w:t>
            </w:r>
          </w:p>
        </w:tc>
      </w:tr>
      <w:tr w14:paraId="2A424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3917A2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项目</w:t>
            </w:r>
          </w:p>
        </w:tc>
        <w:tc>
          <w:tcPr>
            <w:tcW w:w="40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5AC748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内容描述</w:t>
            </w:r>
          </w:p>
        </w:tc>
      </w:tr>
      <w:tr w14:paraId="1391A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4B147A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​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扣分事件现象</w:t>
            </w:r>
          </w:p>
        </w:tc>
        <w:tc>
          <w:tcPr>
            <w:tcW w:w="40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6BB82C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ascii="宋体" w:hAnsi="宋体" w:eastAsia="宋体" w:cs="宋体"/>
                <w:sz w:val="24"/>
              </w:rPr>
              <w:t>（描述具体问题，如：2026年X月X日，未按周期完成消杀作业，区域虫害超标）</w:t>
            </w:r>
          </w:p>
        </w:tc>
      </w:tr>
      <w:tr w14:paraId="1289B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559C9E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​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直接原因分析</w:t>
            </w:r>
          </w:p>
        </w:tc>
        <w:tc>
          <w:tcPr>
            <w:tcW w:w="40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7476F4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ascii="宋体" w:hAnsi="宋体" w:eastAsia="宋体" w:cs="宋体"/>
                <w:sz w:val="24"/>
              </w:rPr>
              <w:t>（由供应商填写，如：人员调配不足导致作业延误）</w:t>
            </w:r>
          </w:p>
        </w:tc>
      </w:tr>
      <w:tr w14:paraId="0D94B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4851A5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​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责任归属</w:t>
            </w:r>
          </w:p>
        </w:tc>
        <w:tc>
          <w:tcPr>
            <w:tcW w:w="40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7F4177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□供应商责任 </w:t>
            </w:r>
            <w:r>
              <w:rPr>
                <w:rStyle w:val="33"/>
                <w:rFonts w:hint="default" w:ascii="宋体" w:hAnsi="宋体" w:eastAsia="宋体" w:cs="宋体"/>
                <w:lang w:bidi="ar"/>
              </w:rPr>
              <w:t>□用户责任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 </w:t>
            </w:r>
            <w:r>
              <w:rPr>
                <w:rStyle w:val="33"/>
                <w:rFonts w:hint="default" w:ascii="宋体" w:hAnsi="宋体" w:eastAsia="宋体" w:cs="宋体"/>
                <w:lang w:bidi="ar"/>
              </w:rPr>
              <w:t>□双方责任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 </w:t>
            </w:r>
            <w:r>
              <w:rPr>
                <w:rStyle w:val="33"/>
                <w:rFonts w:hint="default" w:ascii="宋体" w:hAnsi="宋体" w:eastAsia="宋体" w:cs="宋体"/>
                <w:lang w:bidi="ar"/>
              </w:rPr>
              <w:t>□不可抗力</w:t>
            </w:r>
          </w:p>
        </w:tc>
      </w:tr>
      <w:tr w14:paraId="5D098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1C6C00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​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扣分依据条款</w:t>
            </w:r>
          </w:p>
        </w:tc>
        <w:tc>
          <w:tcPr>
            <w:tcW w:w="40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76595B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引用条款：____________________</w:t>
            </w:r>
            <w:r>
              <w:rPr>
                <w:rFonts w:ascii="宋体" w:hAnsi="宋体" w:eastAsia="宋体" w:cs="宋体"/>
                <w:sz w:val="24"/>
              </w:rPr>
              <w:t>（例：条款9.1-工期履约率）</w:t>
            </w:r>
          </w:p>
        </w:tc>
      </w:tr>
      <w:tr w14:paraId="4DCAF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50CBA2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​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违约计分</w:t>
            </w:r>
          </w:p>
        </w:tc>
        <w:tc>
          <w:tcPr>
            <w:tcW w:w="40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2F182E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扣______分（根据条款填写原始分值，如：2分）</w:t>
            </w:r>
          </w:p>
        </w:tc>
      </w:tr>
      <w:tr w14:paraId="75FDB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9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7F11CE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​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供应商确认意见</w:t>
            </w:r>
          </w:p>
        </w:tc>
        <w:tc>
          <w:tcPr>
            <w:tcW w:w="40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69261B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□同意扣分 </w:t>
            </w:r>
            <w:r>
              <w:rPr>
                <w:rStyle w:val="33"/>
                <w:rFonts w:hint="default" w:ascii="宋体" w:hAnsi="宋体" w:eastAsia="宋体" w:cs="宋体"/>
                <w:lang w:bidi="ar"/>
              </w:rPr>
              <w:t>□有异议（需附申诉说明）</w:t>
            </w:r>
          </w:p>
        </w:tc>
      </w:tr>
      <w:tr w14:paraId="2B57F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9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20BF0E06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40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5C89BE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签字：__________________ </w:t>
            </w:r>
            <w:r>
              <w:rPr>
                <w:rStyle w:val="33"/>
                <w:rFonts w:hint="default" w:ascii="宋体" w:hAnsi="宋体" w:eastAsia="宋体" w:cs="宋体"/>
                <w:lang w:bidi="ar"/>
              </w:rPr>
              <w:t>日期：__________________</w:t>
            </w:r>
          </w:p>
        </w:tc>
      </w:tr>
      <w:tr w14:paraId="2E8E3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68DF92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​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用户确认意见</w:t>
            </w:r>
          </w:p>
        </w:tc>
        <w:tc>
          <w:tcPr>
            <w:tcW w:w="40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63FE51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□确认有效 </w:t>
            </w:r>
            <w:r>
              <w:rPr>
                <w:rStyle w:val="33"/>
                <w:rFonts w:hint="default" w:ascii="宋体" w:hAnsi="宋体" w:eastAsia="宋体" w:cs="宋体"/>
                <w:lang w:bidi="ar"/>
              </w:rPr>
              <w:t>□需复核</w:t>
            </w:r>
          </w:p>
        </w:tc>
      </w:tr>
      <w:tr w14:paraId="2270D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204E2D33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40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FCFC"/>
            <w:vAlign w:val="center"/>
          </w:tcPr>
          <w:p w14:paraId="7228CD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签字：__________________ </w:t>
            </w:r>
            <w:r>
              <w:rPr>
                <w:rStyle w:val="33"/>
                <w:rFonts w:hint="default" w:ascii="宋体" w:hAnsi="宋体" w:eastAsia="宋体" w:cs="宋体"/>
                <w:lang w:bidi="ar"/>
              </w:rPr>
              <w:t>日期：__________________</w:t>
            </w:r>
          </w:p>
        </w:tc>
      </w:tr>
    </w:tbl>
    <w:p w14:paraId="5D5FED74">
      <w:pPr>
        <w:spacing w:line="360" w:lineRule="auto"/>
        <w:rPr>
          <w:sz w:val="24"/>
        </w:rPr>
      </w:pPr>
      <w:bookmarkStart w:id="286" w:name="page1"/>
      <w:bookmarkEnd w:id="28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434E0">
    <w:pPr>
      <w:pStyle w:val="1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DC4738">
                          <w:pPr>
                            <w:pStyle w:val="1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DC4738">
                    <w:pPr>
                      <w:pStyle w:val="1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6CF20">
    <w:pPr>
      <w:pStyle w:val="16"/>
      <w:ind w:firstLine="31680"/>
      <w:jc w:val="left"/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3586480" cy="1022350"/>
              <wp:effectExtent l="0" t="990600" r="0" b="1054100"/>
              <wp:wrapNone/>
              <wp:docPr id="925145262" name="WordArt 10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 noChangeShapeType="1" noTextEdit="1"/>
                    </wps:cNvSpPr>
                    <wps:spPr bwMode="auto">
                      <a:xfrm rot="-2700000">
                        <a:off x="0" y="0"/>
                        <a:ext cx="3586480" cy="1022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1876D0">
                          <w:pPr>
                            <w:jc w:val="center"/>
                            <w:rPr>
                              <w:rFonts w:hint="eastAsia" w:ascii="仿宋" w:hAnsi="仿宋" w:eastAsia="仿宋"/>
                              <w:color w:val="A6A6A6"/>
                              <w:kern w:val="0"/>
                              <w:sz w:val="160"/>
                              <w:szCs w:val="160"/>
                              <w14:textFill>
                                <w14:solidFill>
                                  <w14:srgbClr w14:val="A6A6A6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仿宋" w:hAnsi="仿宋" w:eastAsia="仿宋"/>
                              <w:color w:val="A6A6A6"/>
                              <w:sz w:val="160"/>
                              <w:szCs w:val="160"/>
                              <w14:textFill>
                                <w14:solidFill>
                                  <w14:srgbClr w14:val="A6A6A6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宝信数据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WordArt 1025" o:spid="_x0000_s1026" o:spt="202" type="#_x0000_t202" style="position:absolute;left:0pt;height:80.5pt;width:282.4pt;mso-position-horizontal:center;mso-position-horizontal-relative:margin;mso-position-vertical:center;mso-position-vertical-relative:margin;rotation:-2949120f;z-index:-251656192;mso-width-relative:page;mso-height-relative:page;" filled="f" stroked="f" coordsize="21600,21600" o:gfxdata="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Dr20&#10;gdQAAAAFAQAADwAAAAAAAAABACAAAAAiAAAAZHJzL2Rvd25yZXYueG1sUEsBAhQAFAAAAAgAh07i&#10;QB0HVe8mAgAAVQQAAA4AAAAAAAAAAQAgAAAAIwEAAGRycy9lMm9Eb2MueG1sUEsFBgAAAAAGAAYA&#10;WQEAALsFAAAAAA==&#10;" adj="10800">
              <v:fill on="f" focussize="0,0"/>
              <v:stroke on="f"/>
              <v:imagedata o:title=""/>
              <o:lock v:ext="edit" text="t" aspectratio="t"/>
              <v:textbox style="mso-fit-shape-to-text:t;">
                <w:txbxContent>
                  <w:p w14:paraId="0E1876D0">
                    <w:pPr>
                      <w:jc w:val="center"/>
                      <w:rPr>
                        <w:rFonts w:hint="eastAsia" w:ascii="仿宋" w:hAnsi="仿宋" w:eastAsia="仿宋"/>
                        <w:color w:val="A6A6A6"/>
                        <w:kern w:val="0"/>
                        <w:sz w:val="160"/>
                        <w:szCs w:val="160"/>
                        <w14:textFill>
                          <w14:solidFill>
                            <w14:srgbClr w14:val="A6A6A6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hint="eastAsia" w:ascii="仿宋" w:hAnsi="仿宋" w:eastAsia="仿宋"/>
                        <w:color w:val="A6A6A6"/>
                        <w:sz w:val="160"/>
                        <w:szCs w:val="160"/>
                        <w14:textFill>
                          <w14:solidFill>
                            <w14:srgbClr w14:val="A6A6A6">
                              <w14:alpha w14:val="50000"/>
                            </w14:srgbClr>
                          </w14:solidFill>
                        </w14:textFill>
                      </w:rPr>
                      <w:t>宝信数据</w:t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095375" cy="295275"/>
          <wp:effectExtent l="0" t="0" r="1905" b="1905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DEE2A">
    <w:pPr>
      <w:pStyle w:val="16"/>
      <w:ind w:firstLine="31680"/>
      <w:jc w:val="left"/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3586480" cy="1022350"/>
              <wp:effectExtent l="0" t="990600" r="0" b="1054100"/>
              <wp:wrapNone/>
              <wp:docPr id="1431189534" name="WordArt 10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 noChangeShapeType="1" noTextEdit="1"/>
                    </wps:cNvSpPr>
                    <wps:spPr bwMode="auto">
                      <a:xfrm rot="-2700000">
                        <a:off x="0" y="0"/>
                        <a:ext cx="3586480" cy="1022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4824D7">
                          <w:pPr>
                            <w:jc w:val="center"/>
                            <w:rPr>
                              <w:rFonts w:hint="eastAsia" w:ascii="仿宋" w:hAnsi="仿宋" w:eastAsia="仿宋"/>
                              <w:color w:val="A6A6A6"/>
                              <w:kern w:val="0"/>
                              <w:sz w:val="160"/>
                              <w:szCs w:val="160"/>
                              <w14:textFill>
                                <w14:solidFill>
                                  <w14:srgbClr w14:val="A6A6A6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仿宋" w:hAnsi="仿宋" w:eastAsia="仿宋"/>
                              <w:color w:val="A6A6A6"/>
                              <w:sz w:val="160"/>
                              <w:szCs w:val="160"/>
                              <w14:textFill>
                                <w14:solidFill>
                                  <w14:srgbClr w14:val="A6A6A6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宝信数据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WordArt 1026" o:spid="_x0000_s1026" o:spt="202" type="#_x0000_t202" style="position:absolute;left:0pt;height:80.5pt;width:282.4pt;mso-position-horizontal:center;mso-position-horizontal-relative:margin;mso-position-vertical:center;mso-position-vertical-relative:margin;rotation:-2949120f;z-index:-251655168;mso-width-relative:page;mso-height-relative:page;" filled="f" stroked="f" coordsize="21600,21600" o:gfxdata="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69&#10;tIHUAAAABQEAAA8AAAAAAAAAAQAgAAAAIgAAAGRycy9kb3ducmV2LnhtbFBLAQIUABQAAAAIAIdO&#10;4kB6DcrAJwIAAFYEAAAOAAAAAAAAAAEAIAAAACMBAABkcnMvZTJvRG9jLnhtbFBLBQYAAAAABgAG&#10;AFkBAAC8BQAAAAA=&#10;" adj="10800">
              <v:fill on="f" focussize="0,0"/>
              <v:stroke on="f"/>
              <v:imagedata o:title=""/>
              <o:lock v:ext="edit" text="t" aspectratio="t"/>
              <v:textbox style="mso-fit-shape-to-text:t;">
                <w:txbxContent>
                  <w:p w14:paraId="294824D7">
                    <w:pPr>
                      <w:jc w:val="center"/>
                      <w:rPr>
                        <w:rFonts w:hint="eastAsia" w:ascii="仿宋" w:hAnsi="仿宋" w:eastAsia="仿宋"/>
                        <w:color w:val="A6A6A6"/>
                        <w:kern w:val="0"/>
                        <w:sz w:val="160"/>
                        <w:szCs w:val="160"/>
                        <w14:textFill>
                          <w14:solidFill>
                            <w14:srgbClr w14:val="A6A6A6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hint="eastAsia" w:ascii="仿宋" w:hAnsi="仿宋" w:eastAsia="仿宋"/>
                        <w:color w:val="A6A6A6"/>
                        <w:sz w:val="160"/>
                        <w:szCs w:val="160"/>
                        <w14:textFill>
                          <w14:solidFill>
                            <w14:srgbClr w14:val="A6A6A6">
                              <w14:alpha w14:val="50000"/>
                            </w14:srgbClr>
                          </w14:solidFill>
                        </w14:textFill>
                      </w:rPr>
                      <w:t>宝信数据</w:t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095375" cy="295275"/>
          <wp:effectExtent l="0" t="0" r="1905" b="1905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C79B2"/>
    <w:multiLevelType w:val="singleLevel"/>
    <w:tmpl w:val="80EC79B2"/>
    <w:lvl w:ilvl="0" w:tentative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</w:abstractNum>
  <w:abstractNum w:abstractNumId="1">
    <w:nsid w:val="8E904CC7"/>
    <w:multiLevelType w:val="singleLevel"/>
    <w:tmpl w:val="8E904CC7"/>
    <w:lvl w:ilvl="0" w:tentative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</w:abstractNum>
  <w:abstractNum w:abstractNumId="2">
    <w:nsid w:val="9D160BA6"/>
    <w:multiLevelType w:val="singleLevel"/>
    <w:tmpl w:val="9D160BA6"/>
    <w:lvl w:ilvl="0" w:tentative="0">
      <w:start w:val="1"/>
      <w:numFmt w:val="decimal"/>
      <w:suff w:val="space"/>
      <w:lvlText w:val="7.4.%1."/>
      <w:lvlJc w:val="left"/>
      <w:pPr>
        <w:ind w:left="0" w:firstLine="480"/>
      </w:pPr>
      <w:rPr>
        <w:rFonts w:hint="default"/>
      </w:rPr>
    </w:lvl>
  </w:abstractNum>
  <w:abstractNum w:abstractNumId="3">
    <w:nsid w:val="A12D6572"/>
    <w:multiLevelType w:val="singleLevel"/>
    <w:tmpl w:val="A12D6572"/>
    <w:lvl w:ilvl="0" w:tentative="0">
      <w:start w:val="1"/>
      <w:numFmt w:val="decimal"/>
      <w:suff w:val="space"/>
      <w:lvlText w:val="11.%1."/>
      <w:lvlJc w:val="left"/>
      <w:pPr>
        <w:ind w:left="0" w:firstLine="0"/>
      </w:pPr>
      <w:rPr>
        <w:rFonts w:hint="default"/>
      </w:rPr>
    </w:lvl>
  </w:abstractNum>
  <w:abstractNum w:abstractNumId="4">
    <w:nsid w:val="C0A43096"/>
    <w:multiLevelType w:val="singleLevel"/>
    <w:tmpl w:val="C0A43096"/>
    <w:lvl w:ilvl="0" w:tentative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</w:abstractNum>
  <w:abstractNum w:abstractNumId="5">
    <w:nsid w:val="C2C71527"/>
    <w:multiLevelType w:val="singleLevel"/>
    <w:tmpl w:val="C2C71527"/>
    <w:lvl w:ilvl="0" w:tentative="0">
      <w:start w:val="1"/>
      <w:numFmt w:val="decimal"/>
      <w:suff w:val="space"/>
      <w:lvlText w:val="3.1.%1"/>
      <w:lvlJc w:val="left"/>
      <w:pPr>
        <w:ind w:left="0" w:firstLine="480"/>
      </w:pPr>
      <w:rPr>
        <w:rFonts w:hint="default"/>
      </w:rPr>
    </w:lvl>
  </w:abstractNum>
  <w:abstractNum w:abstractNumId="6">
    <w:nsid w:val="D1DCCAEF"/>
    <w:multiLevelType w:val="singleLevel"/>
    <w:tmpl w:val="D1DCCAEF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7">
    <w:nsid w:val="D9BD74CD"/>
    <w:multiLevelType w:val="singleLevel"/>
    <w:tmpl w:val="D9BD74CD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8">
    <w:nsid w:val="DCD1DF90"/>
    <w:multiLevelType w:val="singleLevel"/>
    <w:tmpl w:val="DCD1DF90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9">
    <w:nsid w:val="E268A1DE"/>
    <w:multiLevelType w:val="singleLevel"/>
    <w:tmpl w:val="E268A1DE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0">
    <w:nsid w:val="E9A0B5BD"/>
    <w:multiLevelType w:val="singleLevel"/>
    <w:tmpl w:val="E9A0B5BD"/>
    <w:lvl w:ilvl="0" w:tentative="0">
      <w:start w:val="1"/>
      <w:numFmt w:val="decimal"/>
      <w:suff w:val="space"/>
      <w:lvlText w:val="9.%1."/>
      <w:lvlJc w:val="left"/>
      <w:pPr>
        <w:ind w:left="0" w:firstLine="0"/>
      </w:pPr>
      <w:rPr>
        <w:rFonts w:hint="default"/>
      </w:rPr>
    </w:lvl>
  </w:abstractNum>
  <w:abstractNum w:abstractNumId="11">
    <w:nsid w:val="EF02505D"/>
    <w:multiLevelType w:val="singleLevel"/>
    <w:tmpl w:val="EF02505D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2">
    <w:nsid w:val="F64D25ED"/>
    <w:multiLevelType w:val="singleLevel"/>
    <w:tmpl w:val="F64D25ED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3">
    <w:nsid w:val="F9F443B0"/>
    <w:multiLevelType w:val="singleLevel"/>
    <w:tmpl w:val="F9F443B0"/>
    <w:lvl w:ilvl="0" w:tentative="0">
      <w:start w:val="1"/>
      <w:numFmt w:val="decimal"/>
      <w:suff w:val="space"/>
      <w:lvlText w:val="10.%1."/>
      <w:lvlJc w:val="left"/>
      <w:pPr>
        <w:ind w:left="0" w:firstLine="0"/>
      </w:pPr>
      <w:rPr>
        <w:rFonts w:hint="default"/>
      </w:rPr>
    </w:lvl>
  </w:abstractNum>
  <w:abstractNum w:abstractNumId="14">
    <w:nsid w:val="0C4A7B01"/>
    <w:multiLevelType w:val="singleLevel"/>
    <w:tmpl w:val="0C4A7B01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5">
    <w:nsid w:val="144EFC4B"/>
    <w:multiLevelType w:val="singleLevel"/>
    <w:tmpl w:val="144EFC4B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6">
    <w:nsid w:val="14DAE37E"/>
    <w:multiLevelType w:val="singleLevel"/>
    <w:tmpl w:val="14DAE37E"/>
    <w:lvl w:ilvl="0" w:tentative="0">
      <w:start w:val="1"/>
      <w:numFmt w:val="decimal"/>
      <w:suff w:val="space"/>
      <w:lvlText w:val="2.1.%1"/>
      <w:lvlJc w:val="left"/>
      <w:pPr>
        <w:ind w:left="0" w:firstLine="0"/>
      </w:pPr>
      <w:rPr>
        <w:rFonts w:hint="default"/>
      </w:rPr>
    </w:lvl>
  </w:abstractNum>
  <w:abstractNum w:abstractNumId="17">
    <w:nsid w:val="16BC1FAC"/>
    <w:multiLevelType w:val="singleLevel"/>
    <w:tmpl w:val="16BC1FAC"/>
    <w:lvl w:ilvl="0" w:tentative="0">
      <w:start w:val="1"/>
      <w:numFmt w:val="decimal"/>
      <w:suff w:val="space"/>
      <w:lvlText w:val="11.1.%1."/>
      <w:lvlJc w:val="left"/>
      <w:pPr>
        <w:ind w:left="0" w:firstLine="0"/>
      </w:pPr>
      <w:rPr>
        <w:rFonts w:hint="default"/>
      </w:rPr>
    </w:lvl>
  </w:abstractNum>
  <w:abstractNum w:abstractNumId="18">
    <w:nsid w:val="31A91FD2"/>
    <w:multiLevelType w:val="singleLevel"/>
    <w:tmpl w:val="31A91FD2"/>
    <w:lvl w:ilvl="0" w:tentative="0">
      <w:start w:val="1"/>
      <w:numFmt w:val="decimal"/>
      <w:suff w:val="space"/>
      <w:lvlText w:val="12.%1."/>
      <w:lvlJc w:val="left"/>
      <w:pPr>
        <w:ind w:left="0" w:firstLine="0"/>
      </w:pPr>
      <w:rPr>
        <w:rFonts w:hint="default"/>
      </w:rPr>
    </w:lvl>
  </w:abstractNum>
  <w:abstractNum w:abstractNumId="19">
    <w:nsid w:val="4E4A95DA"/>
    <w:multiLevelType w:val="singleLevel"/>
    <w:tmpl w:val="4E4A95DA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0">
    <w:nsid w:val="55CFEF02"/>
    <w:multiLevelType w:val="singleLevel"/>
    <w:tmpl w:val="55CFEF02"/>
    <w:lvl w:ilvl="0" w:tentative="0">
      <w:start w:val="1"/>
      <w:numFmt w:val="decimal"/>
      <w:suff w:val="nothing"/>
      <w:lvlText w:val="（%1）"/>
      <w:lvlJc w:val="left"/>
      <w:pPr>
        <w:ind w:left="0" w:firstLine="480"/>
      </w:pPr>
      <w:rPr>
        <w:rFonts w:hint="default"/>
      </w:rPr>
    </w:lvl>
  </w:abstractNum>
  <w:abstractNum w:abstractNumId="21">
    <w:nsid w:val="56297CB7"/>
    <w:multiLevelType w:val="singleLevel"/>
    <w:tmpl w:val="56297CB7"/>
    <w:lvl w:ilvl="0" w:tentative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</w:abstractNum>
  <w:abstractNum w:abstractNumId="22">
    <w:nsid w:val="59109294"/>
    <w:multiLevelType w:val="multilevel"/>
    <w:tmpl w:val="59109294"/>
    <w:lvl w:ilvl="0" w:tentative="0">
      <w:start w:val="1"/>
      <w:numFmt w:val="upperLetter"/>
      <w:pStyle w:val="32"/>
      <w:suff w:val="nothing"/>
      <w:lvlText w:val="附录%1"/>
      <w:lvlJc w:val="left"/>
      <w:pPr>
        <w:ind w:left="4111"/>
      </w:pPr>
      <w:rPr>
        <w:rFonts w:cs="Times New Roman"/>
      </w:rPr>
    </w:lvl>
    <w:lvl w:ilvl="1" w:tentative="0">
      <w:start w:val="1"/>
      <w:numFmt w:val="decimal"/>
      <w:suff w:val="nothing"/>
      <w:lvlText w:val="%1.%2  "/>
      <w:lvlJc w:val="left"/>
      <w:rPr>
        <w:rFonts w:cs="Times New Roman"/>
      </w:rPr>
    </w:lvl>
    <w:lvl w:ilvl="2" w:tentative="0">
      <w:start w:val="1"/>
      <w:numFmt w:val="decimal"/>
      <w:suff w:val="nothing"/>
      <w:lvlText w:val="%1.%2.%3  "/>
      <w:lvlJc w:val="left"/>
      <w:rPr>
        <w:rFonts w:cs="Times New Roman"/>
      </w:rPr>
    </w:lvl>
    <w:lvl w:ilvl="3" w:tentative="0">
      <w:start w:val="1"/>
      <w:numFmt w:val="decimal"/>
      <w:suff w:val="nothing"/>
      <w:lvlText w:val="%1.%2.%3.%4  "/>
      <w:lvlJc w:val="left"/>
      <w:rPr>
        <w:rFonts w:cs="Times New Roman"/>
      </w:rPr>
    </w:lvl>
    <w:lvl w:ilvl="4" w:tentative="0">
      <w:start w:val="1"/>
      <w:numFmt w:val="decimal"/>
      <w:suff w:val="nothing"/>
      <w:lvlText w:val="%1.%2.%3.%4.%5  "/>
      <w:lvlJc w:val="left"/>
      <w:rPr>
        <w:rFonts w:cs="Times New Roman"/>
      </w:rPr>
    </w:lvl>
    <w:lvl w:ilvl="5" w:tentative="0">
      <w:start w:val="1"/>
      <w:numFmt w:val="decimal"/>
      <w:suff w:val="nothing"/>
      <w:lvlText w:val="%1.%2.%3.%4.%5.%6  "/>
      <w:lvlJc w:val="left"/>
      <w:rPr>
        <w:rFonts w:cs="Times New Roman"/>
      </w:rPr>
    </w:lvl>
    <w:lvl w:ilvl="6" w:tentative="0">
      <w:start w:val="1"/>
      <w:numFmt w:val="none"/>
      <w:suff w:val="nothing"/>
      <w:lvlText w:val=""/>
      <w:lvlJc w:val="left"/>
      <w:rPr>
        <w:rFonts w:cs="Times New Roman"/>
      </w:rPr>
    </w:lvl>
    <w:lvl w:ilvl="7" w:tentative="0">
      <w:start w:val="1"/>
      <w:numFmt w:val="none"/>
      <w:suff w:val="nothing"/>
      <w:lvlText w:val=""/>
      <w:lvlJc w:val="left"/>
      <w:rPr>
        <w:rFonts w:cs="Times New Roman"/>
      </w:rPr>
    </w:lvl>
    <w:lvl w:ilvl="8" w:tentative="0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3">
    <w:nsid w:val="6E47B386"/>
    <w:multiLevelType w:val="singleLevel"/>
    <w:tmpl w:val="6E47B386"/>
    <w:lvl w:ilvl="0" w:tentative="0">
      <w:start w:val="1"/>
      <w:numFmt w:val="decimal"/>
      <w:suff w:val="space"/>
      <w:lvlText w:val="11.2.%1."/>
      <w:lvlJc w:val="left"/>
      <w:pPr>
        <w:ind w:left="0" w:firstLine="0"/>
      </w:pPr>
      <w:rPr>
        <w:rFonts w:hint="default"/>
      </w:rPr>
    </w:lvl>
  </w:abstractNum>
  <w:num w:numId="1">
    <w:abstractNumId w:val="22"/>
  </w:num>
  <w:num w:numId="2">
    <w:abstractNumId w:val="9"/>
  </w:num>
  <w:num w:numId="3">
    <w:abstractNumId w:val="4"/>
  </w:num>
  <w:num w:numId="4">
    <w:abstractNumId w:val="20"/>
  </w:num>
  <w:num w:numId="5">
    <w:abstractNumId w:val="0"/>
  </w:num>
  <w:num w:numId="6">
    <w:abstractNumId w:val="14"/>
  </w:num>
  <w:num w:numId="7">
    <w:abstractNumId w:val="21"/>
  </w:num>
  <w:num w:numId="8">
    <w:abstractNumId w:val="6"/>
  </w:num>
  <w:num w:numId="9">
    <w:abstractNumId w:val="2"/>
  </w:num>
  <w:num w:numId="10">
    <w:abstractNumId w:val="7"/>
  </w:num>
  <w:num w:numId="11">
    <w:abstractNumId w:val="8"/>
  </w:num>
  <w:num w:numId="12">
    <w:abstractNumId w:val="12"/>
  </w:num>
  <w:num w:numId="13">
    <w:abstractNumId w:val="10"/>
  </w:num>
  <w:num w:numId="14">
    <w:abstractNumId w:val="13"/>
  </w:num>
  <w:num w:numId="15">
    <w:abstractNumId w:val="19"/>
  </w:num>
  <w:num w:numId="16">
    <w:abstractNumId w:val="3"/>
  </w:num>
  <w:num w:numId="17">
    <w:abstractNumId w:val="17"/>
  </w:num>
  <w:num w:numId="18">
    <w:abstractNumId w:val="23"/>
  </w:num>
  <w:num w:numId="19">
    <w:abstractNumId w:val="18"/>
  </w:num>
  <w:num w:numId="20">
    <w:abstractNumId w:val="15"/>
  </w:num>
  <w:num w:numId="21">
    <w:abstractNumId w:val="11"/>
  </w:num>
  <w:num w:numId="22">
    <w:abstractNumId w:val="16"/>
  </w:num>
  <w:num w:numId="23">
    <w:abstractNumId w:val="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A1"/>
    <w:rsid w:val="0010440E"/>
    <w:rsid w:val="001343DF"/>
    <w:rsid w:val="001771B3"/>
    <w:rsid w:val="003A269A"/>
    <w:rsid w:val="005532A1"/>
    <w:rsid w:val="0066575A"/>
    <w:rsid w:val="007D4CB9"/>
    <w:rsid w:val="00891C34"/>
    <w:rsid w:val="008D1412"/>
    <w:rsid w:val="00927CB9"/>
    <w:rsid w:val="00AB26AC"/>
    <w:rsid w:val="00B64D60"/>
    <w:rsid w:val="00BE4E15"/>
    <w:rsid w:val="00C10DFD"/>
    <w:rsid w:val="00C17C77"/>
    <w:rsid w:val="00C823C4"/>
    <w:rsid w:val="00F94849"/>
    <w:rsid w:val="01526B37"/>
    <w:rsid w:val="016F2229"/>
    <w:rsid w:val="019D4357"/>
    <w:rsid w:val="02BD75DA"/>
    <w:rsid w:val="02BF7C23"/>
    <w:rsid w:val="034D70AF"/>
    <w:rsid w:val="03F87613"/>
    <w:rsid w:val="04206073"/>
    <w:rsid w:val="04E76AA2"/>
    <w:rsid w:val="04F35F8D"/>
    <w:rsid w:val="057E2166"/>
    <w:rsid w:val="05BE46B8"/>
    <w:rsid w:val="05C14FF7"/>
    <w:rsid w:val="05E238E2"/>
    <w:rsid w:val="06084F90"/>
    <w:rsid w:val="06353185"/>
    <w:rsid w:val="06C733D3"/>
    <w:rsid w:val="06E12CB1"/>
    <w:rsid w:val="078B5EF9"/>
    <w:rsid w:val="07D83D46"/>
    <w:rsid w:val="07D93108"/>
    <w:rsid w:val="07EA5437"/>
    <w:rsid w:val="07FE2B6F"/>
    <w:rsid w:val="08780E95"/>
    <w:rsid w:val="088E5CA1"/>
    <w:rsid w:val="08B84E1E"/>
    <w:rsid w:val="08CF3D55"/>
    <w:rsid w:val="09637663"/>
    <w:rsid w:val="098F26A0"/>
    <w:rsid w:val="09B611AE"/>
    <w:rsid w:val="09CB4CD3"/>
    <w:rsid w:val="09CD1238"/>
    <w:rsid w:val="0A097EF4"/>
    <w:rsid w:val="0A590BFE"/>
    <w:rsid w:val="0B5E5DFE"/>
    <w:rsid w:val="0B772A1C"/>
    <w:rsid w:val="0B8B2716"/>
    <w:rsid w:val="0BB2382A"/>
    <w:rsid w:val="0BE273B5"/>
    <w:rsid w:val="0CA71B3E"/>
    <w:rsid w:val="0CDB34E0"/>
    <w:rsid w:val="0CFF53BF"/>
    <w:rsid w:val="0DD82A9D"/>
    <w:rsid w:val="0DDC3594"/>
    <w:rsid w:val="0DEA3870"/>
    <w:rsid w:val="0E2A1FC8"/>
    <w:rsid w:val="0E2F34D5"/>
    <w:rsid w:val="0EE26BA4"/>
    <w:rsid w:val="0F2E7896"/>
    <w:rsid w:val="0F427170"/>
    <w:rsid w:val="0F724E8D"/>
    <w:rsid w:val="0F8164CF"/>
    <w:rsid w:val="0FB6788B"/>
    <w:rsid w:val="101D52D3"/>
    <w:rsid w:val="102C70AE"/>
    <w:rsid w:val="10424004"/>
    <w:rsid w:val="10AF59BF"/>
    <w:rsid w:val="10B10992"/>
    <w:rsid w:val="116D2B1C"/>
    <w:rsid w:val="11F3162F"/>
    <w:rsid w:val="12452460"/>
    <w:rsid w:val="127525A0"/>
    <w:rsid w:val="132742A3"/>
    <w:rsid w:val="135C133F"/>
    <w:rsid w:val="140A39B3"/>
    <w:rsid w:val="1481715E"/>
    <w:rsid w:val="14B56F16"/>
    <w:rsid w:val="14E97063"/>
    <w:rsid w:val="150C2B62"/>
    <w:rsid w:val="157E4EF0"/>
    <w:rsid w:val="159A517C"/>
    <w:rsid w:val="1626576B"/>
    <w:rsid w:val="164C6A36"/>
    <w:rsid w:val="18225D35"/>
    <w:rsid w:val="18274C8C"/>
    <w:rsid w:val="183B7422"/>
    <w:rsid w:val="196B5D0C"/>
    <w:rsid w:val="1A002777"/>
    <w:rsid w:val="1A1B4EBB"/>
    <w:rsid w:val="1A294B27"/>
    <w:rsid w:val="1A436903"/>
    <w:rsid w:val="1A4A00BB"/>
    <w:rsid w:val="1AC71B91"/>
    <w:rsid w:val="1AC80DDC"/>
    <w:rsid w:val="1AD75D81"/>
    <w:rsid w:val="1ADB29F3"/>
    <w:rsid w:val="1AF6202E"/>
    <w:rsid w:val="1B5A7855"/>
    <w:rsid w:val="1B944F25"/>
    <w:rsid w:val="1BB35E3C"/>
    <w:rsid w:val="1BEE499C"/>
    <w:rsid w:val="1C170E68"/>
    <w:rsid w:val="1C996815"/>
    <w:rsid w:val="1CBE3B31"/>
    <w:rsid w:val="1D094482"/>
    <w:rsid w:val="1D104E5D"/>
    <w:rsid w:val="1DC553F5"/>
    <w:rsid w:val="1DD10C0A"/>
    <w:rsid w:val="1DD82762"/>
    <w:rsid w:val="1E115FB9"/>
    <w:rsid w:val="1E9A0EC4"/>
    <w:rsid w:val="1EA5569B"/>
    <w:rsid w:val="1EBD1F80"/>
    <w:rsid w:val="1ED8306E"/>
    <w:rsid w:val="1ED95569"/>
    <w:rsid w:val="1F7C464D"/>
    <w:rsid w:val="20292768"/>
    <w:rsid w:val="20324CAF"/>
    <w:rsid w:val="206B1296"/>
    <w:rsid w:val="20CE082F"/>
    <w:rsid w:val="21D51EED"/>
    <w:rsid w:val="23127F4A"/>
    <w:rsid w:val="235B5DC9"/>
    <w:rsid w:val="239301B8"/>
    <w:rsid w:val="24C53A3F"/>
    <w:rsid w:val="24DB1E16"/>
    <w:rsid w:val="254A7C77"/>
    <w:rsid w:val="255823FA"/>
    <w:rsid w:val="25C7239A"/>
    <w:rsid w:val="261D4255"/>
    <w:rsid w:val="262B7042"/>
    <w:rsid w:val="26533963"/>
    <w:rsid w:val="2694600C"/>
    <w:rsid w:val="26976211"/>
    <w:rsid w:val="26DB548C"/>
    <w:rsid w:val="26FB69D0"/>
    <w:rsid w:val="27A24E6D"/>
    <w:rsid w:val="27AA1FC1"/>
    <w:rsid w:val="27D03788"/>
    <w:rsid w:val="280067F2"/>
    <w:rsid w:val="283B77C3"/>
    <w:rsid w:val="286133E5"/>
    <w:rsid w:val="28AB3265"/>
    <w:rsid w:val="28AD59F3"/>
    <w:rsid w:val="291775D8"/>
    <w:rsid w:val="297C076C"/>
    <w:rsid w:val="29842A7C"/>
    <w:rsid w:val="29ED12E5"/>
    <w:rsid w:val="2A465F84"/>
    <w:rsid w:val="2AB96756"/>
    <w:rsid w:val="2AF1087B"/>
    <w:rsid w:val="2B065D73"/>
    <w:rsid w:val="2B2F07C6"/>
    <w:rsid w:val="2B772D87"/>
    <w:rsid w:val="2B876854"/>
    <w:rsid w:val="2B9E4240"/>
    <w:rsid w:val="2CA8035F"/>
    <w:rsid w:val="2CD91B09"/>
    <w:rsid w:val="2CDF1D27"/>
    <w:rsid w:val="2DF1427B"/>
    <w:rsid w:val="2E3C365C"/>
    <w:rsid w:val="2E5626D2"/>
    <w:rsid w:val="2E765221"/>
    <w:rsid w:val="2E980D78"/>
    <w:rsid w:val="2ED2315B"/>
    <w:rsid w:val="2EE77B38"/>
    <w:rsid w:val="2FB7052E"/>
    <w:rsid w:val="2FE263C7"/>
    <w:rsid w:val="2FFC1CFE"/>
    <w:rsid w:val="30170403"/>
    <w:rsid w:val="301B2A00"/>
    <w:rsid w:val="301B5DF3"/>
    <w:rsid w:val="302565AD"/>
    <w:rsid w:val="30516488"/>
    <w:rsid w:val="309D3EAB"/>
    <w:rsid w:val="30A90BD4"/>
    <w:rsid w:val="30EE459A"/>
    <w:rsid w:val="31222DDE"/>
    <w:rsid w:val="316037C3"/>
    <w:rsid w:val="319855B0"/>
    <w:rsid w:val="31BC19F6"/>
    <w:rsid w:val="31EF1B08"/>
    <w:rsid w:val="31F247BE"/>
    <w:rsid w:val="322777EB"/>
    <w:rsid w:val="32537490"/>
    <w:rsid w:val="325A081E"/>
    <w:rsid w:val="32C75788"/>
    <w:rsid w:val="333003A5"/>
    <w:rsid w:val="33432FFF"/>
    <w:rsid w:val="334A0F14"/>
    <w:rsid w:val="334C3330"/>
    <w:rsid w:val="33EF6D1B"/>
    <w:rsid w:val="34645984"/>
    <w:rsid w:val="34BB6546"/>
    <w:rsid w:val="34F67643"/>
    <w:rsid w:val="354632DC"/>
    <w:rsid w:val="35706CE1"/>
    <w:rsid w:val="362A0508"/>
    <w:rsid w:val="36D54201"/>
    <w:rsid w:val="373553B6"/>
    <w:rsid w:val="37791DAE"/>
    <w:rsid w:val="37AA509C"/>
    <w:rsid w:val="382303F0"/>
    <w:rsid w:val="39036FF8"/>
    <w:rsid w:val="391C622B"/>
    <w:rsid w:val="39566D83"/>
    <w:rsid w:val="39A96326"/>
    <w:rsid w:val="39C40C73"/>
    <w:rsid w:val="3A242116"/>
    <w:rsid w:val="3A8939B4"/>
    <w:rsid w:val="3B0D21A6"/>
    <w:rsid w:val="3B4F259A"/>
    <w:rsid w:val="3B7A5E12"/>
    <w:rsid w:val="3BA11691"/>
    <w:rsid w:val="3BF0572D"/>
    <w:rsid w:val="3C1122D3"/>
    <w:rsid w:val="3C7A1CEC"/>
    <w:rsid w:val="3CB12230"/>
    <w:rsid w:val="3D201FD9"/>
    <w:rsid w:val="3D675D24"/>
    <w:rsid w:val="3DF37D79"/>
    <w:rsid w:val="3E7A0131"/>
    <w:rsid w:val="3EE75A46"/>
    <w:rsid w:val="3EF407C2"/>
    <w:rsid w:val="3EFA51B9"/>
    <w:rsid w:val="3EFB6465"/>
    <w:rsid w:val="3F3B19D7"/>
    <w:rsid w:val="3F5716D6"/>
    <w:rsid w:val="3F751E4C"/>
    <w:rsid w:val="3F866FF8"/>
    <w:rsid w:val="3FA244ED"/>
    <w:rsid w:val="40C81062"/>
    <w:rsid w:val="40E13EB9"/>
    <w:rsid w:val="40E52904"/>
    <w:rsid w:val="411A39B3"/>
    <w:rsid w:val="412179FD"/>
    <w:rsid w:val="42075B30"/>
    <w:rsid w:val="420F175D"/>
    <w:rsid w:val="425858AE"/>
    <w:rsid w:val="426935E1"/>
    <w:rsid w:val="42811364"/>
    <w:rsid w:val="429A144F"/>
    <w:rsid w:val="42DD3EF2"/>
    <w:rsid w:val="42FD66BC"/>
    <w:rsid w:val="434D7F2B"/>
    <w:rsid w:val="436F1C50"/>
    <w:rsid w:val="438254A7"/>
    <w:rsid w:val="44103433"/>
    <w:rsid w:val="44514F2C"/>
    <w:rsid w:val="449A71A0"/>
    <w:rsid w:val="44A05B84"/>
    <w:rsid w:val="44F71EFD"/>
    <w:rsid w:val="45446D36"/>
    <w:rsid w:val="45BC60BF"/>
    <w:rsid w:val="45E577E8"/>
    <w:rsid w:val="45F27B6D"/>
    <w:rsid w:val="46946E71"/>
    <w:rsid w:val="46D74260"/>
    <w:rsid w:val="47576279"/>
    <w:rsid w:val="477F24F2"/>
    <w:rsid w:val="478733A3"/>
    <w:rsid w:val="47E73D7D"/>
    <w:rsid w:val="484B694F"/>
    <w:rsid w:val="48CA1757"/>
    <w:rsid w:val="48F76700"/>
    <w:rsid w:val="490C1CEF"/>
    <w:rsid w:val="49823034"/>
    <w:rsid w:val="49C75EDA"/>
    <w:rsid w:val="49DA5330"/>
    <w:rsid w:val="4A8F6E53"/>
    <w:rsid w:val="4AC45A5D"/>
    <w:rsid w:val="4B2650DB"/>
    <w:rsid w:val="4B50680B"/>
    <w:rsid w:val="4B5E7835"/>
    <w:rsid w:val="4B663938"/>
    <w:rsid w:val="4B722C56"/>
    <w:rsid w:val="4B862865"/>
    <w:rsid w:val="4BA84C56"/>
    <w:rsid w:val="4BE05146"/>
    <w:rsid w:val="4C0876BE"/>
    <w:rsid w:val="4C185198"/>
    <w:rsid w:val="4D007DBC"/>
    <w:rsid w:val="4D6E3665"/>
    <w:rsid w:val="4DA019ED"/>
    <w:rsid w:val="4DA203DC"/>
    <w:rsid w:val="4DAE15C6"/>
    <w:rsid w:val="4E076FD9"/>
    <w:rsid w:val="4E3C3076"/>
    <w:rsid w:val="4E6E48BD"/>
    <w:rsid w:val="4ED8188F"/>
    <w:rsid w:val="4F5F5B14"/>
    <w:rsid w:val="4F6D5D06"/>
    <w:rsid w:val="4FBE3C37"/>
    <w:rsid w:val="4FC504FB"/>
    <w:rsid w:val="4FC9426E"/>
    <w:rsid w:val="50936855"/>
    <w:rsid w:val="50A0431B"/>
    <w:rsid w:val="50B37B10"/>
    <w:rsid w:val="51B2246F"/>
    <w:rsid w:val="51C874E6"/>
    <w:rsid w:val="520D5CDF"/>
    <w:rsid w:val="525C7A2A"/>
    <w:rsid w:val="52635075"/>
    <w:rsid w:val="531279FF"/>
    <w:rsid w:val="53533D66"/>
    <w:rsid w:val="538C23AA"/>
    <w:rsid w:val="53EA5EC2"/>
    <w:rsid w:val="540006A2"/>
    <w:rsid w:val="540262EE"/>
    <w:rsid w:val="548C4C10"/>
    <w:rsid w:val="54BA246F"/>
    <w:rsid w:val="552503C0"/>
    <w:rsid w:val="562803B5"/>
    <w:rsid w:val="564E3386"/>
    <w:rsid w:val="56550951"/>
    <w:rsid w:val="56612DE5"/>
    <w:rsid w:val="56B342FE"/>
    <w:rsid w:val="570B748F"/>
    <w:rsid w:val="57842938"/>
    <w:rsid w:val="5784755C"/>
    <w:rsid w:val="57A51CF7"/>
    <w:rsid w:val="57E25758"/>
    <w:rsid w:val="585A4825"/>
    <w:rsid w:val="59764B18"/>
    <w:rsid w:val="5AB83D51"/>
    <w:rsid w:val="5B422C9E"/>
    <w:rsid w:val="5B457D55"/>
    <w:rsid w:val="5B4C25CE"/>
    <w:rsid w:val="5B7008CE"/>
    <w:rsid w:val="5BCB7DF5"/>
    <w:rsid w:val="5C366333"/>
    <w:rsid w:val="5C8D20C8"/>
    <w:rsid w:val="5C9B352D"/>
    <w:rsid w:val="5D4246D2"/>
    <w:rsid w:val="5DC36CD3"/>
    <w:rsid w:val="5E0019CA"/>
    <w:rsid w:val="5E426A52"/>
    <w:rsid w:val="5E736640"/>
    <w:rsid w:val="5E783C56"/>
    <w:rsid w:val="5EEE49D1"/>
    <w:rsid w:val="60295975"/>
    <w:rsid w:val="613227E3"/>
    <w:rsid w:val="614B6948"/>
    <w:rsid w:val="61991F55"/>
    <w:rsid w:val="6278072C"/>
    <w:rsid w:val="632A29AF"/>
    <w:rsid w:val="63836C76"/>
    <w:rsid w:val="64250B7E"/>
    <w:rsid w:val="642F125B"/>
    <w:rsid w:val="642F4DB7"/>
    <w:rsid w:val="6441276A"/>
    <w:rsid w:val="66092497"/>
    <w:rsid w:val="660B17D5"/>
    <w:rsid w:val="66BC7A77"/>
    <w:rsid w:val="66D460EA"/>
    <w:rsid w:val="677E7A3F"/>
    <w:rsid w:val="67884607"/>
    <w:rsid w:val="67B957D4"/>
    <w:rsid w:val="689F25C5"/>
    <w:rsid w:val="68A6006E"/>
    <w:rsid w:val="68E0027E"/>
    <w:rsid w:val="690906BC"/>
    <w:rsid w:val="69320E5F"/>
    <w:rsid w:val="6938737E"/>
    <w:rsid w:val="693C6A86"/>
    <w:rsid w:val="69845BA5"/>
    <w:rsid w:val="699A1BA3"/>
    <w:rsid w:val="69C41894"/>
    <w:rsid w:val="69EC54F9"/>
    <w:rsid w:val="69F3315C"/>
    <w:rsid w:val="6A4B221F"/>
    <w:rsid w:val="6A8F4BD2"/>
    <w:rsid w:val="6B4C26F3"/>
    <w:rsid w:val="6B7441D2"/>
    <w:rsid w:val="6BF608B1"/>
    <w:rsid w:val="6C054650"/>
    <w:rsid w:val="6C5D0D3B"/>
    <w:rsid w:val="6C8D2FC3"/>
    <w:rsid w:val="6CA818D1"/>
    <w:rsid w:val="6CE6043C"/>
    <w:rsid w:val="6CEC3296"/>
    <w:rsid w:val="6D3B451A"/>
    <w:rsid w:val="6D4B1D61"/>
    <w:rsid w:val="6D7B7422"/>
    <w:rsid w:val="6DCF5D50"/>
    <w:rsid w:val="6E3B37C2"/>
    <w:rsid w:val="6E5F7EEC"/>
    <w:rsid w:val="6ED928D7"/>
    <w:rsid w:val="6F3D4ABD"/>
    <w:rsid w:val="6F560E09"/>
    <w:rsid w:val="6F954251"/>
    <w:rsid w:val="6FC03863"/>
    <w:rsid w:val="701C61CB"/>
    <w:rsid w:val="705329CB"/>
    <w:rsid w:val="705F54E6"/>
    <w:rsid w:val="70657536"/>
    <w:rsid w:val="70C55533"/>
    <w:rsid w:val="713E19D3"/>
    <w:rsid w:val="715A66C0"/>
    <w:rsid w:val="71B21997"/>
    <w:rsid w:val="71DF72FF"/>
    <w:rsid w:val="722700CB"/>
    <w:rsid w:val="727D7636"/>
    <w:rsid w:val="72DE5DAF"/>
    <w:rsid w:val="73283C31"/>
    <w:rsid w:val="7339465D"/>
    <w:rsid w:val="73551E1F"/>
    <w:rsid w:val="739208F8"/>
    <w:rsid w:val="7394083A"/>
    <w:rsid w:val="73E3171A"/>
    <w:rsid w:val="73F8748F"/>
    <w:rsid w:val="745353C6"/>
    <w:rsid w:val="752B5CF5"/>
    <w:rsid w:val="752E1888"/>
    <w:rsid w:val="75513A71"/>
    <w:rsid w:val="759274A4"/>
    <w:rsid w:val="75B579DE"/>
    <w:rsid w:val="76180911"/>
    <w:rsid w:val="76A258BD"/>
    <w:rsid w:val="76DA5A0B"/>
    <w:rsid w:val="773E351C"/>
    <w:rsid w:val="774A0CCE"/>
    <w:rsid w:val="77796A2D"/>
    <w:rsid w:val="77B27C24"/>
    <w:rsid w:val="77B72694"/>
    <w:rsid w:val="77DA0221"/>
    <w:rsid w:val="79297BCF"/>
    <w:rsid w:val="795C61F7"/>
    <w:rsid w:val="7A4B2370"/>
    <w:rsid w:val="7A730B94"/>
    <w:rsid w:val="7A837E0B"/>
    <w:rsid w:val="7A9207F2"/>
    <w:rsid w:val="7AA86684"/>
    <w:rsid w:val="7AF75AAB"/>
    <w:rsid w:val="7BDD5E34"/>
    <w:rsid w:val="7C1942A5"/>
    <w:rsid w:val="7C816C71"/>
    <w:rsid w:val="7CA4136D"/>
    <w:rsid w:val="7CDE2E78"/>
    <w:rsid w:val="7CE21E76"/>
    <w:rsid w:val="7D290183"/>
    <w:rsid w:val="7D6040A1"/>
    <w:rsid w:val="7D74313D"/>
    <w:rsid w:val="7D887AB0"/>
    <w:rsid w:val="7DFB4BB9"/>
    <w:rsid w:val="7E237E27"/>
    <w:rsid w:val="7E5576D4"/>
    <w:rsid w:val="7E8D6DA4"/>
    <w:rsid w:val="7EB42631"/>
    <w:rsid w:val="7EC15089"/>
    <w:rsid w:val="7F0A2251"/>
    <w:rsid w:val="7F3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27"/>
    <w:qFormat/>
    <w:uiPriority w:val="99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val="en-US" w:eastAsia="zh-CN" w:bidi="ar-SA"/>
    </w:rPr>
  </w:style>
  <w:style w:type="paragraph" w:styleId="4">
    <w:name w:val="heading 3"/>
    <w:next w:val="5"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val="en-US" w:eastAsia="zh-CN" w:bidi="ar-SA"/>
    </w:rPr>
  </w:style>
  <w:style w:type="paragraph" w:styleId="6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val="en-US" w:eastAsia="zh-CN" w:bidi="ar-SA"/>
    </w:rPr>
  </w:style>
  <w:style w:type="paragraph" w:styleId="7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val="en-US" w:eastAsia="zh-CN" w:bidi="ar-SA"/>
    </w:rPr>
  </w:style>
  <w:style w:type="paragraph" w:styleId="8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val="en-US" w:eastAsia="zh-CN" w:bidi="ar-SA"/>
    </w:rPr>
  </w:style>
  <w:style w:type="paragraph" w:styleId="9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val="en-US" w:eastAsia="zh-CN" w:bidi="ar-SA"/>
    </w:rPr>
  </w:style>
  <w:style w:type="paragraph" w:styleId="10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val="en-US" w:eastAsia="zh-CN" w:bidi="ar-SA"/>
    </w:rPr>
  </w:style>
  <w:style w:type="paragraph" w:styleId="11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val="en-US" w:eastAsia="zh-CN" w:bidi="ar-SA"/>
    </w:rPr>
  </w:style>
  <w:style w:type="character" w:default="1" w:styleId="23">
    <w:name w:val="Default Paragraph Font"/>
    <w:semiHidden/>
    <w:unhideWhenUsed/>
    <w:uiPriority w:val="1"/>
  </w:style>
  <w:style w:type="table" w:default="1" w:styleId="2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99"/>
    <w:pPr>
      <w:ind w:firstLine="420"/>
    </w:pPr>
  </w:style>
  <w:style w:type="paragraph" w:styleId="12">
    <w:name w:val="annotation text"/>
    <w:basedOn w:val="1"/>
    <w:qFormat/>
    <w:uiPriority w:val="0"/>
    <w:pPr>
      <w:jc w:val="left"/>
    </w:pPr>
  </w:style>
  <w:style w:type="paragraph" w:styleId="13">
    <w:name w:val="Body Text"/>
    <w:qFormat/>
    <w:uiPriority w:val="0"/>
    <w:pPr>
      <w:widowControl w:val="0"/>
      <w:adjustRightInd w:val="0"/>
      <w:spacing w:before="100" w:after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14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15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paragraph" w:styleId="1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17">
    <w:name w:val="toc 1"/>
    <w:basedOn w:val="1"/>
    <w:next w:val="1"/>
    <w:qFormat/>
    <w:uiPriority w:val="39"/>
    <w:pPr>
      <w:ind w:firstLine="964" w:firstLineChars="200"/>
    </w:pPr>
  </w:style>
  <w:style w:type="paragraph" w:styleId="18">
    <w:name w:val="Sub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8"/>
      <w:sz w:val="32"/>
      <w:szCs w:val="24"/>
      <w:lang w:val="en-US" w:eastAsia="zh-CN" w:bidi="ar-SA"/>
    </w:rPr>
  </w:style>
  <w:style w:type="paragraph" w:styleId="19">
    <w:name w:val="toc 2"/>
    <w:basedOn w:val="1"/>
    <w:next w:val="1"/>
    <w:qFormat/>
    <w:uiPriority w:val="39"/>
    <w:pPr>
      <w:ind w:left="420" w:leftChars="200" w:firstLine="964" w:firstLineChars="200"/>
    </w:pPr>
    <w:rPr>
      <w:rFonts w:ascii="宋体" w:hAnsi="宋体" w:eastAsia="宋体" w:cs="宋体"/>
    </w:rPr>
  </w:style>
  <w:style w:type="paragraph" w:styleId="20">
    <w:name w:val="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"/>
      <w:sz w:val="36"/>
      <w:szCs w:val="24"/>
      <w:lang w:val="en-US" w:eastAsia="zh-CN" w:bidi="ar-SA"/>
    </w:rPr>
  </w:style>
  <w:style w:type="table" w:styleId="22">
    <w:name w:val="Table Grid"/>
    <w:basedOn w:val="21"/>
    <w:qFormat/>
    <w:uiPriority w:val="9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basedOn w:val="23"/>
    <w:qFormat/>
    <w:uiPriority w:val="0"/>
    <w:rPr>
      <w:b/>
    </w:rPr>
  </w:style>
  <w:style w:type="character" w:styleId="25">
    <w:name w:val="Hyperlink"/>
    <w:basedOn w:val="23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26">
    <w:name w:val="标题 2 字符"/>
    <w:qFormat/>
    <w:uiPriority w:val="0"/>
    <w:rPr>
      <w:rFonts w:ascii="Arial" w:hAnsi="Arial" w:eastAsia="黑体"/>
      <w:b/>
      <w:sz w:val="32"/>
    </w:rPr>
  </w:style>
  <w:style w:type="character" w:customStyle="1" w:styleId="27">
    <w:name w:val="标题 1 字符"/>
    <w:basedOn w:val="23"/>
    <w:link w:val="2"/>
    <w:qFormat/>
    <w:uiPriority w:val="0"/>
    <w:rPr>
      <w:rFonts w:ascii="Times New Roman" w:hAnsi="Times New Roman" w:eastAsia="黑体" w:cs="Times New Roman"/>
      <w:color w:val="000000"/>
      <w:kern w:val="44"/>
      <w:sz w:val="32"/>
      <w:szCs w:val="44"/>
    </w:rPr>
  </w:style>
  <w:style w:type="paragraph" w:customStyle="1" w:styleId="2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29">
    <w:name w:val="font21"/>
    <w:basedOn w:val="23"/>
    <w:qFormat/>
    <w:uiPriority w:val="0"/>
    <w:rPr>
      <w:rFonts w:ascii="Wingdings" w:hAnsi="Wingdings" w:cs="Wingdings"/>
      <w:color w:val="000000"/>
      <w:sz w:val="22"/>
      <w:szCs w:val="22"/>
      <w:u w:val="none"/>
    </w:rPr>
  </w:style>
  <w:style w:type="character" w:customStyle="1" w:styleId="30">
    <w:name w:val="font01"/>
    <w:basedOn w:val="23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31">
    <w:name w:val="标题 3 字符"/>
    <w:basedOn w:val="23"/>
    <w:qFormat/>
    <w:locked/>
    <w:uiPriority w:val="99"/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customStyle="1" w:styleId="32">
    <w:name w:val="编号-附录编号"/>
    <w:basedOn w:val="1"/>
    <w:qFormat/>
    <w:uiPriority w:val="99"/>
    <w:pPr>
      <w:numPr>
        <w:ilvl w:val="0"/>
        <w:numId w:val="1"/>
      </w:numPr>
      <w:jc w:val="center"/>
      <w:outlineLvl w:val="0"/>
    </w:pPr>
    <w:rPr>
      <w:rFonts w:ascii="Arial" w:hAnsi="Arial" w:eastAsia="黑体" w:cs="Times New Roman"/>
    </w:rPr>
  </w:style>
  <w:style w:type="character" w:customStyle="1" w:styleId="33">
    <w:name w:val="font31"/>
    <w:basedOn w:val="23"/>
    <w:qFormat/>
    <w:uiPriority w:val="0"/>
    <w:rPr>
      <w:rFonts w:hint="eastAsia" w:ascii="微软雅黑 Light" w:hAnsi="微软雅黑 Light" w:eastAsia="微软雅黑 Light" w:cs="微软雅黑 Light"/>
      <w:color w:val="000000"/>
      <w:sz w:val="21"/>
      <w:szCs w:val="21"/>
      <w:u w:val="none"/>
    </w:rPr>
  </w:style>
  <w:style w:type="character" w:customStyle="1" w:styleId="34">
    <w:name w:val="font11"/>
    <w:basedOn w:val="23"/>
    <w:qFormat/>
    <w:uiPriority w:val="0"/>
    <w:rPr>
      <w:rFonts w:hint="eastAsia" w:ascii="微软雅黑 Light" w:hAnsi="微软雅黑 Light" w:eastAsia="微软雅黑 Light" w:cs="微软雅黑 Light"/>
      <w:color w:val="000000"/>
      <w:sz w:val="22"/>
      <w:szCs w:val="22"/>
      <w:u w:val="none"/>
    </w:rPr>
  </w:style>
  <w:style w:type="character" w:customStyle="1" w:styleId="35">
    <w:name w:val="font41"/>
    <w:basedOn w:val="2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6">
    <w:name w:val="font51"/>
    <w:basedOn w:val="2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37">
    <w:name w:val="章标题"/>
    <w:next w:val="1"/>
    <w:qFormat/>
    <w:uiPriority w:val="0"/>
    <w:pPr>
      <w:widowControl w:val="0"/>
      <w:adjustRightInd w:val="0"/>
      <w:spacing w:before="100" w:after="10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6"/>
      <w:szCs w:val="44"/>
      <w:lang w:val="en-US" w:eastAsia="zh-CN" w:bidi="ar-SA"/>
    </w:rPr>
  </w:style>
  <w:style w:type="paragraph" w:customStyle="1" w:styleId="38">
    <w:name w:val="TOC 标题1"/>
    <w:basedOn w:val="2"/>
    <w:next w:val="1"/>
    <w:unhideWhenUsed/>
    <w:qFormat/>
    <w:uiPriority w:val="39"/>
    <w:pPr>
      <w:keepNext/>
      <w:keepLines/>
      <w:widowControl/>
      <w:adjustRightInd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color w:val="2E54A1" w:themeColor="accent1" w:themeShade="BF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939BEA-DA4D-4CEB-9135-2AD76B7EC0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5570</Words>
  <Characters>5914</Characters>
  <Lines>500</Lines>
  <Paragraphs>570</Paragraphs>
  <TotalTime>1</TotalTime>
  <ScaleCrop>false</ScaleCrop>
  <LinksUpToDate>false</LinksUpToDate>
  <CharactersWithSpaces>6064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2026-06-23T08:24:00Z</dcterms:created>
  <dc:creator>Administrator</dc:creator>
  <cp:lastModifiedBy>Fu</cp:lastModifiedBy>
  <dcterms:modified xsi:type="dcterms:W3CDTF">2026-08-03T06:43:25Z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eyJoZGlkIjoiZWViMDM2NDBiMWYyY2Y3NmY1MDQ5ZmQ1OTQ5ODIwY2QiLCJ1c2VySWQiOiIyNTMyMjk0MzUifQ==</vt:lpwstr>
  </property>
  <property fmtid="{D5CDD505-2E9C-101B-9397-08002B2CF9AE}" pid="4" name="ICV">
    <vt:lpwstr>2AFB2E84F5414D01A585B27314397531_12</vt:lpwstr>
  </property>
</Properties>
</file>