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1DAC93">
      <w:pPr>
        <w:spacing w:line="360" w:lineRule="auto"/>
        <w:jc w:val="center"/>
        <w:rPr>
          <w:rFonts w:hint="eastAsia" w:ascii="黑体" w:hAnsi="黑体" w:eastAsia="黑体" w:cs="黑体"/>
          <w:b/>
          <w:bCs/>
          <w:sz w:val="36"/>
          <w:szCs w:val="36"/>
        </w:rPr>
      </w:pPr>
    </w:p>
    <w:p w14:paraId="2B72590C">
      <w:pPr>
        <w:spacing w:line="360" w:lineRule="auto"/>
        <w:jc w:val="center"/>
        <w:rPr>
          <w:b/>
          <w:sz w:val="36"/>
          <w:szCs w:val="36"/>
        </w:rPr>
      </w:pPr>
      <w:r>
        <w:rPr>
          <w:rFonts w:hint="eastAsia" w:ascii="黑体" w:hAnsi="黑体" w:eastAsia="黑体" w:cs="黑体"/>
          <w:b/>
          <w:bCs/>
          <w:sz w:val="36"/>
          <w:szCs w:val="36"/>
        </w:rPr>
        <w:t>罗泾基地维保合同</w:t>
      </w:r>
    </w:p>
    <w:p w14:paraId="5CCEEC70">
      <w:pPr>
        <w:spacing w:line="360" w:lineRule="auto"/>
        <w:rPr>
          <w:sz w:val="18"/>
          <w:szCs w:val="18"/>
        </w:rPr>
      </w:pPr>
    </w:p>
    <w:p w14:paraId="09515EAE">
      <w:pPr>
        <w:spacing w:line="360" w:lineRule="auto"/>
      </w:pPr>
      <w:r>
        <w:rPr>
          <w:rFonts w:hint="eastAsia"/>
        </w:rPr>
        <w:t>甲方：</w:t>
      </w:r>
      <w:r>
        <w:rPr>
          <w:rFonts w:hint="eastAsia"/>
        </w:rPr>
        <w:tab/>
      </w:r>
      <w:r>
        <w:rPr>
          <w:rFonts w:hint="eastAsia"/>
          <w:u w:val="single"/>
        </w:rPr>
        <w:t xml:space="preserve"> 上海宝信数据中心有限公司</w:t>
      </w:r>
      <w:r>
        <w:rPr>
          <w:rFonts w:hint="eastAsia"/>
          <w:spacing w:val="40"/>
          <w:sz w:val="24"/>
          <w:u w:val="single"/>
        </w:rPr>
        <w:t xml:space="preserve"> </w:t>
      </w:r>
    </w:p>
    <w:p w14:paraId="11A9F276">
      <w:pPr>
        <w:spacing w:line="360" w:lineRule="auto"/>
      </w:pPr>
      <w:r>
        <w:rPr>
          <w:rFonts w:hint="eastAsia"/>
        </w:rPr>
        <w:t>乙方：</w:t>
      </w:r>
      <w:r>
        <w:rPr>
          <w:rFonts w:hint="eastAsia"/>
        </w:rPr>
        <w:tab/>
      </w:r>
      <w:r>
        <w:rPr>
          <w:rFonts w:hint="eastAsia"/>
          <w:u w:val="single"/>
        </w:rPr>
        <w:t xml:space="preserve">      </w:t>
      </w:r>
      <w:r>
        <w:rPr>
          <w:rFonts w:hint="eastAsia"/>
          <w:spacing w:val="40"/>
          <w:sz w:val="24"/>
          <w:u w:val="single"/>
        </w:rPr>
        <w:t xml:space="preserve"> </w:t>
      </w:r>
    </w:p>
    <w:p w14:paraId="3FC743A7">
      <w:pPr>
        <w:spacing w:line="360" w:lineRule="auto"/>
        <w:ind w:firstLine="430" w:firstLineChars="205"/>
      </w:pPr>
      <w:r>
        <w:rPr>
          <w:rFonts w:hint="eastAsia"/>
        </w:rPr>
        <w:t>乙方受甲方委托承揽甲方</w:t>
      </w:r>
      <w:r>
        <w:rPr>
          <w:rFonts w:hint="eastAsia"/>
          <w:u w:val="single"/>
          <w:lang w:val="en-US" w:eastAsia="zh-CN"/>
        </w:rPr>
        <w:t xml:space="preserve">         </w:t>
      </w:r>
      <w:r>
        <w:rPr>
          <w:rFonts w:hint="eastAsia"/>
        </w:rPr>
        <w:t>设备的技术支持和维护保养，以确保整个系统的稳定可靠运行。根据甲方有关要求，依据国家相关的法律、法规、综合本项目的具体情况，明确甲乙双方的权利和义务，经甲乙双方协商一致，特签定如下合同，共同履行。</w:t>
      </w:r>
    </w:p>
    <w:p w14:paraId="5A7B2CA4">
      <w:pPr>
        <w:spacing w:line="360" w:lineRule="auto"/>
        <w:ind w:firstLine="430" w:firstLineChars="205"/>
      </w:pPr>
    </w:p>
    <w:p w14:paraId="426C7AA7">
      <w:pPr>
        <w:numPr>
          <w:ilvl w:val="0"/>
          <w:numId w:val="3"/>
        </w:numPr>
        <w:tabs>
          <w:tab w:val="left" w:pos="936"/>
          <w:tab w:val="clear" w:pos="1050"/>
        </w:tabs>
        <w:spacing w:line="360" w:lineRule="auto"/>
        <w:ind w:left="956" w:hanging="956"/>
      </w:pPr>
      <w:r>
        <w:rPr>
          <w:rFonts w:hint="eastAsia"/>
          <w:b/>
          <w:bCs/>
        </w:rPr>
        <w:t>项目概况</w:t>
      </w:r>
    </w:p>
    <w:p w14:paraId="56AA21CC">
      <w:pPr>
        <w:numPr>
          <w:ilvl w:val="1"/>
          <w:numId w:val="4"/>
        </w:numPr>
        <w:spacing w:line="360" w:lineRule="auto"/>
      </w:pPr>
      <w:r>
        <w:rPr>
          <w:rFonts w:hint="eastAsia"/>
        </w:rPr>
        <w:t>项目名称：罗泾基地维保</w:t>
      </w:r>
    </w:p>
    <w:p w14:paraId="57DF73BD">
      <w:pPr>
        <w:numPr>
          <w:ilvl w:val="1"/>
          <w:numId w:val="4"/>
        </w:numPr>
        <w:spacing w:line="360" w:lineRule="auto"/>
        <w:rPr>
          <w:bCs/>
          <w:u w:val="single"/>
        </w:rPr>
      </w:pPr>
      <w:r>
        <w:rPr>
          <w:rFonts w:hint="eastAsia"/>
        </w:rPr>
        <w:t>项目地址：罗泾基地</w:t>
      </w:r>
    </w:p>
    <w:p w14:paraId="3267F154">
      <w:pPr>
        <w:numPr>
          <w:ilvl w:val="1"/>
          <w:numId w:val="4"/>
        </w:numPr>
        <w:spacing w:line="360" w:lineRule="auto"/>
        <w:rPr>
          <w:bCs/>
          <w:u w:val="single"/>
        </w:rPr>
      </w:pPr>
      <w:r>
        <w:rPr>
          <w:rFonts w:hint="eastAsia"/>
        </w:rPr>
        <w:t>服务范围：详见</w:t>
      </w:r>
      <w:r>
        <w:rPr>
          <w:rFonts w:hint="eastAsia"/>
          <w:lang w:eastAsia="zh-CN"/>
        </w:rPr>
        <w:t>《》</w:t>
      </w:r>
    </w:p>
    <w:p w14:paraId="58A1EAEC">
      <w:pPr>
        <w:numPr>
          <w:ilvl w:val="0"/>
          <w:numId w:val="3"/>
        </w:numPr>
        <w:tabs>
          <w:tab w:val="left" w:pos="946"/>
          <w:tab w:val="clear" w:pos="1050"/>
        </w:tabs>
        <w:spacing w:line="360" w:lineRule="auto"/>
        <w:ind w:left="946" w:hanging="946"/>
      </w:pPr>
      <w:r>
        <w:rPr>
          <w:rFonts w:hint="eastAsia"/>
          <w:b/>
          <w:bCs/>
        </w:rPr>
        <w:t>服务期限：</w:t>
      </w:r>
      <w:r>
        <w:rPr>
          <w:rFonts w:hint="eastAsia"/>
        </w:rPr>
        <w:t>自</w:t>
      </w:r>
      <w:r>
        <w:rPr>
          <w:rFonts w:hint="eastAsia"/>
          <w:u w:val="single"/>
        </w:rPr>
        <w:t xml:space="preserve"> 2026 </w:t>
      </w:r>
      <w:r>
        <w:rPr>
          <w:rFonts w:hint="eastAsia"/>
        </w:rPr>
        <w:t>年</w:t>
      </w:r>
      <w:r>
        <w:rPr>
          <w:rFonts w:hint="eastAsia"/>
          <w:u w:val="single"/>
        </w:rPr>
        <w:t xml:space="preserve"> 01 </w:t>
      </w:r>
      <w:r>
        <w:rPr>
          <w:rFonts w:hint="eastAsia"/>
        </w:rPr>
        <w:t>月</w:t>
      </w:r>
      <w:r>
        <w:rPr>
          <w:rFonts w:hint="eastAsia"/>
          <w:u w:val="single"/>
        </w:rPr>
        <w:t xml:space="preserve"> 01 </w:t>
      </w:r>
      <w:r>
        <w:rPr>
          <w:rFonts w:hint="eastAsia"/>
        </w:rPr>
        <w:t>日至</w:t>
      </w:r>
      <w:r>
        <w:rPr>
          <w:rFonts w:hint="eastAsia"/>
          <w:u w:val="single"/>
        </w:rPr>
        <w:t xml:space="preserve"> 2026</w:t>
      </w:r>
      <w:r>
        <w:rPr>
          <w:rFonts w:hint="eastAsia"/>
          <w:u w:val="single"/>
          <w:lang w:val="en-US" w:eastAsia="zh-CN"/>
        </w:rPr>
        <w:t xml:space="preserve"> </w:t>
      </w:r>
      <w:r>
        <w:rPr>
          <w:rFonts w:hint="eastAsia"/>
        </w:rPr>
        <w:t>年</w:t>
      </w:r>
      <w:r>
        <w:rPr>
          <w:rFonts w:hint="eastAsia"/>
          <w:u w:val="single"/>
        </w:rPr>
        <w:t xml:space="preserve"> 12 </w:t>
      </w:r>
      <w:r>
        <w:rPr>
          <w:rFonts w:hint="eastAsia"/>
        </w:rPr>
        <w:t>月</w:t>
      </w:r>
      <w:r>
        <w:rPr>
          <w:rFonts w:hint="eastAsia"/>
          <w:u w:val="single"/>
        </w:rPr>
        <w:t xml:space="preserve"> 31</w:t>
      </w:r>
      <w:r>
        <w:rPr>
          <w:rFonts w:hint="eastAsia"/>
          <w:u w:val="single"/>
          <w:lang w:val="en-US" w:eastAsia="zh-CN"/>
        </w:rPr>
        <w:t xml:space="preserve"> </w:t>
      </w:r>
      <w:r>
        <w:rPr>
          <w:rFonts w:hint="eastAsia"/>
        </w:rPr>
        <w:t>日止。</w:t>
      </w:r>
    </w:p>
    <w:p w14:paraId="56BE3D8B">
      <w:pPr>
        <w:numPr>
          <w:ilvl w:val="0"/>
          <w:numId w:val="3"/>
        </w:numPr>
        <w:tabs>
          <w:tab w:val="left" w:pos="936"/>
          <w:tab w:val="clear" w:pos="1050"/>
        </w:tabs>
        <w:spacing w:line="360" w:lineRule="auto"/>
        <w:ind w:left="946" w:hanging="946"/>
        <w:rPr>
          <w:b/>
          <w:bCs/>
        </w:rPr>
      </w:pPr>
      <w:r>
        <w:rPr>
          <w:rFonts w:hint="eastAsia"/>
          <w:b/>
          <w:bCs/>
        </w:rPr>
        <w:t>费用标准</w:t>
      </w:r>
    </w:p>
    <w:p w14:paraId="5B4BE738">
      <w:pPr>
        <w:spacing w:line="360" w:lineRule="auto"/>
        <w:ind w:firstLine="840" w:firstLineChars="300"/>
      </w:pPr>
      <w:r>
        <w:rPr>
          <w:rFonts w:hint="eastAsia" w:ascii="仿宋_GB2312" w:eastAsia="仿宋_GB2312"/>
          <w:sz w:val="28"/>
          <w:szCs w:val="28"/>
        </w:rPr>
        <w:t>□</w:t>
      </w:r>
      <w:r>
        <w:rPr>
          <w:rFonts w:hint="eastAsia"/>
        </w:rPr>
        <w:t>按国家或行业颁布的工程定额；</w:t>
      </w:r>
    </w:p>
    <w:p w14:paraId="09F23480">
      <w:pPr>
        <w:spacing w:line="360" w:lineRule="auto"/>
        <w:ind w:firstLine="840" w:firstLineChars="300"/>
      </w:pPr>
      <w:r>
        <w:rPr>
          <w:rFonts w:hint="eastAsia" w:ascii="仿宋_GB2312" w:eastAsia="仿宋_GB2312"/>
          <w:sz w:val="28"/>
          <w:szCs w:val="28"/>
        </w:rPr>
        <w:t>□</w:t>
      </w:r>
      <w:r>
        <w:rPr>
          <w:rFonts w:hint="eastAsia"/>
        </w:rPr>
        <w:t>乙方同意按甲方规定（参照宝钢股份公司费用标准）；</w:t>
      </w:r>
    </w:p>
    <w:p w14:paraId="2BD4CE38">
      <w:pPr>
        <w:spacing w:line="360" w:lineRule="auto"/>
        <w:ind w:firstLine="840" w:firstLineChars="300"/>
      </w:pPr>
      <w:r>
        <w:rPr>
          <w:rFonts w:hint="eastAsia" w:ascii="仿宋_GB2312" w:eastAsia="仿宋_GB2312"/>
          <w:sz w:val="28"/>
          <w:szCs w:val="28"/>
        </w:rPr>
        <w:t>☑</w:t>
      </w:r>
      <w:r>
        <w:rPr>
          <w:rFonts w:hint="eastAsia"/>
        </w:rPr>
        <w:t>由甲、乙双方共同协商（内容作为合同附件）；</w:t>
      </w:r>
    </w:p>
    <w:p w14:paraId="1DF80B45">
      <w:pPr>
        <w:spacing w:line="360" w:lineRule="auto"/>
        <w:ind w:firstLine="840" w:firstLineChars="300"/>
      </w:pPr>
      <w:r>
        <w:rPr>
          <w:rFonts w:hint="eastAsia" w:ascii="仿宋_GB2312" w:eastAsia="仿宋_GB2312"/>
          <w:sz w:val="28"/>
          <w:szCs w:val="28"/>
        </w:rPr>
        <w:t>□</w:t>
      </w:r>
      <w:r>
        <w:rPr>
          <w:rFonts w:hint="eastAsia"/>
        </w:rPr>
        <w:t>竞价。</w:t>
      </w:r>
    </w:p>
    <w:p w14:paraId="4FD51023">
      <w:pPr>
        <w:numPr>
          <w:ilvl w:val="0"/>
          <w:numId w:val="3"/>
        </w:numPr>
        <w:tabs>
          <w:tab w:val="left" w:pos="946"/>
          <w:tab w:val="clear" w:pos="1050"/>
        </w:tabs>
        <w:spacing w:line="360" w:lineRule="auto"/>
        <w:ind w:left="946" w:hanging="946"/>
        <w:rPr>
          <w:bCs/>
        </w:rPr>
      </w:pPr>
      <w:r>
        <w:rPr>
          <w:rFonts w:hint="eastAsia"/>
          <w:b/>
          <w:bCs/>
        </w:rPr>
        <w:t>费用使用方法</w:t>
      </w:r>
    </w:p>
    <w:p w14:paraId="3BD8DFCA">
      <w:pPr>
        <w:spacing w:line="360" w:lineRule="auto"/>
        <w:ind w:firstLine="840" w:firstLineChars="300"/>
        <w:rPr>
          <w:bCs/>
        </w:rPr>
      </w:pPr>
      <w:r>
        <w:rPr>
          <w:rFonts w:hint="eastAsia" w:ascii="仿宋_GB2312" w:eastAsia="仿宋_GB2312"/>
          <w:sz w:val="28"/>
          <w:szCs w:val="28"/>
        </w:rPr>
        <w:t>□</w:t>
      </w:r>
      <w:r>
        <w:rPr>
          <w:rFonts w:hint="eastAsia"/>
          <w:bCs/>
        </w:rPr>
        <w:t>不限额，按实际工作量结算；</w:t>
      </w:r>
      <w:r>
        <w:rPr>
          <w:rFonts w:hint="eastAsia" w:ascii="仿宋_GB2312" w:eastAsia="仿宋_GB2312"/>
          <w:sz w:val="28"/>
          <w:szCs w:val="28"/>
          <w:lang w:eastAsia="zh-CN"/>
        </w:rPr>
        <w:t>☑</w:t>
      </w:r>
      <w:r>
        <w:rPr>
          <w:rFonts w:hint="eastAsia"/>
          <w:bCs/>
        </w:rPr>
        <w:t>包干；</w:t>
      </w:r>
      <w:r>
        <w:rPr>
          <w:rFonts w:hint="eastAsia" w:ascii="仿宋_GB2312" w:eastAsia="仿宋_GB2312"/>
          <w:sz w:val="28"/>
          <w:szCs w:val="28"/>
        </w:rPr>
        <w:t>□</w:t>
      </w:r>
      <w:r>
        <w:rPr>
          <w:rFonts w:hint="eastAsia"/>
          <w:bCs/>
        </w:rPr>
        <w:t>其它___。</w:t>
      </w:r>
    </w:p>
    <w:p w14:paraId="0A0E1064">
      <w:pPr>
        <w:numPr>
          <w:ilvl w:val="0"/>
          <w:numId w:val="3"/>
        </w:numPr>
        <w:tabs>
          <w:tab w:val="left" w:pos="946"/>
          <w:tab w:val="clear" w:pos="1050"/>
        </w:tabs>
        <w:spacing w:line="360" w:lineRule="auto"/>
        <w:ind w:left="946" w:hanging="946"/>
        <w:rPr>
          <w:bCs/>
        </w:rPr>
      </w:pPr>
      <w:r>
        <w:rPr>
          <w:rFonts w:hint="eastAsia"/>
          <w:b/>
          <w:bCs/>
        </w:rPr>
        <w:t>验收方法</w:t>
      </w:r>
    </w:p>
    <w:p w14:paraId="58979528">
      <w:pPr>
        <w:spacing w:line="360" w:lineRule="auto"/>
        <w:ind w:firstLine="840" w:firstLineChars="300"/>
        <w:rPr>
          <w:bCs/>
        </w:rPr>
      </w:pPr>
      <w:r>
        <w:rPr>
          <w:rFonts w:hint="eastAsia" w:ascii="仿宋_GB2312" w:eastAsia="仿宋_GB2312"/>
          <w:sz w:val="28"/>
          <w:szCs w:val="28"/>
        </w:rPr>
        <w:t>□</w:t>
      </w:r>
      <w:r>
        <w:rPr>
          <w:rFonts w:hint="eastAsia"/>
          <w:bCs/>
        </w:rPr>
        <w:t>按甲方提供的技术要求和标准执行；</w:t>
      </w:r>
    </w:p>
    <w:p w14:paraId="4A420EA6">
      <w:pPr>
        <w:spacing w:line="360" w:lineRule="auto"/>
        <w:ind w:firstLine="840" w:firstLineChars="300"/>
        <w:rPr>
          <w:bCs/>
        </w:rPr>
      </w:pPr>
      <w:r>
        <w:rPr>
          <w:rFonts w:hint="eastAsia" w:ascii="仿宋_GB2312" w:eastAsia="仿宋_GB2312"/>
          <w:sz w:val="28"/>
          <w:szCs w:val="28"/>
        </w:rPr>
        <w:t>☑</w:t>
      </w:r>
      <w:r>
        <w:rPr>
          <w:rFonts w:hint="eastAsia"/>
          <w:bCs/>
        </w:rPr>
        <w:t>按双方签订的技术协议执行；</w:t>
      </w:r>
    </w:p>
    <w:p w14:paraId="6338DE74">
      <w:pPr>
        <w:spacing w:line="360" w:lineRule="auto"/>
        <w:ind w:firstLine="840" w:firstLineChars="300"/>
        <w:rPr>
          <w:bCs/>
        </w:rPr>
      </w:pPr>
      <w:r>
        <w:rPr>
          <w:rFonts w:hint="eastAsia" w:ascii="仿宋_GB2312" w:eastAsia="仿宋_GB2312"/>
          <w:sz w:val="28"/>
          <w:szCs w:val="28"/>
        </w:rPr>
        <w:t>□</w:t>
      </w:r>
      <w:r>
        <w:rPr>
          <w:rFonts w:hint="eastAsia"/>
          <w:bCs/>
        </w:rPr>
        <w:t>按国家或行业颁布的技术规范和质量标准执行；</w:t>
      </w:r>
    </w:p>
    <w:p w14:paraId="17BAF46A">
      <w:pPr>
        <w:spacing w:line="360" w:lineRule="auto"/>
        <w:ind w:firstLine="840" w:firstLineChars="300"/>
        <w:rPr>
          <w:bCs/>
        </w:rPr>
      </w:pPr>
      <w:r>
        <w:rPr>
          <w:rFonts w:hint="eastAsia" w:ascii="仿宋_GB2312" w:eastAsia="仿宋_GB2312"/>
          <w:sz w:val="28"/>
          <w:szCs w:val="28"/>
        </w:rPr>
        <w:t>☑</w:t>
      </w:r>
      <w:r>
        <w:rPr>
          <w:rFonts w:hint="eastAsia"/>
          <w:bCs/>
        </w:rPr>
        <w:t>按甲方确认的方案执行。</w:t>
      </w:r>
    </w:p>
    <w:p w14:paraId="7A3F4C0A">
      <w:pPr>
        <w:numPr>
          <w:ilvl w:val="0"/>
          <w:numId w:val="3"/>
        </w:numPr>
        <w:tabs>
          <w:tab w:val="left" w:pos="936"/>
          <w:tab w:val="clear" w:pos="1050"/>
        </w:tabs>
        <w:spacing w:line="360" w:lineRule="auto"/>
        <w:ind w:left="936" w:hanging="936"/>
        <w:rPr>
          <w:b/>
          <w:bCs/>
        </w:rPr>
      </w:pPr>
      <w:r>
        <w:rPr>
          <w:rFonts w:hint="eastAsia"/>
          <w:b/>
          <w:bCs/>
        </w:rPr>
        <w:t>价款与酬金</w:t>
      </w:r>
    </w:p>
    <w:p w14:paraId="69550B0D">
      <w:pPr>
        <w:spacing w:line="360" w:lineRule="auto"/>
        <w:ind w:left="934" w:leftChars="203" w:hanging="508"/>
      </w:pPr>
      <w:r>
        <w:rPr>
          <w:rFonts w:hint="eastAsia"/>
        </w:rPr>
        <w:t>6.1  付款方式：银行电汇。</w:t>
      </w:r>
    </w:p>
    <w:p w14:paraId="7E95CF74">
      <w:pPr>
        <w:spacing w:line="360" w:lineRule="auto"/>
        <w:ind w:left="944" w:leftChars="203" w:hanging="518"/>
      </w:pPr>
      <w:r>
        <w:rPr>
          <w:rFonts w:hint="eastAsia"/>
        </w:rPr>
        <w:t>6..2</w:t>
      </w:r>
      <w:r>
        <w:rPr>
          <w:rFonts w:hint="eastAsia"/>
        </w:rPr>
        <w:tab/>
      </w:r>
      <w:r>
        <w:rPr>
          <w:rFonts w:hint="eastAsia"/>
        </w:rPr>
        <w:t>费用组成：</w:t>
      </w:r>
    </w:p>
    <w:p w14:paraId="54449E42">
      <w:pPr>
        <w:spacing w:line="360" w:lineRule="auto"/>
        <w:ind w:left="944" w:leftChars="203" w:hanging="518"/>
      </w:pPr>
    </w:p>
    <w:p w14:paraId="67783366">
      <w:pPr>
        <w:numPr>
          <w:ilvl w:val="0"/>
          <w:numId w:val="3"/>
        </w:numPr>
        <w:tabs>
          <w:tab w:val="left" w:pos="946"/>
          <w:tab w:val="clear" w:pos="1050"/>
        </w:tabs>
        <w:spacing w:line="360" w:lineRule="auto"/>
        <w:ind w:left="946" w:hanging="946"/>
        <w:rPr>
          <w:b/>
          <w:bCs/>
        </w:rPr>
      </w:pPr>
      <w:r>
        <w:rPr>
          <w:rFonts w:hint="eastAsia"/>
          <w:b/>
          <w:bCs/>
        </w:rPr>
        <w:t>结算与付款</w:t>
      </w:r>
    </w:p>
    <w:p w14:paraId="0958BFB4">
      <w:pPr>
        <w:numPr>
          <w:ilvl w:val="0"/>
          <w:numId w:val="5"/>
        </w:numPr>
        <w:spacing w:line="360" w:lineRule="auto"/>
        <w:ind w:left="840" w:leftChars="400"/>
      </w:pPr>
      <w:r>
        <w:rPr>
          <w:rFonts w:hint="eastAsia"/>
        </w:rPr>
        <w:t>本合同总服务费用为不含税</w:t>
      </w:r>
      <w:r>
        <w:rPr>
          <w:rFonts w:hint="eastAsia"/>
          <w:u w:val="single"/>
        </w:rPr>
        <w:t xml:space="preserve">  </w:t>
      </w:r>
      <w:r>
        <w:rPr>
          <w:rFonts w:hint="eastAsia"/>
        </w:rPr>
        <w:t>元，含税</w:t>
      </w:r>
      <w:r>
        <w:rPr>
          <w:rFonts w:hint="eastAsia"/>
          <w:u w:val="single"/>
        </w:rPr>
        <w:t xml:space="preserve">  </w:t>
      </w:r>
      <w:r>
        <w:rPr>
          <w:rFonts w:hint="eastAsia"/>
        </w:rPr>
        <w:t>元（含</w:t>
      </w:r>
      <w:r>
        <w:rPr>
          <w:rFonts w:hint="eastAsia"/>
          <w:u w:val="single"/>
        </w:rPr>
        <w:t xml:space="preserve">  </w:t>
      </w:r>
      <w:r>
        <w:rPr>
          <w:rFonts w:hint="eastAsia"/>
        </w:rPr>
        <w:t>%增值税）</w:t>
      </w:r>
      <w:r>
        <w:rPr>
          <w:rFonts w:hint="eastAsia"/>
          <w:lang w:eastAsia="zh-CN"/>
        </w:rPr>
        <w:t>，</w:t>
      </w:r>
      <w:r>
        <w:rPr>
          <w:rFonts w:hint="eastAsia"/>
          <w:lang w:val="en-US" w:eastAsia="zh-CN"/>
        </w:rPr>
        <w:t>大写金额为</w:t>
      </w:r>
      <w:r>
        <w:rPr>
          <w:rFonts w:hint="eastAsia"/>
          <w:u w:val="single"/>
          <w:lang w:val="en-US" w:eastAsia="zh-CN"/>
        </w:rPr>
        <w:t xml:space="preserve">   </w:t>
      </w:r>
      <w:r>
        <w:rPr>
          <w:rFonts w:hint="eastAsia"/>
        </w:rPr>
        <w:t>。</w:t>
      </w:r>
      <w:r>
        <w:rPr>
          <w:rFonts w:hint="eastAsia"/>
          <w:u w:val="none"/>
          <w:lang w:val="en-US" w:eastAsia="zh-CN"/>
        </w:rPr>
        <w:t>乙方</w:t>
      </w:r>
      <w:r>
        <w:rPr>
          <w:rFonts w:hint="eastAsia"/>
        </w:rPr>
        <w:t>服务结束</w:t>
      </w:r>
      <w:r>
        <w:rPr>
          <w:rFonts w:hint="eastAsia"/>
          <w:lang w:eastAsia="zh-CN"/>
        </w:rPr>
        <w:t>，</w:t>
      </w:r>
      <w:r>
        <w:rPr>
          <w:rFonts w:hint="eastAsia"/>
        </w:rPr>
        <w:t>项目经甲方验收合格后，乙方开具《外包付款申请单》及合同全额有效增值税发票，甲方在90天内通过银行电汇支付。</w:t>
      </w:r>
    </w:p>
    <w:p w14:paraId="2CBF023B">
      <w:pPr>
        <w:numPr>
          <w:ilvl w:val="0"/>
          <w:numId w:val="5"/>
        </w:numPr>
        <w:spacing w:line="360" w:lineRule="auto"/>
        <w:ind w:left="840" w:leftChars="400"/>
      </w:pPr>
      <w:r>
        <w:rPr>
          <w:rFonts w:hint="eastAsia"/>
        </w:rPr>
        <w:t>如决算时实际数量与合同内数量有差异，需根据双方确认后的结算单或签订变更协议后再进行结算。</w:t>
      </w:r>
    </w:p>
    <w:p w14:paraId="36C560DC">
      <w:pPr>
        <w:numPr>
          <w:ilvl w:val="0"/>
          <w:numId w:val="3"/>
        </w:numPr>
        <w:tabs>
          <w:tab w:val="left" w:pos="936"/>
          <w:tab w:val="clear" w:pos="1050"/>
        </w:tabs>
        <w:spacing w:line="360" w:lineRule="auto"/>
        <w:ind w:left="936" w:hanging="936"/>
        <w:rPr>
          <w:b/>
          <w:bCs/>
        </w:rPr>
      </w:pPr>
      <w:r>
        <w:rPr>
          <w:rFonts w:hint="eastAsia"/>
          <w:b/>
          <w:bCs/>
        </w:rPr>
        <w:t>双方联系人</w:t>
      </w:r>
    </w:p>
    <w:p w14:paraId="4D21A014">
      <w:pPr>
        <w:spacing w:line="360" w:lineRule="auto"/>
        <w:ind w:firstLine="630" w:firstLineChars="300"/>
        <w:rPr>
          <w:bCs/>
        </w:rPr>
      </w:pPr>
      <w:r>
        <w:rPr>
          <w:rFonts w:hint="eastAsia"/>
          <w:bCs/>
        </w:rPr>
        <w:t xml:space="preserve">甲方商务联系人：      </w:t>
      </w:r>
    </w:p>
    <w:p w14:paraId="1E06F609">
      <w:pPr>
        <w:spacing w:line="360" w:lineRule="auto"/>
        <w:ind w:firstLine="1050" w:firstLineChars="500"/>
        <w:rPr>
          <w:bCs/>
        </w:rPr>
      </w:pPr>
      <w:r>
        <w:rPr>
          <w:rFonts w:hint="eastAsia"/>
          <w:bCs/>
        </w:rPr>
        <w:t>技术联系人：</w:t>
      </w:r>
    </w:p>
    <w:p w14:paraId="0C1977C9">
      <w:pPr>
        <w:spacing w:line="360" w:lineRule="auto"/>
        <w:ind w:firstLine="630" w:firstLineChars="300"/>
        <w:rPr>
          <w:bCs/>
        </w:rPr>
      </w:pPr>
      <w:r>
        <w:rPr>
          <w:rFonts w:hint="eastAsia"/>
          <w:bCs/>
        </w:rPr>
        <w:t>乙方商务联系人：</w:t>
      </w:r>
    </w:p>
    <w:p w14:paraId="48151C8E">
      <w:pPr>
        <w:spacing w:line="360" w:lineRule="auto"/>
        <w:ind w:firstLine="1050" w:firstLineChars="500"/>
      </w:pPr>
      <w:r>
        <w:rPr>
          <w:rFonts w:hint="eastAsia"/>
          <w:bCs/>
        </w:rPr>
        <w:t>技术联系人：</w:t>
      </w:r>
    </w:p>
    <w:p w14:paraId="6CF558D0">
      <w:pPr>
        <w:numPr>
          <w:ilvl w:val="0"/>
          <w:numId w:val="3"/>
        </w:numPr>
        <w:tabs>
          <w:tab w:val="left" w:pos="936"/>
          <w:tab w:val="clear" w:pos="1050"/>
        </w:tabs>
        <w:spacing w:line="360" w:lineRule="auto"/>
        <w:ind w:left="946" w:hanging="946"/>
        <w:rPr>
          <w:b/>
          <w:bCs/>
        </w:rPr>
      </w:pPr>
      <w:r>
        <w:rPr>
          <w:rFonts w:hint="eastAsia"/>
          <w:b/>
          <w:bCs/>
        </w:rPr>
        <w:t>甲乙方双方的责任和义务</w:t>
      </w:r>
    </w:p>
    <w:p w14:paraId="1B5D0C9D">
      <w:pPr>
        <w:spacing w:line="360" w:lineRule="auto"/>
        <w:ind w:left="934" w:leftChars="203" w:hanging="508"/>
        <w:rPr>
          <w:b/>
          <w:bCs/>
        </w:rPr>
      </w:pPr>
      <w:r>
        <w:rPr>
          <w:rFonts w:hint="eastAsia"/>
          <w:b/>
          <w:bCs/>
        </w:rPr>
        <w:t>9.1  甲方的责任和义务</w:t>
      </w:r>
    </w:p>
    <w:p w14:paraId="5BB9AFFC">
      <w:pPr>
        <w:spacing w:line="360" w:lineRule="auto"/>
        <w:ind w:left="934" w:leftChars="203" w:hanging="508"/>
      </w:pPr>
      <w:r>
        <w:rPr>
          <w:rFonts w:hint="eastAsia"/>
        </w:rPr>
        <w:t>9.1.1双方发现异常情况出现后，应及时通知乙方并详细说明故障现象，以便于乙方根据故障现象进行相应准备；乙方应在收到甲方通知后一个工作日之内进行</w:t>
      </w:r>
      <w:r>
        <w:rPr>
          <w:rFonts w:hint="eastAsia"/>
          <w:lang w:val="en-US" w:eastAsia="zh-CN"/>
        </w:rPr>
        <w:t>维护</w:t>
      </w:r>
      <w:r>
        <w:rPr>
          <w:rFonts w:hint="eastAsia"/>
        </w:rPr>
        <w:t>。</w:t>
      </w:r>
    </w:p>
    <w:p w14:paraId="7DA1454A">
      <w:pPr>
        <w:spacing w:line="360" w:lineRule="auto"/>
        <w:ind w:left="934" w:leftChars="203" w:hanging="508"/>
      </w:pPr>
      <w:r>
        <w:rPr>
          <w:rFonts w:hint="eastAsia"/>
        </w:rPr>
        <w:t>9.1.2乙方在对系统进行</w:t>
      </w:r>
      <w:r>
        <w:rPr>
          <w:rFonts w:hint="eastAsia"/>
          <w:lang w:val="en-US" w:eastAsia="zh-CN"/>
        </w:rPr>
        <w:t>维护</w:t>
      </w:r>
      <w:r>
        <w:rPr>
          <w:rFonts w:hint="eastAsia"/>
        </w:rPr>
        <w:t>及保养过程中，甲方为乙方提供必要的协调帮助和便利设施。</w:t>
      </w:r>
      <w:r>
        <w:rPr>
          <w:rFonts w:hint="eastAsia"/>
          <w:lang w:val="en-US" w:eastAsia="zh-CN"/>
        </w:rPr>
        <w:t>维护</w:t>
      </w:r>
      <w:r>
        <w:rPr>
          <w:rFonts w:hint="eastAsia"/>
        </w:rPr>
        <w:t>完毕后，甲方及时派人进行检查和验收并在</w:t>
      </w:r>
      <w:r>
        <w:rPr>
          <w:rFonts w:hint="eastAsia"/>
          <w:lang w:val="en-US" w:eastAsia="zh-CN"/>
        </w:rPr>
        <w:t>维护</w:t>
      </w:r>
      <w:r>
        <w:rPr>
          <w:rFonts w:hint="eastAsia"/>
        </w:rPr>
        <w:t>单上签字确认。</w:t>
      </w:r>
    </w:p>
    <w:p w14:paraId="2EEC138E">
      <w:pPr>
        <w:spacing w:line="360" w:lineRule="auto"/>
        <w:ind w:left="934" w:leftChars="203" w:hanging="508"/>
      </w:pPr>
      <w:r>
        <w:rPr>
          <w:rFonts w:hint="eastAsia"/>
        </w:rPr>
        <w:t>9.1.3甲方不得随意拆卸及改变设备的连接，除乙方无法完成本合同约定的维保服务外，不得由第三方介入本合同的服务范围。</w:t>
      </w:r>
    </w:p>
    <w:p w14:paraId="31B7092D">
      <w:pPr>
        <w:spacing w:line="360" w:lineRule="auto"/>
        <w:ind w:left="934" w:leftChars="203" w:hanging="508"/>
      </w:pPr>
      <w:r>
        <w:rPr>
          <w:rFonts w:hint="eastAsia"/>
        </w:rPr>
        <w:t>9.1.4在</w:t>
      </w:r>
      <w:r>
        <w:rPr>
          <w:rFonts w:hint="eastAsia"/>
          <w:lang w:val="en-US" w:eastAsia="zh-CN"/>
        </w:rPr>
        <w:t>维护</w:t>
      </w:r>
      <w:r>
        <w:rPr>
          <w:rFonts w:hint="eastAsia"/>
        </w:rPr>
        <w:t>保养过程中，甲方应给予乙方必要的协助工作，负责协调处理及其它部门以及其他工种的配合事宜。</w:t>
      </w:r>
    </w:p>
    <w:p w14:paraId="55E7CDFA">
      <w:pPr>
        <w:spacing w:line="360" w:lineRule="auto"/>
        <w:ind w:left="934" w:leftChars="203" w:hanging="508"/>
      </w:pPr>
      <w:r>
        <w:rPr>
          <w:rFonts w:hint="eastAsia"/>
        </w:rPr>
        <w:t>9.1.5甲方应根据合同条款及时支付乙方相应的维护保养费用。</w:t>
      </w:r>
    </w:p>
    <w:p w14:paraId="38D5C65D">
      <w:pPr>
        <w:spacing w:line="360" w:lineRule="auto"/>
        <w:ind w:left="934" w:leftChars="203" w:hanging="508"/>
        <w:rPr>
          <w:b/>
          <w:bCs/>
        </w:rPr>
      </w:pPr>
      <w:r>
        <w:rPr>
          <w:rFonts w:hint="eastAsia"/>
          <w:b/>
          <w:bCs/>
        </w:rPr>
        <w:t>9.2乙方责任和义务</w:t>
      </w:r>
    </w:p>
    <w:p w14:paraId="7C27AFC1">
      <w:pPr>
        <w:spacing w:line="360" w:lineRule="auto"/>
        <w:ind w:left="934" w:leftChars="203" w:hanging="508"/>
      </w:pPr>
      <w:r>
        <w:rPr>
          <w:rFonts w:hint="eastAsia"/>
        </w:rPr>
        <w:t>9.2.1为系统正常运转提供技术支持和保障，确保系统的正常稳定运转。</w:t>
      </w:r>
    </w:p>
    <w:p w14:paraId="198E7461">
      <w:pPr>
        <w:spacing w:line="360" w:lineRule="auto"/>
        <w:ind w:left="934" w:leftChars="203" w:hanging="508"/>
      </w:pPr>
      <w:r>
        <w:rPr>
          <w:rFonts w:hint="eastAsia"/>
        </w:rPr>
        <w:t>9.2.2乙方在维护过程中为甲方的商业数据保密，不可泄露第三方知道。</w:t>
      </w:r>
    </w:p>
    <w:p w14:paraId="09136B0F">
      <w:pPr>
        <w:spacing w:line="360" w:lineRule="auto"/>
        <w:ind w:left="934" w:leftChars="203" w:hanging="508"/>
      </w:pPr>
      <w:r>
        <w:rPr>
          <w:rFonts w:hint="eastAsia"/>
        </w:rPr>
        <w:t>9.2.3乙方必须严格遵守国家、行业、地方及甲方的各项安全规定标准化作业。</w:t>
      </w:r>
    </w:p>
    <w:p w14:paraId="48FECC4E">
      <w:pPr>
        <w:spacing w:line="360" w:lineRule="auto"/>
        <w:ind w:left="934" w:leftChars="203" w:hanging="508"/>
      </w:pPr>
      <w:r>
        <w:rPr>
          <w:rFonts w:hint="eastAsia"/>
        </w:rPr>
        <w:t>9.2.4乙方必须遵守《</w:t>
      </w:r>
      <w:r>
        <w:rPr>
          <w:rFonts w:hint="eastAsia"/>
          <w:u w:val="single"/>
        </w:rPr>
        <w:t xml:space="preserve">   </w:t>
      </w:r>
      <w:r>
        <w:rPr>
          <w:rFonts w:hint="eastAsia"/>
        </w:rPr>
        <w:t>》规定的内容及条款，确保甲方的利益。</w:t>
      </w:r>
    </w:p>
    <w:p w14:paraId="71F0AC77">
      <w:pPr>
        <w:spacing w:line="360" w:lineRule="auto"/>
        <w:ind w:left="934" w:leftChars="203" w:hanging="508"/>
      </w:pPr>
      <w:r>
        <w:rPr>
          <w:rFonts w:hint="eastAsia"/>
        </w:rPr>
        <w:t>9.2.5当甲方有部件更换、维修或安装的需求时，乙方应在收到甲方通知一个工作日之内给出相应的解决措施（包含提供新部件的型号），并第一时间配合甲方完成，以保证设备的正常运行。如更换的部件为非原厂，则由甲方提供，由此产生的人工费，经甲乙方双方确认后另行结算。</w:t>
      </w:r>
    </w:p>
    <w:p w14:paraId="39155328">
      <w:pPr>
        <w:spacing w:line="360" w:lineRule="auto"/>
        <w:ind w:left="934" w:leftChars="203" w:hanging="508"/>
      </w:pPr>
      <w:r>
        <w:rPr>
          <w:rFonts w:hint="eastAsia"/>
        </w:rPr>
        <w:t>9.2.6乙方对维保人有进行全面的安全意识培训义务。</w:t>
      </w:r>
    </w:p>
    <w:p w14:paraId="0223FE2D">
      <w:pPr>
        <w:spacing w:line="360" w:lineRule="auto"/>
        <w:ind w:firstLine="420" w:firstLineChars="200"/>
      </w:pPr>
      <w:r>
        <w:rPr>
          <w:rFonts w:hint="eastAsia"/>
        </w:rPr>
        <w:t>9.2.7乙方维护人员应购买工程意外险和社保。</w:t>
      </w:r>
    </w:p>
    <w:p w14:paraId="39DAB341">
      <w:pPr>
        <w:spacing w:line="360" w:lineRule="auto"/>
        <w:ind w:left="934" w:leftChars="203" w:hanging="508"/>
      </w:pPr>
      <w:r>
        <w:rPr>
          <w:rFonts w:hint="eastAsia"/>
        </w:rPr>
        <w:t>9.2.8乙方在维护过程中所使用的交通工具、设备和工具由乙方自备。在使用过程中发生故障或人员伤亡事故的费用由乙方负责承担。甲方不负任务连带责任。</w:t>
      </w:r>
    </w:p>
    <w:p w14:paraId="161B9338">
      <w:pPr>
        <w:spacing w:line="360" w:lineRule="auto"/>
        <w:ind w:left="955" w:leftChars="213" w:hanging="508"/>
      </w:pPr>
      <w:r>
        <w:rPr>
          <w:rFonts w:hint="eastAsia"/>
        </w:rPr>
        <w:t>9.2.9乙方移交的</w:t>
      </w:r>
      <w:r>
        <w:rPr>
          <w:rFonts w:hint="eastAsia"/>
          <w:lang w:val="en-US" w:eastAsia="zh-CN"/>
        </w:rPr>
        <w:t>维护</w:t>
      </w:r>
      <w:r>
        <w:rPr>
          <w:rFonts w:hint="eastAsia"/>
        </w:rPr>
        <w:t>（施工）项目即为保修范围和内容。甲方在</w:t>
      </w:r>
      <w:r>
        <w:rPr>
          <w:rFonts w:hint="eastAsia"/>
          <w:lang w:val="en-US" w:eastAsia="zh-CN"/>
        </w:rPr>
        <w:t>维护</w:t>
      </w:r>
      <w:r>
        <w:rPr>
          <w:rFonts w:hint="eastAsia"/>
        </w:rPr>
        <w:t>期内使用工程和设备过程中发现缺陷、损坏时，乙方应在接到甲方通知的一个工作日之内派人</w:t>
      </w:r>
      <w:r>
        <w:rPr>
          <w:rFonts w:hint="eastAsia"/>
          <w:lang w:val="en-US" w:eastAsia="zh-CN"/>
        </w:rPr>
        <w:t>处理</w:t>
      </w:r>
      <w:r>
        <w:rPr>
          <w:rFonts w:hint="eastAsia"/>
        </w:rPr>
        <w:t>。</w:t>
      </w:r>
    </w:p>
    <w:p w14:paraId="3AEB8437">
      <w:pPr>
        <w:numPr>
          <w:ilvl w:val="0"/>
          <w:numId w:val="3"/>
        </w:numPr>
        <w:tabs>
          <w:tab w:val="left" w:pos="936"/>
          <w:tab w:val="clear" w:pos="1050"/>
        </w:tabs>
        <w:spacing w:line="360" w:lineRule="auto"/>
        <w:ind w:left="946" w:hanging="946"/>
        <w:rPr>
          <w:b/>
          <w:bCs/>
        </w:rPr>
      </w:pPr>
      <w:r>
        <w:rPr>
          <w:rFonts w:hint="eastAsia"/>
          <w:b/>
          <w:bCs/>
        </w:rPr>
        <w:t>其它协定</w:t>
      </w:r>
    </w:p>
    <w:p w14:paraId="783C06A5">
      <w:pPr>
        <w:spacing w:line="360" w:lineRule="auto"/>
        <w:ind w:left="944" w:leftChars="201" w:hanging="522"/>
      </w:pPr>
      <w:r>
        <w:rPr>
          <w:rFonts w:hint="eastAsia"/>
        </w:rPr>
        <w:t>10.1</w:t>
      </w:r>
      <w:r>
        <w:rPr>
          <w:rFonts w:hint="eastAsia"/>
        </w:rPr>
        <w:tab/>
      </w:r>
      <w:r>
        <w:rPr>
          <w:rFonts w:hint="eastAsia"/>
        </w:rPr>
        <w:t>凡发生下列情况，乙方提前五个工作日补办手续并获得甲方的书面许可确认，否则因无手续擅自</w:t>
      </w:r>
      <w:r>
        <w:rPr>
          <w:rFonts w:hint="eastAsia"/>
          <w:lang w:val="en-US" w:eastAsia="zh-CN"/>
        </w:rPr>
        <w:t>维护</w:t>
      </w:r>
      <w:r>
        <w:rPr>
          <w:rFonts w:hint="eastAsia"/>
        </w:rPr>
        <w:t>（施工）引起的一切后果由乙方承担（1）合同不能如期履行；（2）有关合同条款需发生变更；（3）</w:t>
      </w:r>
      <w:r>
        <w:rPr>
          <w:rFonts w:hint="eastAsia"/>
          <w:lang w:val="en-US" w:eastAsia="zh-CN"/>
        </w:rPr>
        <w:t>维护</w:t>
      </w:r>
      <w:r>
        <w:rPr>
          <w:rFonts w:hint="eastAsia"/>
        </w:rPr>
        <w:t>（施工）内容超出合同范围。</w:t>
      </w:r>
    </w:p>
    <w:p w14:paraId="31D7F1E3">
      <w:pPr>
        <w:spacing w:line="360" w:lineRule="auto"/>
        <w:ind w:left="1009" w:leftChars="232" w:hanging="522"/>
      </w:pPr>
      <w:r>
        <w:rPr>
          <w:rFonts w:hint="eastAsia"/>
        </w:rPr>
        <w:t>10.2</w:t>
      </w:r>
      <w:r>
        <w:rPr>
          <w:rFonts w:hint="eastAsia"/>
        </w:rPr>
        <w:tab/>
      </w:r>
      <w:r>
        <w:rPr>
          <w:rFonts w:hint="eastAsia"/>
        </w:rPr>
        <w:t>其它附件：（1）维修外协委托单（立项单）（   ）；（2）施工任务书（   ）；（3）有关协议（ √ ）；（4）维修（施工）方案（   ）；（5）乙供物料清单（   ）；（6）其它资料________（    ）。</w:t>
      </w:r>
    </w:p>
    <w:p w14:paraId="44675460">
      <w:pPr>
        <w:spacing w:line="360" w:lineRule="auto"/>
        <w:ind w:left="1009" w:leftChars="232" w:hanging="522"/>
      </w:pPr>
      <w:r>
        <w:rPr>
          <w:rFonts w:hint="eastAsia"/>
        </w:rPr>
        <w:t>10.3</w:t>
      </w:r>
      <w:r>
        <w:rPr>
          <w:rFonts w:hint="eastAsia"/>
        </w:rPr>
        <w:tab/>
      </w:r>
      <w:r>
        <w:rPr>
          <w:rFonts w:hint="eastAsia"/>
        </w:rPr>
        <w:t>双方另行签订的《外协施工安全管理协议》、《廉洁协议》，以及其它协商一致签订的有关协议，与合同正文具有同等法律效力。</w:t>
      </w:r>
    </w:p>
    <w:p w14:paraId="4B1CC895">
      <w:pPr>
        <w:spacing w:line="360" w:lineRule="auto"/>
        <w:ind w:left="1009" w:leftChars="232" w:hanging="522"/>
      </w:pPr>
      <w:r>
        <w:rPr>
          <w:rFonts w:hint="eastAsia"/>
        </w:rPr>
        <w:t>10.4</w:t>
      </w:r>
      <w:r>
        <w:rPr>
          <w:rFonts w:hint="eastAsia"/>
        </w:rPr>
        <w:tab/>
      </w:r>
      <w:r>
        <w:rPr>
          <w:rFonts w:hint="eastAsia"/>
        </w:rPr>
        <w:t>本合同未尽事宜，双方协商解决。</w:t>
      </w:r>
    </w:p>
    <w:p w14:paraId="2A47D093">
      <w:pPr>
        <w:spacing w:line="360" w:lineRule="auto"/>
        <w:ind w:left="1009" w:leftChars="232" w:hanging="522"/>
      </w:pPr>
      <w:r>
        <w:rPr>
          <w:rFonts w:hint="eastAsia"/>
        </w:rPr>
        <w:t>10.5</w:t>
      </w:r>
      <w:r>
        <w:rPr>
          <w:rFonts w:hint="eastAsia"/>
        </w:rPr>
        <w:tab/>
      </w:r>
      <w:r>
        <w:rPr>
          <w:rFonts w:hint="eastAsia"/>
        </w:rPr>
        <w:t>在本合同履行期间，除不可抗力外，任何一方不得违约。若国家和企业政策发生重大变化影响合同履行时，双方协商解决。</w:t>
      </w:r>
    </w:p>
    <w:p w14:paraId="20196614">
      <w:pPr>
        <w:numPr>
          <w:ilvl w:val="0"/>
          <w:numId w:val="3"/>
        </w:numPr>
        <w:tabs>
          <w:tab w:val="left" w:pos="936"/>
          <w:tab w:val="clear" w:pos="1050"/>
        </w:tabs>
        <w:spacing w:line="360" w:lineRule="auto"/>
        <w:ind w:left="936" w:hanging="936"/>
        <w:rPr>
          <w:b/>
          <w:bCs/>
        </w:rPr>
      </w:pPr>
      <w:r>
        <w:rPr>
          <w:rFonts w:hint="eastAsia"/>
          <w:b/>
          <w:bCs/>
        </w:rPr>
        <w:t>违约责任</w:t>
      </w:r>
    </w:p>
    <w:p w14:paraId="096DDC78">
      <w:pPr>
        <w:spacing w:line="360" w:lineRule="auto"/>
        <w:ind w:left="945" w:leftChars="450"/>
      </w:pPr>
      <w:r>
        <w:rPr>
          <w:rFonts w:hint="eastAsia"/>
        </w:rPr>
        <w:t>若乙方没有根据合同规定履行合同，乙方应支付合同总价的20%作为违约金，如违约金不足以赔偿损失，仍应赔偿损失。</w:t>
      </w:r>
    </w:p>
    <w:p w14:paraId="56AF9AD8">
      <w:pPr>
        <w:numPr>
          <w:ilvl w:val="0"/>
          <w:numId w:val="3"/>
        </w:numPr>
        <w:tabs>
          <w:tab w:val="left" w:pos="936"/>
          <w:tab w:val="clear" w:pos="1050"/>
        </w:tabs>
        <w:spacing w:line="360" w:lineRule="auto"/>
        <w:ind w:left="946" w:hanging="946"/>
        <w:rPr>
          <w:b/>
          <w:bCs/>
        </w:rPr>
      </w:pPr>
      <w:r>
        <w:rPr>
          <w:rFonts w:hint="eastAsia"/>
          <w:b/>
          <w:bCs/>
        </w:rPr>
        <w:t>争议或纠纷处理</w:t>
      </w:r>
    </w:p>
    <w:p w14:paraId="29D4339A">
      <w:pPr>
        <w:spacing w:line="360" w:lineRule="auto"/>
        <w:ind w:left="934" w:leftChars="203" w:hanging="508" w:hangingChars="242"/>
      </w:pPr>
      <w:r>
        <w:rPr>
          <w:rFonts w:hint="eastAsia"/>
        </w:rPr>
        <w:t>12.1</w:t>
      </w:r>
      <w:r>
        <w:rPr>
          <w:rFonts w:hint="eastAsia"/>
        </w:rPr>
        <w:tab/>
      </w:r>
      <w:r>
        <w:rPr>
          <w:rFonts w:hint="eastAsia"/>
        </w:rPr>
        <w:t>本合同在履行期间双方发生争议时，双方可协商解决或请有关部门调解。</w:t>
      </w:r>
    </w:p>
    <w:p w14:paraId="4CCC5A56">
      <w:pPr>
        <w:spacing w:line="360" w:lineRule="auto"/>
        <w:ind w:left="934" w:leftChars="203" w:hanging="508" w:hangingChars="242"/>
      </w:pPr>
      <w:r>
        <w:rPr>
          <w:rFonts w:hint="eastAsia"/>
        </w:rPr>
        <w:t>12.2</w:t>
      </w:r>
      <w:r>
        <w:rPr>
          <w:rFonts w:hint="eastAsia"/>
        </w:rPr>
        <w:tab/>
      </w:r>
      <w:r>
        <w:rPr>
          <w:rFonts w:hint="eastAsia"/>
        </w:rPr>
        <w:t>当协商、调解不成时，双方同意就本合同产生的纠纷向合同签订地人民法院提起诉讼。</w:t>
      </w:r>
    </w:p>
    <w:p w14:paraId="56B26258">
      <w:pPr>
        <w:numPr>
          <w:ilvl w:val="0"/>
          <w:numId w:val="3"/>
        </w:numPr>
        <w:tabs>
          <w:tab w:val="left" w:pos="946"/>
          <w:tab w:val="clear" w:pos="1050"/>
        </w:tabs>
        <w:spacing w:line="360" w:lineRule="auto"/>
        <w:ind w:left="946" w:hanging="946"/>
        <w:rPr>
          <w:b/>
          <w:bCs/>
        </w:rPr>
      </w:pPr>
      <w:r>
        <w:rPr>
          <w:rFonts w:hint="eastAsia"/>
          <w:b/>
          <w:bCs/>
        </w:rPr>
        <w:t>附则</w:t>
      </w:r>
    </w:p>
    <w:p w14:paraId="1473A04A">
      <w:pPr>
        <w:spacing w:line="360" w:lineRule="auto"/>
        <w:ind w:left="940" w:leftChars="201" w:hanging="518" w:hangingChars="247"/>
      </w:pPr>
      <w:r>
        <w:rPr>
          <w:rFonts w:hint="eastAsia"/>
        </w:rPr>
        <w:t>13.1</w:t>
      </w:r>
      <w:r>
        <w:rPr>
          <w:rFonts w:hint="eastAsia"/>
        </w:rPr>
        <w:tab/>
      </w:r>
      <w:r>
        <w:rPr>
          <w:rFonts w:hint="eastAsia"/>
        </w:rPr>
        <w:t>本合同文本一式贰份，双方签字盖章后立即生效，甲方执壹份，乙方执壹份。</w:t>
      </w:r>
    </w:p>
    <w:p w14:paraId="32D8F3F3">
      <w:pPr>
        <w:spacing w:line="360" w:lineRule="auto"/>
        <w:ind w:left="940" w:leftChars="201" w:hanging="518" w:hangingChars="247"/>
      </w:pPr>
      <w:r>
        <w:rPr>
          <w:rFonts w:hint="eastAsia"/>
        </w:rPr>
        <w:t>13.2</w:t>
      </w:r>
      <w:r>
        <w:rPr>
          <w:rFonts w:hint="eastAsia"/>
        </w:rPr>
        <w:tab/>
      </w:r>
      <w:r>
        <w:rPr>
          <w:rFonts w:hint="eastAsia"/>
        </w:rPr>
        <w:t>本合同在全部工程竣工验收并结算完毕后，除有关保修条款依然有效外，其它条款即行终止，保修期满后，本合同终止。</w:t>
      </w:r>
    </w:p>
    <w:p w14:paraId="48138C8A">
      <w:pPr>
        <w:spacing w:line="360" w:lineRule="auto"/>
        <w:ind w:left="940" w:leftChars="201" w:hanging="518" w:hangingChars="247"/>
      </w:pPr>
      <w:r>
        <w:rPr>
          <w:rFonts w:hint="eastAsia"/>
        </w:rPr>
        <w:t>13.3</w:t>
      </w:r>
      <w:r>
        <w:rPr>
          <w:rFonts w:hint="eastAsia"/>
        </w:rPr>
        <w:tab/>
      </w:r>
      <w:r>
        <w:rPr>
          <w:rFonts w:hint="eastAsia"/>
        </w:rPr>
        <w:t>双方签署的技术附件作为合同附件与正本合同具有同等法律效力。</w:t>
      </w:r>
    </w:p>
    <w:p w14:paraId="39566659">
      <w:pPr>
        <w:spacing w:line="360" w:lineRule="auto"/>
        <w:jc w:val="center"/>
      </w:pPr>
    </w:p>
    <w:p w14:paraId="42A12751">
      <w:pPr>
        <w:spacing w:line="360" w:lineRule="auto"/>
        <w:jc w:val="center"/>
      </w:pPr>
    </w:p>
    <w:p w14:paraId="3B6E371A">
      <w:pPr>
        <w:spacing w:line="360" w:lineRule="auto"/>
        <w:jc w:val="center"/>
      </w:pPr>
    </w:p>
    <w:p w14:paraId="0E44B0C6">
      <w:pPr>
        <w:spacing w:line="360" w:lineRule="auto"/>
        <w:jc w:val="center"/>
      </w:pPr>
    </w:p>
    <w:p w14:paraId="7C3E449D">
      <w:pPr>
        <w:spacing w:line="360" w:lineRule="auto"/>
        <w:jc w:val="center"/>
      </w:pPr>
    </w:p>
    <w:p w14:paraId="7BDB2D13">
      <w:pPr>
        <w:spacing w:line="360" w:lineRule="auto"/>
        <w:jc w:val="center"/>
      </w:pPr>
    </w:p>
    <w:p w14:paraId="225D1D6D">
      <w:pPr>
        <w:spacing w:line="360" w:lineRule="auto"/>
        <w:jc w:val="center"/>
      </w:pPr>
    </w:p>
    <w:p w14:paraId="693EAB3F">
      <w:pPr>
        <w:spacing w:line="360" w:lineRule="auto"/>
        <w:jc w:val="center"/>
      </w:pPr>
    </w:p>
    <w:p w14:paraId="243C891F">
      <w:pPr>
        <w:spacing w:line="360" w:lineRule="auto"/>
        <w:jc w:val="center"/>
      </w:pPr>
    </w:p>
    <w:p w14:paraId="4165400E">
      <w:pPr>
        <w:spacing w:line="360" w:lineRule="auto"/>
        <w:jc w:val="center"/>
      </w:pPr>
    </w:p>
    <w:p w14:paraId="64573219">
      <w:pPr>
        <w:spacing w:line="360" w:lineRule="auto"/>
        <w:jc w:val="center"/>
      </w:pPr>
    </w:p>
    <w:p w14:paraId="0029E132">
      <w:pPr>
        <w:spacing w:line="360" w:lineRule="auto"/>
        <w:jc w:val="center"/>
      </w:pPr>
      <w:r>
        <w:rPr>
          <w:rFonts w:hint="eastAsia"/>
        </w:rPr>
        <w:t>以下无正文，为合同签章页</w:t>
      </w:r>
    </w:p>
    <w:p w14:paraId="61B0F528">
      <w:pPr>
        <w:spacing w:line="360" w:lineRule="auto"/>
        <w:jc w:val="center"/>
      </w:pPr>
    </w:p>
    <w:p w14:paraId="5CB9F000">
      <w:pPr>
        <w:spacing w:line="360" w:lineRule="auto"/>
        <w:ind w:left="-25" w:leftChars="-12"/>
        <w:rPr>
          <w:b/>
          <w:sz w:val="18"/>
          <w:szCs w:val="18"/>
        </w:rPr>
      </w:pPr>
      <w:r>
        <w:rPr>
          <w:rFonts w:hint="eastAsia"/>
          <w:b/>
          <w:sz w:val="18"/>
          <w:szCs w:val="18"/>
        </w:rPr>
        <w:t>甲方：</w:t>
      </w:r>
      <w:r>
        <w:rPr>
          <w:rFonts w:hint="eastAsia"/>
          <w:b/>
          <w:sz w:val="18"/>
          <w:szCs w:val="18"/>
        </w:rPr>
        <w:tab/>
      </w:r>
      <w:r>
        <w:rPr>
          <w:rFonts w:hint="eastAsia"/>
          <w:b/>
          <w:sz w:val="18"/>
          <w:szCs w:val="18"/>
        </w:rPr>
        <w:tab/>
      </w:r>
      <w:r>
        <w:rPr>
          <w:rFonts w:hint="eastAsia"/>
          <w:b/>
          <w:sz w:val="18"/>
          <w:szCs w:val="18"/>
        </w:rPr>
        <w:tab/>
      </w:r>
      <w:r>
        <w:rPr>
          <w:rFonts w:hint="eastAsia"/>
          <w:b/>
          <w:sz w:val="18"/>
          <w:szCs w:val="18"/>
        </w:rPr>
        <w:tab/>
      </w:r>
      <w:r>
        <w:rPr>
          <w:rFonts w:hint="eastAsia"/>
          <w:b/>
          <w:sz w:val="18"/>
          <w:szCs w:val="18"/>
        </w:rPr>
        <w:tab/>
      </w:r>
      <w:r>
        <w:rPr>
          <w:rFonts w:hint="eastAsia"/>
          <w:b/>
          <w:sz w:val="18"/>
          <w:szCs w:val="18"/>
        </w:rPr>
        <w:tab/>
      </w:r>
      <w:r>
        <w:rPr>
          <w:rFonts w:hint="eastAsia"/>
          <w:b/>
          <w:sz w:val="18"/>
          <w:szCs w:val="18"/>
        </w:rPr>
        <w:tab/>
      </w:r>
      <w:r>
        <w:rPr>
          <w:rFonts w:hint="eastAsia"/>
          <w:b/>
          <w:sz w:val="18"/>
          <w:szCs w:val="18"/>
        </w:rPr>
        <w:tab/>
      </w:r>
      <w:r>
        <w:rPr>
          <w:rFonts w:hint="eastAsia"/>
          <w:b/>
          <w:sz w:val="18"/>
          <w:szCs w:val="18"/>
        </w:rPr>
        <w:tab/>
      </w:r>
      <w:r>
        <w:rPr>
          <w:rFonts w:hint="eastAsia"/>
          <w:b/>
          <w:sz w:val="18"/>
          <w:szCs w:val="18"/>
        </w:rPr>
        <w:tab/>
      </w:r>
      <w:r>
        <w:rPr>
          <w:rFonts w:hint="eastAsia"/>
          <w:b/>
          <w:sz w:val="18"/>
          <w:szCs w:val="18"/>
        </w:rPr>
        <w:t xml:space="preserve">乙方： </w:t>
      </w:r>
    </w:p>
    <w:p w14:paraId="64390A83">
      <w:pPr>
        <w:spacing w:line="360" w:lineRule="auto"/>
        <w:rPr>
          <w:b/>
          <w:sz w:val="18"/>
          <w:szCs w:val="18"/>
        </w:rPr>
      </w:pPr>
      <w:r>
        <w:rPr>
          <w:rFonts w:hint="eastAsia"/>
          <w:b/>
          <w:sz w:val="18"/>
          <w:szCs w:val="18"/>
        </w:rPr>
        <w:t>上海宝信</w:t>
      </w:r>
      <w:r>
        <w:rPr>
          <w:b/>
          <w:sz w:val="18"/>
          <w:szCs w:val="18"/>
        </w:rPr>
        <w:t>数据中心</w:t>
      </w:r>
      <w:r>
        <w:rPr>
          <w:rFonts w:hint="eastAsia"/>
          <w:b/>
          <w:sz w:val="18"/>
          <w:szCs w:val="18"/>
        </w:rPr>
        <w:t>有限</w:t>
      </w:r>
      <w:r>
        <w:rPr>
          <w:b/>
          <w:sz w:val="18"/>
          <w:szCs w:val="18"/>
        </w:rPr>
        <w:t>公司</w:t>
      </w:r>
      <w:r>
        <w:rPr>
          <w:rFonts w:hint="eastAsia"/>
          <w:b/>
          <w:sz w:val="18"/>
          <w:szCs w:val="18"/>
        </w:rPr>
        <w:t>（章）</w:t>
      </w:r>
      <w:r>
        <w:rPr>
          <w:rFonts w:hint="eastAsia"/>
          <w:b/>
          <w:sz w:val="18"/>
          <w:szCs w:val="18"/>
        </w:rPr>
        <w:tab/>
      </w:r>
      <w:r>
        <w:rPr>
          <w:rFonts w:hint="eastAsia"/>
          <w:b/>
          <w:sz w:val="18"/>
          <w:szCs w:val="18"/>
        </w:rPr>
        <w:tab/>
      </w:r>
      <w:r>
        <w:rPr>
          <w:rFonts w:hint="eastAsia"/>
          <w:b/>
          <w:sz w:val="18"/>
          <w:szCs w:val="18"/>
        </w:rPr>
        <w:tab/>
      </w:r>
      <w:r>
        <w:rPr>
          <w:rFonts w:hint="eastAsia"/>
          <w:b/>
          <w:sz w:val="18"/>
          <w:szCs w:val="18"/>
        </w:rPr>
        <w:tab/>
      </w:r>
      <w:r>
        <w:rPr>
          <w:rFonts w:hint="eastAsia"/>
          <w:b/>
          <w:sz w:val="18"/>
          <w:szCs w:val="18"/>
        </w:rPr>
        <w:tab/>
      </w:r>
      <w:r>
        <w:rPr>
          <w:rFonts w:hint="eastAsia"/>
          <w:b/>
          <w:sz w:val="18"/>
          <w:szCs w:val="18"/>
        </w:rPr>
        <w:t>（章）</w:t>
      </w:r>
    </w:p>
    <w:p w14:paraId="7B552D9C">
      <w:pPr>
        <w:autoSpaceDE w:val="0"/>
        <w:autoSpaceDN w:val="0"/>
        <w:adjustRightInd w:val="0"/>
        <w:spacing w:line="360" w:lineRule="auto"/>
        <w:ind w:left="418" w:leftChars="6" w:hanging="405" w:hangingChars="224"/>
        <w:jc w:val="left"/>
        <w:rPr>
          <w:b/>
          <w:sz w:val="18"/>
          <w:szCs w:val="18"/>
        </w:rPr>
      </w:pPr>
      <w:r>
        <w:rPr>
          <w:rFonts w:hint="eastAsia"/>
          <w:b/>
          <w:sz w:val="18"/>
          <w:szCs w:val="18"/>
        </w:rPr>
        <w:t>法定代理人：夏亮</w:t>
      </w:r>
      <w:r>
        <w:rPr>
          <w:rFonts w:hint="eastAsia"/>
          <w:b/>
          <w:sz w:val="18"/>
          <w:szCs w:val="18"/>
        </w:rPr>
        <w:tab/>
      </w:r>
      <w:r>
        <w:rPr>
          <w:rFonts w:hint="eastAsia"/>
          <w:b/>
          <w:sz w:val="18"/>
          <w:szCs w:val="18"/>
        </w:rPr>
        <w:tab/>
      </w:r>
      <w:r>
        <w:rPr>
          <w:rFonts w:hint="eastAsia"/>
          <w:b/>
          <w:sz w:val="18"/>
          <w:szCs w:val="18"/>
        </w:rPr>
        <w:tab/>
      </w:r>
      <w:r>
        <w:rPr>
          <w:rFonts w:hint="eastAsia"/>
          <w:b/>
          <w:sz w:val="18"/>
          <w:szCs w:val="18"/>
        </w:rPr>
        <w:tab/>
      </w:r>
      <w:r>
        <w:rPr>
          <w:rFonts w:hint="eastAsia"/>
          <w:b/>
          <w:sz w:val="18"/>
          <w:szCs w:val="18"/>
        </w:rPr>
        <w:tab/>
      </w:r>
      <w:r>
        <w:rPr>
          <w:rFonts w:hint="eastAsia"/>
          <w:b/>
          <w:sz w:val="18"/>
          <w:szCs w:val="18"/>
        </w:rPr>
        <w:tab/>
      </w:r>
      <w:r>
        <w:rPr>
          <w:rFonts w:hint="eastAsia"/>
          <w:b/>
          <w:sz w:val="18"/>
          <w:szCs w:val="18"/>
        </w:rPr>
        <w:tab/>
      </w:r>
      <w:r>
        <w:rPr>
          <w:rFonts w:hint="eastAsia"/>
          <w:b/>
          <w:sz w:val="18"/>
          <w:szCs w:val="18"/>
        </w:rPr>
        <w:tab/>
      </w:r>
      <w:r>
        <w:rPr>
          <w:rFonts w:hint="eastAsia"/>
          <w:b/>
          <w:sz w:val="18"/>
          <w:szCs w:val="18"/>
        </w:rPr>
        <w:t>法定代理人：</w:t>
      </w:r>
      <w:r>
        <w:rPr>
          <w:rFonts w:hint="eastAsia"/>
          <w:b/>
          <w:sz w:val="18"/>
          <w:szCs w:val="18"/>
        </w:rPr>
        <w:tab/>
      </w:r>
    </w:p>
    <w:p w14:paraId="0DC3BAB4">
      <w:pPr>
        <w:spacing w:line="360" w:lineRule="auto"/>
        <w:ind w:left="420" w:leftChars="6" w:hanging="407" w:hangingChars="225"/>
        <w:rPr>
          <w:b/>
          <w:sz w:val="18"/>
          <w:szCs w:val="18"/>
        </w:rPr>
      </w:pPr>
    </w:p>
    <w:p w14:paraId="28DE36C7">
      <w:pPr>
        <w:spacing w:line="360" w:lineRule="auto"/>
        <w:rPr>
          <w:b/>
          <w:sz w:val="18"/>
          <w:szCs w:val="18"/>
        </w:rPr>
      </w:pPr>
    </w:p>
    <w:p w14:paraId="38AB22FD">
      <w:pPr>
        <w:rPr>
          <w:rFonts w:hint="eastAsia" w:ascii="微软雅黑" w:hAnsi="微软雅黑" w:eastAsia="微软雅黑" w:cs="微软雅黑"/>
          <w:b/>
          <w:sz w:val="48"/>
          <w:szCs w:val="48"/>
        </w:rPr>
      </w:pPr>
      <w:r>
        <w:rPr>
          <w:rFonts w:hint="eastAsia" w:ascii="微软雅黑" w:hAnsi="微软雅黑" w:eastAsia="微软雅黑" w:cs="微软雅黑"/>
          <w:b/>
          <w:sz w:val="48"/>
          <w:szCs w:val="48"/>
        </w:rPr>
        <w:br w:type="page"/>
      </w:r>
    </w:p>
    <w:p w14:paraId="56D99D0B">
      <w:pPr>
        <w:spacing w:line="380" w:lineRule="exact"/>
        <w:jc w:val="center"/>
        <w:outlineLvl w:val="0"/>
        <w:rPr>
          <w:rFonts w:ascii="黑体" w:eastAsia="黑体"/>
          <w:sz w:val="32"/>
        </w:rPr>
      </w:pPr>
      <w:r>
        <w:rPr>
          <w:rFonts w:hint="eastAsia" w:ascii="黑体" w:eastAsia="黑体"/>
          <w:b/>
          <w:sz w:val="32"/>
        </w:rPr>
        <w:t>廉洁协议</w:t>
      </w:r>
    </w:p>
    <w:p w14:paraId="1EB1BE30">
      <w:pPr>
        <w:spacing w:line="380" w:lineRule="exact"/>
        <w:jc w:val="center"/>
      </w:pPr>
      <w:r>
        <w:rPr>
          <w:rFonts w:hint="eastAsia" w:ascii="宋体" w:hAnsi="宋体"/>
        </w:rPr>
        <w:t>（采购类）</w:t>
      </w:r>
    </w:p>
    <w:p w14:paraId="6BCF8E38">
      <w:pPr>
        <w:spacing w:line="380" w:lineRule="exact"/>
        <w:jc w:val="center"/>
      </w:pPr>
    </w:p>
    <w:p w14:paraId="41B2E3BB">
      <w:pPr>
        <w:tabs>
          <w:tab w:val="left" w:pos="4815"/>
        </w:tabs>
      </w:pPr>
      <w:r>
        <w:rPr>
          <w:rFonts w:hint="eastAsia" w:ascii="宋体" w:hAnsi="宋体"/>
        </w:rPr>
        <w:t>甲方：</w:t>
      </w:r>
      <w:r>
        <w:rPr>
          <w:rFonts w:hint="eastAsia"/>
        </w:rPr>
        <w:t>上海</w:t>
      </w:r>
      <w:r>
        <w:t>宝信数据中心有限公司</w:t>
      </w:r>
      <w:r>
        <w:rPr>
          <w:rFonts w:hint="eastAsia"/>
        </w:rPr>
        <w:tab/>
      </w:r>
    </w:p>
    <w:p w14:paraId="0376A2A1">
      <w:r>
        <w:rPr>
          <w:rFonts w:hint="eastAsia" w:ascii="宋体" w:hAnsi="宋体"/>
        </w:rPr>
        <w:t>住所：</w:t>
      </w:r>
      <w:r>
        <w:rPr>
          <w:rFonts w:hint="eastAsia"/>
        </w:rPr>
        <w:t>上海市宝山区</w:t>
      </w:r>
      <w:r>
        <w:t>川</w:t>
      </w:r>
      <w:r>
        <w:rPr>
          <w:rFonts w:hint="eastAsia"/>
        </w:rPr>
        <w:t>纪路500号</w:t>
      </w:r>
    </w:p>
    <w:p w14:paraId="04DB0B66">
      <w:pPr>
        <w:spacing w:line="320" w:lineRule="exact"/>
        <w:textAlignment w:val="baseline"/>
      </w:pPr>
      <w:r>
        <w:rPr>
          <w:rFonts w:hint="eastAsia" w:ascii="宋体" w:hAnsi="宋体"/>
        </w:rPr>
        <w:t>法定代表人：</w:t>
      </w:r>
      <w:r>
        <w:rPr>
          <w:rFonts w:hint="eastAsia"/>
        </w:rPr>
        <w:t>夏亮</w:t>
      </w:r>
    </w:p>
    <w:p w14:paraId="07C03FEA">
      <w:pPr>
        <w:spacing w:line="320" w:lineRule="exact"/>
        <w:textAlignment w:val="baseline"/>
      </w:pPr>
    </w:p>
    <w:p w14:paraId="4E067E99">
      <w:pPr>
        <w:rPr>
          <w:rFonts w:hint="eastAsia" w:eastAsia="黑体"/>
          <w:lang w:eastAsia="zh-CN"/>
        </w:rPr>
      </w:pPr>
      <w:r>
        <w:rPr>
          <w:rFonts w:hint="eastAsia" w:ascii="宋体" w:hAnsi="宋体"/>
        </w:rPr>
        <w:t>乙</w:t>
      </w:r>
      <w:r>
        <w:rPr>
          <w:rFonts w:hint="eastAsia" w:ascii="宋体" w:hAnsi="宋体"/>
          <w:szCs w:val="21"/>
        </w:rPr>
        <w:t>方：</w:t>
      </w:r>
      <w:r>
        <w:rPr>
          <w:rFonts w:hint="eastAsia"/>
          <w:lang w:val="en-US" w:eastAsia="zh-CN"/>
        </w:rPr>
        <w:t xml:space="preserve"> </w:t>
      </w:r>
    </w:p>
    <w:p w14:paraId="6BBC7F0F">
      <w:pPr>
        <w:keepNext w:val="0"/>
        <w:keepLines w:val="0"/>
        <w:widowControl/>
        <w:suppressLineNumbers w:val="0"/>
        <w:jc w:val="left"/>
        <w:rPr>
          <w:rFonts w:hint="eastAsia" w:ascii="宋体" w:hAnsi="宋体"/>
          <w:szCs w:val="21"/>
        </w:rPr>
      </w:pPr>
      <w:r>
        <w:rPr>
          <w:rFonts w:hint="eastAsia" w:ascii="宋体" w:hAnsi="宋体"/>
          <w:szCs w:val="21"/>
        </w:rPr>
        <w:t>住所：</w:t>
      </w:r>
      <w:r>
        <w:rPr>
          <w:rFonts w:hint="eastAsia"/>
          <w:lang w:val="en-US" w:eastAsia="zh-CN"/>
        </w:rPr>
        <w:t xml:space="preserve"> </w:t>
      </w:r>
    </w:p>
    <w:p w14:paraId="021A786F">
      <w:pPr>
        <w:spacing w:line="320" w:lineRule="exact"/>
        <w:textAlignment w:val="baseline"/>
        <w:rPr>
          <w:rFonts w:hint="eastAsia" w:eastAsia="黑体"/>
          <w:lang w:eastAsia="zh-CN"/>
        </w:rPr>
      </w:pPr>
      <w:r>
        <w:rPr>
          <w:rFonts w:hint="eastAsia" w:ascii="宋体" w:hAnsi="宋体"/>
          <w:szCs w:val="21"/>
        </w:rPr>
        <w:t>法定代表人：</w:t>
      </w:r>
      <w:r>
        <w:rPr>
          <w:rFonts w:hint="eastAsia" w:ascii="宋体" w:hAnsi="宋体"/>
          <w:szCs w:val="21"/>
          <w:lang w:val="en-US" w:eastAsia="zh-CN"/>
        </w:rPr>
        <w:t xml:space="preserve"> </w:t>
      </w:r>
    </w:p>
    <w:p w14:paraId="4D994A9E">
      <w:pPr>
        <w:spacing w:line="320" w:lineRule="exact"/>
        <w:textAlignment w:val="baseline"/>
      </w:pPr>
    </w:p>
    <w:p w14:paraId="3D0F4ED9">
      <w:pPr>
        <w:spacing w:line="320" w:lineRule="exact"/>
        <w:ind w:firstLine="435"/>
        <w:textAlignment w:val="baseline"/>
      </w:pPr>
      <w:r>
        <w:rPr>
          <w:rFonts w:hint="eastAsia" w:ascii="宋体" w:hAnsi="宋体"/>
        </w:rPr>
        <w:t>为保证甲乙双方全面、合法、正常地开展业务合作，防止各种违法、违纪、违规行为的发生，根据国家和上海市有关廉政建设法律、法规和政策的规定，经友好协商决定，双方签订本廉洁协议，明确双方权利和义务。甲乙双方在履行签订的采购类经济合同过程中违反本协议约定的条款，按本协议约定追究违约责任，以资共同遵守。</w:t>
      </w:r>
    </w:p>
    <w:p w14:paraId="0F50BD84">
      <w:pPr>
        <w:numPr>
          <w:ilvl w:val="0"/>
          <w:numId w:val="6"/>
        </w:numPr>
        <w:spacing w:line="320" w:lineRule="exact"/>
        <w:ind w:firstLine="435"/>
        <w:textAlignment w:val="baseline"/>
      </w:pPr>
      <w:r>
        <w:rPr>
          <w:rFonts w:hint="eastAsia" w:ascii="宋体" w:hAnsi="宋体"/>
        </w:rPr>
        <w:t>甲乙双方及其工作人员应当自觉遵守国家和上海市有关廉政建设的法律、法规及有关规定（以下简称“廉洁规定”）。</w:t>
      </w:r>
    </w:p>
    <w:p w14:paraId="27832CE6">
      <w:pPr>
        <w:numPr>
          <w:ilvl w:val="0"/>
          <w:numId w:val="6"/>
        </w:numPr>
        <w:spacing w:line="320" w:lineRule="exact"/>
        <w:ind w:firstLine="435"/>
        <w:textAlignment w:val="baseline"/>
      </w:pPr>
      <w:r>
        <w:rPr>
          <w:rFonts w:hint="eastAsia" w:ascii="宋体" w:hAnsi="宋体"/>
        </w:rPr>
        <w:t>甲方及其工作人员不得以任何形式向乙方索要或收受各种名义的回扣、手续费等好处费。</w:t>
      </w:r>
    </w:p>
    <w:p w14:paraId="6E5E3304">
      <w:pPr>
        <w:numPr>
          <w:ilvl w:val="0"/>
          <w:numId w:val="6"/>
        </w:numPr>
        <w:spacing w:line="320" w:lineRule="exact"/>
        <w:ind w:firstLine="435"/>
        <w:textAlignment w:val="baseline"/>
      </w:pPr>
      <w:r>
        <w:rPr>
          <w:rFonts w:hint="eastAsia" w:ascii="宋体" w:hAnsi="宋体"/>
        </w:rPr>
        <w:t>甲方及其工作人员不得索要或收受乙方的礼金、有价证券和贵重物品等礼物，不得向乙方报销任何应由个人支付的各种费用。</w:t>
      </w:r>
    </w:p>
    <w:p w14:paraId="2ED81AE3">
      <w:pPr>
        <w:numPr>
          <w:ilvl w:val="0"/>
          <w:numId w:val="6"/>
        </w:numPr>
        <w:spacing w:line="320" w:lineRule="exact"/>
        <w:ind w:firstLine="435"/>
        <w:textAlignment w:val="baseline"/>
      </w:pPr>
      <w:r>
        <w:rPr>
          <w:rFonts w:hint="eastAsia" w:ascii="宋体" w:hAnsi="宋体"/>
        </w:rPr>
        <w:t>甲方工作人员不得擅自参加任何可能影响公正执行公务的宴请和娱乐活动。</w:t>
      </w:r>
    </w:p>
    <w:p w14:paraId="338C48D0">
      <w:pPr>
        <w:numPr>
          <w:ilvl w:val="0"/>
          <w:numId w:val="6"/>
        </w:numPr>
        <w:spacing w:line="320" w:lineRule="exact"/>
        <w:ind w:firstLine="435"/>
        <w:textAlignment w:val="baseline"/>
      </w:pPr>
      <w:r>
        <w:rPr>
          <w:rFonts w:hint="eastAsia" w:ascii="宋体" w:hAnsi="宋体"/>
        </w:rPr>
        <w:t>甲方工作人员不得要求或者接受乙方在其住房装修、婚丧嫁娶、亲属工作安排以及出国等方面提供的各种方便。</w:t>
      </w:r>
    </w:p>
    <w:p w14:paraId="27D21EF1">
      <w:pPr>
        <w:numPr>
          <w:ilvl w:val="0"/>
          <w:numId w:val="6"/>
        </w:numPr>
        <w:spacing w:line="320" w:lineRule="exact"/>
        <w:ind w:firstLine="435"/>
        <w:textAlignment w:val="baseline"/>
      </w:pPr>
      <w:r>
        <w:rPr>
          <w:rFonts w:hint="eastAsia" w:ascii="宋体" w:hAnsi="宋体"/>
        </w:rPr>
        <w:t>甲方工作人员不得向乙方介绍其家属或者亲友（包括家属或亲友开办的公司企业）从事与甲乙双方签订的采购等经济合同相关的业务活动。</w:t>
      </w:r>
    </w:p>
    <w:p w14:paraId="42F9D30D">
      <w:pPr>
        <w:numPr>
          <w:ilvl w:val="0"/>
          <w:numId w:val="6"/>
        </w:numPr>
        <w:spacing w:line="320" w:lineRule="exact"/>
        <w:ind w:firstLine="435"/>
        <w:textAlignment w:val="baseline"/>
      </w:pPr>
      <w:r>
        <w:rPr>
          <w:rFonts w:hint="eastAsia" w:ascii="宋体" w:hAnsi="宋体"/>
        </w:rPr>
        <w:t>甲方工作人员不得进行违反廉洁规定的任何其他活动。</w:t>
      </w:r>
    </w:p>
    <w:p w14:paraId="052268DA">
      <w:pPr>
        <w:numPr>
          <w:ilvl w:val="0"/>
          <w:numId w:val="6"/>
        </w:numPr>
        <w:spacing w:line="320" w:lineRule="exact"/>
        <w:ind w:firstLine="435"/>
        <w:textAlignment w:val="baseline"/>
      </w:pPr>
      <w:r>
        <w:rPr>
          <w:rFonts w:hint="eastAsia" w:ascii="宋体" w:hAnsi="宋体"/>
        </w:rPr>
        <w:t>乙方工作人员不得为谋取不正当利益，给予甲方工作人员任何形式的财物。</w:t>
      </w:r>
    </w:p>
    <w:p w14:paraId="141D1F7B">
      <w:pPr>
        <w:numPr>
          <w:ilvl w:val="0"/>
          <w:numId w:val="6"/>
        </w:numPr>
        <w:spacing w:line="320" w:lineRule="exact"/>
        <w:ind w:firstLine="435"/>
        <w:textAlignment w:val="baseline"/>
      </w:pPr>
      <w:r>
        <w:rPr>
          <w:rFonts w:hint="eastAsia" w:ascii="宋体" w:hAnsi="宋体"/>
        </w:rPr>
        <w:t>乙方及其工作人员不得违反国家规定，给予甲方工作人员各种名义的回扣、手续费等好处费。</w:t>
      </w:r>
    </w:p>
    <w:p w14:paraId="3C4D7292">
      <w:pPr>
        <w:numPr>
          <w:ilvl w:val="0"/>
          <w:numId w:val="6"/>
        </w:numPr>
        <w:spacing w:line="320" w:lineRule="exact"/>
        <w:ind w:firstLine="435"/>
        <w:textAlignment w:val="baseline"/>
      </w:pPr>
      <w:r>
        <w:rPr>
          <w:rFonts w:hint="eastAsia" w:ascii="宋体" w:hAnsi="宋体"/>
        </w:rPr>
        <w:t>乙方及其工作人员不得向甲方赠送礼金、有价证券和贵重物品等礼物，不得为甲方工作人员报销应由其个人或其亲属支付的各种费用。</w:t>
      </w:r>
    </w:p>
    <w:p w14:paraId="0231306C">
      <w:pPr>
        <w:numPr>
          <w:ilvl w:val="0"/>
          <w:numId w:val="6"/>
        </w:numPr>
        <w:spacing w:line="320" w:lineRule="exact"/>
        <w:ind w:firstLine="435"/>
        <w:textAlignment w:val="baseline"/>
      </w:pPr>
      <w:r>
        <w:rPr>
          <w:rFonts w:hint="eastAsia" w:ascii="宋体" w:hAnsi="宋体"/>
        </w:rPr>
        <w:t>乙方及其工作人员不得为甲方工作人员承担住宿费用、虚开发票、给予零花钱等甲方规定甲方工作人员在出差（出国）期间应自行负担的费用。</w:t>
      </w:r>
    </w:p>
    <w:p w14:paraId="341B497F">
      <w:pPr>
        <w:numPr>
          <w:ilvl w:val="0"/>
          <w:numId w:val="6"/>
        </w:numPr>
        <w:spacing w:line="320" w:lineRule="exact"/>
        <w:ind w:firstLine="435"/>
        <w:textAlignment w:val="baseline"/>
      </w:pPr>
      <w:r>
        <w:rPr>
          <w:rFonts w:hint="eastAsia" w:ascii="宋体" w:hAnsi="宋体"/>
        </w:rPr>
        <w:t>乙方及其工作人员不得以洽谈业务、签订合同等为借口，宴请甲方工作人员或者安排其外出旅游或进行高消费娱乐、健身活动。</w:t>
      </w:r>
    </w:p>
    <w:p w14:paraId="15DF51B4">
      <w:pPr>
        <w:numPr>
          <w:ilvl w:val="0"/>
          <w:numId w:val="6"/>
        </w:numPr>
        <w:spacing w:line="320" w:lineRule="exact"/>
        <w:ind w:firstLine="435"/>
        <w:textAlignment w:val="baseline"/>
      </w:pPr>
      <w:r>
        <w:rPr>
          <w:rFonts w:hint="eastAsia" w:ascii="宋体" w:hAnsi="宋体"/>
        </w:rPr>
        <w:t>乙方及其工作人员不得为甲方及下属各单位和工作人员购置或者提供通讯工具、交通工具、高档办公用品、家电等物品。</w:t>
      </w:r>
    </w:p>
    <w:p w14:paraId="334E123A">
      <w:pPr>
        <w:numPr>
          <w:ilvl w:val="0"/>
          <w:numId w:val="6"/>
        </w:numPr>
        <w:spacing w:line="320" w:lineRule="exact"/>
        <w:ind w:firstLine="435"/>
        <w:textAlignment w:val="baseline"/>
      </w:pPr>
      <w:r>
        <w:rPr>
          <w:rFonts w:hint="eastAsia" w:ascii="宋体" w:hAnsi="宋体"/>
        </w:rPr>
        <w:t>乙方及其工作人员不得为谋取不正当利益，为甲方工作人员提供住房装修、婚丧嫁娶、亲属工作安排以及出国等方面的各种方便。</w:t>
      </w:r>
    </w:p>
    <w:p w14:paraId="551DF883">
      <w:pPr>
        <w:numPr>
          <w:ilvl w:val="0"/>
          <w:numId w:val="6"/>
        </w:numPr>
        <w:spacing w:line="320" w:lineRule="exact"/>
        <w:ind w:firstLine="435"/>
        <w:textAlignment w:val="baseline"/>
      </w:pPr>
      <w:r>
        <w:rPr>
          <w:rFonts w:hint="eastAsia" w:ascii="宋体" w:hAnsi="宋体"/>
        </w:rPr>
        <w:t>乙方不得安排甲方工作人员的家属或者亲友（包括家属或亲友开办的公司企业）从事与甲乙双方签订的采购等经济合同相关的业务活动。</w:t>
      </w:r>
    </w:p>
    <w:p w14:paraId="79D39154">
      <w:pPr>
        <w:numPr>
          <w:ilvl w:val="0"/>
          <w:numId w:val="6"/>
        </w:numPr>
        <w:spacing w:line="320" w:lineRule="exact"/>
        <w:ind w:firstLine="435"/>
        <w:textAlignment w:val="baseline"/>
      </w:pPr>
      <w:r>
        <w:rPr>
          <w:rFonts w:hint="eastAsia" w:ascii="宋体" w:hAnsi="宋体"/>
        </w:rPr>
        <w:t>乙方及其工作人员不得进行违反廉洁规定的任何其他活动。</w:t>
      </w:r>
    </w:p>
    <w:p w14:paraId="447B3841">
      <w:pPr>
        <w:numPr>
          <w:ilvl w:val="0"/>
          <w:numId w:val="6"/>
        </w:numPr>
        <w:spacing w:line="320" w:lineRule="exact"/>
        <w:ind w:firstLine="435"/>
        <w:textAlignment w:val="baseline"/>
      </w:pPr>
      <w:r>
        <w:rPr>
          <w:rFonts w:hint="eastAsia" w:ascii="宋体" w:hAnsi="宋体"/>
        </w:rPr>
        <w:t>乙方若发现甲方工作人员有违反廉洁规定的行为的，应及时对其进行教育帮助以中止其行为；若甲方工作人员的行为已构成违法、违纪或违规的，乙方应当及时向甲方纪检监督部举报</w:t>
      </w:r>
      <w:r>
        <w:rPr>
          <w:rFonts w:hint="eastAsia" w:ascii="宋体" w:hAnsi="宋体"/>
          <w:u w:val="single"/>
        </w:rPr>
        <w:t>（举报电话：021－20378803；</w:t>
      </w:r>
      <w:r>
        <w:rPr>
          <w:rFonts w:hint="eastAsia" w:ascii="宋体" w:hAnsi="宋体"/>
        </w:rPr>
        <w:t>邮件地址：jiwei@baosight.com）。甲方纪检监督部进行调查时，乙方应给予积极配合。</w:t>
      </w:r>
    </w:p>
    <w:p w14:paraId="4629EF74">
      <w:pPr>
        <w:numPr>
          <w:ilvl w:val="0"/>
          <w:numId w:val="6"/>
        </w:numPr>
        <w:spacing w:line="320" w:lineRule="exact"/>
        <w:ind w:firstLine="435"/>
        <w:textAlignment w:val="baseline"/>
      </w:pPr>
      <w:r>
        <w:rPr>
          <w:rFonts w:hint="eastAsia" w:ascii="宋体" w:hAnsi="宋体"/>
        </w:rPr>
        <w:t>甲方若发现乙方工作人员为谋取自身的不正当利益，有违反廉洁规定的行为的，应及时对其进行教育帮助以中止其行为；若乙方工作人员的行为已构成违法、违纪或违规的，甲方应当及时向乙方监察部门举报。乙方监察部门进行调查时，甲方应给予积极配合。</w:t>
      </w:r>
    </w:p>
    <w:p w14:paraId="51D406D0">
      <w:pPr>
        <w:numPr>
          <w:ilvl w:val="0"/>
          <w:numId w:val="6"/>
        </w:numPr>
        <w:spacing w:line="320" w:lineRule="exact"/>
        <w:ind w:firstLine="435"/>
        <w:textAlignment w:val="baseline"/>
      </w:pPr>
      <w:r>
        <w:rPr>
          <w:rFonts w:hint="eastAsia" w:ascii="宋体" w:hAnsi="宋体"/>
        </w:rPr>
        <w:t>若甲方发现乙方及其工作人员有违反本协议行为的，甲方有权以书面通知的方式，全部或部分解除双方之间签订的尚未履行完毕的采购等经济合同，因解除合同产生的损失由乙方自行承担。</w:t>
      </w:r>
    </w:p>
    <w:p w14:paraId="4E1632F4">
      <w:pPr>
        <w:spacing w:line="320" w:lineRule="exact"/>
        <w:ind w:firstLine="420" w:firstLineChars="200"/>
        <w:textAlignment w:val="baseline"/>
      </w:pPr>
      <w:r>
        <w:rPr>
          <w:rFonts w:hint="eastAsia" w:ascii="宋体" w:hAnsi="宋体"/>
        </w:rPr>
        <w:t>甲方发现乙方及其工作人员违反本协议或采用不正当手段行贿甲方工作人员，致使甲方工作人员构成违纪的，甲方有权根据情节和造成后果追究乙方其行贿金额10倍的违约金，全部或部分解除双方之间签订的尚未履行完毕的采购等经济合同，将乙方列为不受欢迎单位。</w:t>
      </w:r>
    </w:p>
    <w:p w14:paraId="44AD88DE">
      <w:pPr>
        <w:spacing w:line="320" w:lineRule="exact"/>
        <w:ind w:firstLine="420" w:firstLineChars="200"/>
        <w:textAlignment w:val="baseline"/>
      </w:pPr>
      <w:r>
        <w:rPr>
          <w:rFonts w:hint="eastAsia" w:ascii="宋体" w:hAnsi="宋体"/>
        </w:rPr>
        <w:t>造成恶性刑事案件的，甲方有权追究乙方其行贿金额20倍的违约金，甲方有权与乙方解除业务关系并视乙方为禁止准入的单位。</w:t>
      </w:r>
    </w:p>
    <w:p w14:paraId="52DFD365">
      <w:pPr>
        <w:spacing w:line="320" w:lineRule="exact"/>
        <w:ind w:firstLine="420" w:firstLineChars="200"/>
        <w:textAlignment w:val="baseline"/>
      </w:pPr>
      <w:r>
        <w:rPr>
          <w:rFonts w:hint="eastAsia" w:ascii="宋体" w:hAnsi="宋体"/>
        </w:rPr>
        <w:t>二十、乙方因违反廉洁规定的行为而获得的非法所得，应返还甲方。因乙方违反廉洁规定的行为给甲方造成经济损失的，乙方还应赔偿甲方经济损失。</w:t>
      </w:r>
    </w:p>
    <w:p w14:paraId="6FBDAA92">
      <w:pPr>
        <w:spacing w:line="320" w:lineRule="exact"/>
        <w:ind w:firstLine="420" w:firstLineChars="200"/>
        <w:textAlignment w:val="baseline"/>
      </w:pPr>
      <w:r>
        <w:rPr>
          <w:rFonts w:hint="eastAsia" w:ascii="宋体" w:hAnsi="宋体"/>
        </w:rPr>
        <w:t>二十一、应本协议发生的任何争议，甲乙双方应友好协商解决。</w:t>
      </w:r>
    </w:p>
    <w:p w14:paraId="5A459DEC">
      <w:pPr>
        <w:spacing w:line="320" w:lineRule="exact"/>
        <w:ind w:firstLine="420" w:firstLineChars="200"/>
        <w:textAlignment w:val="baseline"/>
      </w:pPr>
      <w:r>
        <w:rPr>
          <w:rFonts w:hint="eastAsia" w:ascii="宋体" w:hAnsi="宋体"/>
        </w:rPr>
        <w:t>二十二、因甲乙双方对本协议的争议协商不成，应提交甲方所在地法院诉讼。</w:t>
      </w:r>
    </w:p>
    <w:p w14:paraId="3BC83C61">
      <w:pPr>
        <w:spacing w:line="320" w:lineRule="exact"/>
        <w:ind w:firstLine="420" w:firstLineChars="200"/>
        <w:textAlignment w:val="baseline"/>
      </w:pPr>
      <w:r>
        <w:rPr>
          <w:rFonts w:hint="eastAsia" w:ascii="宋体" w:hAnsi="宋体"/>
        </w:rPr>
        <w:t>二十三、本协议由甲乙双方签字并盖章后发生法律效力。</w:t>
      </w:r>
    </w:p>
    <w:p w14:paraId="0BC12052">
      <w:pPr>
        <w:spacing w:line="320" w:lineRule="exact"/>
        <w:ind w:left="435"/>
        <w:textAlignment w:val="baseline"/>
      </w:pPr>
      <w:r>
        <w:rPr>
          <w:rFonts w:hint="eastAsia" w:ascii="宋体" w:hAnsi="宋体"/>
        </w:rPr>
        <w:t>二十四、本协议作为采购经济合同的从合同，不因原采购合同的无效而无效。</w:t>
      </w:r>
    </w:p>
    <w:p w14:paraId="0B019D6B">
      <w:pPr>
        <w:spacing w:line="320" w:lineRule="exact"/>
        <w:ind w:left="435"/>
        <w:textAlignment w:val="baseline"/>
        <w:rPr>
          <w:color w:val="000000"/>
        </w:rPr>
      </w:pPr>
      <w:r>
        <w:rPr>
          <w:rFonts w:hint="eastAsia" w:ascii="宋体" w:hAnsi="宋体"/>
        </w:rPr>
        <w:t>二十五、本协议一式</w:t>
      </w:r>
      <w:r>
        <w:rPr>
          <w:rFonts w:hint="eastAsia" w:ascii="宋体" w:hAnsi="宋体"/>
          <w:color w:val="000000"/>
        </w:rPr>
        <w:t>贰份，甲、乙双方各执壹份。</w:t>
      </w:r>
    </w:p>
    <w:p w14:paraId="5800CB1D">
      <w:pPr>
        <w:spacing w:line="320" w:lineRule="exact"/>
        <w:ind w:firstLine="420" w:firstLineChars="200"/>
        <w:textAlignment w:val="baseline"/>
      </w:pPr>
      <w:r>
        <w:rPr>
          <w:rFonts w:hint="eastAsia" w:ascii="宋体" w:hAnsi="宋体"/>
        </w:rPr>
        <w:t>（以下无正文）</w:t>
      </w:r>
    </w:p>
    <w:p w14:paraId="317D0F0C">
      <w:pPr>
        <w:spacing w:line="320" w:lineRule="exact"/>
        <w:ind w:firstLine="420" w:firstLineChars="200"/>
        <w:textAlignment w:val="baseline"/>
      </w:pPr>
    </w:p>
    <w:p w14:paraId="7FF94B7D">
      <w:pPr>
        <w:pStyle w:val="13"/>
        <w:ind w:firstLine="630" w:firstLineChars="300"/>
        <w:rPr>
          <w:rFonts w:hint="eastAsia"/>
          <w:kern w:val="2"/>
          <w:sz w:val="21"/>
        </w:rPr>
        <w:sectPr>
          <w:headerReference r:id="rId3" w:type="default"/>
          <w:footerReference r:id="rId4" w:type="default"/>
          <w:pgSz w:w="11906" w:h="16838"/>
          <w:pgMar w:top="1246" w:right="1270" w:bottom="1558" w:left="964" w:header="644" w:footer="992" w:gutter="0"/>
          <w:cols w:space="425" w:num="1"/>
          <w:docGrid w:type="lines" w:linePitch="312" w:charSpace="0"/>
        </w:sectPr>
      </w:pPr>
    </w:p>
    <w:p w14:paraId="25B70E56">
      <w:pPr>
        <w:pStyle w:val="13"/>
        <w:rPr>
          <w:rFonts w:hint="eastAsia"/>
          <w:kern w:val="2"/>
          <w:sz w:val="21"/>
        </w:rPr>
      </w:pPr>
      <w:r>
        <w:rPr>
          <w:rFonts w:hint="eastAsia"/>
          <w:kern w:val="2"/>
          <w:sz w:val="21"/>
        </w:rPr>
        <w:t>甲方(盖章)</w:t>
      </w:r>
      <w:r>
        <w:rPr>
          <w:rFonts w:hint="eastAsia"/>
          <w:kern w:val="2"/>
          <w:sz w:val="21"/>
          <w:lang w:eastAsia="zh-CN"/>
        </w:rPr>
        <w:t>：</w:t>
      </w:r>
      <w:r>
        <w:rPr>
          <w:rFonts w:hint="eastAsia"/>
          <w:kern w:val="2"/>
          <w:sz w:val="21"/>
        </w:rPr>
        <w:t>上海宝信数据中心有限公司</w:t>
      </w:r>
    </w:p>
    <w:p w14:paraId="3AC2149E">
      <w:pPr>
        <w:pStyle w:val="13"/>
        <w:rPr>
          <w:rFonts w:hint="eastAsia"/>
          <w:kern w:val="2"/>
          <w:sz w:val="21"/>
        </w:rPr>
      </w:pPr>
      <w:r>
        <w:rPr>
          <w:rFonts w:hint="eastAsia"/>
          <w:kern w:val="2"/>
          <w:sz w:val="21"/>
        </w:rPr>
        <w:t>代表(签字)</w:t>
      </w:r>
      <w:r>
        <w:rPr>
          <w:rFonts w:hint="eastAsia"/>
          <w:kern w:val="2"/>
          <w:sz w:val="21"/>
          <w:lang w:eastAsia="zh-CN"/>
        </w:rPr>
        <w:t>：</w:t>
      </w:r>
    </w:p>
    <w:p w14:paraId="6A945D5A">
      <w:pPr>
        <w:pStyle w:val="13"/>
        <w:rPr>
          <w:rFonts w:hint="default" w:eastAsia="宋体"/>
          <w:kern w:val="2"/>
          <w:sz w:val="21"/>
          <w:lang w:val="en-US" w:eastAsia="zh-CN"/>
        </w:rPr>
      </w:pPr>
      <w:r>
        <w:rPr>
          <w:rFonts w:hint="eastAsia"/>
          <w:kern w:val="2"/>
          <w:sz w:val="21"/>
          <w:lang w:val="en-US" w:eastAsia="zh-CN"/>
        </w:rPr>
        <w:t xml:space="preserve">日期：                             </w:t>
      </w:r>
    </w:p>
    <w:p w14:paraId="28575601">
      <w:pPr>
        <w:rPr>
          <w:rFonts w:hint="default" w:eastAsia="宋体"/>
          <w:kern w:val="2"/>
          <w:sz w:val="21"/>
          <w:lang w:val="en-US" w:eastAsia="zh-CN"/>
        </w:rPr>
      </w:pPr>
      <w:r>
        <w:rPr>
          <w:rFonts w:hint="eastAsia"/>
          <w:kern w:val="2"/>
          <w:sz w:val="21"/>
        </w:rPr>
        <w:t>乙方(盖章)</w:t>
      </w:r>
      <w:r>
        <w:rPr>
          <w:rFonts w:hint="eastAsia"/>
          <w:kern w:val="2"/>
          <w:sz w:val="21"/>
          <w:lang w:eastAsia="zh-CN"/>
        </w:rPr>
        <w:t>：</w:t>
      </w:r>
    </w:p>
    <w:p w14:paraId="6F11A0CC">
      <w:pPr>
        <w:rPr>
          <w:rFonts w:hint="eastAsia"/>
          <w:kern w:val="2"/>
          <w:sz w:val="21"/>
          <w:lang w:val="en-US" w:eastAsia="zh-CN"/>
        </w:rPr>
      </w:pPr>
      <w:r>
        <w:rPr>
          <w:rFonts w:hint="eastAsia"/>
          <w:kern w:val="2"/>
          <w:sz w:val="21"/>
        </w:rPr>
        <w:t>代表(签字)</w:t>
      </w:r>
      <w:r>
        <w:rPr>
          <w:rFonts w:hint="eastAsia"/>
          <w:kern w:val="2"/>
          <w:sz w:val="21"/>
          <w:lang w:eastAsia="zh-CN"/>
        </w:rPr>
        <w:t>：</w:t>
      </w:r>
    </w:p>
    <w:p w14:paraId="765D02C5">
      <w:pPr>
        <w:rPr>
          <w:rFonts w:hint="default" w:ascii="宋体" w:hAnsi="宋体" w:eastAsia="宋体"/>
          <w:lang w:val="en-US" w:eastAsia="zh-CN"/>
        </w:rPr>
      </w:pPr>
      <w:r>
        <w:rPr>
          <w:rFonts w:hint="eastAsia"/>
        </w:rPr>
        <w:t>日期</w:t>
      </w:r>
      <w:r>
        <w:rPr>
          <w:rFonts w:hint="eastAsia"/>
          <w:lang w:eastAsia="zh-CN"/>
        </w:rPr>
        <w:t>：</w:t>
      </w:r>
      <w:r>
        <w:rPr>
          <w:rFonts w:hint="eastAsia"/>
          <w:lang w:val="en-US" w:eastAsia="zh-CN"/>
        </w:rPr>
        <w:t xml:space="preserve">                             </w:t>
      </w:r>
    </w:p>
    <w:p w14:paraId="0E8EA7A4">
      <w:pPr>
        <w:rPr>
          <w:rFonts w:hint="eastAsia" w:ascii="宋体" w:hAnsi="宋体"/>
        </w:rPr>
        <w:sectPr>
          <w:type w:val="continuous"/>
          <w:pgSz w:w="11906" w:h="16838"/>
          <w:pgMar w:top="1246" w:right="1270" w:bottom="1558" w:left="964" w:header="644" w:footer="992" w:gutter="0"/>
          <w:cols w:equalWidth="0" w:num="2">
            <w:col w:w="4623" w:space="425"/>
            <w:col w:w="4623"/>
          </w:cols>
          <w:docGrid w:type="lines" w:linePitch="312" w:charSpace="0"/>
        </w:sectPr>
      </w:pPr>
    </w:p>
    <w:p w14:paraId="260C3FE4">
      <w:pPr>
        <w:rPr>
          <w:rFonts w:hint="eastAsia" w:ascii="宋体" w:hAnsi="宋体"/>
        </w:rPr>
      </w:pPr>
      <w:r>
        <w:rPr>
          <w:rFonts w:hint="eastAsia" w:ascii="宋体" w:hAnsi="宋体"/>
        </w:rPr>
        <w:br w:type="page"/>
      </w:r>
    </w:p>
    <w:p w14:paraId="2D1FF6BE">
      <w:pPr>
        <w:tabs>
          <w:tab w:val="left" w:pos="720"/>
        </w:tabs>
        <w:spacing w:line="400" w:lineRule="exact"/>
        <w:rPr>
          <w:rFonts w:hint="eastAsia" w:ascii="仿宋" w:hAnsi="仿宋" w:eastAsia="仿宋" w:cs="仿宋"/>
          <w:sz w:val="28"/>
        </w:rPr>
      </w:pPr>
      <w:r>
        <w:rPr>
          <w:rFonts w:hint="eastAsia" w:ascii="仿宋" w:hAnsi="仿宋" w:eastAsia="仿宋" w:cs="仿宋"/>
          <w:sz w:val="28"/>
          <w:lang w:val="en-US" w:eastAsia="zh-CN"/>
        </w:rPr>
        <w:t>J</w:t>
      </w:r>
      <w:r>
        <w:rPr>
          <w:rFonts w:hint="eastAsia" w:ascii="仿宋" w:hAnsi="仿宋" w:eastAsia="仿宋" w:cs="仿宋"/>
          <w:sz w:val="28"/>
        </w:rPr>
        <w:t xml:space="preserve">BD00H03701A    </w:t>
      </w:r>
      <w:r>
        <w:rPr>
          <w:rFonts w:hint="eastAsia" w:ascii="仿宋" w:hAnsi="仿宋" w:eastAsia="仿宋" w:cs="仿宋"/>
          <w:color w:val="FF0000"/>
          <w:sz w:val="28"/>
        </w:rPr>
        <w:t xml:space="preserve">                               </w:t>
      </w:r>
      <w:r>
        <w:rPr>
          <w:rFonts w:hint="eastAsia" w:ascii="仿宋" w:hAnsi="仿宋" w:eastAsia="仿宋" w:cs="仿宋"/>
          <w:sz w:val="28"/>
          <w:szCs w:val="28"/>
        </w:rPr>
        <w:t>保密级别：内部事项</w:t>
      </w:r>
    </w:p>
    <w:p w14:paraId="3E5F4F17">
      <w:pPr>
        <w:spacing w:before="156" w:beforeLines="50" w:line="360" w:lineRule="auto"/>
        <w:jc w:val="center"/>
        <w:outlineLvl w:val="0"/>
        <w:rPr>
          <w:rFonts w:hint="eastAsia" w:ascii="仿宋" w:hAnsi="仿宋" w:eastAsia="仿宋" w:cs="仿宋"/>
          <w:b/>
          <w:bCs/>
          <w:sz w:val="32"/>
        </w:rPr>
      </w:pPr>
      <w:r>
        <w:rPr>
          <w:rFonts w:hint="eastAsia" w:ascii="仿宋" w:hAnsi="仿宋" w:eastAsia="仿宋" w:cs="仿宋"/>
          <w:b/>
          <w:bCs/>
          <w:sz w:val="32"/>
        </w:rPr>
        <w:t>上海宝信数据中心有限公司业务外包施工安全管理协议</w:t>
      </w:r>
    </w:p>
    <w:p w14:paraId="19646988">
      <w:pPr>
        <w:spacing w:line="400" w:lineRule="exact"/>
        <w:jc w:val="center"/>
        <w:rPr>
          <w:rFonts w:ascii="方正仿宋_GB2312" w:eastAsia="方正仿宋_GB2312"/>
          <w:sz w:val="22"/>
          <w:szCs w:val="21"/>
        </w:rPr>
      </w:pPr>
    </w:p>
    <w:p w14:paraId="370977E4">
      <w:pPr>
        <w:spacing w:line="500" w:lineRule="exact"/>
        <w:rPr>
          <w:rFonts w:hint="eastAsia" w:ascii="仿宋" w:hAnsi="仿宋" w:eastAsia="仿宋" w:cs="仿宋"/>
          <w:color w:val="000000"/>
          <w:sz w:val="28"/>
          <w:szCs w:val="28"/>
        </w:rPr>
      </w:pPr>
      <w:r>
        <w:rPr>
          <w:rFonts w:hint="eastAsia" w:ascii="仿宋" w:hAnsi="仿宋" w:eastAsia="仿宋" w:cs="仿宋"/>
          <w:sz w:val="28"/>
          <w:szCs w:val="28"/>
        </w:rPr>
        <w:t>上海宝信数据中心有限公司（以下简称甲方），将</w:t>
      </w:r>
      <w:r>
        <w:rPr>
          <w:rFonts w:hint="eastAsia" w:ascii="仿宋" w:hAnsi="仿宋" w:eastAsia="仿宋" w:cs="仿宋"/>
          <w:sz w:val="28"/>
          <w:szCs w:val="28"/>
          <w:u w:val="single"/>
          <w:lang w:val="en-US" w:eastAsia="zh-CN"/>
        </w:rPr>
        <w:t xml:space="preserve">       </w:t>
      </w:r>
      <w:r>
        <w:rPr>
          <w:rFonts w:hint="eastAsia" w:ascii="仿宋" w:hAnsi="仿宋" w:eastAsia="仿宋" w:cs="仿宋"/>
          <w:color w:val="000000"/>
          <w:sz w:val="28"/>
          <w:szCs w:val="28"/>
        </w:rPr>
        <w:t>工程施工业务委托给</w:t>
      </w:r>
      <w:r>
        <w:rPr>
          <w:rFonts w:hint="eastAsia" w:ascii="仿宋" w:hAnsi="仿宋" w:eastAsia="仿宋" w:cs="仿宋"/>
          <w:sz w:val="28"/>
          <w:szCs w:val="28"/>
          <w:u w:val="single"/>
          <w:lang w:val="en-US" w:eastAsia="zh-CN"/>
        </w:rPr>
        <w:t xml:space="preserve">  </w:t>
      </w:r>
      <w:r>
        <w:rPr>
          <w:rFonts w:hint="eastAsia" w:ascii="仿宋" w:hAnsi="仿宋" w:eastAsia="仿宋" w:cs="仿宋"/>
          <w:color w:val="000000"/>
          <w:sz w:val="28"/>
          <w:szCs w:val="28"/>
        </w:rPr>
        <w:t>单位（以下简称乙方）承担。为加强施工现场期间的安全生产、环境保护、消防保卫、交通安全管理，避免人身伤害，订立本协议。</w:t>
      </w:r>
    </w:p>
    <w:p w14:paraId="7E346B15">
      <w:pPr>
        <w:numPr>
          <w:ilvl w:val="0"/>
          <w:numId w:val="7"/>
        </w:numPr>
        <w:tabs>
          <w:tab w:val="left" w:pos="720"/>
        </w:tabs>
        <w:spacing w:line="500" w:lineRule="exact"/>
        <w:rPr>
          <w:rFonts w:hint="eastAsia" w:ascii="仿宋" w:hAnsi="仿宋" w:eastAsia="仿宋" w:cs="仿宋"/>
          <w:color w:val="000000"/>
          <w:sz w:val="28"/>
          <w:szCs w:val="28"/>
        </w:rPr>
      </w:pPr>
      <w:r>
        <w:rPr>
          <w:rFonts w:hint="eastAsia" w:ascii="仿宋" w:hAnsi="仿宋" w:eastAsia="仿宋" w:cs="仿宋"/>
          <w:color w:val="000000"/>
          <w:sz w:val="28"/>
          <w:szCs w:val="28"/>
        </w:rPr>
        <w:t>施工开始前，乙方人员应填写《工程（项目）安全教育名单》，并按照名单限定人员进入施工现场，不得随意更换、增加施工人员。如乙方确实需要增加或更换施工人员，应由乙方及时通知甲方补办各项安全教育手续。否则，甲方对乙方增加或更换的施工人员发生的一切后果，不承担相应责任。</w:t>
      </w:r>
    </w:p>
    <w:p w14:paraId="5A9DD465">
      <w:pPr>
        <w:numPr>
          <w:ilvl w:val="0"/>
          <w:numId w:val="7"/>
        </w:numPr>
        <w:tabs>
          <w:tab w:val="left" w:pos="720"/>
        </w:tabs>
        <w:spacing w:line="500" w:lineRule="exact"/>
        <w:rPr>
          <w:rFonts w:hint="eastAsia" w:ascii="仿宋" w:hAnsi="仿宋" w:eastAsia="仿宋" w:cs="仿宋"/>
          <w:color w:val="000000"/>
          <w:sz w:val="28"/>
          <w:szCs w:val="28"/>
        </w:rPr>
      </w:pPr>
      <w:r>
        <w:rPr>
          <w:rFonts w:hint="eastAsia" w:ascii="仿宋" w:hAnsi="仿宋" w:eastAsia="仿宋" w:cs="仿宋"/>
          <w:color w:val="000000"/>
          <w:sz w:val="28"/>
          <w:szCs w:val="28"/>
        </w:rPr>
        <w:t>施工开始前，甲方项目负责人应对乙方施工人员进行安全教育及安全须知考试，合格后填写《安全交底教育确认表》留存。</w:t>
      </w:r>
    </w:p>
    <w:p w14:paraId="53734750">
      <w:pPr>
        <w:numPr>
          <w:ilvl w:val="0"/>
          <w:numId w:val="7"/>
        </w:numPr>
        <w:spacing w:line="500" w:lineRule="exact"/>
        <w:rPr>
          <w:rFonts w:hint="eastAsia" w:ascii="仿宋" w:hAnsi="仿宋" w:eastAsia="仿宋" w:cs="仿宋"/>
          <w:sz w:val="28"/>
          <w:szCs w:val="28"/>
        </w:rPr>
      </w:pPr>
      <w:r>
        <w:rPr>
          <w:rFonts w:hint="eastAsia" w:ascii="仿宋" w:hAnsi="仿宋" w:eastAsia="仿宋" w:cs="仿宋"/>
          <w:sz w:val="28"/>
          <w:szCs w:val="28"/>
        </w:rPr>
        <w:t>在安全教育进行后48小时内，乙方人员不得进入现场施工（处理紧急抢修突发事件及上级布置指令性任务除外）。如甲方违反规定指令乙方人员抢先施工，乙方人员有权拒绝甲方人员违反安全规定的施工指令。</w:t>
      </w:r>
    </w:p>
    <w:p w14:paraId="1A9DA886">
      <w:pPr>
        <w:numPr>
          <w:ilvl w:val="0"/>
          <w:numId w:val="7"/>
        </w:numPr>
        <w:spacing w:line="500" w:lineRule="exact"/>
        <w:rPr>
          <w:rFonts w:hint="eastAsia" w:ascii="仿宋" w:hAnsi="仿宋" w:eastAsia="仿宋" w:cs="仿宋"/>
          <w:sz w:val="28"/>
          <w:szCs w:val="28"/>
        </w:rPr>
      </w:pPr>
      <w:r>
        <w:rPr>
          <w:rFonts w:hint="eastAsia" w:ascii="仿宋" w:hAnsi="仿宋" w:eastAsia="仿宋" w:cs="仿宋"/>
          <w:sz w:val="28"/>
          <w:szCs w:val="28"/>
        </w:rPr>
        <w:t>乙方人员在开始施工前，应对现场环境进行确认，发现危险隐患，应与甲方人员协商整改或避开。一旦开始施工，即表示乙方人员确认施工环境符合安全要求。</w:t>
      </w:r>
    </w:p>
    <w:p w14:paraId="75C8D1E1">
      <w:pPr>
        <w:numPr>
          <w:ilvl w:val="0"/>
          <w:numId w:val="7"/>
        </w:numPr>
        <w:tabs>
          <w:tab w:val="left" w:pos="720"/>
        </w:tabs>
        <w:spacing w:line="500" w:lineRule="exact"/>
        <w:rPr>
          <w:rFonts w:hint="eastAsia" w:ascii="仿宋" w:hAnsi="仿宋" w:eastAsia="仿宋" w:cs="仿宋"/>
          <w:sz w:val="28"/>
          <w:szCs w:val="28"/>
        </w:rPr>
      </w:pPr>
      <w:r>
        <w:rPr>
          <w:rFonts w:hint="eastAsia" w:ascii="仿宋" w:hAnsi="仿宋" w:eastAsia="仿宋" w:cs="仿宋"/>
          <w:sz w:val="28"/>
          <w:szCs w:val="28"/>
        </w:rPr>
        <w:t>施工期间的劳防用品及防护服由乙方自行解决。</w:t>
      </w:r>
    </w:p>
    <w:p w14:paraId="184A20A9">
      <w:pPr>
        <w:numPr>
          <w:ilvl w:val="0"/>
          <w:numId w:val="7"/>
        </w:numPr>
        <w:tabs>
          <w:tab w:val="left" w:pos="720"/>
        </w:tabs>
        <w:spacing w:line="500" w:lineRule="exact"/>
        <w:rPr>
          <w:rFonts w:hint="eastAsia" w:ascii="仿宋" w:hAnsi="仿宋" w:eastAsia="仿宋" w:cs="仿宋"/>
          <w:sz w:val="28"/>
          <w:szCs w:val="28"/>
        </w:rPr>
      </w:pPr>
      <w:r>
        <w:rPr>
          <w:rFonts w:hint="eastAsia" w:ascii="仿宋" w:hAnsi="仿宋" w:eastAsia="仿宋" w:cs="仿宋"/>
          <w:sz w:val="28"/>
          <w:szCs w:val="28"/>
        </w:rPr>
        <w:t>甲方安全负责人应经常到现场检查施工安全情况，并有权对乙方的施工安全工作进行监督和指导。</w:t>
      </w:r>
    </w:p>
    <w:p w14:paraId="13CD024F">
      <w:pPr>
        <w:numPr>
          <w:ilvl w:val="0"/>
          <w:numId w:val="7"/>
        </w:numPr>
        <w:tabs>
          <w:tab w:val="left" w:pos="720"/>
        </w:tabs>
        <w:spacing w:line="500" w:lineRule="exact"/>
        <w:rPr>
          <w:rFonts w:hint="eastAsia" w:ascii="仿宋" w:hAnsi="仿宋" w:eastAsia="仿宋" w:cs="仿宋"/>
          <w:sz w:val="28"/>
          <w:szCs w:val="28"/>
          <w:u w:val="single"/>
        </w:rPr>
      </w:pPr>
      <w:r>
        <w:rPr>
          <w:rFonts w:hint="eastAsia" w:ascii="仿宋" w:hAnsi="仿宋" w:eastAsia="仿宋" w:cs="仿宋"/>
          <w:sz w:val="28"/>
          <w:szCs w:val="28"/>
          <w:u w:val="single"/>
        </w:rPr>
        <w:t>为加强外协施工安全管理，确保施工安全顺利进行，特制定以下违章罚款条款。任何违反以下规定的行为，将依据以下罚则进行处罚：</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5"/>
        <w:gridCol w:w="1530"/>
        <w:gridCol w:w="4920"/>
        <w:gridCol w:w="1960"/>
      </w:tblGrid>
      <w:tr w14:paraId="65355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tcBorders>
              <w:left w:val="nil"/>
            </w:tcBorders>
          </w:tcPr>
          <w:p w14:paraId="4E68DB6C">
            <w:pPr>
              <w:keepNext w:val="0"/>
              <w:keepLines w:val="0"/>
              <w:suppressLineNumbers w:val="0"/>
              <w:tabs>
                <w:tab w:val="left" w:pos="720"/>
              </w:tabs>
              <w:spacing w:before="0" w:beforeAutospacing="0" w:after="0" w:afterAutospacing="0" w:line="360" w:lineRule="auto"/>
              <w:ind w:left="0" w:right="0"/>
              <w:jc w:val="center"/>
              <w:rPr>
                <w:rFonts w:hint="eastAsia" w:ascii="仿宋" w:hAnsi="仿宋" w:eastAsia="仿宋" w:cs="仿宋"/>
                <w:sz w:val="24"/>
                <w:u w:val="single"/>
              </w:rPr>
            </w:pPr>
            <w:r>
              <w:rPr>
                <w:rFonts w:hint="eastAsia" w:ascii="仿宋" w:hAnsi="仿宋" w:eastAsia="仿宋" w:cs="仿宋"/>
                <w:sz w:val="24"/>
                <w:u w:val="single"/>
              </w:rPr>
              <w:t>序号</w:t>
            </w:r>
          </w:p>
        </w:tc>
        <w:tc>
          <w:tcPr>
            <w:tcW w:w="1530" w:type="dxa"/>
            <w:tcBorders>
              <w:left w:val="nil"/>
            </w:tcBorders>
          </w:tcPr>
          <w:p w14:paraId="788AD607">
            <w:pPr>
              <w:keepNext w:val="0"/>
              <w:keepLines w:val="0"/>
              <w:suppressLineNumbers w:val="0"/>
              <w:tabs>
                <w:tab w:val="left" w:pos="720"/>
              </w:tabs>
              <w:spacing w:before="0" w:beforeAutospacing="0" w:after="0" w:afterAutospacing="0" w:line="360" w:lineRule="auto"/>
              <w:ind w:left="0" w:right="0"/>
              <w:jc w:val="center"/>
              <w:rPr>
                <w:rFonts w:hint="eastAsia" w:ascii="仿宋" w:hAnsi="仿宋" w:eastAsia="仿宋" w:cs="仿宋"/>
                <w:sz w:val="24"/>
                <w:u w:val="single"/>
              </w:rPr>
            </w:pPr>
            <w:r>
              <w:rPr>
                <w:rFonts w:hint="eastAsia" w:ascii="仿宋" w:hAnsi="仿宋" w:eastAsia="仿宋" w:cs="仿宋"/>
                <w:sz w:val="24"/>
                <w:u w:val="single"/>
              </w:rPr>
              <w:t>违章类别</w:t>
            </w:r>
          </w:p>
        </w:tc>
        <w:tc>
          <w:tcPr>
            <w:tcW w:w="4920" w:type="dxa"/>
          </w:tcPr>
          <w:p w14:paraId="4F112343">
            <w:pPr>
              <w:keepNext w:val="0"/>
              <w:keepLines w:val="0"/>
              <w:suppressLineNumbers w:val="0"/>
              <w:tabs>
                <w:tab w:val="left" w:pos="720"/>
              </w:tabs>
              <w:spacing w:before="0" w:beforeAutospacing="0" w:after="0" w:afterAutospacing="0" w:line="360" w:lineRule="auto"/>
              <w:ind w:left="0" w:right="0"/>
              <w:jc w:val="center"/>
              <w:rPr>
                <w:rFonts w:hint="eastAsia" w:ascii="仿宋" w:hAnsi="仿宋" w:eastAsia="仿宋" w:cs="仿宋"/>
                <w:sz w:val="24"/>
                <w:u w:val="single"/>
              </w:rPr>
            </w:pPr>
            <w:r>
              <w:rPr>
                <w:rFonts w:hint="eastAsia" w:ascii="仿宋" w:hAnsi="仿宋" w:eastAsia="仿宋" w:cs="仿宋"/>
                <w:sz w:val="24"/>
                <w:u w:val="single"/>
              </w:rPr>
              <w:t>违章行为描述</w:t>
            </w:r>
          </w:p>
        </w:tc>
        <w:tc>
          <w:tcPr>
            <w:tcW w:w="1960" w:type="dxa"/>
            <w:tcBorders>
              <w:right w:val="nil"/>
            </w:tcBorders>
          </w:tcPr>
          <w:p w14:paraId="4D5DFE04">
            <w:pPr>
              <w:keepNext w:val="0"/>
              <w:keepLines w:val="0"/>
              <w:suppressLineNumbers w:val="0"/>
              <w:tabs>
                <w:tab w:val="left" w:pos="720"/>
              </w:tabs>
              <w:spacing w:before="0" w:beforeAutospacing="0" w:after="0" w:afterAutospacing="0" w:line="360" w:lineRule="auto"/>
              <w:ind w:left="0" w:right="0"/>
              <w:jc w:val="center"/>
              <w:rPr>
                <w:rFonts w:hint="eastAsia" w:ascii="仿宋" w:hAnsi="仿宋" w:eastAsia="仿宋" w:cs="仿宋"/>
                <w:sz w:val="24"/>
                <w:u w:val="single"/>
              </w:rPr>
            </w:pPr>
            <w:r>
              <w:rPr>
                <w:rFonts w:hint="eastAsia" w:ascii="仿宋" w:hAnsi="仿宋" w:eastAsia="仿宋" w:cs="仿宋"/>
                <w:color w:val="000000"/>
                <w:sz w:val="24"/>
                <w:u w:val="single"/>
              </w:rPr>
              <w:t>抵扣合同款金额</w:t>
            </w:r>
          </w:p>
        </w:tc>
      </w:tr>
      <w:tr w14:paraId="50C1D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tcBorders>
              <w:left w:val="nil"/>
            </w:tcBorders>
          </w:tcPr>
          <w:p w14:paraId="77804381">
            <w:pPr>
              <w:keepNext w:val="0"/>
              <w:keepLines w:val="0"/>
              <w:suppressLineNumbers w:val="0"/>
              <w:tabs>
                <w:tab w:val="left" w:pos="720"/>
              </w:tabs>
              <w:spacing w:before="0" w:beforeAutospacing="0" w:after="0" w:afterAutospacing="0" w:line="360" w:lineRule="auto"/>
              <w:ind w:left="0" w:right="0"/>
              <w:jc w:val="center"/>
              <w:rPr>
                <w:rFonts w:hint="eastAsia" w:ascii="仿宋" w:hAnsi="仿宋" w:eastAsia="仿宋" w:cs="仿宋"/>
                <w:sz w:val="24"/>
                <w:u w:val="single"/>
              </w:rPr>
            </w:pPr>
            <w:r>
              <w:rPr>
                <w:rFonts w:hint="eastAsia" w:ascii="仿宋" w:hAnsi="仿宋" w:eastAsia="仿宋" w:cs="仿宋"/>
                <w:sz w:val="24"/>
                <w:u w:val="single"/>
              </w:rPr>
              <w:t>1</w:t>
            </w:r>
          </w:p>
        </w:tc>
        <w:tc>
          <w:tcPr>
            <w:tcW w:w="1530" w:type="dxa"/>
            <w:vMerge w:val="restart"/>
            <w:tcBorders>
              <w:left w:val="nil"/>
            </w:tcBorders>
            <w:vAlign w:val="center"/>
          </w:tcPr>
          <w:p w14:paraId="0C73E40D">
            <w:pPr>
              <w:keepNext w:val="0"/>
              <w:keepLines w:val="0"/>
              <w:suppressLineNumbers w:val="0"/>
              <w:tabs>
                <w:tab w:val="left" w:pos="720"/>
              </w:tabs>
              <w:spacing w:before="0" w:beforeAutospacing="0" w:after="0" w:afterAutospacing="0" w:line="360" w:lineRule="auto"/>
              <w:ind w:left="0" w:right="0"/>
              <w:jc w:val="center"/>
              <w:rPr>
                <w:rFonts w:hint="eastAsia" w:ascii="仿宋" w:hAnsi="仿宋" w:eastAsia="仿宋" w:cs="仿宋"/>
                <w:sz w:val="24"/>
                <w:u w:val="single"/>
              </w:rPr>
            </w:pPr>
            <w:r>
              <w:rPr>
                <w:rFonts w:hint="eastAsia" w:ascii="仿宋" w:hAnsi="仿宋" w:eastAsia="仿宋" w:cs="仿宋"/>
                <w:sz w:val="24"/>
                <w:u w:val="single"/>
              </w:rPr>
              <w:t>安全生产</w:t>
            </w:r>
          </w:p>
        </w:tc>
        <w:tc>
          <w:tcPr>
            <w:tcW w:w="4920" w:type="dxa"/>
          </w:tcPr>
          <w:p w14:paraId="29BD8F97">
            <w:pPr>
              <w:keepNext w:val="0"/>
              <w:keepLines w:val="0"/>
              <w:suppressLineNumbers w:val="0"/>
              <w:tabs>
                <w:tab w:val="left" w:pos="720"/>
              </w:tabs>
              <w:spacing w:before="0" w:beforeAutospacing="0" w:after="0" w:afterAutospacing="0" w:line="360" w:lineRule="auto"/>
              <w:ind w:left="0" w:right="0"/>
              <w:jc w:val="left"/>
              <w:rPr>
                <w:rFonts w:hint="eastAsia" w:ascii="仿宋" w:hAnsi="仿宋" w:eastAsia="仿宋" w:cs="仿宋"/>
                <w:sz w:val="24"/>
                <w:u w:val="single"/>
              </w:rPr>
            </w:pPr>
            <w:r>
              <w:rPr>
                <w:rFonts w:hint="eastAsia" w:ascii="仿宋" w:hAnsi="仿宋" w:eastAsia="仿宋" w:cs="仿宋"/>
                <w:sz w:val="24"/>
                <w:u w:val="single"/>
              </w:rPr>
              <w:t>特种作业（含特种设备）未持证上岗（每一人）。</w:t>
            </w:r>
          </w:p>
        </w:tc>
        <w:tc>
          <w:tcPr>
            <w:tcW w:w="1960" w:type="dxa"/>
            <w:tcBorders>
              <w:right w:val="nil"/>
            </w:tcBorders>
          </w:tcPr>
          <w:p w14:paraId="20F769B3">
            <w:pPr>
              <w:keepNext w:val="0"/>
              <w:keepLines w:val="0"/>
              <w:suppressLineNumbers w:val="0"/>
              <w:tabs>
                <w:tab w:val="left" w:pos="720"/>
              </w:tabs>
              <w:spacing w:before="0" w:beforeAutospacing="0" w:after="0" w:afterAutospacing="0" w:line="360" w:lineRule="auto"/>
              <w:ind w:left="0" w:right="0"/>
              <w:jc w:val="center"/>
              <w:rPr>
                <w:rFonts w:hint="eastAsia" w:ascii="仿宋" w:hAnsi="仿宋" w:eastAsia="仿宋" w:cs="仿宋"/>
                <w:sz w:val="24"/>
                <w:u w:val="single"/>
              </w:rPr>
            </w:pPr>
            <w:r>
              <w:rPr>
                <w:rFonts w:hint="eastAsia" w:ascii="仿宋" w:hAnsi="仿宋" w:eastAsia="仿宋" w:cs="仿宋"/>
                <w:sz w:val="24"/>
                <w:u w:val="single"/>
              </w:rPr>
              <w:t>5000</w:t>
            </w:r>
          </w:p>
        </w:tc>
      </w:tr>
      <w:tr w14:paraId="15394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tcBorders>
              <w:left w:val="nil"/>
            </w:tcBorders>
          </w:tcPr>
          <w:p w14:paraId="547A4728">
            <w:pPr>
              <w:keepNext w:val="0"/>
              <w:keepLines w:val="0"/>
              <w:suppressLineNumbers w:val="0"/>
              <w:tabs>
                <w:tab w:val="left" w:pos="720"/>
              </w:tabs>
              <w:spacing w:before="0" w:beforeAutospacing="0" w:after="0" w:afterAutospacing="0" w:line="360" w:lineRule="auto"/>
              <w:ind w:left="0" w:right="0"/>
              <w:jc w:val="center"/>
              <w:rPr>
                <w:rFonts w:hint="eastAsia" w:ascii="仿宋" w:hAnsi="仿宋" w:eastAsia="仿宋" w:cs="仿宋"/>
                <w:sz w:val="24"/>
                <w:u w:val="single"/>
              </w:rPr>
            </w:pPr>
            <w:r>
              <w:rPr>
                <w:rFonts w:hint="eastAsia" w:ascii="仿宋" w:hAnsi="仿宋" w:eastAsia="仿宋" w:cs="仿宋"/>
                <w:sz w:val="24"/>
                <w:u w:val="single"/>
              </w:rPr>
              <w:t>2</w:t>
            </w:r>
          </w:p>
        </w:tc>
        <w:tc>
          <w:tcPr>
            <w:tcW w:w="1530" w:type="dxa"/>
            <w:vMerge w:val="continue"/>
            <w:tcBorders>
              <w:left w:val="nil"/>
            </w:tcBorders>
          </w:tcPr>
          <w:p w14:paraId="32C00EAD">
            <w:pPr>
              <w:keepNext w:val="0"/>
              <w:keepLines w:val="0"/>
              <w:suppressLineNumbers w:val="0"/>
              <w:tabs>
                <w:tab w:val="left" w:pos="720"/>
              </w:tabs>
              <w:spacing w:before="0" w:beforeAutospacing="0" w:after="0" w:afterAutospacing="0" w:line="360" w:lineRule="auto"/>
              <w:ind w:left="0" w:right="0"/>
              <w:jc w:val="center"/>
              <w:rPr>
                <w:rFonts w:hint="eastAsia" w:ascii="仿宋" w:hAnsi="仿宋" w:eastAsia="仿宋" w:cs="仿宋"/>
                <w:sz w:val="24"/>
                <w:u w:val="single"/>
              </w:rPr>
            </w:pPr>
          </w:p>
        </w:tc>
        <w:tc>
          <w:tcPr>
            <w:tcW w:w="4920" w:type="dxa"/>
          </w:tcPr>
          <w:p w14:paraId="141DA6ED">
            <w:pPr>
              <w:keepNext w:val="0"/>
              <w:keepLines w:val="0"/>
              <w:suppressLineNumbers w:val="0"/>
              <w:tabs>
                <w:tab w:val="left" w:pos="720"/>
              </w:tabs>
              <w:spacing w:before="0" w:beforeAutospacing="0" w:after="0" w:afterAutospacing="0" w:line="360" w:lineRule="auto"/>
              <w:ind w:left="0" w:right="0"/>
              <w:jc w:val="left"/>
              <w:rPr>
                <w:rFonts w:hint="eastAsia" w:ascii="仿宋" w:hAnsi="仿宋" w:eastAsia="仿宋" w:cs="仿宋"/>
                <w:sz w:val="24"/>
                <w:u w:val="single"/>
              </w:rPr>
            </w:pPr>
            <w:r>
              <w:rPr>
                <w:rFonts w:hint="eastAsia" w:ascii="仿宋" w:hAnsi="仿宋" w:eastAsia="仿宋" w:cs="仿宋"/>
                <w:sz w:val="24"/>
                <w:u w:val="single"/>
              </w:rPr>
              <w:t>危险作业（动火、登高）未办理作业许可审批</w:t>
            </w:r>
          </w:p>
        </w:tc>
        <w:tc>
          <w:tcPr>
            <w:tcW w:w="1960" w:type="dxa"/>
            <w:tcBorders>
              <w:right w:val="nil"/>
            </w:tcBorders>
          </w:tcPr>
          <w:p w14:paraId="4A2A945D">
            <w:pPr>
              <w:keepNext w:val="0"/>
              <w:keepLines w:val="0"/>
              <w:suppressLineNumbers w:val="0"/>
              <w:tabs>
                <w:tab w:val="left" w:pos="720"/>
              </w:tabs>
              <w:spacing w:before="0" w:beforeAutospacing="0" w:after="0" w:afterAutospacing="0" w:line="360" w:lineRule="auto"/>
              <w:ind w:left="0" w:right="0"/>
              <w:jc w:val="center"/>
              <w:rPr>
                <w:rFonts w:hint="eastAsia" w:ascii="仿宋" w:hAnsi="仿宋" w:eastAsia="仿宋" w:cs="仿宋"/>
                <w:sz w:val="24"/>
                <w:u w:val="single"/>
              </w:rPr>
            </w:pPr>
            <w:r>
              <w:rPr>
                <w:rFonts w:hint="eastAsia" w:ascii="仿宋" w:hAnsi="仿宋" w:eastAsia="仿宋" w:cs="仿宋"/>
                <w:sz w:val="24"/>
                <w:u w:val="single"/>
              </w:rPr>
              <w:t>5000</w:t>
            </w:r>
          </w:p>
        </w:tc>
      </w:tr>
      <w:tr w14:paraId="3F92F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tcBorders>
              <w:left w:val="nil"/>
            </w:tcBorders>
          </w:tcPr>
          <w:p w14:paraId="04F66752">
            <w:pPr>
              <w:keepNext w:val="0"/>
              <w:keepLines w:val="0"/>
              <w:suppressLineNumbers w:val="0"/>
              <w:tabs>
                <w:tab w:val="left" w:pos="720"/>
              </w:tabs>
              <w:spacing w:before="0" w:beforeAutospacing="0" w:after="0" w:afterAutospacing="0" w:line="360" w:lineRule="auto"/>
              <w:ind w:left="0" w:right="0"/>
              <w:jc w:val="center"/>
              <w:rPr>
                <w:rFonts w:hint="eastAsia" w:ascii="仿宋" w:hAnsi="仿宋" w:eastAsia="仿宋" w:cs="仿宋"/>
                <w:sz w:val="24"/>
                <w:u w:val="single"/>
              </w:rPr>
            </w:pPr>
            <w:r>
              <w:rPr>
                <w:rFonts w:hint="eastAsia" w:ascii="仿宋" w:hAnsi="仿宋" w:eastAsia="仿宋" w:cs="仿宋"/>
                <w:sz w:val="24"/>
                <w:u w:val="single"/>
              </w:rPr>
              <w:t>3</w:t>
            </w:r>
          </w:p>
        </w:tc>
        <w:tc>
          <w:tcPr>
            <w:tcW w:w="1530" w:type="dxa"/>
            <w:vMerge w:val="continue"/>
            <w:tcBorders>
              <w:left w:val="nil"/>
            </w:tcBorders>
          </w:tcPr>
          <w:p w14:paraId="71FC2C9D">
            <w:pPr>
              <w:keepNext w:val="0"/>
              <w:keepLines w:val="0"/>
              <w:suppressLineNumbers w:val="0"/>
              <w:tabs>
                <w:tab w:val="left" w:pos="720"/>
              </w:tabs>
              <w:spacing w:before="0" w:beforeAutospacing="0" w:after="0" w:afterAutospacing="0" w:line="360" w:lineRule="auto"/>
              <w:ind w:left="0" w:right="0"/>
              <w:jc w:val="center"/>
              <w:rPr>
                <w:rFonts w:hint="eastAsia" w:ascii="仿宋" w:hAnsi="仿宋" w:eastAsia="仿宋" w:cs="仿宋"/>
                <w:sz w:val="24"/>
                <w:u w:val="single"/>
              </w:rPr>
            </w:pPr>
          </w:p>
        </w:tc>
        <w:tc>
          <w:tcPr>
            <w:tcW w:w="4920" w:type="dxa"/>
          </w:tcPr>
          <w:p w14:paraId="31CF8C44">
            <w:pPr>
              <w:keepNext w:val="0"/>
              <w:keepLines w:val="0"/>
              <w:suppressLineNumbers w:val="0"/>
              <w:tabs>
                <w:tab w:val="left" w:pos="720"/>
              </w:tabs>
              <w:spacing w:before="0" w:beforeAutospacing="0" w:after="0" w:afterAutospacing="0" w:line="360" w:lineRule="auto"/>
              <w:ind w:left="0" w:right="0"/>
              <w:jc w:val="left"/>
              <w:rPr>
                <w:rFonts w:hint="eastAsia" w:ascii="仿宋" w:hAnsi="仿宋" w:eastAsia="仿宋" w:cs="仿宋"/>
                <w:sz w:val="24"/>
                <w:u w:val="single"/>
              </w:rPr>
            </w:pPr>
            <w:r>
              <w:rPr>
                <w:rFonts w:hint="eastAsia" w:ascii="仿宋" w:hAnsi="仿宋" w:eastAsia="仿宋" w:cs="仿宋"/>
                <w:sz w:val="24"/>
                <w:u w:val="single"/>
              </w:rPr>
              <w:t>发生各类事故隐瞒不报。</w:t>
            </w:r>
          </w:p>
        </w:tc>
        <w:tc>
          <w:tcPr>
            <w:tcW w:w="1960" w:type="dxa"/>
            <w:tcBorders>
              <w:right w:val="nil"/>
            </w:tcBorders>
          </w:tcPr>
          <w:p w14:paraId="402686BF">
            <w:pPr>
              <w:keepNext w:val="0"/>
              <w:keepLines w:val="0"/>
              <w:suppressLineNumbers w:val="0"/>
              <w:tabs>
                <w:tab w:val="left" w:pos="720"/>
              </w:tabs>
              <w:spacing w:before="0" w:beforeAutospacing="0" w:after="0" w:afterAutospacing="0" w:line="360" w:lineRule="auto"/>
              <w:ind w:left="0" w:right="0"/>
              <w:jc w:val="center"/>
              <w:rPr>
                <w:rFonts w:hint="eastAsia" w:ascii="仿宋" w:hAnsi="仿宋" w:eastAsia="仿宋" w:cs="仿宋"/>
                <w:sz w:val="24"/>
                <w:u w:val="single"/>
              </w:rPr>
            </w:pPr>
            <w:r>
              <w:rPr>
                <w:rFonts w:hint="eastAsia" w:ascii="仿宋" w:hAnsi="仿宋" w:eastAsia="仿宋" w:cs="仿宋"/>
                <w:sz w:val="24"/>
                <w:u w:val="single"/>
              </w:rPr>
              <w:t>25000</w:t>
            </w:r>
          </w:p>
        </w:tc>
      </w:tr>
      <w:tr w14:paraId="31123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tcBorders>
              <w:left w:val="nil"/>
            </w:tcBorders>
          </w:tcPr>
          <w:p w14:paraId="0A24B5B2">
            <w:pPr>
              <w:keepNext w:val="0"/>
              <w:keepLines w:val="0"/>
              <w:suppressLineNumbers w:val="0"/>
              <w:tabs>
                <w:tab w:val="left" w:pos="720"/>
              </w:tabs>
              <w:spacing w:before="0" w:beforeAutospacing="0" w:after="0" w:afterAutospacing="0" w:line="360" w:lineRule="auto"/>
              <w:ind w:left="0" w:right="0"/>
              <w:jc w:val="center"/>
              <w:rPr>
                <w:rFonts w:hint="eastAsia" w:ascii="仿宋" w:hAnsi="仿宋" w:eastAsia="仿宋" w:cs="仿宋"/>
                <w:sz w:val="24"/>
                <w:u w:val="single"/>
              </w:rPr>
            </w:pPr>
            <w:r>
              <w:rPr>
                <w:rFonts w:hint="eastAsia" w:ascii="仿宋" w:hAnsi="仿宋" w:eastAsia="仿宋" w:cs="仿宋"/>
                <w:sz w:val="24"/>
                <w:u w:val="single"/>
              </w:rPr>
              <w:t>4</w:t>
            </w:r>
          </w:p>
        </w:tc>
        <w:tc>
          <w:tcPr>
            <w:tcW w:w="1530" w:type="dxa"/>
            <w:tcBorders>
              <w:left w:val="nil"/>
            </w:tcBorders>
          </w:tcPr>
          <w:p w14:paraId="664A9B12">
            <w:pPr>
              <w:keepNext w:val="0"/>
              <w:keepLines w:val="0"/>
              <w:suppressLineNumbers w:val="0"/>
              <w:tabs>
                <w:tab w:val="left" w:pos="720"/>
              </w:tabs>
              <w:spacing w:before="0" w:beforeAutospacing="0" w:after="0" w:afterAutospacing="0" w:line="360" w:lineRule="auto"/>
              <w:ind w:left="0" w:right="0"/>
              <w:jc w:val="center"/>
              <w:rPr>
                <w:rFonts w:hint="eastAsia" w:ascii="仿宋" w:hAnsi="仿宋" w:eastAsia="仿宋" w:cs="仿宋"/>
                <w:sz w:val="24"/>
                <w:u w:val="single"/>
              </w:rPr>
            </w:pPr>
            <w:r>
              <w:rPr>
                <w:rFonts w:hint="eastAsia" w:ascii="仿宋" w:hAnsi="仿宋" w:eastAsia="仿宋" w:cs="仿宋"/>
                <w:sz w:val="24"/>
                <w:u w:val="single"/>
              </w:rPr>
              <w:t>环境保护</w:t>
            </w:r>
          </w:p>
        </w:tc>
        <w:tc>
          <w:tcPr>
            <w:tcW w:w="4920" w:type="dxa"/>
          </w:tcPr>
          <w:p w14:paraId="31199913">
            <w:pPr>
              <w:keepNext w:val="0"/>
              <w:keepLines w:val="0"/>
              <w:suppressLineNumbers w:val="0"/>
              <w:tabs>
                <w:tab w:val="left" w:pos="720"/>
              </w:tabs>
              <w:spacing w:before="0" w:beforeAutospacing="0" w:after="0" w:afterAutospacing="0" w:line="360" w:lineRule="auto"/>
              <w:ind w:left="0" w:right="0"/>
              <w:jc w:val="left"/>
              <w:rPr>
                <w:rFonts w:hint="eastAsia" w:ascii="仿宋" w:hAnsi="仿宋" w:eastAsia="仿宋" w:cs="仿宋"/>
                <w:sz w:val="24"/>
                <w:u w:val="single"/>
              </w:rPr>
            </w:pPr>
            <w:r>
              <w:rPr>
                <w:rFonts w:hint="eastAsia" w:ascii="仿宋" w:hAnsi="仿宋" w:eastAsia="仿宋" w:cs="仿宋"/>
                <w:sz w:val="24"/>
                <w:u w:val="single"/>
              </w:rPr>
              <w:t>擅自倾倒、丢弃、遗撒固体废物（含危废）。</w:t>
            </w:r>
          </w:p>
        </w:tc>
        <w:tc>
          <w:tcPr>
            <w:tcW w:w="1960" w:type="dxa"/>
            <w:tcBorders>
              <w:right w:val="nil"/>
            </w:tcBorders>
          </w:tcPr>
          <w:p w14:paraId="175015EB">
            <w:pPr>
              <w:keepNext w:val="0"/>
              <w:keepLines w:val="0"/>
              <w:suppressLineNumbers w:val="0"/>
              <w:tabs>
                <w:tab w:val="left" w:pos="720"/>
              </w:tabs>
              <w:spacing w:before="0" w:beforeAutospacing="0" w:after="0" w:afterAutospacing="0" w:line="360" w:lineRule="auto"/>
              <w:ind w:left="0" w:right="0"/>
              <w:jc w:val="center"/>
              <w:rPr>
                <w:rFonts w:hint="eastAsia" w:ascii="仿宋" w:hAnsi="仿宋" w:eastAsia="仿宋" w:cs="仿宋"/>
                <w:sz w:val="24"/>
                <w:u w:val="single"/>
              </w:rPr>
            </w:pPr>
            <w:r>
              <w:rPr>
                <w:rFonts w:hint="eastAsia" w:ascii="仿宋" w:hAnsi="仿宋" w:eastAsia="仿宋" w:cs="仿宋"/>
                <w:sz w:val="24"/>
                <w:u w:val="single"/>
              </w:rPr>
              <w:t>5000</w:t>
            </w:r>
          </w:p>
        </w:tc>
      </w:tr>
      <w:tr w14:paraId="4DB7B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tcBorders>
              <w:left w:val="nil"/>
            </w:tcBorders>
          </w:tcPr>
          <w:p w14:paraId="6DEA7780">
            <w:pPr>
              <w:keepNext w:val="0"/>
              <w:keepLines w:val="0"/>
              <w:suppressLineNumbers w:val="0"/>
              <w:tabs>
                <w:tab w:val="left" w:pos="720"/>
              </w:tabs>
              <w:spacing w:before="0" w:beforeAutospacing="0" w:after="0" w:afterAutospacing="0" w:line="360" w:lineRule="auto"/>
              <w:ind w:left="0" w:right="0"/>
              <w:jc w:val="center"/>
              <w:rPr>
                <w:rFonts w:hint="eastAsia" w:ascii="仿宋" w:hAnsi="仿宋" w:eastAsia="仿宋" w:cs="仿宋"/>
                <w:sz w:val="24"/>
                <w:u w:val="single"/>
              </w:rPr>
            </w:pPr>
            <w:r>
              <w:rPr>
                <w:rFonts w:hint="eastAsia" w:ascii="仿宋" w:hAnsi="仿宋" w:eastAsia="仿宋" w:cs="仿宋"/>
                <w:sz w:val="24"/>
                <w:u w:val="single"/>
              </w:rPr>
              <w:t>5</w:t>
            </w:r>
          </w:p>
        </w:tc>
        <w:tc>
          <w:tcPr>
            <w:tcW w:w="1530" w:type="dxa"/>
            <w:tcBorders>
              <w:left w:val="nil"/>
            </w:tcBorders>
          </w:tcPr>
          <w:p w14:paraId="74A813A7">
            <w:pPr>
              <w:keepNext w:val="0"/>
              <w:keepLines w:val="0"/>
              <w:suppressLineNumbers w:val="0"/>
              <w:tabs>
                <w:tab w:val="left" w:pos="720"/>
              </w:tabs>
              <w:spacing w:before="0" w:beforeAutospacing="0" w:after="0" w:afterAutospacing="0" w:line="360" w:lineRule="auto"/>
              <w:ind w:left="0" w:right="0"/>
              <w:jc w:val="center"/>
              <w:rPr>
                <w:rFonts w:hint="eastAsia" w:ascii="仿宋" w:hAnsi="仿宋" w:eastAsia="仿宋" w:cs="仿宋"/>
                <w:sz w:val="24"/>
                <w:u w:val="single"/>
              </w:rPr>
            </w:pPr>
            <w:r>
              <w:rPr>
                <w:rFonts w:hint="eastAsia" w:ascii="仿宋" w:hAnsi="仿宋" w:eastAsia="仿宋" w:cs="仿宋"/>
                <w:sz w:val="24"/>
                <w:u w:val="single"/>
              </w:rPr>
              <w:t>消防安全</w:t>
            </w:r>
          </w:p>
        </w:tc>
        <w:tc>
          <w:tcPr>
            <w:tcW w:w="4920" w:type="dxa"/>
          </w:tcPr>
          <w:p w14:paraId="24B880B5">
            <w:pPr>
              <w:keepNext w:val="0"/>
              <w:keepLines w:val="0"/>
              <w:suppressLineNumbers w:val="0"/>
              <w:tabs>
                <w:tab w:val="left" w:pos="720"/>
              </w:tabs>
              <w:spacing w:before="0" w:beforeAutospacing="0" w:after="0" w:afterAutospacing="0" w:line="360" w:lineRule="auto"/>
              <w:ind w:left="0" w:right="0"/>
              <w:rPr>
                <w:rFonts w:hint="eastAsia" w:ascii="仿宋" w:hAnsi="仿宋" w:eastAsia="仿宋" w:cs="仿宋"/>
                <w:sz w:val="24"/>
                <w:u w:val="single"/>
              </w:rPr>
            </w:pPr>
            <w:r>
              <w:rPr>
                <w:rFonts w:hint="eastAsia" w:ascii="仿宋" w:hAnsi="仿宋" w:eastAsia="仿宋" w:cs="仿宋"/>
                <w:sz w:val="24"/>
                <w:u w:val="single"/>
              </w:rPr>
              <w:t>数据中心机房楼栋内违章吸烟，每人/次。</w:t>
            </w:r>
          </w:p>
        </w:tc>
        <w:tc>
          <w:tcPr>
            <w:tcW w:w="1960" w:type="dxa"/>
            <w:tcBorders>
              <w:right w:val="nil"/>
            </w:tcBorders>
          </w:tcPr>
          <w:p w14:paraId="4133851C">
            <w:pPr>
              <w:keepNext w:val="0"/>
              <w:keepLines w:val="0"/>
              <w:suppressLineNumbers w:val="0"/>
              <w:tabs>
                <w:tab w:val="left" w:pos="720"/>
              </w:tabs>
              <w:spacing w:before="0" w:beforeAutospacing="0" w:after="0" w:afterAutospacing="0" w:line="360" w:lineRule="auto"/>
              <w:ind w:left="0" w:right="0"/>
              <w:jc w:val="center"/>
              <w:rPr>
                <w:rFonts w:hint="eastAsia" w:ascii="仿宋" w:hAnsi="仿宋" w:eastAsia="仿宋" w:cs="仿宋"/>
                <w:sz w:val="24"/>
                <w:u w:val="single"/>
              </w:rPr>
            </w:pPr>
            <w:r>
              <w:rPr>
                <w:rFonts w:hint="eastAsia" w:ascii="仿宋" w:hAnsi="仿宋" w:eastAsia="仿宋" w:cs="仿宋"/>
                <w:sz w:val="24"/>
                <w:u w:val="single"/>
              </w:rPr>
              <w:t>1000</w:t>
            </w:r>
          </w:p>
        </w:tc>
      </w:tr>
      <w:tr w14:paraId="3B1FE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9285" w:type="dxa"/>
            <w:gridSpan w:val="4"/>
            <w:tcBorders>
              <w:left w:val="nil"/>
              <w:right w:val="nil"/>
            </w:tcBorders>
          </w:tcPr>
          <w:p w14:paraId="2E39B957">
            <w:pPr>
              <w:keepNext w:val="0"/>
              <w:keepLines w:val="0"/>
              <w:suppressLineNumbers w:val="0"/>
              <w:tabs>
                <w:tab w:val="left" w:pos="720"/>
              </w:tabs>
              <w:spacing w:before="0" w:beforeAutospacing="0" w:after="0" w:afterAutospacing="0" w:line="400" w:lineRule="exact"/>
              <w:ind w:left="0" w:right="0"/>
              <w:jc w:val="left"/>
              <w:rPr>
                <w:rFonts w:hint="eastAsia" w:ascii="仿宋" w:hAnsi="仿宋" w:eastAsia="仿宋" w:cs="仿宋"/>
                <w:sz w:val="24"/>
                <w:u w:val="single"/>
              </w:rPr>
            </w:pPr>
            <w:r>
              <w:rPr>
                <w:rFonts w:hint="eastAsia" w:ascii="仿宋" w:hAnsi="仿宋" w:eastAsia="仿宋" w:cs="仿宋"/>
                <w:sz w:val="22"/>
                <w:szCs w:val="22"/>
                <w:u w:val="single"/>
              </w:rPr>
              <w:t>注：以上违章罚款将直接从外协施工单位的合同款中进行抵扣，对于严重违章行为，除违章罚款外，还将依据相关法律法规及合同条款采取进一步处罚措施。</w:t>
            </w:r>
          </w:p>
        </w:tc>
      </w:tr>
    </w:tbl>
    <w:p w14:paraId="5CB06CE7">
      <w:pPr>
        <w:numPr>
          <w:ilvl w:val="0"/>
          <w:numId w:val="7"/>
        </w:numPr>
        <w:tabs>
          <w:tab w:val="left" w:pos="720"/>
        </w:tabs>
        <w:spacing w:before="156" w:beforeLines="50" w:line="500" w:lineRule="exact"/>
        <w:rPr>
          <w:rFonts w:hint="eastAsia" w:ascii="仿宋" w:hAnsi="仿宋" w:eastAsia="仿宋" w:cs="仿宋"/>
          <w:sz w:val="28"/>
          <w:szCs w:val="28"/>
        </w:rPr>
      </w:pPr>
      <w:r>
        <w:rPr>
          <w:rFonts w:hint="eastAsia" w:ascii="仿宋" w:hAnsi="仿宋" w:eastAsia="仿宋" w:cs="仿宋"/>
          <w:sz w:val="28"/>
          <w:szCs w:val="28"/>
        </w:rPr>
        <w:t>乙方指定</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为乙方安全负责人，联系电</w:t>
      </w:r>
      <w:r>
        <w:rPr>
          <w:rFonts w:hint="eastAsia" w:ascii="仿宋" w:hAnsi="仿宋" w:eastAsia="仿宋" w:cs="仿宋"/>
          <w:sz w:val="28"/>
          <w:szCs w:val="28"/>
          <w:u w:val="none"/>
        </w:rPr>
        <w:t>话</w:t>
      </w:r>
      <w:r>
        <w:rPr>
          <w:rFonts w:hint="eastAsia" w:ascii="仿宋" w:hAnsi="仿宋" w:eastAsia="仿宋" w:cs="仿宋"/>
          <w:sz w:val="28"/>
          <w:szCs w:val="28"/>
          <w:u w:val="single"/>
          <w:lang w:val="en-US" w:eastAsia="zh-CN"/>
        </w:rPr>
        <w:t xml:space="preserve">      </w:t>
      </w:r>
    </w:p>
    <w:p w14:paraId="29693101">
      <w:pPr>
        <w:spacing w:line="500" w:lineRule="exact"/>
        <w:ind w:firstLine="1058" w:firstLineChars="378"/>
        <w:rPr>
          <w:rFonts w:hint="eastAsia" w:ascii="仿宋" w:hAnsi="仿宋" w:eastAsia="仿宋" w:cs="仿宋"/>
          <w:sz w:val="28"/>
          <w:szCs w:val="28"/>
        </w:rPr>
      </w:pPr>
      <w:r>
        <w:rPr>
          <w:rFonts w:hint="eastAsia" w:ascii="仿宋" w:hAnsi="仿宋" w:eastAsia="仿宋" w:cs="仿宋"/>
          <w:sz w:val="28"/>
          <w:szCs w:val="28"/>
        </w:rPr>
        <w:t>甲方指定</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为甲方安全负责人，联系电话</w:t>
      </w:r>
      <w:r>
        <w:rPr>
          <w:rFonts w:hint="eastAsia" w:ascii="仿宋" w:hAnsi="仿宋" w:eastAsia="仿宋" w:cs="仿宋"/>
          <w:sz w:val="28"/>
          <w:szCs w:val="28"/>
          <w:u w:val="single"/>
          <w:lang w:val="en-US" w:eastAsia="zh-CN"/>
        </w:rPr>
        <w:t xml:space="preserve">      </w:t>
      </w:r>
    </w:p>
    <w:p w14:paraId="2E756429">
      <w:pPr>
        <w:numPr>
          <w:ilvl w:val="0"/>
          <w:numId w:val="7"/>
        </w:numPr>
        <w:tabs>
          <w:tab w:val="left" w:pos="720"/>
        </w:tabs>
        <w:spacing w:line="500" w:lineRule="exact"/>
        <w:rPr>
          <w:rFonts w:hint="eastAsia" w:ascii="仿宋" w:hAnsi="仿宋" w:eastAsia="仿宋" w:cs="仿宋"/>
          <w:color w:val="000000"/>
          <w:sz w:val="28"/>
          <w:szCs w:val="28"/>
        </w:rPr>
      </w:pPr>
      <w:r>
        <w:rPr>
          <w:rFonts w:hint="eastAsia" w:ascii="仿宋" w:hAnsi="仿宋" w:eastAsia="仿宋" w:cs="仿宋"/>
          <w:color w:val="000000"/>
          <w:sz w:val="28"/>
          <w:szCs w:val="28"/>
        </w:rPr>
        <w:t>如乙方在施工期间发生人身伤害事故，乙方应在1小时内报甲方安全负责人，并按照国家和宝武集团、宝信软件安全有关规定和事故责任处理。如伤害人员在《工程（项目）安全教育名单》以外，并由乙方自身违章原因造成的，甲方概不负责。</w:t>
      </w:r>
    </w:p>
    <w:p w14:paraId="18CAC639">
      <w:pPr>
        <w:numPr>
          <w:ilvl w:val="0"/>
          <w:numId w:val="7"/>
        </w:numPr>
        <w:tabs>
          <w:tab w:val="left" w:pos="720"/>
        </w:tabs>
        <w:spacing w:line="500" w:lineRule="exact"/>
        <w:jc w:val="left"/>
        <w:rPr>
          <w:rFonts w:hint="eastAsia" w:ascii="仿宋" w:hAnsi="仿宋" w:eastAsia="仿宋" w:cs="仿宋"/>
          <w:color w:val="000000"/>
          <w:sz w:val="28"/>
          <w:szCs w:val="28"/>
        </w:rPr>
      </w:pPr>
      <w:r>
        <w:rPr>
          <w:rFonts w:hint="eastAsia" w:ascii="仿宋" w:hAnsi="仿宋" w:eastAsia="仿宋" w:cs="仿宋"/>
          <w:color w:val="000000"/>
          <w:sz w:val="28"/>
          <w:szCs w:val="28"/>
        </w:rPr>
        <w:t>施工日期：</w:t>
      </w:r>
      <w:r>
        <w:rPr>
          <w:rFonts w:hint="eastAsia" w:ascii="仿宋" w:hAnsi="仿宋" w:eastAsia="仿宋" w:cs="仿宋"/>
          <w:sz w:val="28"/>
          <w:szCs w:val="28"/>
          <w:u w:val="single"/>
          <w:lang w:val="en-US" w:eastAsia="zh-CN"/>
        </w:rPr>
        <w:t xml:space="preserve">      </w:t>
      </w:r>
      <w:r>
        <w:rPr>
          <w:rFonts w:hint="eastAsia" w:ascii="仿宋" w:hAnsi="仿宋" w:eastAsia="仿宋" w:cs="仿宋"/>
          <w:color w:val="000000"/>
          <w:sz w:val="28"/>
          <w:szCs w:val="28"/>
          <w:u w:val="single"/>
        </w:rPr>
        <w:t>年</w:t>
      </w:r>
      <w:r>
        <w:rPr>
          <w:rFonts w:hint="eastAsia" w:ascii="仿宋" w:hAnsi="仿宋" w:eastAsia="仿宋" w:cs="仿宋"/>
          <w:sz w:val="28"/>
          <w:szCs w:val="28"/>
          <w:u w:val="single"/>
          <w:lang w:val="en-US" w:eastAsia="zh-CN"/>
        </w:rPr>
        <w:t xml:space="preserve">      </w:t>
      </w:r>
      <w:r>
        <w:rPr>
          <w:rFonts w:hint="eastAsia" w:ascii="仿宋" w:hAnsi="仿宋" w:eastAsia="仿宋" w:cs="仿宋"/>
          <w:color w:val="000000"/>
          <w:sz w:val="28"/>
          <w:szCs w:val="28"/>
          <w:u w:val="single"/>
        </w:rPr>
        <w:t>月</w:t>
      </w:r>
      <w:r>
        <w:rPr>
          <w:rFonts w:hint="eastAsia" w:ascii="仿宋" w:hAnsi="仿宋" w:eastAsia="仿宋" w:cs="仿宋"/>
          <w:sz w:val="28"/>
          <w:szCs w:val="28"/>
          <w:u w:val="single"/>
          <w:lang w:val="en-US" w:eastAsia="zh-CN"/>
        </w:rPr>
        <w:t xml:space="preserve">      </w:t>
      </w:r>
      <w:r>
        <w:rPr>
          <w:rFonts w:hint="eastAsia" w:ascii="仿宋" w:hAnsi="仿宋" w:eastAsia="仿宋" w:cs="仿宋"/>
          <w:color w:val="000000"/>
          <w:sz w:val="28"/>
          <w:szCs w:val="28"/>
          <w:u w:val="single"/>
        </w:rPr>
        <w:t>日至</w:t>
      </w:r>
      <w:r>
        <w:rPr>
          <w:rFonts w:hint="eastAsia" w:ascii="仿宋" w:hAnsi="仿宋" w:eastAsia="仿宋" w:cs="仿宋"/>
          <w:sz w:val="28"/>
          <w:szCs w:val="28"/>
          <w:u w:val="single"/>
          <w:lang w:val="en-US" w:eastAsia="zh-CN"/>
        </w:rPr>
        <w:t xml:space="preserve">      </w:t>
      </w:r>
      <w:r>
        <w:rPr>
          <w:rFonts w:hint="eastAsia" w:ascii="仿宋" w:hAnsi="仿宋" w:eastAsia="仿宋" w:cs="仿宋"/>
          <w:color w:val="000000"/>
          <w:sz w:val="28"/>
          <w:szCs w:val="28"/>
          <w:u w:val="single"/>
        </w:rPr>
        <w:t>年</w:t>
      </w:r>
      <w:r>
        <w:rPr>
          <w:rFonts w:hint="eastAsia" w:ascii="仿宋" w:hAnsi="仿宋" w:eastAsia="仿宋" w:cs="仿宋"/>
          <w:sz w:val="28"/>
          <w:szCs w:val="28"/>
          <w:u w:val="single"/>
          <w:lang w:val="en-US" w:eastAsia="zh-CN"/>
        </w:rPr>
        <w:t xml:space="preserve">      </w:t>
      </w:r>
      <w:r>
        <w:rPr>
          <w:rFonts w:hint="eastAsia" w:ascii="仿宋" w:hAnsi="仿宋" w:eastAsia="仿宋" w:cs="仿宋"/>
          <w:color w:val="000000"/>
          <w:sz w:val="28"/>
          <w:szCs w:val="28"/>
          <w:u w:val="single"/>
        </w:rPr>
        <w:t>月</w:t>
      </w:r>
      <w:r>
        <w:rPr>
          <w:rFonts w:hint="eastAsia" w:ascii="仿宋" w:hAnsi="仿宋" w:eastAsia="仿宋" w:cs="仿宋"/>
          <w:sz w:val="28"/>
          <w:szCs w:val="28"/>
          <w:u w:val="single"/>
          <w:lang w:val="en-US" w:eastAsia="zh-CN"/>
        </w:rPr>
        <w:t xml:space="preserve">      </w:t>
      </w:r>
      <w:r>
        <w:rPr>
          <w:rFonts w:hint="eastAsia" w:ascii="仿宋" w:hAnsi="仿宋" w:eastAsia="仿宋" w:cs="仿宋"/>
          <w:color w:val="000000"/>
          <w:sz w:val="28"/>
          <w:szCs w:val="28"/>
          <w:u w:val="single"/>
        </w:rPr>
        <w:t>日</w:t>
      </w:r>
    </w:p>
    <w:p w14:paraId="52E83922">
      <w:pPr>
        <w:numPr>
          <w:ilvl w:val="0"/>
          <w:numId w:val="7"/>
        </w:numPr>
        <w:spacing w:line="500" w:lineRule="exact"/>
        <w:jc w:val="left"/>
        <w:rPr>
          <w:rFonts w:hint="eastAsia" w:ascii="仿宋" w:hAnsi="仿宋" w:eastAsia="仿宋" w:cs="仿宋"/>
          <w:color w:val="000000"/>
          <w:sz w:val="28"/>
          <w:szCs w:val="28"/>
        </w:rPr>
      </w:pPr>
      <w:r>
        <w:rPr>
          <w:rFonts w:hint="eastAsia" w:ascii="仿宋" w:hAnsi="仿宋" w:eastAsia="仿宋" w:cs="仿宋"/>
          <w:color w:val="000000"/>
          <w:sz w:val="28"/>
          <w:szCs w:val="28"/>
        </w:rPr>
        <w:t>本协议一式两份，甲、乙双方各存一份，双方代表签字后生效。</w:t>
      </w:r>
    </w:p>
    <w:p w14:paraId="19CD60D4">
      <w:pPr>
        <w:numPr>
          <w:ilvl w:val="0"/>
          <w:numId w:val="7"/>
        </w:numPr>
        <w:spacing w:line="500" w:lineRule="exact"/>
        <w:jc w:val="left"/>
        <w:rPr>
          <w:rFonts w:hint="eastAsia" w:ascii="仿宋" w:hAnsi="仿宋" w:eastAsia="仿宋" w:cs="仿宋"/>
          <w:sz w:val="28"/>
          <w:szCs w:val="28"/>
        </w:rPr>
      </w:pPr>
      <w:r>
        <w:rPr>
          <w:rFonts w:hint="eastAsia" w:ascii="仿宋" w:hAnsi="仿宋" w:eastAsia="仿宋" w:cs="仿宋"/>
          <w:sz w:val="28"/>
          <w:szCs w:val="28"/>
        </w:rPr>
        <w:t>本施工项目结束，安全管理协议自动失效。</w:t>
      </w:r>
    </w:p>
    <w:p w14:paraId="037C8CF3">
      <w:pPr>
        <w:spacing w:line="500" w:lineRule="exact"/>
        <w:ind w:left="420"/>
        <w:jc w:val="center"/>
        <w:rPr>
          <w:rFonts w:hint="eastAsia" w:ascii="仿宋" w:hAnsi="仿宋" w:eastAsia="仿宋" w:cs="仿宋"/>
          <w:sz w:val="28"/>
          <w:szCs w:val="28"/>
        </w:rPr>
      </w:pPr>
    </w:p>
    <w:p w14:paraId="575C5013">
      <w:pPr>
        <w:spacing w:line="500" w:lineRule="exact"/>
        <w:ind w:left="420"/>
        <w:jc w:val="center"/>
        <w:rPr>
          <w:rFonts w:hint="eastAsia" w:ascii="仿宋" w:hAnsi="仿宋" w:eastAsia="仿宋" w:cs="仿宋"/>
          <w:sz w:val="28"/>
          <w:szCs w:val="28"/>
        </w:rPr>
      </w:pPr>
      <w:r>
        <w:rPr>
          <w:rFonts w:hint="eastAsia" w:ascii="仿宋" w:hAnsi="仿宋" w:eastAsia="仿宋" w:cs="仿宋"/>
          <w:sz w:val="28"/>
          <w:szCs w:val="28"/>
        </w:rPr>
        <w:t>（以下无正文，为</w:t>
      </w:r>
      <w:r>
        <w:rPr>
          <w:rFonts w:hint="eastAsia" w:ascii="仿宋" w:hAnsi="仿宋" w:eastAsia="仿宋" w:cs="仿宋"/>
          <w:sz w:val="28"/>
          <w:szCs w:val="22"/>
        </w:rPr>
        <w:t>本协议</w:t>
      </w:r>
      <w:r>
        <w:rPr>
          <w:rFonts w:hint="eastAsia" w:ascii="仿宋" w:hAnsi="仿宋" w:eastAsia="仿宋" w:cs="仿宋"/>
          <w:sz w:val="28"/>
          <w:szCs w:val="28"/>
        </w:rPr>
        <w:t>签章处）</w:t>
      </w:r>
    </w:p>
    <w:p w14:paraId="718E2FA9">
      <w:pPr>
        <w:spacing w:line="500" w:lineRule="exact"/>
        <w:rPr>
          <w:rFonts w:hint="eastAsia" w:ascii="仿宋" w:hAnsi="仿宋" w:eastAsia="仿宋" w:cs="仿宋"/>
          <w:sz w:val="28"/>
          <w:szCs w:val="28"/>
        </w:rPr>
      </w:pPr>
    </w:p>
    <w:p w14:paraId="60B09293">
      <w:pPr>
        <w:spacing w:line="500" w:lineRule="exact"/>
        <w:rPr>
          <w:rFonts w:hint="eastAsia" w:ascii="仿宋" w:hAnsi="仿宋" w:eastAsia="仿宋" w:cs="仿宋"/>
          <w:sz w:val="28"/>
          <w:szCs w:val="28"/>
        </w:rPr>
      </w:pPr>
    </w:p>
    <w:p w14:paraId="38D353B4">
      <w:pPr>
        <w:spacing w:before="156" w:beforeLines="50" w:after="156" w:afterLines="50" w:line="360" w:lineRule="auto"/>
        <w:ind w:left="5880" w:hanging="5880" w:hangingChars="2100"/>
        <w:rPr>
          <w:rFonts w:hint="eastAsia" w:ascii="仿宋" w:hAnsi="仿宋" w:eastAsia="仿宋" w:cs="仿宋"/>
          <w:sz w:val="28"/>
          <w:szCs w:val="28"/>
        </w:rPr>
        <w:sectPr>
          <w:type w:val="continuous"/>
          <w:pgSz w:w="11906" w:h="16838"/>
          <w:pgMar w:top="1246" w:right="1270" w:bottom="1558" w:left="964" w:header="644" w:footer="992" w:gutter="0"/>
          <w:cols w:space="425" w:num="1"/>
          <w:docGrid w:type="lines" w:linePitch="312" w:charSpace="0"/>
        </w:sectPr>
      </w:pPr>
    </w:p>
    <w:p w14:paraId="74D58E54">
      <w:pPr>
        <w:spacing w:before="156" w:beforeLines="50" w:after="156" w:afterLines="50" w:line="360" w:lineRule="auto"/>
        <w:ind w:left="5880" w:hanging="5880" w:hangingChars="2100"/>
        <w:rPr>
          <w:rFonts w:hint="eastAsia" w:ascii="仿宋" w:hAnsi="仿宋" w:eastAsia="仿宋" w:cs="仿宋"/>
          <w:sz w:val="28"/>
          <w:szCs w:val="28"/>
        </w:rPr>
      </w:pPr>
      <w:r>
        <w:rPr>
          <w:rFonts w:hint="eastAsia" w:ascii="仿宋" w:hAnsi="仿宋" w:eastAsia="仿宋" w:cs="仿宋"/>
          <w:sz w:val="28"/>
          <w:szCs w:val="28"/>
        </w:rPr>
        <w:t>甲方：上海宝信数据中心有限公司</w:t>
      </w:r>
    </w:p>
    <w:p w14:paraId="4121988B">
      <w:pPr>
        <w:spacing w:before="156" w:beforeLines="50" w:after="156" w:afterLines="50" w:line="360" w:lineRule="auto"/>
        <w:ind w:left="5880" w:hanging="5880" w:hangingChars="2100"/>
        <w:rPr>
          <w:rFonts w:hint="eastAsia" w:ascii="仿宋" w:hAnsi="仿宋" w:eastAsia="仿宋" w:cs="仿宋"/>
          <w:sz w:val="28"/>
          <w:szCs w:val="28"/>
        </w:rPr>
      </w:pPr>
      <w:r>
        <w:rPr>
          <w:rFonts w:hint="eastAsia" w:ascii="仿宋" w:hAnsi="仿宋" w:eastAsia="仿宋" w:cs="仿宋"/>
          <w:sz w:val="28"/>
          <w:szCs w:val="28"/>
        </w:rPr>
        <w:t>代表：</w:t>
      </w:r>
    </w:p>
    <w:p w14:paraId="0489B136">
      <w:pPr>
        <w:spacing w:before="156" w:beforeLines="50" w:after="156" w:afterLines="50" w:line="360" w:lineRule="auto"/>
        <w:ind w:left="5880" w:hanging="5880" w:hangingChars="2100"/>
        <w:rPr>
          <w:rFonts w:hint="eastAsia" w:ascii="仿宋" w:hAnsi="仿宋" w:eastAsia="仿宋" w:cs="仿宋"/>
          <w:sz w:val="28"/>
          <w:szCs w:val="28"/>
        </w:rPr>
      </w:pPr>
      <w:r>
        <w:rPr>
          <w:rFonts w:hint="eastAsia" w:ascii="仿宋" w:hAnsi="仿宋" w:eastAsia="仿宋" w:cs="仿宋"/>
          <w:sz w:val="28"/>
          <w:szCs w:val="28"/>
        </w:rPr>
        <w:t>电话：</w:t>
      </w:r>
    </w:p>
    <w:p w14:paraId="24FE9B4A">
      <w:pPr>
        <w:spacing w:before="156" w:beforeLines="50" w:after="156" w:afterLines="50" w:line="360" w:lineRule="auto"/>
        <w:ind w:left="5880" w:hanging="5880" w:hangingChars="2100"/>
        <w:rPr>
          <w:rFonts w:hint="eastAsia" w:ascii="仿宋" w:hAnsi="仿宋" w:eastAsia="仿宋" w:cs="仿宋"/>
          <w:sz w:val="28"/>
          <w:szCs w:val="28"/>
        </w:rPr>
      </w:pPr>
      <w:r>
        <w:rPr>
          <w:rFonts w:hint="eastAsia" w:ascii="仿宋" w:hAnsi="仿宋" w:eastAsia="仿宋" w:cs="仿宋"/>
          <w:sz w:val="28"/>
          <w:szCs w:val="28"/>
        </w:rPr>
        <w:t>日期：</w:t>
      </w:r>
    </w:p>
    <w:p w14:paraId="2E048C66">
      <w:pPr>
        <w:spacing w:before="156" w:beforeLines="50" w:after="156" w:afterLines="50" w:line="360" w:lineRule="auto"/>
        <w:ind w:left="5880" w:hanging="5880" w:hangingChars="2100"/>
        <w:rPr>
          <w:rFonts w:hint="eastAsia" w:ascii="仿宋" w:hAnsi="仿宋" w:eastAsia="仿宋" w:cs="仿宋"/>
          <w:sz w:val="28"/>
          <w:szCs w:val="28"/>
        </w:rPr>
      </w:pPr>
    </w:p>
    <w:p w14:paraId="5EAF55F8">
      <w:pPr>
        <w:spacing w:before="156" w:beforeLines="50" w:after="156" w:afterLines="50" w:line="360" w:lineRule="auto"/>
        <w:ind w:left="5880" w:hanging="5880" w:hangingChars="2100"/>
        <w:rPr>
          <w:rFonts w:hint="eastAsia" w:ascii="仿宋" w:hAnsi="仿宋" w:eastAsia="仿宋" w:cs="仿宋"/>
          <w:sz w:val="28"/>
          <w:szCs w:val="28"/>
        </w:rPr>
      </w:pPr>
      <w:r>
        <w:rPr>
          <w:rFonts w:hint="eastAsia" w:ascii="仿宋" w:hAnsi="仿宋" w:eastAsia="仿宋" w:cs="仿宋"/>
          <w:sz w:val="28"/>
          <w:szCs w:val="28"/>
        </w:rPr>
        <w:t>乙方：</w:t>
      </w:r>
    </w:p>
    <w:p w14:paraId="5BF37B9C">
      <w:pPr>
        <w:spacing w:before="156" w:beforeLines="50" w:after="156" w:afterLines="50" w:line="360" w:lineRule="auto"/>
        <w:rPr>
          <w:rFonts w:hint="eastAsia" w:ascii="仿宋" w:hAnsi="仿宋" w:eastAsia="仿宋" w:cs="仿宋"/>
          <w:sz w:val="28"/>
          <w:szCs w:val="28"/>
        </w:rPr>
      </w:pPr>
      <w:r>
        <w:rPr>
          <w:rFonts w:hint="eastAsia" w:ascii="仿宋" w:hAnsi="仿宋" w:eastAsia="仿宋" w:cs="仿宋"/>
          <w:sz w:val="28"/>
          <w:szCs w:val="28"/>
        </w:rPr>
        <w:t>代表：</w:t>
      </w:r>
    </w:p>
    <w:p w14:paraId="29923A16">
      <w:pPr>
        <w:spacing w:before="156" w:beforeLines="50" w:after="156" w:afterLines="50" w:line="360" w:lineRule="auto"/>
        <w:rPr>
          <w:rFonts w:hint="eastAsia" w:ascii="仿宋" w:hAnsi="仿宋" w:eastAsia="仿宋" w:cs="仿宋"/>
          <w:sz w:val="28"/>
          <w:szCs w:val="28"/>
        </w:rPr>
      </w:pPr>
      <w:r>
        <w:rPr>
          <w:rFonts w:hint="eastAsia" w:ascii="仿宋" w:hAnsi="仿宋" w:eastAsia="仿宋" w:cs="仿宋"/>
          <w:sz w:val="28"/>
          <w:szCs w:val="28"/>
        </w:rPr>
        <w:t>电话：</w:t>
      </w:r>
    </w:p>
    <w:p w14:paraId="60C53FBC">
      <w:pPr>
        <w:spacing w:before="156" w:beforeLines="50" w:after="156" w:afterLines="50" w:line="360" w:lineRule="auto"/>
        <w:rPr>
          <w:rFonts w:hint="eastAsia" w:ascii="仿宋" w:hAnsi="仿宋" w:eastAsia="仿宋" w:cs="仿宋"/>
          <w:sz w:val="24"/>
        </w:rPr>
      </w:pPr>
      <w:r>
        <w:rPr>
          <w:rFonts w:hint="eastAsia" w:ascii="仿宋" w:hAnsi="仿宋" w:eastAsia="仿宋" w:cs="仿宋"/>
          <w:sz w:val="28"/>
          <w:szCs w:val="28"/>
        </w:rPr>
        <w:t>日期：</w:t>
      </w:r>
    </w:p>
    <w:p w14:paraId="4E34C51E">
      <w:pPr>
        <w:rPr>
          <w:rFonts w:hint="eastAsia" w:ascii="宋体" w:hAnsi="宋体"/>
        </w:rPr>
        <w:sectPr>
          <w:type w:val="continuous"/>
          <w:pgSz w:w="11906" w:h="16838"/>
          <w:pgMar w:top="1246" w:right="1270" w:bottom="1558" w:left="964" w:header="644" w:footer="992" w:gutter="0"/>
          <w:cols w:equalWidth="0" w:num="2">
            <w:col w:w="4623" w:space="425"/>
            <w:col w:w="4623"/>
          </w:cols>
          <w:docGrid w:type="lines" w:linePitch="312" w:charSpace="0"/>
        </w:sectPr>
      </w:pPr>
    </w:p>
    <w:p w14:paraId="178F0F30">
      <w:pPr>
        <w:rPr>
          <w:rFonts w:hint="eastAsia" w:ascii="宋体" w:hAnsi="宋体"/>
        </w:rPr>
      </w:pPr>
    </w:p>
    <w:p w14:paraId="3C6D01F4">
      <w:pPr>
        <w:widowControl/>
        <w:jc w:val="left"/>
        <w:rPr>
          <w:rFonts w:hint="eastAsia" w:ascii="宋体" w:hAnsi="宋体"/>
        </w:rPr>
      </w:pPr>
      <w:r>
        <w:rPr>
          <w:rFonts w:hint="eastAsia" w:ascii="宋体" w:hAnsi="宋体"/>
        </w:rPr>
        <w:br w:type="page"/>
      </w:r>
    </w:p>
    <w:p w14:paraId="178948F2">
      <w:pPr>
        <w:pStyle w:val="13"/>
        <w:jc w:val="center"/>
        <w:outlineLvl w:val="0"/>
        <w:rPr>
          <w:rFonts w:ascii="楷体_GB2312" w:eastAsia="黑体"/>
          <w:sz w:val="32"/>
        </w:rPr>
      </w:pPr>
      <w:r>
        <w:rPr>
          <w:rFonts w:hint="eastAsia" w:ascii="楷体_GB2312" w:eastAsia="黑体"/>
          <w:sz w:val="32"/>
          <w:u w:val="single"/>
          <w:lang w:val="en-US" w:eastAsia="zh-CN"/>
        </w:rPr>
        <w:t xml:space="preserve">                            </w:t>
      </w:r>
      <w:r>
        <w:rPr>
          <w:rFonts w:hint="eastAsia" w:ascii="楷体_GB2312" w:eastAsia="黑体"/>
          <w:sz w:val="32"/>
        </w:rPr>
        <w:t>项目保密协议</w:t>
      </w:r>
    </w:p>
    <w:p w14:paraId="0D8CD333">
      <w:pPr>
        <w:ind w:firstLine="560" w:firstLineChars="200"/>
        <w:rPr>
          <w:rFonts w:ascii="仿宋_GB2312" w:eastAsia="仿宋_GB2312"/>
          <w:sz w:val="28"/>
        </w:rPr>
      </w:pPr>
      <w:r>
        <w:rPr>
          <w:rFonts w:hint="eastAsia" w:ascii="仿宋_GB2312" w:eastAsia="仿宋_GB2312"/>
          <w:sz w:val="28"/>
        </w:rPr>
        <w:t>甲方（项目业主）：</w:t>
      </w:r>
      <w:r>
        <w:rPr>
          <w:rFonts w:hint="eastAsia" w:ascii="仿宋_GB2312" w:hAnsi="宋体" w:eastAsia="仿宋_GB2312"/>
          <w:color w:val="000000"/>
          <w:kern w:val="0"/>
          <w:sz w:val="28"/>
          <w:u w:val="single"/>
        </w:rPr>
        <w:t>上海宝信数据中心有限公司</w:t>
      </w:r>
    </w:p>
    <w:p w14:paraId="55A09812">
      <w:pPr>
        <w:pStyle w:val="13"/>
        <w:ind w:firstLine="560" w:firstLineChars="200"/>
        <w:rPr>
          <w:rFonts w:hint="default" w:ascii="仿宋_GB2312" w:eastAsia="仿宋_GB2312"/>
          <w:sz w:val="28"/>
          <w:lang w:val="en-US" w:eastAsia="zh-CN"/>
        </w:rPr>
      </w:pPr>
      <w:r>
        <w:rPr>
          <w:rFonts w:hint="eastAsia" w:ascii="仿宋_GB2312" w:eastAsia="仿宋_GB2312"/>
          <w:sz w:val="28"/>
        </w:rPr>
        <w:t>乙方（项目开发方或咨询方）：</w:t>
      </w:r>
      <w:r>
        <w:rPr>
          <w:rFonts w:hint="eastAsia" w:ascii="仿宋_GB2312" w:eastAsia="仿宋_GB2312"/>
          <w:sz w:val="28"/>
          <w:u w:val="single"/>
          <w:lang w:val="en-US" w:eastAsia="zh-CN"/>
        </w:rPr>
        <w:t xml:space="preserve">             </w:t>
      </w:r>
    </w:p>
    <w:p w14:paraId="3289C674">
      <w:pPr>
        <w:pStyle w:val="13"/>
        <w:ind w:firstLine="560" w:firstLineChars="200"/>
        <w:rPr>
          <w:rFonts w:ascii="仿宋_GB2312" w:eastAsia="仿宋_GB2312"/>
          <w:sz w:val="28"/>
        </w:rPr>
      </w:pPr>
      <w:r>
        <w:rPr>
          <w:rFonts w:hint="eastAsia" w:ascii="仿宋_GB2312" w:eastAsia="仿宋_GB2312"/>
          <w:sz w:val="28"/>
        </w:rPr>
        <w:t>为了明确甲乙双方的保密义务，甲、乙双方本着平等、自愿、公平和诚实信用的原则，订立本保密协议。双方确认在签署本协议前已经详细审阅过协议的内容，并完成了解协议各条款的法律含义。</w:t>
      </w:r>
    </w:p>
    <w:p w14:paraId="585225CE">
      <w:pPr>
        <w:pStyle w:val="13"/>
        <w:numPr>
          <w:ilvl w:val="0"/>
          <w:numId w:val="8"/>
        </w:numPr>
        <w:rPr>
          <w:rFonts w:ascii="仿宋_GB2312" w:eastAsia="仿宋_GB2312"/>
          <w:sz w:val="28"/>
        </w:rPr>
      </w:pPr>
      <w:r>
        <w:rPr>
          <w:rFonts w:ascii="仿宋_GB2312" w:eastAsia="仿宋_GB2312"/>
          <w:sz w:val="28"/>
        </w:rPr>
        <w:t>保密内容</w:t>
      </w:r>
    </w:p>
    <w:p w14:paraId="7187D4EB">
      <w:pPr>
        <w:pStyle w:val="13"/>
        <w:ind w:firstLine="560" w:firstLineChars="200"/>
        <w:rPr>
          <w:rFonts w:ascii="仿宋_GB2312" w:eastAsia="仿宋_GB2312"/>
          <w:sz w:val="28"/>
        </w:rPr>
      </w:pPr>
      <w:r>
        <w:rPr>
          <w:rFonts w:hint="eastAsia" w:ascii="仿宋_GB2312" w:eastAsia="仿宋_GB2312"/>
          <w:sz w:val="28"/>
        </w:rPr>
        <w:t>（一）双</w:t>
      </w:r>
      <w:r>
        <w:rPr>
          <w:rFonts w:ascii="仿宋_GB2312" w:eastAsia="仿宋_GB2312"/>
          <w:sz w:val="28"/>
        </w:rPr>
        <w:t>方确认，甲、乙双方应承担</w:t>
      </w:r>
      <w:r>
        <w:rPr>
          <w:rFonts w:hint="eastAsia" w:ascii="仿宋_GB2312" w:eastAsia="仿宋_GB2312"/>
          <w:sz w:val="28"/>
        </w:rPr>
        <w:t>对对方的</w:t>
      </w:r>
      <w:r>
        <w:rPr>
          <w:rFonts w:ascii="仿宋_GB2312" w:eastAsia="仿宋_GB2312"/>
          <w:sz w:val="28"/>
        </w:rPr>
        <w:t>商业秘密</w:t>
      </w:r>
      <w:r>
        <w:rPr>
          <w:rFonts w:hint="eastAsia" w:ascii="仿宋_GB2312" w:eastAsia="仿宋_GB2312"/>
          <w:sz w:val="28"/>
        </w:rPr>
        <w:t>保密的义务，</w:t>
      </w:r>
      <w:r>
        <w:rPr>
          <w:rFonts w:ascii="仿宋_GB2312" w:eastAsia="仿宋_GB2312"/>
          <w:sz w:val="28"/>
        </w:rPr>
        <w:t>范围包括但不限于以下内容：</w:t>
      </w:r>
    </w:p>
    <w:p w14:paraId="7BD3C220">
      <w:pPr>
        <w:pStyle w:val="13"/>
        <w:numPr>
          <w:ilvl w:val="1"/>
          <w:numId w:val="8"/>
        </w:numPr>
        <w:rPr>
          <w:rFonts w:ascii="仿宋_GB2312" w:eastAsia="仿宋_GB2312"/>
          <w:sz w:val="28"/>
        </w:rPr>
      </w:pPr>
      <w:r>
        <w:rPr>
          <w:rFonts w:hint="eastAsia" w:ascii="仿宋_GB2312" w:eastAsia="仿宋_GB2312"/>
          <w:sz w:val="28"/>
        </w:rPr>
        <w:t>在本项目开始前及本项目实施过程中，</w:t>
      </w:r>
      <w:r>
        <w:rPr>
          <w:rFonts w:ascii="仿宋_GB2312" w:eastAsia="仿宋_GB2312"/>
          <w:sz w:val="28"/>
        </w:rPr>
        <w:t>乙方</w:t>
      </w:r>
      <w:r>
        <w:rPr>
          <w:rFonts w:hint="eastAsia" w:ascii="仿宋_GB2312" w:eastAsia="仿宋_GB2312"/>
          <w:sz w:val="28"/>
        </w:rPr>
        <w:t>从</w:t>
      </w:r>
      <w:r>
        <w:rPr>
          <w:rFonts w:ascii="仿宋_GB2312" w:eastAsia="仿宋_GB2312"/>
          <w:sz w:val="28"/>
        </w:rPr>
        <w:t>甲方</w:t>
      </w:r>
      <w:r>
        <w:rPr>
          <w:rFonts w:hint="eastAsia" w:ascii="仿宋_GB2312" w:eastAsia="仿宋_GB2312"/>
          <w:sz w:val="28"/>
        </w:rPr>
        <w:t>获取、了解、知悉的需保密的资料（口头、书面及电子文档）。</w:t>
      </w:r>
    </w:p>
    <w:p w14:paraId="77303097">
      <w:pPr>
        <w:pStyle w:val="13"/>
        <w:numPr>
          <w:ilvl w:val="1"/>
          <w:numId w:val="8"/>
        </w:numPr>
        <w:rPr>
          <w:rFonts w:ascii="仿宋_GB2312" w:eastAsia="仿宋_GB2312"/>
          <w:sz w:val="28"/>
        </w:rPr>
      </w:pPr>
      <w:r>
        <w:rPr>
          <w:rFonts w:hint="eastAsia" w:ascii="仿宋_GB2312" w:eastAsia="仿宋_GB2312"/>
          <w:sz w:val="28"/>
        </w:rPr>
        <w:t>在本项目开始前及本项目实施过程中，</w:t>
      </w:r>
      <w:r>
        <w:rPr>
          <w:rFonts w:ascii="仿宋_GB2312" w:eastAsia="仿宋_GB2312"/>
          <w:sz w:val="28"/>
        </w:rPr>
        <w:t>乙方</w:t>
      </w:r>
      <w:r>
        <w:rPr>
          <w:rFonts w:hint="eastAsia" w:ascii="仿宋_GB2312" w:eastAsia="仿宋_GB2312"/>
          <w:sz w:val="28"/>
        </w:rPr>
        <w:t>向</w:t>
      </w:r>
      <w:r>
        <w:rPr>
          <w:rFonts w:ascii="仿宋_GB2312" w:eastAsia="仿宋_GB2312"/>
          <w:sz w:val="28"/>
        </w:rPr>
        <w:t>甲方</w:t>
      </w:r>
      <w:r>
        <w:rPr>
          <w:rFonts w:hint="eastAsia" w:ascii="仿宋_GB2312" w:eastAsia="仿宋_GB2312"/>
          <w:sz w:val="28"/>
        </w:rPr>
        <w:t>提供的除用户使用说明书和操作手册以外的需保密的资料（口头、书面及电子文档）。</w:t>
      </w:r>
    </w:p>
    <w:p w14:paraId="4C9174C3">
      <w:pPr>
        <w:pStyle w:val="13"/>
        <w:numPr>
          <w:ilvl w:val="1"/>
          <w:numId w:val="8"/>
        </w:numPr>
        <w:rPr>
          <w:rFonts w:ascii="仿宋_GB2312" w:eastAsia="仿宋_GB2312"/>
          <w:sz w:val="28"/>
        </w:rPr>
      </w:pPr>
      <w:r>
        <w:rPr>
          <w:rFonts w:hint="eastAsia" w:ascii="仿宋_GB2312" w:eastAsia="仿宋_GB2312"/>
          <w:sz w:val="28"/>
        </w:rPr>
        <w:t>在本项目期限内的任何时候，任何双</w:t>
      </w:r>
      <w:r>
        <w:rPr>
          <w:rFonts w:ascii="仿宋_GB2312" w:eastAsia="仿宋_GB2312"/>
          <w:sz w:val="28"/>
        </w:rPr>
        <w:t>方</w:t>
      </w:r>
      <w:r>
        <w:rPr>
          <w:rFonts w:hint="eastAsia" w:ascii="仿宋_GB2312" w:eastAsia="仿宋_GB2312"/>
          <w:sz w:val="28"/>
        </w:rPr>
        <w:t>可能获取对方运营的信息，包括生产、销售、财务、经营等属于对方专有的商业秘密。</w:t>
      </w:r>
    </w:p>
    <w:p w14:paraId="6AA7CEE2">
      <w:pPr>
        <w:pStyle w:val="13"/>
        <w:numPr>
          <w:ilvl w:val="1"/>
          <w:numId w:val="8"/>
        </w:numPr>
        <w:rPr>
          <w:rFonts w:ascii="仿宋_GB2312" w:eastAsia="仿宋_GB2312"/>
          <w:sz w:val="28"/>
        </w:rPr>
      </w:pPr>
      <w:r>
        <w:rPr>
          <w:rFonts w:ascii="仿宋_GB2312" w:eastAsia="仿宋_GB2312"/>
          <w:sz w:val="28"/>
        </w:rPr>
        <w:t>双方依照法律规定或者有关协议的约定，对外承担保密义务的</w:t>
      </w:r>
      <w:r>
        <w:rPr>
          <w:rFonts w:hint="eastAsia" w:ascii="仿宋_GB2312" w:eastAsia="仿宋_GB2312"/>
          <w:sz w:val="28"/>
        </w:rPr>
        <w:t>其它</w:t>
      </w:r>
      <w:r>
        <w:rPr>
          <w:rFonts w:ascii="仿宋_GB2312" w:eastAsia="仿宋_GB2312"/>
          <w:sz w:val="28"/>
        </w:rPr>
        <w:t>事项</w:t>
      </w:r>
      <w:r>
        <w:rPr>
          <w:rFonts w:hint="eastAsia" w:ascii="仿宋_GB2312" w:eastAsia="仿宋_GB2312"/>
          <w:sz w:val="28"/>
        </w:rPr>
        <w:t>。</w:t>
      </w:r>
    </w:p>
    <w:p w14:paraId="608D6E3A">
      <w:pPr>
        <w:pStyle w:val="13"/>
        <w:ind w:left="420"/>
        <w:rPr>
          <w:rFonts w:ascii="仿宋_GB2312" w:eastAsia="仿宋_GB2312"/>
          <w:sz w:val="28"/>
        </w:rPr>
      </w:pPr>
      <w:r>
        <w:rPr>
          <w:rFonts w:hint="eastAsia" w:ascii="仿宋_GB2312" w:eastAsia="仿宋_GB2312"/>
          <w:sz w:val="28"/>
        </w:rPr>
        <w:t>（二）凡涉及</w:t>
      </w:r>
      <w:r>
        <w:rPr>
          <w:rFonts w:ascii="仿宋_GB2312" w:eastAsia="仿宋_GB2312"/>
          <w:sz w:val="28"/>
        </w:rPr>
        <w:t>甲乙双方</w:t>
      </w:r>
      <w:r>
        <w:rPr>
          <w:rFonts w:hint="eastAsia" w:ascii="仿宋_GB2312" w:eastAsia="仿宋_GB2312"/>
          <w:sz w:val="28"/>
        </w:rPr>
        <w:t>专利、专有知识，及</w:t>
      </w:r>
      <w:r>
        <w:rPr>
          <w:rFonts w:ascii="仿宋_GB2312" w:eastAsia="仿宋_GB2312"/>
          <w:sz w:val="28"/>
        </w:rPr>
        <w:t>甲</w:t>
      </w:r>
      <w:r>
        <w:rPr>
          <w:rFonts w:hint="eastAsia" w:ascii="仿宋_GB2312" w:eastAsia="仿宋_GB2312"/>
          <w:sz w:val="28"/>
        </w:rPr>
        <w:t>、</w:t>
      </w:r>
      <w:r>
        <w:rPr>
          <w:rFonts w:ascii="仿宋_GB2312" w:eastAsia="仿宋_GB2312"/>
          <w:sz w:val="28"/>
        </w:rPr>
        <w:t>乙方</w:t>
      </w:r>
      <w:r>
        <w:rPr>
          <w:rFonts w:hint="eastAsia" w:ascii="仿宋_GB2312" w:eastAsia="仿宋_GB2312"/>
          <w:sz w:val="28"/>
        </w:rPr>
        <w:t>认为需要对</w:t>
      </w:r>
      <w:r>
        <w:rPr>
          <w:rFonts w:ascii="仿宋_GB2312" w:eastAsia="仿宋_GB2312"/>
          <w:sz w:val="28"/>
        </w:rPr>
        <w:t>甲乙</w:t>
      </w:r>
      <w:r>
        <w:rPr>
          <w:rFonts w:hint="eastAsia" w:ascii="仿宋_GB2312" w:eastAsia="仿宋_GB2312"/>
          <w:sz w:val="28"/>
        </w:rPr>
        <w:t>双方以外的第三方保密的文件、资料（含电子文档），项目交付产物（包括但不限于源代码、算法等），</w:t>
      </w:r>
      <w:r>
        <w:rPr>
          <w:rFonts w:ascii="仿宋_GB2312" w:eastAsia="仿宋_GB2312"/>
          <w:sz w:val="28"/>
        </w:rPr>
        <w:t>范围包括但不限于以下内容：</w:t>
      </w:r>
    </w:p>
    <w:p w14:paraId="1145862E">
      <w:pPr>
        <w:pStyle w:val="13"/>
        <w:numPr>
          <w:ilvl w:val="0"/>
          <w:numId w:val="9"/>
        </w:numPr>
        <w:rPr>
          <w:rFonts w:ascii="仿宋_GB2312" w:eastAsia="仿宋_GB2312"/>
          <w:sz w:val="28"/>
        </w:rPr>
      </w:pPr>
      <w:r>
        <w:rPr>
          <w:rFonts w:hint="eastAsia" w:ascii="仿宋_GB2312" w:eastAsia="仿宋_GB2312"/>
          <w:sz w:val="28"/>
        </w:rPr>
        <w:t>涉及甲方的工艺技术、制造成本、客户群体、企业标准、工艺路径、产品规范、管理流程等甲方认为需对甲乙方以外保密的事项、文档资料，仅限于</w:t>
      </w:r>
      <w:r>
        <w:rPr>
          <w:rFonts w:ascii="仿宋_GB2312" w:eastAsia="仿宋_GB2312"/>
          <w:sz w:val="28"/>
        </w:rPr>
        <w:t>甲乙双方</w:t>
      </w:r>
      <w:r>
        <w:rPr>
          <w:rFonts w:hint="eastAsia" w:ascii="仿宋_GB2312" w:eastAsia="仿宋_GB2312"/>
          <w:sz w:val="28"/>
        </w:rPr>
        <w:t>为推进信息化建设使用。</w:t>
      </w:r>
    </w:p>
    <w:p w14:paraId="786AFCF0">
      <w:pPr>
        <w:pStyle w:val="13"/>
        <w:numPr>
          <w:ilvl w:val="0"/>
          <w:numId w:val="9"/>
        </w:numPr>
        <w:rPr>
          <w:rFonts w:ascii="仿宋_GB2312" w:eastAsia="仿宋_GB2312"/>
          <w:sz w:val="28"/>
        </w:rPr>
      </w:pPr>
      <w:r>
        <w:rPr>
          <w:rFonts w:hint="eastAsia" w:ascii="仿宋_GB2312" w:eastAsia="仿宋_GB2312"/>
          <w:sz w:val="28"/>
        </w:rPr>
        <w:t>涉及乙方的信息化技术、知识（如编码知识）、资料、KNOW HOW，及乙方认为需对甲乙方以外保密的事项、文档资料，仅限于</w:t>
      </w:r>
      <w:r>
        <w:rPr>
          <w:rFonts w:ascii="仿宋_GB2312" w:eastAsia="仿宋_GB2312"/>
          <w:sz w:val="28"/>
        </w:rPr>
        <w:t>甲乙双方</w:t>
      </w:r>
      <w:r>
        <w:rPr>
          <w:rFonts w:hint="eastAsia" w:ascii="仿宋_GB2312" w:eastAsia="仿宋_GB2312"/>
          <w:sz w:val="28"/>
        </w:rPr>
        <w:t>为推进信息化建设使用。</w:t>
      </w:r>
    </w:p>
    <w:p w14:paraId="142377C7">
      <w:pPr>
        <w:pStyle w:val="13"/>
        <w:numPr>
          <w:ilvl w:val="0"/>
          <w:numId w:val="9"/>
        </w:numPr>
        <w:rPr>
          <w:rFonts w:ascii="仿宋_GB2312" w:eastAsia="仿宋_GB2312"/>
          <w:sz w:val="28"/>
        </w:rPr>
      </w:pPr>
      <w:r>
        <w:rPr>
          <w:rFonts w:hint="eastAsia" w:ascii="仿宋_GB2312" w:eastAsia="仿宋_GB2312"/>
          <w:sz w:val="28"/>
        </w:rPr>
        <w:t>甲、乙双方的商务条款和具体内容。</w:t>
      </w:r>
    </w:p>
    <w:p w14:paraId="313F1352">
      <w:pPr>
        <w:pStyle w:val="13"/>
        <w:rPr>
          <w:rFonts w:ascii="仿宋_GB2312" w:eastAsia="仿宋_GB2312"/>
          <w:sz w:val="28"/>
        </w:rPr>
      </w:pPr>
      <w:r>
        <w:rPr>
          <w:rFonts w:hint="eastAsia" w:ascii="仿宋_GB2312" w:eastAsia="仿宋_GB2312"/>
          <w:sz w:val="28"/>
        </w:rPr>
        <w:t>二</w:t>
      </w:r>
      <w:r>
        <w:rPr>
          <w:rFonts w:ascii="仿宋_GB2312" w:eastAsia="仿宋_GB2312"/>
          <w:sz w:val="28"/>
        </w:rPr>
        <w:t>、保密义务</w:t>
      </w:r>
      <w:r>
        <w:rPr>
          <w:rFonts w:hint="eastAsia" w:ascii="仿宋_GB2312" w:eastAsia="仿宋_GB2312"/>
          <w:sz w:val="28"/>
        </w:rPr>
        <w:t>、方式和措施</w:t>
      </w:r>
    </w:p>
    <w:p w14:paraId="7B644D6F">
      <w:pPr>
        <w:pStyle w:val="13"/>
        <w:numPr>
          <w:ilvl w:val="0"/>
          <w:numId w:val="10"/>
        </w:numPr>
        <w:rPr>
          <w:rFonts w:ascii="仿宋_GB2312" w:eastAsia="仿宋_GB2312"/>
          <w:sz w:val="28"/>
        </w:rPr>
      </w:pPr>
      <w:r>
        <w:rPr>
          <w:rFonts w:hint="eastAsia" w:ascii="仿宋_GB2312" w:eastAsia="仿宋_GB2312"/>
          <w:sz w:val="28"/>
        </w:rPr>
        <w:t>双方参与本项目的所有人员均对上述规定的保密内容承担保密义务。</w:t>
      </w:r>
    </w:p>
    <w:p w14:paraId="26A77BDD">
      <w:pPr>
        <w:pStyle w:val="13"/>
        <w:numPr>
          <w:ilvl w:val="0"/>
          <w:numId w:val="10"/>
        </w:numPr>
        <w:rPr>
          <w:rFonts w:ascii="仿宋_GB2312" w:eastAsia="仿宋_GB2312"/>
          <w:sz w:val="28"/>
        </w:rPr>
      </w:pPr>
      <w:r>
        <w:rPr>
          <w:rFonts w:ascii="仿宋_GB2312" w:eastAsia="仿宋_GB2312"/>
          <w:sz w:val="28"/>
        </w:rPr>
        <w:t>对第一条所称的商业秘密，</w:t>
      </w:r>
      <w:r>
        <w:rPr>
          <w:rFonts w:hint="eastAsia" w:ascii="仿宋_GB2312" w:eastAsia="仿宋_GB2312"/>
          <w:sz w:val="28"/>
        </w:rPr>
        <w:t>双</w:t>
      </w:r>
      <w:r>
        <w:rPr>
          <w:rFonts w:ascii="仿宋_GB2312" w:eastAsia="仿宋_GB2312"/>
          <w:sz w:val="28"/>
        </w:rPr>
        <w:t>方承担以下保密义务：</w:t>
      </w:r>
    </w:p>
    <w:p w14:paraId="11FBF7F5">
      <w:pPr>
        <w:pStyle w:val="13"/>
        <w:ind w:firstLine="840" w:firstLineChars="300"/>
        <w:rPr>
          <w:rFonts w:ascii="仿宋_GB2312" w:eastAsia="仿宋_GB2312"/>
          <w:sz w:val="28"/>
        </w:rPr>
      </w:pPr>
      <w:r>
        <w:rPr>
          <w:rFonts w:ascii="仿宋_GB2312" w:eastAsia="仿宋_GB2312"/>
          <w:sz w:val="28"/>
        </w:rPr>
        <w:t>1</w:t>
      </w:r>
      <w:r>
        <w:rPr>
          <w:rFonts w:hint="eastAsia" w:ascii="仿宋_GB2312" w:eastAsia="仿宋_GB2312"/>
          <w:sz w:val="28"/>
        </w:rPr>
        <w:t>）</w:t>
      </w:r>
      <w:r>
        <w:rPr>
          <w:rFonts w:ascii="仿宋_GB2312" w:eastAsia="仿宋_GB2312"/>
          <w:sz w:val="28"/>
        </w:rPr>
        <w:t>、不得</w:t>
      </w:r>
      <w:r>
        <w:rPr>
          <w:rFonts w:hint="eastAsia" w:ascii="仿宋_GB2312" w:eastAsia="仿宋_GB2312"/>
          <w:sz w:val="28"/>
        </w:rPr>
        <w:t>获取</w:t>
      </w:r>
      <w:r>
        <w:rPr>
          <w:rFonts w:ascii="仿宋_GB2312" w:eastAsia="仿宋_GB2312"/>
          <w:sz w:val="28"/>
        </w:rPr>
        <w:t>与</w:t>
      </w:r>
      <w:r>
        <w:rPr>
          <w:rFonts w:hint="eastAsia" w:ascii="仿宋_GB2312" w:eastAsia="仿宋_GB2312"/>
          <w:sz w:val="28"/>
        </w:rPr>
        <w:t>项目实施</w:t>
      </w:r>
      <w:r>
        <w:rPr>
          <w:rFonts w:ascii="仿宋_GB2312" w:eastAsia="仿宋_GB2312"/>
          <w:sz w:val="28"/>
        </w:rPr>
        <w:t>工作或本身业务无关的商业秘密；</w:t>
      </w:r>
    </w:p>
    <w:p w14:paraId="61153CBC">
      <w:pPr>
        <w:pStyle w:val="13"/>
        <w:ind w:firstLine="840" w:firstLineChars="300"/>
        <w:rPr>
          <w:rFonts w:ascii="仿宋_GB2312" w:eastAsia="仿宋_GB2312"/>
          <w:sz w:val="28"/>
        </w:rPr>
      </w:pPr>
      <w:r>
        <w:rPr>
          <w:rFonts w:ascii="仿宋_GB2312" w:eastAsia="仿宋_GB2312"/>
          <w:sz w:val="28"/>
        </w:rPr>
        <w:t>2</w:t>
      </w:r>
      <w:r>
        <w:rPr>
          <w:rFonts w:hint="eastAsia" w:ascii="仿宋_GB2312" w:eastAsia="仿宋_GB2312"/>
          <w:sz w:val="28"/>
        </w:rPr>
        <w:t>）</w:t>
      </w:r>
      <w:r>
        <w:rPr>
          <w:rFonts w:ascii="仿宋_GB2312" w:eastAsia="仿宋_GB2312"/>
          <w:sz w:val="28"/>
        </w:rPr>
        <w:t>、不得向不承担保密义务的任何第三</w:t>
      </w:r>
      <w:r>
        <w:rPr>
          <w:rFonts w:hint="eastAsia" w:ascii="仿宋_GB2312" w:eastAsia="仿宋_GB2312"/>
          <w:sz w:val="28"/>
        </w:rPr>
        <w:t>方</w:t>
      </w:r>
      <w:r>
        <w:rPr>
          <w:rFonts w:ascii="仿宋_GB2312" w:eastAsia="仿宋_GB2312"/>
          <w:sz w:val="28"/>
        </w:rPr>
        <w:t>披露</w:t>
      </w:r>
      <w:r>
        <w:rPr>
          <w:rFonts w:hint="eastAsia" w:ascii="仿宋_GB2312" w:eastAsia="仿宋_GB2312"/>
          <w:sz w:val="28"/>
        </w:rPr>
        <w:t>双方</w:t>
      </w:r>
      <w:r>
        <w:rPr>
          <w:rFonts w:ascii="仿宋_GB2312" w:eastAsia="仿宋_GB2312"/>
          <w:sz w:val="28"/>
        </w:rPr>
        <w:t>的商业秘密；</w:t>
      </w:r>
    </w:p>
    <w:p w14:paraId="071B90CB">
      <w:pPr>
        <w:pStyle w:val="13"/>
        <w:ind w:firstLine="840" w:firstLineChars="300"/>
        <w:rPr>
          <w:rFonts w:ascii="仿宋_GB2312" w:eastAsia="仿宋_GB2312"/>
          <w:sz w:val="28"/>
        </w:rPr>
      </w:pPr>
      <w:r>
        <w:rPr>
          <w:rFonts w:ascii="仿宋_GB2312" w:eastAsia="仿宋_GB2312"/>
          <w:sz w:val="28"/>
        </w:rPr>
        <w:t>3</w:t>
      </w:r>
      <w:r>
        <w:rPr>
          <w:rFonts w:hint="eastAsia" w:ascii="仿宋_GB2312" w:eastAsia="仿宋_GB2312"/>
          <w:sz w:val="28"/>
        </w:rPr>
        <w:t>）</w:t>
      </w:r>
      <w:r>
        <w:rPr>
          <w:rFonts w:ascii="仿宋_GB2312" w:eastAsia="仿宋_GB2312"/>
          <w:sz w:val="28"/>
        </w:rPr>
        <w:t>、不得允许（出借、赠与、出租、转让等处理</w:t>
      </w:r>
      <w:r>
        <w:rPr>
          <w:rFonts w:hint="eastAsia" w:ascii="仿宋_GB2312" w:eastAsia="仿宋_GB2312"/>
          <w:sz w:val="28"/>
        </w:rPr>
        <w:t>双</w:t>
      </w:r>
      <w:r>
        <w:rPr>
          <w:rFonts w:ascii="仿宋_GB2312" w:eastAsia="仿宋_GB2312"/>
          <w:sz w:val="28"/>
        </w:rPr>
        <w:t>方商业秘密的行为皆属于“允许”）或协助不承担保密义务的任何第三</w:t>
      </w:r>
      <w:r>
        <w:rPr>
          <w:rFonts w:hint="eastAsia" w:ascii="仿宋_GB2312" w:eastAsia="仿宋_GB2312"/>
          <w:sz w:val="28"/>
        </w:rPr>
        <w:t>方</w:t>
      </w:r>
      <w:r>
        <w:rPr>
          <w:rFonts w:ascii="仿宋_GB2312" w:eastAsia="仿宋_GB2312"/>
          <w:sz w:val="28"/>
        </w:rPr>
        <w:t>使用</w:t>
      </w:r>
      <w:r>
        <w:rPr>
          <w:rFonts w:hint="eastAsia" w:ascii="仿宋_GB2312" w:eastAsia="仿宋_GB2312"/>
          <w:sz w:val="28"/>
        </w:rPr>
        <w:t>双</w:t>
      </w:r>
      <w:r>
        <w:rPr>
          <w:rFonts w:ascii="仿宋_GB2312" w:eastAsia="仿宋_GB2312"/>
          <w:sz w:val="28"/>
        </w:rPr>
        <w:t>方的商业秘密；</w:t>
      </w:r>
    </w:p>
    <w:p w14:paraId="7DD756D9">
      <w:pPr>
        <w:pStyle w:val="13"/>
        <w:ind w:firstLine="840" w:firstLineChars="300"/>
        <w:rPr>
          <w:rFonts w:ascii="仿宋_GB2312" w:eastAsia="仿宋_GB2312"/>
          <w:sz w:val="28"/>
        </w:rPr>
      </w:pPr>
      <w:r>
        <w:rPr>
          <w:rFonts w:ascii="仿宋_GB2312" w:eastAsia="仿宋_GB2312"/>
          <w:sz w:val="28"/>
        </w:rPr>
        <w:t>4</w:t>
      </w:r>
      <w:r>
        <w:rPr>
          <w:rFonts w:hint="eastAsia" w:ascii="仿宋_GB2312" w:eastAsia="仿宋_GB2312"/>
          <w:sz w:val="28"/>
        </w:rPr>
        <w:t>）</w:t>
      </w:r>
      <w:r>
        <w:rPr>
          <w:rFonts w:ascii="仿宋_GB2312" w:eastAsia="仿宋_GB2312"/>
          <w:sz w:val="28"/>
        </w:rPr>
        <w:t>、如发现商业秘密被泄露或者自己过失泄露商业秘密，应当采取有效措施防止泄密进一步扩大，并及时向</w:t>
      </w:r>
      <w:r>
        <w:rPr>
          <w:rFonts w:hint="eastAsia" w:ascii="仿宋_GB2312" w:eastAsia="仿宋_GB2312"/>
          <w:sz w:val="28"/>
        </w:rPr>
        <w:t>对</w:t>
      </w:r>
      <w:r>
        <w:rPr>
          <w:rFonts w:ascii="仿宋_GB2312" w:eastAsia="仿宋_GB2312"/>
          <w:sz w:val="28"/>
        </w:rPr>
        <w:t>方报告。</w:t>
      </w:r>
    </w:p>
    <w:p w14:paraId="06EE0A53">
      <w:pPr>
        <w:pStyle w:val="13"/>
        <w:numPr>
          <w:ilvl w:val="0"/>
          <w:numId w:val="10"/>
        </w:numPr>
        <w:rPr>
          <w:rFonts w:ascii="仿宋_GB2312" w:eastAsia="仿宋_GB2312"/>
          <w:sz w:val="28"/>
        </w:rPr>
      </w:pPr>
      <w:r>
        <w:rPr>
          <w:rFonts w:hint="eastAsia" w:ascii="仿宋_GB2312" w:eastAsia="仿宋_GB2312"/>
          <w:sz w:val="28"/>
        </w:rPr>
        <w:t>由专人负责保密资料的管理,设立管理台帐,建立借阅制度。</w:t>
      </w:r>
    </w:p>
    <w:p w14:paraId="43547C16">
      <w:pPr>
        <w:pStyle w:val="13"/>
        <w:numPr>
          <w:ilvl w:val="0"/>
          <w:numId w:val="10"/>
        </w:numPr>
        <w:rPr>
          <w:rFonts w:ascii="仿宋_GB2312" w:eastAsia="仿宋_GB2312"/>
          <w:sz w:val="28"/>
        </w:rPr>
      </w:pPr>
      <w:r>
        <w:rPr>
          <w:rFonts w:hint="eastAsia" w:ascii="仿宋_GB2312" w:eastAsia="仿宋_GB2312"/>
          <w:sz w:val="28"/>
        </w:rPr>
        <w:t>保密资料封面应注明保密级别、保存年限。</w:t>
      </w:r>
    </w:p>
    <w:p w14:paraId="20D5422A">
      <w:pPr>
        <w:pStyle w:val="13"/>
        <w:numPr>
          <w:ilvl w:val="0"/>
          <w:numId w:val="10"/>
        </w:numPr>
        <w:rPr>
          <w:rFonts w:ascii="仿宋_GB2312" w:eastAsia="仿宋_GB2312"/>
          <w:sz w:val="28"/>
        </w:rPr>
      </w:pPr>
      <w:r>
        <w:rPr>
          <w:rFonts w:hint="eastAsia" w:ascii="仿宋_GB2312" w:eastAsia="仿宋_GB2312"/>
          <w:sz w:val="28"/>
        </w:rPr>
        <w:t>不在广告或推广材料中提及与本协议有关的一切信息，但法律法规所要求的情形除外。</w:t>
      </w:r>
    </w:p>
    <w:p w14:paraId="437D3667">
      <w:pPr>
        <w:pStyle w:val="13"/>
        <w:rPr>
          <w:rFonts w:ascii="仿宋_GB2312" w:eastAsia="仿宋_GB2312"/>
          <w:sz w:val="28"/>
        </w:rPr>
      </w:pPr>
      <w:r>
        <w:rPr>
          <w:rFonts w:hint="eastAsia" w:ascii="仿宋_GB2312" w:eastAsia="仿宋_GB2312"/>
          <w:sz w:val="28"/>
        </w:rPr>
        <w:t>三、保密期限</w:t>
      </w:r>
    </w:p>
    <w:p w14:paraId="1F5C8600">
      <w:pPr>
        <w:pStyle w:val="13"/>
        <w:ind w:firstLine="560" w:firstLineChars="200"/>
        <w:rPr>
          <w:rFonts w:ascii="仿宋_GB2312" w:eastAsia="仿宋_GB2312"/>
          <w:sz w:val="28"/>
        </w:rPr>
      </w:pPr>
      <w:r>
        <w:rPr>
          <w:rFonts w:hint="eastAsia" w:ascii="仿宋_GB2312" w:eastAsia="仿宋_GB2312"/>
          <w:sz w:val="28"/>
        </w:rPr>
        <w:t>甲、乙双方确认，双方的保密义务自本项目开始接洽、谈判时开始，到该商业秘密公开时止。</w:t>
      </w:r>
    </w:p>
    <w:p w14:paraId="71C8E4D8">
      <w:pPr>
        <w:pStyle w:val="13"/>
        <w:ind w:firstLine="560" w:firstLineChars="200"/>
        <w:rPr>
          <w:rFonts w:ascii="仿宋_GB2312" w:eastAsia="仿宋_GB2312"/>
          <w:sz w:val="28"/>
        </w:rPr>
      </w:pPr>
      <w:r>
        <w:rPr>
          <w:rFonts w:hint="eastAsia" w:ascii="仿宋_GB2312" w:eastAsia="仿宋_GB2312"/>
          <w:sz w:val="28"/>
        </w:rPr>
        <w:t>经双方协商，</w:t>
      </w:r>
      <w:r>
        <w:rPr>
          <w:rFonts w:hint="eastAsia" w:ascii="仿宋_GB2312" w:eastAsia="仿宋_GB2312"/>
          <w:sz w:val="28"/>
          <w:u w:val="single"/>
        </w:rPr>
        <w:t>1</w:t>
      </w:r>
      <w:r>
        <w:rPr>
          <w:rFonts w:hint="eastAsia" w:ascii="仿宋_GB2312" w:eastAsia="仿宋_GB2312"/>
          <w:sz w:val="28"/>
        </w:rPr>
        <w:t>年以后（如项目结题后两年后），可应用到第三方的保密内容为：</w:t>
      </w:r>
      <w:r>
        <w:rPr>
          <w:rFonts w:hint="eastAsia" w:ascii="仿宋_GB2312" w:eastAsia="仿宋_GB2312"/>
          <w:sz w:val="28"/>
          <w:u w:val="single"/>
        </w:rPr>
        <w:t>/</w:t>
      </w:r>
      <w:r>
        <w:rPr>
          <w:rFonts w:hint="eastAsia" w:ascii="仿宋_GB2312" w:eastAsia="仿宋_GB2312"/>
          <w:sz w:val="28"/>
        </w:rPr>
        <w:t>，同时甲方必须与第三方签订保密协议，要求保密期限为</w:t>
      </w:r>
      <w:r>
        <w:rPr>
          <w:rFonts w:hint="eastAsia" w:ascii="仿宋_GB2312" w:eastAsia="仿宋_GB2312"/>
          <w:sz w:val="28"/>
          <w:u w:val="single"/>
        </w:rPr>
        <w:t>/</w:t>
      </w:r>
      <w:r>
        <w:rPr>
          <w:rFonts w:hint="eastAsia" w:ascii="仿宋_GB2312" w:eastAsia="仿宋_GB2312"/>
          <w:sz w:val="28"/>
        </w:rPr>
        <w:t>年。</w:t>
      </w:r>
    </w:p>
    <w:p w14:paraId="6598B1DD">
      <w:pPr>
        <w:pStyle w:val="13"/>
        <w:rPr>
          <w:rFonts w:ascii="仿宋_GB2312" w:eastAsia="仿宋_GB2312"/>
          <w:sz w:val="28"/>
        </w:rPr>
      </w:pPr>
      <w:r>
        <w:rPr>
          <w:rFonts w:hint="eastAsia" w:ascii="仿宋_GB2312" w:eastAsia="仿宋_GB2312"/>
          <w:sz w:val="28"/>
        </w:rPr>
        <w:t>四</w:t>
      </w:r>
      <w:r>
        <w:rPr>
          <w:rFonts w:ascii="仿宋_GB2312" w:eastAsia="仿宋_GB2312"/>
          <w:sz w:val="28"/>
        </w:rPr>
        <w:t>、违约责任</w:t>
      </w:r>
    </w:p>
    <w:p w14:paraId="5AE9551F">
      <w:pPr>
        <w:pStyle w:val="13"/>
        <w:ind w:firstLine="280" w:firstLineChars="100"/>
        <w:rPr>
          <w:rFonts w:ascii="仿宋_GB2312" w:eastAsia="仿宋_GB2312"/>
          <w:sz w:val="28"/>
        </w:rPr>
      </w:pPr>
      <w:r>
        <w:rPr>
          <w:rFonts w:ascii="仿宋_GB2312" w:eastAsia="仿宋_GB2312"/>
          <w:sz w:val="28"/>
        </w:rPr>
        <w:t>甲、乙双方约定：</w:t>
      </w:r>
    </w:p>
    <w:p w14:paraId="44F39174">
      <w:pPr>
        <w:pStyle w:val="13"/>
        <w:ind w:firstLine="560" w:firstLineChars="200"/>
        <w:rPr>
          <w:rFonts w:ascii="仿宋_GB2312" w:eastAsia="仿宋_GB2312"/>
          <w:sz w:val="28"/>
        </w:rPr>
      </w:pPr>
      <w:r>
        <w:rPr>
          <w:rFonts w:hint="eastAsia" w:ascii="仿宋_GB2312" w:eastAsia="仿宋_GB2312"/>
          <w:sz w:val="28"/>
        </w:rPr>
        <w:t>如果一方知悉对方的任何行为，可能或已经违反本协议有关规定，则应书面通知对方；被通知方立即向通知方提供证据，证明其不存在违反本协议的情形，若被通知方不予答复或被通知方所提出的事实理由不足以证明其未曾违反本协议规定，则通知方可以采取但不限于诉诸法律的方式维护其权益。</w:t>
      </w:r>
    </w:p>
    <w:p w14:paraId="663742FA">
      <w:pPr>
        <w:pStyle w:val="13"/>
        <w:rPr>
          <w:rFonts w:ascii="仿宋_GB2312" w:eastAsia="仿宋_GB2312"/>
          <w:sz w:val="28"/>
        </w:rPr>
      </w:pPr>
      <w:r>
        <w:rPr>
          <w:rFonts w:hint="eastAsia" w:ascii="仿宋_GB2312" w:eastAsia="仿宋_GB2312"/>
          <w:sz w:val="28"/>
        </w:rPr>
        <w:t>五</w:t>
      </w:r>
      <w:r>
        <w:rPr>
          <w:rFonts w:ascii="仿宋_GB2312" w:eastAsia="仿宋_GB2312"/>
          <w:sz w:val="28"/>
        </w:rPr>
        <w:t>、争议的解决办法</w:t>
      </w:r>
    </w:p>
    <w:p w14:paraId="48907AE3">
      <w:pPr>
        <w:pStyle w:val="13"/>
        <w:ind w:firstLine="560" w:firstLineChars="200"/>
        <w:rPr>
          <w:rFonts w:ascii="仿宋_GB2312" w:eastAsia="仿宋_GB2312"/>
          <w:sz w:val="28"/>
        </w:rPr>
      </w:pPr>
      <w:r>
        <w:rPr>
          <w:rFonts w:hint="eastAsia" w:ascii="仿宋_GB2312" w:eastAsia="仿宋_GB2312"/>
          <w:sz w:val="28"/>
        </w:rPr>
        <w:t>协商、调解不成或者一方不愿意协商、调解的，任何一方有权向上海市</w:t>
      </w:r>
      <w:r>
        <w:rPr>
          <w:rFonts w:hint="eastAsia" w:ascii="仿宋_GB2312" w:eastAsia="仿宋_GB2312"/>
          <w:sz w:val="28"/>
          <w:lang w:val="en-US"/>
        </w:rPr>
        <w:t>宝山区人民</w:t>
      </w:r>
      <w:r>
        <w:rPr>
          <w:rFonts w:hint="eastAsia" w:ascii="仿宋_GB2312" w:eastAsia="仿宋_GB2312"/>
          <w:sz w:val="28"/>
        </w:rPr>
        <w:t>法院提起诉讼。</w:t>
      </w:r>
    </w:p>
    <w:p w14:paraId="181D740D">
      <w:pPr>
        <w:pStyle w:val="13"/>
        <w:rPr>
          <w:rFonts w:ascii="仿宋_GB2312" w:eastAsia="仿宋_GB2312"/>
          <w:sz w:val="28"/>
        </w:rPr>
      </w:pPr>
      <w:r>
        <w:rPr>
          <w:rFonts w:hint="eastAsia" w:ascii="仿宋_GB2312" w:eastAsia="仿宋_GB2312"/>
          <w:sz w:val="28"/>
        </w:rPr>
        <w:t>六</w:t>
      </w:r>
      <w:r>
        <w:rPr>
          <w:rFonts w:ascii="仿宋_GB2312" w:eastAsia="仿宋_GB2312"/>
          <w:sz w:val="28"/>
        </w:rPr>
        <w:t>、协议的效力和变更</w:t>
      </w:r>
    </w:p>
    <w:p w14:paraId="7715986F">
      <w:pPr>
        <w:pStyle w:val="13"/>
        <w:ind w:firstLine="560" w:firstLineChars="200"/>
        <w:rPr>
          <w:rFonts w:ascii="仿宋_GB2312" w:eastAsia="仿宋_GB2312"/>
          <w:sz w:val="28"/>
        </w:rPr>
      </w:pPr>
      <w:r>
        <w:rPr>
          <w:rFonts w:hint="eastAsia" w:ascii="仿宋_GB2312" w:eastAsia="仿宋_GB2312"/>
          <w:sz w:val="28"/>
        </w:rPr>
        <w:t>本协议与</w:t>
      </w:r>
      <w:r>
        <w:rPr>
          <w:rFonts w:hint="eastAsia" w:ascii="仿宋_GB2312" w:eastAsia="仿宋_GB2312"/>
          <w:sz w:val="28"/>
          <w:lang w:val="en-US" w:eastAsia="zh-CN"/>
        </w:rPr>
        <w:t>甲乙</w:t>
      </w:r>
      <w:bookmarkStart w:id="0" w:name="_GoBack"/>
      <w:bookmarkEnd w:id="0"/>
      <w:r>
        <w:rPr>
          <w:rFonts w:hint="eastAsia" w:ascii="仿宋_GB2312" w:eastAsia="仿宋_GB2312"/>
          <w:sz w:val="28"/>
        </w:rPr>
        <w:t>双方所订立的“商务合同”具有同等法律效力，但其效力不受该份“商务合同”终止条款约束，具有永久法律效力。</w:t>
      </w:r>
    </w:p>
    <w:p w14:paraId="491B73DA">
      <w:pPr>
        <w:pStyle w:val="13"/>
        <w:ind w:firstLine="560" w:firstLineChars="200"/>
        <w:rPr>
          <w:rFonts w:ascii="仿宋_GB2312" w:eastAsia="仿宋_GB2312"/>
          <w:sz w:val="28"/>
        </w:rPr>
      </w:pPr>
      <w:r>
        <w:rPr>
          <w:rFonts w:ascii="仿宋_GB2312" w:eastAsia="仿宋_GB2312"/>
          <w:sz w:val="28"/>
        </w:rPr>
        <w:t>本协议自双方签字</w:t>
      </w:r>
      <w:r>
        <w:rPr>
          <w:rFonts w:hint="eastAsia" w:ascii="仿宋_GB2312" w:eastAsia="仿宋_GB2312"/>
          <w:sz w:val="28"/>
        </w:rPr>
        <w:t>并</w:t>
      </w:r>
      <w:r>
        <w:rPr>
          <w:rFonts w:hint="eastAsia" w:eastAsia="仿宋_GB2312"/>
          <w:sz w:val="28"/>
          <w:szCs w:val="28"/>
        </w:rPr>
        <w:t>盖章</w:t>
      </w:r>
      <w:r>
        <w:rPr>
          <w:rFonts w:ascii="仿宋_GB2312" w:eastAsia="仿宋_GB2312"/>
          <w:sz w:val="28"/>
        </w:rPr>
        <w:t>后生效。本协议的任何修改必须经过双方的书面同意。</w:t>
      </w:r>
      <w:r>
        <w:rPr>
          <w:rFonts w:hint="eastAsia" w:ascii="仿宋_GB2312" w:eastAsia="仿宋_GB2312"/>
          <w:sz w:val="28"/>
        </w:rPr>
        <w:t>本协</w:t>
      </w:r>
      <w:r>
        <w:rPr>
          <w:rFonts w:hint="eastAsia" w:ascii="仿宋_GB2312" w:eastAsia="仿宋_GB2312"/>
          <w:sz w:val="28"/>
          <w:highlight w:val="none"/>
        </w:rPr>
        <w:t>议壹式贰份，甲、乙双方各存壹份</w:t>
      </w:r>
      <w:r>
        <w:rPr>
          <w:rFonts w:hint="eastAsia" w:ascii="仿宋_GB2312" w:eastAsia="仿宋_GB2312"/>
          <w:sz w:val="28"/>
        </w:rPr>
        <w:t>。</w:t>
      </w:r>
    </w:p>
    <w:p w14:paraId="5DB056A5">
      <w:pPr>
        <w:pStyle w:val="13"/>
        <w:ind w:firstLine="840" w:firstLineChars="300"/>
        <w:rPr>
          <w:rFonts w:eastAsia="仿宋_GB2312"/>
          <w:sz w:val="28"/>
          <w:szCs w:val="28"/>
        </w:rPr>
        <w:sectPr>
          <w:type w:val="continuous"/>
          <w:pgSz w:w="11906" w:h="16838"/>
          <w:pgMar w:top="1246" w:right="1270" w:bottom="1558" w:left="964" w:header="644" w:footer="992" w:gutter="0"/>
          <w:cols w:space="425" w:num="1"/>
          <w:docGrid w:type="lines" w:linePitch="312" w:charSpace="0"/>
        </w:sectPr>
      </w:pPr>
    </w:p>
    <w:p w14:paraId="30613ADF">
      <w:pPr>
        <w:pStyle w:val="13"/>
        <w:rPr>
          <w:rFonts w:eastAsia="仿宋_GB2312"/>
          <w:sz w:val="28"/>
          <w:szCs w:val="28"/>
        </w:rPr>
      </w:pPr>
      <w:r>
        <w:rPr>
          <w:rFonts w:eastAsia="仿宋_GB2312"/>
          <w:sz w:val="28"/>
          <w:szCs w:val="28"/>
        </w:rPr>
        <w:t>甲方</w:t>
      </w:r>
      <w:r>
        <w:rPr>
          <w:rFonts w:hint="eastAsia" w:eastAsia="仿宋_GB2312"/>
          <w:sz w:val="28"/>
          <w:szCs w:val="28"/>
        </w:rPr>
        <w:t>(盖章)</w:t>
      </w:r>
      <w:r>
        <w:rPr>
          <w:rFonts w:eastAsia="仿宋_GB2312"/>
          <w:sz w:val="28"/>
          <w:szCs w:val="28"/>
        </w:rPr>
        <w:t>：</w:t>
      </w:r>
      <w:r>
        <w:rPr>
          <w:rFonts w:hint="eastAsia" w:eastAsia="仿宋_GB2312"/>
          <w:sz w:val="28"/>
          <w:szCs w:val="28"/>
        </w:rPr>
        <w:t>上海宝信数据中心有限公司</w:t>
      </w:r>
    </w:p>
    <w:p w14:paraId="576BC452">
      <w:pPr>
        <w:pStyle w:val="13"/>
        <w:rPr>
          <w:rFonts w:eastAsia="仿宋_GB2312"/>
          <w:sz w:val="28"/>
          <w:szCs w:val="28"/>
        </w:rPr>
      </w:pPr>
      <w:r>
        <w:rPr>
          <w:rFonts w:hint="eastAsia" w:eastAsia="仿宋_GB2312"/>
          <w:sz w:val="28"/>
          <w:szCs w:val="28"/>
        </w:rPr>
        <w:t>代表(签字)</w:t>
      </w:r>
      <w:r>
        <w:rPr>
          <w:rFonts w:eastAsia="仿宋_GB2312"/>
          <w:sz w:val="28"/>
          <w:szCs w:val="28"/>
        </w:rPr>
        <w:t>：</w:t>
      </w:r>
    </w:p>
    <w:p w14:paraId="19ECFF24">
      <w:pPr>
        <w:pStyle w:val="13"/>
        <w:rPr>
          <w:rFonts w:hint="eastAsia" w:eastAsia="仿宋_GB2312"/>
          <w:sz w:val="28"/>
          <w:szCs w:val="28"/>
        </w:rPr>
      </w:pPr>
      <w:r>
        <w:rPr>
          <w:rFonts w:hint="eastAsia" w:eastAsia="仿宋_GB2312"/>
          <w:sz w:val="28"/>
          <w:szCs w:val="28"/>
        </w:rPr>
        <w:t>日期</w:t>
      </w:r>
      <w:r>
        <w:rPr>
          <w:rFonts w:eastAsia="仿宋_GB2312"/>
          <w:sz w:val="28"/>
          <w:szCs w:val="28"/>
        </w:rPr>
        <w:t>：</w:t>
      </w:r>
    </w:p>
    <w:p w14:paraId="4B087E14">
      <w:pPr>
        <w:pStyle w:val="13"/>
        <w:rPr>
          <w:rFonts w:hint="eastAsia" w:eastAsia="仿宋_GB2312"/>
          <w:sz w:val="28"/>
          <w:szCs w:val="28"/>
        </w:rPr>
      </w:pPr>
    </w:p>
    <w:p w14:paraId="796E4B49">
      <w:pPr>
        <w:pStyle w:val="13"/>
        <w:rPr>
          <w:rFonts w:eastAsia="仿宋_GB2312"/>
          <w:sz w:val="28"/>
          <w:szCs w:val="28"/>
        </w:rPr>
      </w:pPr>
      <w:r>
        <w:rPr>
          <w:rFonts w:eastAsia="仿宋_GB2312"/>
          <w:sz w:val="28"/>
          <w:szCs w:val="28"/>
        </w:rPr>
        <w:t>乙方</w:t>
      </w:r>
      <w:r>
        <w:rPr>
          <w:rFonts w:hint="eastAsia" w:eastAsia="仿宋_GB2312"/>
          <w:sz w:val="28"/>
          <w:szCs w:val="28"/>
        </w:rPr>
        <w:t>(盖章)</w:t>
      </w:r>
      <w:r>
        <w:rPr>
          <w:rFonts w:eastAsia="仿宋_GB2312"/>
          <w:sz w:val="28"/>
          <w:szCs w:val="28"/>
        </w:rPr>
        <w:t>：</w:t>
      </w:r>
    </w:p>
    <w:p w14:paraId="4F0196D6">
      <w:pPr>
        <w:pStyle w:val="13"/>
        <w:rPr>
          <w:rFonts w:eastAsia="仿宋_GB2312"/>
          <w:sz w:val="28"/>
          <w:szCs w:val="28"/>
        </w:rPr>
      </w:pPr>
      <w:r>
        <w:rPr>
          <w:rFonts w:hint="eastAsia" w:eastAsia="仿宋_GB2312"/>
          <w:sz w:val="28"/>
          <w:szCs w:val="28"/>
        </w:rPr>
        <w:t>代表(签字)</w:t>
      </w:r>
      <w:r>
        <w:rPr>
          <w:rFonts w:eastAsia="仿宋_GB2312"/>
          <w:sz w:val="28"/>
          <w:szCs w:val="28"/>
        </w:rPr>
        <w:t>：</w:t>
      </w:r>
    </w:p>
    <w:p w14:paraId="4A6C7F49">
      <w:pPr>
        <w:pStyle w:val="13"/>
        <w:rPr>
          <w:rFonts w:hint="eastAsia" w:eastAsia="仿宋_GB2312"/>
          <w:sz w:val="28"/>
          <w:szCs w:val="28"/>
        </w:rPr>
      </w:pPr>
      <w:r>
        <w:rPr>
          <w:rFonts w:hint="eastAsia" w:eastAsia="仿宋_GB2312"/>
          <w:sz w:val="28"/>
          <w:szCs w:val="28"/>
        </w:rPr>
        <w:t>日期</w:t>
      </w:r>
      <w:r>
        <w:rPr>
          <w:rFonts w:eastAsia="仿宋_GB2312"/>
          <w:sz w:val="28"/>
          <w:szCs w:val="28"/>
        </w:rPr>
        <w:t>：</w:t>
      </w:r>
    </w:p>
    <w:p w14:paraId="23AD698C">
      <w:pPr>
        <w:pStyle w:val="13"/>
        <w:rPr>
          <w:rFonts w:hint="eastAsia" w:eastAsia="仿宋_GB2312"/>
          <w:sz w:val="28"/>
          <w:szCs w:val="28"/>
        </w:rPr>
      </w:pPr>
    </w:p>
    <w:p w14:paraId="4140F7F0">
      <w:pPr>
        <w:pStyle w:val="13"/>
        <w:rPr>
          <w:rFonts w:hint="eastAsia" w:eastAsia="仿宋_GB2312"/>
          <w:sz w:val="28"/>
          <w:szCs w:val="28"/>
        </w:rPr>
        <w:sectPr>
          <w:type w:val="continuous"/>
          <w:pgSz w:w="11906" w:h="16838"/>
          <w:pgMar w:top="1246" w:right="1270" w:bottom="1558" w:left="964" w:header="644" w:footer="992" w:gutter="0"/>
          <w:cols w:equalWidth="0" w:num="2">
            <w:col w:w="4623" w:space="425"/>
            <w:col w:w="4623"/>
          </w:cols>
          <w:docGrid w:type="lines" w:linePitch="312" w:charSpace="0"/>
        </w:sectPr>
      </w:pPr>
    </w:p>
    <w:p w14:paraId="64FAD89E">
      <w:pPr>
        <w:rPr>
          <w:rFonts w:eastAsia="仿宋_GB2312"/>
          <w:sz w:val="28"/>
          <w:szCs w:val="28"/>
        </w:rPr>
      </w:pPr>
      <w:r>
        <w:rPr>
          <w:rFonts w:eastAsia="仿宋_GB2312"/>
          <w:sz w:val="28"/>
          <w:szCs w:val="28"/>
        </w:rPr>
        <w:br w:type="page"/>
      </w:r>
    </w:p>
    <w:p w14:paraId="7CFB38FB">
      <w:pPr>
        <w:rPr>
          <w:rFonts w:hint="eastAsia" w:ascii="@仿宋_GB2312" w:hAnsi="@仿宋_GB2312" w:eastAsia="@仿宋_GB2312"/>
          <w:bCs/>
          <w:sz w:val="28"/>
          <w:szCs w:val="28"/>
        </w:rPr>
      </w:pPr>
      <w:r>
        <w:rPr>
          <w:rFonts w:hint="eastAsia" w:ascii="@仿宋_GB2312" w:hAnsi="@仿宋_GB2312" w:eastAsia="@仿宋_GB2312"/>
          <w:bCs/>
          <w:sz w:val="28"/>
          <w:szCs w:val="28"/>
        </w:rPr>
        <w:t>J</w:t>
      </w:r>
      <w:r>
        <w:rPr>
          <w:rFonts w:ascii="@仿宋_GB2312" w:hAnsi="@仿宋_GB2312" w:eastAsia="@仿宋_GB2312"/>
          <w:bCs/>
          <w:sz w:val="28"/>
          <w:szCs w:val="28"/>
        </w:rPr>
        <w:t>BD00E02203</w:t>
      </w:r>
    </w:p>
    <w:p w14:paraId="5D7C4F5D">
      <w:pPr>
        <w:jc w:val="center"/>
        <w:outlineLvl w:val="0"/>
        <w:rPr>
          <w:b/>
          <w:sz w:val="30"/>
          <w:szCs w:val="30"/>
        </w:rPr>
      </w:pPr>
      <w:r>
        <w:rPr>
          <w:rFonts w:hint="eastAsia"/>
          <w:b/>
          <w:sz w:val="30"/>
          <w:szCs w:val="30"/>
        </w:rPr>
        <w:t>相关方告知书</w:t>
      </w:r>
    </w:p>
    <w:p w14:paraId="58AB3B23">
      <w:pPr>
        <w:spacing w:line="300" w:lineRule="auto"/>
        <w:rPr>
          <w:szCs w:val="21"/>
        </w:rPr>
      </w:pPr>
      <w:r>
        <w:rPr>
          <w:rFonts w:hint="eastAsia"/>
          <w:szCs w:val="21"/>
        </w:rPr>
        <w:t>尊敬的顾客、供应商、承包方：</w:t>
      </w:r>
    </w:p>
    <w:p w14:paraId="5219A6F1">
      <w:pPr>
        <w:spacing w:line="300" w:lineRule="auto"/>
        <w:ind w:firstLine="420" w:firstLineChars="200"/>
        <w:rPr>
          <w:szCs w:val="21"/>
        </w:rPr>
      </w:pPr>
      <w:r>
        <w:rPr>
          <w:rFonts w:hint="eastAsia"/>
          <w:szCs w:val="21"/>
        </w:rPr>
        <w:t>上海宝信数据中心有限公司（以下简称公司）主要从事</w:t>
      </w:r>
      <w:r>
        <w:rPr>
          <w:rFonts w:ascii="Wingdings" w:hAnsi="Wingdings"/>
          <w:szCs w:val="21"/>
        </w:rPr>
        <w:t>基础设施运维服务和软件开发服务</w:t>
      </w:r>
      <w:r>
        <w:rPr>
          <w:rFonts w:hint="eastAsia"/>
          <w:szCs w:val="21"/>
        </w:rPr>
        <w:t>，能与贵方合作是我们的荣幸，现将我公司QHSE&amp;BCM综合管理体系相关质量、环境、职业健康安全及业务连续性方面的方针和要求通报给贵方，望能协助我公司维护体系有效性并持续改进，以共同进步、共同发展！</w:t>
      </w:r>
    </w:p>
    <w:p w14:paraId="3D35E009">
      <w:pPr>
        <w:spacing w:line="360" w:lineRule="exact"/>
        <w:ind w:firstLine="420" w:firstLineChars="200"/>
        <w:rPr>
          <w:rFonts w:hint="eastAsia" w:ascii="Wingdings" w:hAnsi="Wingdings"/>
          <w:b/>
          <w:bCs/>
          <w:color w:val="000000"/>
          <w:spacing w:val="4"/>
          <w:sz w:val="24"/>
        </w:rPr>
      </w:pPr>
      <w:r>
        <w:rPr>
          <w:rFonts w:hint="eastAsia"/>
          <w:szCs w:val="21"/>
        </w:rPr>
        <w:t>我公司制定的质量、环境、职业健康安全方针为：</w:t>
      </w:r>
      <w:r>
        <w:rPr>
          <w:szCs w:val="21"/>
        </w:rPr>
        <w:t>安全第一</w:t>
      </w:r>
      <w:r>
        <w:rPr>
          <w:rFonts w:hint="eastAsia"/>
          <w:szCs w:val="21"/>
        </w:rPr>
        <w:t>、</w:t>
      </w:r>
      <w:r>
        <w:rPr>
          <w:szCs w:val="21"/>
        </w:rPr>
        <w:t>环境至上</w:t>
      </w:r>
      <w:r>
        <w:rPr>
          <w:rFonts w:hint="eastAsia"/>
          <w:szCs w:val="21"/>
        </w:rPr>
        <w:t>、卓越品质、持续改进</w:t>
      </w:r>
    </w:p>
    <w:p w14:paraId="4AD41CCB">
      <w:pPr>
        <w:spacing w:line="360" w:lineRule="exact"/>
        <w:ind w:firstLine="420" w:firstLineChars="200"/>
        <w:rPr>
          <w:szCs w:val="21"/>
        </w:rPr>
      </w:pPr>
      <w:r>
        <w:rPr>
          <w:rFonts w:hint="eastAsia"/>
          <w:szCs w:val="21"/>
        </w:rPr>
        <w:t>我公司制定的业务连续性方针为：安全高效、守则自律、预防为主、快速响应</w:t>
      </w:r>
    </w:p>
    <w:p w14:paraId="00ADA0B7">
      <w:pPr>
        <w:spacing w:line="360" w:lineRule="exact"/>
        <w:ind w:firstLine="420" w:firstLineChars="200"/>
        <w:rPr>
          <w:rFonts w:hint="eastAsia" w:ascii="Wingdings" w:hAnsi="Wingdings"/>
          <w:szCs w:val="21"/>
        </w:rPr>
      </w:pPr>
    </w:p>
    <w:p w14:paraId="7C5439EB">
      <w:pPr>
        <w:spacing w:line="360" w:lineRule="exact"/>
        <w:ind w:firstLine="420" w:firstLineChars="200"/>
        <w:rPr>
          <w:rFonts w:hAnsi="Wingdings" w:eastAsia="Cambria Math"/>
          <w:b/>
          <w:bCs/>
          <w:szCs w:val="21"/>
        </w:rPr>
      </w:pPr>
      <w:r>
        <w:rPr>
          <w:rFonts w:hint="eastAsia" w:hAnsi="Wingdings" w:eastAsia="Cambria Math"/>
          <w:b/>
          <w:bCs/>
          <w:szCs w:val="21"/>
        </w:rPr>
        <w:t>环境管理目标：</w:t>
      </w:r>
    </w:p>
    <w:tbl>
      <w:tblPr>
        <w:tblStyle w:val="14"/>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5528"/>
      </w:tblGrid>
      <w:tr w14:paraId="1BAF3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103C8F1C">
            <w:pPr>
              <w:keepNext w:val="0"/>
              <w:keepLines w:val="0"/>
              <w:suppressLineNumbers w:val="0"/>
              <w:tabs>
                <w:tab w:val="left" w:pos="0"/>
              </w:tabs>
              <w:spacing w:before="0" w:beforeAutospacing="0" w:after="0" w:afterAutospacing="0" w:line="340" w:lineRule="exact"/>
              <w:ind w:left="0" w:right="0"/>
              <w:rPr>
                <w:rFonts w:hint="eastAsia" w:ascii="仿宋_GB2312" w:hAnsi="@仿宋_GB2312" w:eastAsia="仿宋_GB2312"/>
                <w:szCs w:val="21"/>
              </w:rPr>
            </w:pPr>
            <w:r>
              <w:rPr>
                <w:rFonts w:hint="eastAsia" w:ascii="仿宋_GB2312" w:hAnsi="@仿宋_GB2312" w:eastAsia="仿宋_GB2312"/>
                <w:szCs w:val="21"/>
              </w:rPr>
              <w:t>合理处置废弃物</w:t>
            </w:r>
          </w:p>
        </w:tc>
        <w:tc>
          <w:tcPr>
            <w:tcW w:w="5528" w:type="dxa"/>
          </w:tcPr>
          <w:p w14:paraId="571826E1">
            <w:pPr>
              <w:keepNext w:val="0"/>
              <w:keepLines w:val="0"/>
              <w:numPr>
                <w:ilvl w:val="0"/>
                <w:numId w:val="0"/>
              </w:numPr>
              <w:suppressLineNumbers w:val="0"/>
              <w:spacing w:before="0" w:beforeAutospacing="0" w:after="0" w:afterAutospacing="0" w:line="340" w:lineRule="exact"/>
              <w:ind w:left="0" w:leftChars="0" w:right="0" w:rightChars="0"/>
              <w:rPr>
                <w:rFonts w:hint="eastAsia" w:ascii="仿宋_GB2312" w:hAnsi="@仿宋_GB2312" w:eastAsia="仿宋_GB2312"/>
                <w:szCs w:val="21"/>
              </w:rPr>
            </w:pPr>
            <w:r>
              <w:rPr>
                <w:rFonts w:hint="eastAsia" w:ascii="仿宋_GB2312" w:hAnsi="@仿宋_GB2312" w:eastAsia="仿宋_GB2312"/>
                <w:szCs w:val="21"/>
              </w:rPr>
              <w:t>1、固体危险废弃物100%合法处理。</w:t>
            </w:r>
          </w:p>
        </w:tc>
      </w:tr>
    </w:tbl>
    <w:p w14:paraId="55F2F3F7">
      <w:pPr>
        <w:spacing w:line="360" w:lineRule="exact"/>
        <w:ind w:firstLine="420" w:firstLineChars="200"/>
        <w:rPr>
          <w:rFonts w:hAnsi="Wingdings" w:eastAsia="Cambria Math"/>
          <w:b/>
          <w:bCs/>
          <w:szCs w:val="21"/>
        </w:rPr>
      </w:pPr>
      <w:r>
        <w:rPr>
          <w:rFonts w:hint="eastAsia" w:hAnsi="Wingdings" w:eastAsia="Cambria Math"/>
          <w:b/>
          <w:bCs/>
          <w:szCs w:val="21"/>
        </w:rPr>
        <w:t>职业健康安全目标：</w:t>
      </w:r>
    </w:p>
    <w:tbl>
      <w:tblPr>
        <w:tblStyle w:val="14"/>
        <w:tblpPr w:leftFromText="180" w:rightFromText="180" w:vertAnchor="text" w:tblpX="675"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5528"/>
      </w:tblGrid>
      <w:tr w14:paraId="0B024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0440D94F">
            <w:pPr>
              <w:keepNext w:val="0"/>
              <w:keepLines w:val="0"/>
              <w:suppressLineNumbers w:val="0"/>
              <w:tabs>
                <w:tab w:val="left" w:pos="0"/>
              </w:tabs>
              <w:spacing w:before="0" w:beforeAutospacing="0" w:after="0" w:afterAutospacing="0" w:line="340" w:lineRule="exact"/>
              <w:ind w:left="0" w:right="0"/>
              <w:rPr>
                <w:rFonts w:hint="eastAsia" w:ascii="仿宋_GB2312" w:hAnsi="@仿宋_GB2312" w:eastAsia="仿宋_GB2312"/>
                <w:szCs w:val="21"/>
              </w:rPr>
            </w:pPr>
            <w:r>
              <w:rPr>
                <w:rFonts w:hint="eastAsia" w:ascii="仿宋_GB2312" w:hAnsi="@仿宋_GB2312" w:eastAsia="仿宋_GB2312"/>
                <w:szCs w:val="21"/>
              </w:rPr>
              <w:t>交通安全</w:t>
            </w:r>
          </w:p>
        </w:tc>
        <w:tc>
          <w:tcPr>
            <w:tcW w:w="5528" w:type="dxa"/>
          </w:tcPr>
          <w:p w14:paraId="29CEE318">
            <w:pPr>
              <w:keepNext w:val="0"/>
              <w:keepLines w:val="0"/>
              <w:numPr>
                <w:ilvl w:val="0"/>
                <w:numId w:val="0"/>
              </w:numPr>
              <w:suppressLineNumbers w:val="0"/>
              <w:spacing w:before="0" w:beforeAutospacing="0" w:after="0" w:afterAutospacing="0" w:line="340" w:lineRule="exact"/>
              <w:ind w:left="0" w:leftChars="0" w:right="0" w:rightChars="0"/>
              <w:rPr>
                <w:rFonts w:hint="eastAsia" w:ascii="仿宋_GB2312" w:hAnsi="@仿宋_GB2312" w:eastAsia="仿宋_GB2312"/>
                <w:szCs w:val="21"/>
              </w:rPr>
            </w:pPr>
            <w:r>
              <w:rPr>
                <w:rFonts w:hint="eastAsia" w:ascii="仿宋_GB2312" w:hAnsi="@仿宋_GB2312" w:eastAsia="仿宋_GB2312"/>
                <w:szCs w:val="21"/>
              </w:rPr>
              <w:t>1、</w:t>
            </w:r>
            <w:r>
              <w:rPr>
                <w:rFonts w:hint="eastAsia" w:ascii="仿宋_GB2312" w:hAnsi="@仿宋_GB2312" w:eastAsia="仿宋_GB2312"/>
                <w:bCs/>
                <w:szCs w:val="21"/>
              </w:rPr>
              <w:t>公司内重大以上有责交通安全事故为零。</w:t>
            </w:r>
          </w:p>
        </w:tc>
      </w:tr>
      <w:tr w14:paraId="79E98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541CEE3F">
            <w:pPr>
              <w:keepNext w:val="0"/>
              <w:keepLines w:val="0"/>
              <w:suppressLineNumbers w:val="0"/>
              <w:tabs>
                <w:tab w:val="left" w:pos="0"/>
              </w:tabs>
              <w:spacing w:before="0" w:beforeAutospacing="0" w:after="0" w:afterAutospacing="0" w:line="340" w:lineRule="exact"/>
              <w:ind w:left="0" w:right="0"/>
              <w:rPr>
                <w:rFonts w:hint="eastAsia" w:ascii="仿宋_GB2312" w:hAnsi="@仿宋_GB2312" w:eastAsia="仿宋_GB2312"/>
                <w:szCs w:val="21"/>
              </w:rPr>
            </w:pPr>
            <w:r>
              <w:rPr>
                <w:rFonts w:hint="eastAsia" w:ascii="仿宋_GB2312" w:hAnsi="@仿宋_GB2312" w:eastAsia="仿宋_GB2312"/>
                <w:szCs w:val="21"/>
              </w:rPr>
              <w:t>消防安全</w:t>
            </w:r>
          </w:p>
        </w:tc>
        <w:tc>
          <w:tcPr>
            <w:tcW w:w="5528" w:type="dxa"/>
          </w:tcPr>
          <w:p w14:paraId="4A5E2808">
            <w:pPr>
              <w:keepNext w:val="0"/>
              <w:keepLines w:val="0"/>
              <w:numPr>
                <w:ilvl w:val="0"/>
                <w:numId w:val="0"/>
              </w:numPr>
              <w:suppressLineNumbers w:val="0"/>
              <w:spacing w:before="0" w:beforeAutospacing="0" w:after="0" w:afterAutospacing="0" w:line="340" w:lineRule="exact"/>
              <w:ind w:left="0" w:leftChars="0" w:right="0" w:rightChars="0"/>
              <w:rPr>
                <w:rFonts w:hint="eastAsia" w:ascii="仿宋_GB2312" w:hAnsi="@仿宋_GB2312" w:eastAsia="仿宋_GB2312"/>
                <w:szCs w:val="21"/>
              </w:rPr>
            </w:pPr>
            <w:r>
              <w:rPr>
                <w:rFonts w:hint="eastAsia" w:ascii="仿宋_GB2312" w:hAnsi="@仿宋_GB2312" w:eastAsia="仿宋_GB2312"/>
                <w:szCs w:val="21"/>
              </w:rPr>
              <w:t>1、</w:t>
            </w:r>
            <w:r>
              <w:rPr>
                <w:rFonts w:hint="eastAsia" w:ascii="仿宋_GB2312" w:hAnsi="@仿宋_GB2312" w:eastAsia="仿宋_GB2312"/>
                <w:bCs/>
                <w:szCs w:val="21"/>
              </w:rPr>
              <w:t>全年消防火灾事故为零</w:t>
            </w:r>
            <w:r>
              <w:rPr>
                <w:rFonts w:hint="eastAsia" w:ascii="仿宋_GB2312" w:hAnsi="@仿宋_GB2312" w:eastAsia="仿宋_GB2312"/>
                <w:szCs w:val="21"/>
              </w:rPr>
              <w:t>。</w:t>
            </w:r>
          </w:p>
        </w:tc>
      </w:tr>
      <w:tr w14:paraId="27B3F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7D67727C">
            <w:pPr>
              <w:keepNext w:val="0"/>
              <w:keepLines w:val="0"/>
              <w:suppressLineNumbers w:val="0"/>
              <w:tabs>
                <w:tab w:val="left" w:pos="0"/>
              </w:tabs>
              <w:spacing w:before="0" w:beforeAutospacing="0" w:after="0" w:afterAutospacing="0" w:line="340" w:lineRule="exact"/>
              <w:ind w:left="0" w:right="0"/>
              <w:rPr>
                <w:rFonts w:hint="eastAsia" w:ascii="仿宋_GB2312" w:hAnsi="@仿宋_GB2312" w:eastAsia="仿宋_GB2312"/>
                <w:szCs w:val="21"/>
              </w:rPr>
            </w:pPr>
            <w:r>
              <w:rPr>
                <w:rFonts w:hint="eastAsia" w:ascii="仿宋_GB2312" w:hAnsi="@仿宋_GB2312" w:eastAsia="仿宋_GB2312"/>
                <w:szCs w:val="21"/>
              </w:rPr>
              <w:t>生产安全</w:t>
            </w:r>
          </w:p>
        </w:tc>
        <w:tc>
          <w:tcPr>
            <w:tcW w:w="5528" w:type="dxa"/>
          </w:tcPr>
          <w:p w14:paraId="213B972A">
            <w:pPr>
              <w:keepNext w:val="0"/>
              <w:keepLines w:val="0"/>
              <w:suppressLineNumbers w:val="0"/>
              <w:spacing w:before="0" w:beforeAutospacing="0" w:after="0" w:afterAutospacing="0" w:line="340" w:lineRule="exact"/>
              <w:ind w:left="0" w:right="0"/>
              <w:rPr>
                <w:rFonts w:hint="eastAsia" w:ascii="仿宋_GB2312" w:hAnsi="@仿宋_GB2312" w:eastAsia="仿宋_GB2312"/>
                <w:szCs w:val="21"/>
              </w:rPr>
            </w:pPr>
            <w:r>
              <w:rPr>
                <w:rFonts w:hint="eastAsia" w:ascii="仿宋_GB2312" w:hAnsi="@仿宋_GB2312" w:eastAsia="仿宋_GB2312"/>
                <w:szCs w:val="21"/>
              </w:rPr>
              <w:t>1、公司内</w:t>
            </w:r>
            <w:r>
              <w:rPr>
                <w:rFonts w:hint="eastAsia" w:ascii="仿宋_GB2312" w:hAnsi="@仿宋_GB2312" w:eastAsia="仿宋_GB2312"/>
                <w:bCs/>
                <w:szCs w:val="21"/>
              </w:rPr>
              <w:t>全年安全生产轻伤（含轻伤）以上事故为零</w:t>
            </w:r>
            <w:r>
              <w:rPr>
                <w:rFonts w:hint="eastAsia" w:ascii="仿宋_GB2312" w:hAnsi="@仿宋_GB2312" w:eastAsia="仿宋_GB2312"/>
                <w:szCs w:val="21"/>
              </w:rPr>
              <w:t>。</w:t>
            </w:r>
          </w:p>
        </w:tc>
      </w:tr>
      <w:tr w14:paraId="15081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6E4A0E05">
            <w:pPr>
              <w:keepNext w:val="0"/>
              <w:keepLines w:val="0"/>
              <w:suppressLineNumbers w:val="0"/>
              <w:tabs>
                <w:tab w:val="left" w:pos="0"/>
              </w:tabs>
              <w:spacing w:before="0" w:beforeAutospacing="0" w:after="0" w:afterAutospacing="0" w:line="340" w:lineRule="exact"/>
              <w:ind w:left="0" w:right="0"/>
              <w:rPr>
                <w:rFonts w:hint="eastAsia" w:ascii="仿宋_GB2312" w:hAnsi="@仿宋_GB2312" w:eastAsia="仿宋_GB2312"/>
                <w:szCs w:val="21"/>
              </w:rPr>
            </w:pPr>
            <w:r>
              <w:rPr>
                <w:rFonts w:hint="eastAsia" w:ascii="仿宋_GB2312" w:hAnsi="@仿宋_GB2312" w:eastAsia="仿宋_GB2312"/>
                <w:szCs w:val="21"/>
              </w:rPr>
              <w:t>治安防范</w:t>
            </w:r>
          </w:p>
        </w:tc>
        <w:tc>
          <w:tcPr>
            <w:tcW w:w="5528" w:type="dxa"/>
          </w:tcPr>
          <w:p w14:paraId="0CDC853C">
            <w:pPr>
              <w:keepNext w:val="0"/>
              <w:keepLines w:val="0"/>
              <w:suppressLineNumbers w:val="0"/>
              <w:spacing w:before="0" w:beforeAutospacing="0" w:after="0" w:afterAutospacing="0" w:line="340" w:lineRule="exact"/>
              <w:ind w:left="0" w:right="0"/>
              <w:jc w:val="left"/>
              <w:rPr>
                <w:rFonts w:hint="eastAsia" w:ascii="仿宋_GB2312" w:hAnsi="@仿宋_GB2312" w:eastAsia="仿宋_GB2312"/>
                <w:szCs w:val="21"/>
              </w:rPr>
            </w:pPr>
            <w:r>
              <w:rPr>
                <w:rFonts w:hint="eastAsia" w:ascii="仿宋_GB2312" w:hAnsi="@仿宋_GB2312" w:eastAsia="仿宋_GB2312"/>
                <w:szCs w:val="21"/>
              </w:rPr>
              <w:t>1、公司内治安事件上报为零。</w:t>
            </w:r>
          </w:p>
        </w:tc>
      </w:tr>
    </w:tbl>
    <w:p w14:paraId="78319899">
      <w:pPr>
        <w:spacing w:line="360" w:lineRule="exact"/>
        <w:ind w:firstLine="420" w:firstLineChars="200"/>
        <w:rPr>
          <w:rFonts w:hAnsi="Wingdings" w:eastAsia="Cambria Math"/>
          <w:b/>
          <w:bCs/>
          <w:szCs w:val="21"/>
        </w:rPr>
      </w:pPr>
    </w:p>
    <w:p w14:paraId="70E085C0">
      <w:pPr>
        <w:spacing w:line="360" w:lineRule="auto"/>
        <w:ind w:left="360"/>
        <w:rPr>
          <w:rFonts w:hint="eastAsia" w:ascii="Wingdings" w:hAnsi="Wingdings"/>
          <w:szCs w:val="21"/>
        </w:rPr>
      </w:pPr>
    </w:p>
    <w:p w14:paraId="19EE9708">
      <w:pPr>
        <w:spacing w:line="360" w:lineRule="auto"/>
        <w:ind w:left="360"/>
        <w:rPr>
          <w:szCs w:val="21"/>
        </w:rPr>
      </w:pPr>
      <w:r>
        <w:rPr>
          <w:rFonts w:ascii="Wingdings" w:hAnsi="Wingdings"/>
        </w:rPr>
        <w:t></w:t>
      </w:r>
      <w:r>
        <w:rPr>
          <w:rFonts w:hint="eastAsia"/>
          <w:szCs w:val="21"/>
        </w:rPr>
        <w:t xml:space="preserve"> </w:t>
      </w:r>
    </w:p>
    <w:p w14:paraId="7D480015">
      <w:pPr>
        <w:spacing w:line="360" w:lineRule="auto"/>
        <w:ind w:left="360"/>
        <w:rPr>
          <w:szCs w:val="21"/>
        </w:rPr>
      </w:pPr>
    </w:p>
    <w:p w14:paraId="1444ABF8">
      <w:pPr>
        <w:spacing w:line="360" w:lineRule="auto"/>
        <w:ind w:left="360"/>
        <w:rPr>
          <w:szCs w:val="21"/>
        </w:rPr>
      </w:pPr>
      <w:r>
        <w:rPr>
          <w:rFonts w:hint="eastAsia"/>
          <w:szCs w:val="21"/>
        </w:rPr>
        <w:t>望各相关方对我公司环境和职业健康安全管理方针、目标的实现给予关注和监督。</w:t>
      </w:r>
    </w:p>
    <w:p w14:paraId="3FE1E985">
      <w:pPr>
        <w:numPr>
          <w:ilvl w:val="0"/>
          <w:numId w:val="11"/>
        </w:numPr>
        <w:spacing w:line="300" w:lineRule="auto"/>
        <w:rPr>
          <w:szCs w:val="21"/>
        </w:rPr>
      </w:pPr>
      <w:r>
        <w:rPr>
          <w:rFonts w:hint="eastAsia"/>
          <w:szCs w:val="21"/>
        </w:rPr>
        <w:t>所提供的</w:t>
      </w:r>
      <w:r>
        <w:rPr>
          <w:rFonts w:ascii="Wingdings" w:hAnsi="Wingdings"/>
          <w:szCs w:val="21"/>
        </w:rPr>
        <w:t>基础设施运维服务和软件开发</w:t>
      </w:r>
      <w:r>
        <w:rPr>
          <w:rFonts w:hint="eastAsia"/>
          <w:szCs w:val="21"/>
        </w:rPr>
        <w:t>服务过程应满足国家、地方、行业的有关环境保护方面的法律法规的要求。</w:t>
      </w:r>
    </w:p>
    <w:p w14:paraId="06B48B05">
      <w:pPr>
        <w:numPr>
          <w:ilvl w:val="0"/>
          <w:numId w:val="11"/>
        </w:numPr>
        <w:spacing w:line="300" w:lineRule="auto"/>
        <w:rPr>
          <w:szCs w:val="21"/>
        </w:rPr>
      </w:pPr>
      <w:r>
        <w:rPr>
          <w:rFonts w:hint="eastAsia"/>
          <w:szCs w:val="21"/>
        </w:rPr>
        <w:t>在</w:t>
      </w:r>
      <w:r>
        <w:rPr>
          <w:rFonts w:ascii="Wingdings" w:hAnsi="Wingdings"/>
          <w:szCs w:val="21"/>
        </w:rPr>
        <w:t>基础设施运维服务和软件开发</w:t>
      </w:r>
      <w:r>
        <w:rPr>
          <w:rFonts w:hint="eastAsia"/>
          <w:szCs w:val="21"/>
        </w:rPr>
        <w:t>服务过程产生的污染物（如：固体废弃物、噪声等）应制定相应计划、采取措施，到达国家或地方规定标准和要求。</w:t>
      </w:r>
    </w:p>
    <w:p w14:paraId="272798FF">
      <w:pPr>
        <w:numPr>
          <w:ilvl w:val="0"/>
          <w:numId w:val="11"/>
        </w:numPr>
        <w:spacing w:line="300" w:lineRule="auto"/>
        <w:rPr>
          <w:szCs w:val="21"/>
        </w:rPr>
      </w:pPr>
      <w:r>
        <w:rPr>
          <w:rFonts w:hint="eastAsia"/>
          <w:szCs w:val="21"/>
        </w:rPr>
        <w:t>在</w:t>
      </w:r>
      <w:r>
        <w:rPr>
          <w:rFonts w:ascii="Wingdings" w:hAnsi="Wingdings"/>
          <w:szCs w:val="21"/>
        </w:rPr>
        <w:t>基础设施运维和软件开发</w:t>
      </w:r>
      <w:r>
        <w:rPr>
          <w:rFonts w:hint="eastAsia"/>
          <w:szCs w:val="21"/>
        </w:rPr>
        <w:t>服务过程中应加强安全管理，预防安全事故及人身伤亡事故的发生，同时确保所提供的产品和服务符合安全生产要求。</w:t>
      </w:r>
    </w:p>
    <w:p w14:paraId="32CEFD79">
      <w:pPr>
        <w:numPr>
          <w:ilvl w:val="0"/>
          <w:numId w:val="11"/>
        </w:numPr>
        <w:spacing w:line="300" w:lineRule="auto"/>
        <w:rPr>
          <w:szCs w:val="21"/>
        </w:rPr>
      </w:pPr>
      <w:r>
        <w:rPr>
          <w:rFonts w:hint="eastAsia"/>
          <w:szCs w:val="21"/>
        </w:rPr>
        <w:t>严格按国家相关规定，安全文明生产，实现和谐发展。</w:t>
      </w:r>
    </w:p>
    <w:p w14:paraId="2D972B8C">
      <w:pPr>
        <w:spacing w:line="300" w:lineRule="auto"/>
        <w:ind w:firstLine="420" w:firstLineChars="200"/>
        <w:rPr>
          <w:szCs w:val="21"/>
        </w:rPr>
      </w:pPr>
      <w:r>
        <w:rPr>
          <w:rFonts w:hint="eastAsia"/>
          <w:szCs w:val="21"/>
        </w:rPr>
        <w:t xml:space="preserve">为了使我们的员工有一个良好的、健康安全的工作环境，我们期待所采取的旨在保护环境和员工的身心健康活动得到各相关方的支持和大力配合。 </w:t>
      </w:r>
    </w:p>
    <w:p w14:paraId="0E6177D2">
      <w:pPr>
        <w:spacing w:line="300" w:lineRule="auto"/>
        <w:ind w:firstLine="420" w:firstLineChars="200"/>
        <w:rPr>
          <w:szCs w:val="21"/>
        </w:rPr>
      </w:pPr>
      <w:r>
        <w:rPr>
          <w:rFonts w:hint="eastAsia"/>
          <w:szCs w:val="21"/>
        </w:rPr>
        <w:t xml:space="preserve">                                              </w:t>
      </w:r>
    </w:p>
    <w:p w14:paraId="7D415B68">
      <w:pPr>
        <w:spacing w:line="300" w:lineRule="auto"/>
        <w:ind w:firstLine="502" w:firstLineChars="200"/>
        <w:jc w:val="right"/>
        <w:rPr>
          <w:rFonts w:hint="eastAsia" w:ascii="Wingdings" w:hAnsi="Wingdings"/>
          <w:b/>
          <w:szCs w:val="21"/>
        </w:rPr>
      </w:pPr>
      <w:r>
        <w:rPr>
          <w:rFonts w:ascii="Wingdings" w:hAnsi="Wingdings"/>
          <w:b/>
          <w:bCs/>
          <w:spacing w:val="20"/>
          <w:szCs w:val="21"/>
        </w:rPr>
        <w:t></w:t>
      </w:r>
    </w:p>
    <w:p w14:paraId="44F829F5">
      <w:pPr>
        <w:spacing w:line="300" w:lineRule="auto"/>
        <w:ind w:left="6534" w:leftChars="200" w:hanging="6114" w:hangingChars="2900"/>
        <w:jc w:val="left"/>
        <w:rPr>
          <w:rFonts w:hint="eastAsia" w:ascii="Wingdings" w:hAnsi="Wingdings" w:eastAsia="黑体"/>
          <w:b/>
          <w:szCs w:val="21"/>
          <w:lang w:eastAsia="zh-CN"/>
        </w:rPr>
      </w:pPr>
      <w:r>
        <w:rPr>
          <w:rFonts w:ascii="Wingdings" w:hAnsi="Wingdings"/>
          <w:b/>
          <w:szCs w:val="21"/>
        </w:rPr>
        <w:t>上海宝信数据中心有限公司相关方：</w:t>
      </w:r>
      <w:r>
        <w:rPr>
          <w:rFonts w:hint="eastAsia" w:ascii="Wingdings" w:hAnsi="Wingdings"/>
          <w:b/>
          <w:szCs w:val="21"/>
          <w:lang w:val="en-US" w:eastAsia="zh-CN"/>
        </w:rPr>
        <w:t xml:space="preserve"> </w:t>
      </w:r>
    </w:p>
    <w:p w14:paraId="0A733687">
      <w:pPr>
        <w:spacing w:line="300" w:lineRule="auto"/>
        <w:ind w:left="6534" w:leftChars="200" w:hanging="6114" w:hangingChars="2900"/>
        <w:jc w:val="left"/>
        <w:rPr>
          <w:rFonts w:hint="eastAsia" w:ascii="Wingdings" w:hAnsi="Wingdings"/>
          <w:b/>
          <w:szCs w:val="21"/>
          <w:u w:val="single"/>
        </w:rPr>
      </w:pPr>
      <w:r>
        <w:rPr>
          <w:rFonts w:ascii="Wingdings" w:hAnsi="Wingdings"/>
          <w:b/>
          <w:szCs w:val="21"/>
        </w:rPr>
        <w:t></w:t>
      </w:r>
    </w:p>
    <w:p w14:paraId="27DA023E">
      <w:pPr>
        <w:pStyle w:val="13"/>
        <w:ind w:firstLine="723" w:firstLineChars="300"/>
        <w:rPr>
          <w:rFonts w:eastAsia="仿宋_GB2312"/>
          <w:sz w:val="28"/>
          <w:szCs w:val="28"/>
        </w:rPr>
      </w:pPr>
      <w:r>
        <w:rPr>
          <w:rFonts w:ascii="Wingdings" w:hAnsi="Wingdings"/>
          <w:b/>
          <w:szCs w:val="21"/>
        </w:rPr>
        <w:t>年月日年月日</w:t>
      </w:r>
    </w:p>
    <w:p w14:paraId="1AC2A9F0">
      <w:pPr>
        <w:spacing w:line="240" w:lineRule="auto"/>
        <w:ind w:firstLine="231" w:firstLineChars="0"/>
        <w:rPr>
          <w:rFonts w:hint="eastAsia"/>
          <w:lang w:val="en-US" w:eastAsia="zh-CN"/>
        </w:rPr>
      </w:pPr>
    </w:p>
    <w:p w14:paraId="4DEB58DA">
      <w:pPr>
        <w:spacing w:line="360" w:lineRule="auto"/>
        <w:rPr>
          <w:b/>
          <w:sz w:val="18"/>
          <w:szCs w:val="18"/>
        </w:rPr>
      </w:pPr>
    </w:p>
    <w:sectPr>
      <w:type w:val="continuous"/>
      <w:pgSz w:w="11906" w:h="16838"/>
      <w:pgMar w:top="1246" w:right="1270" w:bottom="1558" w:left="964" w:header="644"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仿宋_GB2312">
    <w:altName w:val="仿宋"/>
    <w:panose1 w:val="02010609030101010101"/>
    <w:charset w:val="86"/>
    <w:family w:val="modern"/>
    <w:pitch w:val="default"/>
    <w:sig w:usb0="00000000" w:usb1="00000000" w:usb2="0000001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_GB2312">
    <w:altName w:val="@仿宋"/>
    <w:panose1 w:val="020B0604020202020204"/>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00596">
    <w:pPr>
      <w:pStyle w:val="9"/>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325D07">
                          <w:pPr>
                            <w:pStyle w:val="9"/>
                          </w:pPr>
                          <w:r>
                            <w:t xml:space="preserve">第 </w:t>
                          </w:r>
                          <w:r>
                            <w:fldChar w:fldCharType="begin"/>
                          </w:r>
                          <w:r>
                            <w:instrText xml:space="preserve"> PAGE  \* MERGEFORMAT </w:instrText>
                          </w:r>
                          <w:r>
                            <w:fldChar w:fldCharType="separate"/>
                          </w:r>
                          <w:r>
                            <w:t>41</w:t>
                          </w:r>
                          <w:r>
                            <w:fldChar w:fldCharType="end"/>
                          </w:r>
                          <w:r>
                            <w:t xml:space="preserve"> 页 共 </w:t>
                          </w:r>
                          <w:r>
                            <w:fldChar w:fldCharType="begin"/>
                          </w:r>
                          <w:r>
                            <w:instrText xml:space="preserve"> NUMPAGES  \* MERGEFORMAT </w:instrText>
                          </w:r>
                          <w:r>
                            <w:fldChar w:fldCharType="separate"/>
                          </w:r>
                          <w:r>
                            <w:t>74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45325D07">
                    <w:pPr>
                      <w:pStyle w:val="9"/>
                    </w:pPr>
                    <w:r>
                      <w:t xml:space="preserve">第 </w:t>
                    </w:r>
                    <w:r>
                      <w:fldChar w:fldCharType="begin"/>
                    </w:r>
                    <w:r>
                      <w:instrText xml:space="preserve"> PAGE  \* MERGEFORMAT </w:instrText>
                    </w:r>
                    <w:r>
                      <w:fldChar w:fldCharType="separate"/>
                    </w:r>
                    <w:r>
                      <w:t>41</w:t>
                    </w:r>
                    <w:r>
                      <w:fldChar w:fldCharType="end"/>
                    </w:r>
                    <w:r>
                      <w:t xml:space="preserve"> 页 共 </w:t>
                    </w:r>
                    <w:r>
                      <w:fldChar w:fldCharType="begin"/>
                    </w:r>
                    <w:r>
                      <w:instrText xml:space="preserve"> NUMPAGES  \* MERGEFORMAT </w:instrText>
                    </w:r>
                    <w:r>
                      <w:fldChar w:fldCharType="separate"/>
                    </w:r>
                    <w:r>
                      <w:t>74</w:t>
                    </w:r>
                    <w:r>
                      <w:fldChar w:fldCharType="end"/>
                    </w:r>
                    <w:r>
                      <w:t xml:space="preserve"> 页</w:t>
                    </w:r>
                  </w:p>
                </w:txbxContent>
              </v:textbox>
            </v:shape>
          </w:pict>
        </mc:Fallback>
      </mc:AlternateContent>
    </w:r>
    <w:r>
      <w:rPr>
        <w:rFonts w:hint="eastAsia"/>
      </w:rPr>
      <w:t xml:space="preserve">宝信数据QHSE&amp;BCM管理方针：                                                </w:t>
    </w:r>
  </w:p>
  <w:p w14:paraId="512315F8">
    <w:pPr>
      <w:pStyle w:val="9"/>
    </w:pPr>
    <w:r>
      <w:rPr>
        <w:rFonts w:hint="eastAsia"/>
      </w:rPr>
      <w:t xml:space="preserve">安全第一、环境至上、卓越品质、持续改进、预防为主、快速响应。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443FE">
    <w:pPr>
      <w:pStyle w:val="10"/>
      <w:pBdr>
        <w:bottom w:val="none" w:color="auto" w:sz="0" w:space="1"/>
      </w:pBdr>
      <w:jc w:val="both"/>
    </w:pPr>
    <w:r>
      <w:rPr>
        <w:rFonts w:hint="eastAsia"/>
        <w:b/>
        <w:bCs/>
      </w:rPr>
      <w:t xml:space="preserve">                                         </w:t>
    </w:r>
    <w:r>
      <w:rPr>
        <w:rFonts w:hint="eastAsia"/>
      </w:rPr>
      <w:t xml:space="preserve">                                           </w:t>
    </w:r>
    <w:r>
      <w:rPr>
        <w:rFonts w:hint="eastAsia"/>
        <w:b/>
        <w:bCs/>
      </w:rPr>
      <w:t>合同编号：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F798D9"/>
    <w:multiLevelType w:val="singleLevel"/>
    <w:tmpl w:val="B7F798D9"/>
    <w:lvl w:ilvl="0" w:tentative="0">
      <w:start w:val="1"/>
      <w:numFmt w:val="chineseCounting"/>
      <w:suff w:val="nothing"/>
      <w:lvlText w:val="%1、"/>
      <w:lvlJc w:val="left"/>
      <w:pPr>
        <w:ind w:left="0" w:firstLine="420"/>
      </w:pPr>
      <w:rPr>
        <w:rFonts w:hint="eastAsia"/>
      </w:rPr>
    </w:lvl>
  </w:abstractNum>
  <w:abstractNum w:abstractNumId="1">
    <w:nsid w:val="0000000B"/>
    <w:multiLevelType w:val="multilevel"/>
    <w:tmpl w:val="0000000B"/>
    <w:lvl w:ilvl="0" w:tentative="0">
      <w:start w:val="1"/>
      <w:numFmt w:val="chineseCounting"/>
      <w:suff w:val="nothing"/>
      <w:lvlText w:val="%1、"/>
      <w:lvlJc w:val="left"/>
      <w:rPr>
        <w:rFonts w:hint="default" w:ascii="Times New Roman"/>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2">
    <w:nsid w:val="04BE1B63"/>
    <w:multiLevelType w:val="multilevel"/>
    <w:tmpl w:val="04BE1B63"/>
    <w:lvl w:ilvl="0" w:tentative="0">
      <w:start w:val="1"/>
      <w:numFmt w:val="decimal"/>
      <w:lvlText w:val="%1、"/>
      <w:lvlJc w:val="left"/>
      <w:pPr>
        <w:tabs>
          <w:tab w:val="left" w:pos="1000"/>
        </w:tabs>
        <w:ind w:left="1000" w:hanging="720"/>
      </w:pPr>
      <w:rPr>
        <w:rFonts w:hint="eastAsia"/>
      </w:rPr>
    </w:lvl>
    <w:lvl w:ilvl="1" w:tentative="0">
      <w:start w:val="1"/>
      <w:numFmt w:val="lowerLetter"/>
      <w:lvlText w:val="%2)"/>
      <w:lvlJc w:val="left"/>
      <w:pPr>
        <w:tabs>
          <w:tab w:val="left" w:pos="1120"/>
        </w:tabs>
        <w:ind w:left="1120" w:hanging="420"/>
      </w:pPr>
    </w:lvl>
    <w:lvl w:ilvl="2" w:tentative="0">
      <w:start w:val="1"/>
      <w:numFmt w:val="lowerRoman"/>
      <w:lvlText w:val="%3."/>
      <w:lvlJc w:val="right"/>
      <w:pPr>
        <w:tabs>
          <w:tab w:val="left" w:pos="1540"/>
        </w:tabs>
        <w:ind w:left="1540" w:hanging="420"/>
      </w:pPr>
    </w:lvl>
    <w:lvl w:ilvl="3" w:tentative="0">
      <w:start w:val="1"/>
      <w:numFmt w:val="decimal"/>
      <w:lvlText w:val="%4."/>
      <w:lvlJc w:val="left"/>
      <w:pPr>
        <w:tabs>
          <w:tab w:val="left" w:pos="1960"/>
        </w:tabs>
        <w:ind w:left="1960" w:hanging="420"/>
      </w:pPr>
    </w:lvl>
    <w:lvl w:ilvl="4" w:tentative="0">
      <w:start w:val="1"/>
      <w:numFmt w:val="lowerLetter"/>
      <w:lvlText w:val="%5)"/>
      <w:lvlJc w:val="left"/>
      <w:pPr>
        <w:tabs>
          <w:tab w:val="left" w:pos="2380"/>
        </w:tabs>
        <w:ind w:left="2380" w:hanging="420"/>
      </w:pPr>
    </w:lvl>
    <w:lvl w:ilvl="5" w:tentative="0">
      <w:start w:val="1"/>
      <w:numFmt w:val="lowerRoman"/>
      <w:lvlText w:val="%6."/>
      <w:lvlJc w:val="right"/>
      <w:pPr>
        <w:tabs>
          <w:tab w:val="left" w:pos="2800"/>
        </w:tabs>
        <w:ind w:left="2800" w:hanging="420"/>
      </w:pPr>
    </w:lvl>
    <w:lvl w:ilvl="6" w:tentative="0">
      <w:start w:val="1"/>
      <w:numFmt w:val="decimal"/>
      <w:lvlText w:val="%7."/>
      <w:lvlJc w:val="left"/>
      <w:pPr>
        <w:tabs>
          <w:tab w:val="left" w:pos="3220"/>
        </w:tabs>
        <w:ind w:left="3220" w:hanging="420"/>
      </w:pPr>
    </w:lvl>
    <w:lvl w:ilvl="7" w:tentative="0">
      <w:start w:val="1"/>
      <w:numFmt w:val="lowerLetter"/>
      <w:lvlText w:val="%8)"/>
      <w:lvlJc w:val="left"/>
      <w:pPr>
        <w:tabs>
          <w:tab w:val="left" w:pos="3640"/>
        </w:tabs>
        <w:ind w:left="3640" w:hanging="420"/>
      </w:pPr>
    </w:lvl>
    <w:lvl w:ilvl="8" w:tentative="0">
      <w:start w:val="1"/>
      <w:numFmt w:val="lowerRoman"/>
      <w:lvlText w:val="%9."/>
      <w:lvlJc w:val="right"/>
      <w:pPr>
        <w:tabs>
          <w:tab w:val="left" w:pos="4060"/>
        </w:tabs>
        <w:ind w:left="4060" w:hanging="420"/>
      </w:pPr>
    </w:lvl>
  </w:abstractNum>
  <w:abstractNum w:abstractNumId="3">
    <w:nsid w:val="07BF5CA6"/>
    <w:multiLevelType w:val="multilevel"/>
    <w:tmpl w:val="07BF5CA6"/>
    <w:lvl w:ilvl="0" w:tentative="0">
      <w:start w:val="1"/>
      <w:numFmt w:val="japaneseCounting"/>
      <w:lvlText w:val="%1、"/>
      <w:lvlJc w:val="left"/>
      <w:pPr>
        <w:tabs>
          <w:tab w:val="left" w:pos="720"/>
        </w:tabs>
        <w:ind w:left="720" w:hanging="720"/>
      </w:pPr>
      <w:rPr>
        <w:rFonts w:hint="default"/>
      </w:rPr>
    </w:lvl>
    <w:lvl w:ilvl="1" w:tentative="0">
      <w:start w:val="1"/>
      <w:numFmt w:val="decimal"/>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106D679B"/>
    <w:multiLevelType w:val="multilevel"/>
    <w:tmpl w:val="106D679B"/>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14680CEB"/>
    <w:multiLevelType w:val="multilevel"/>
    <w:tmpl w:val="14680CEB"/>
    <w:lvl w:ilvl="0" w:tentative="0">
      <w:start w:val="1"/>
      <w:numFmt w:val="decimal"/>
      <w:lvlText w:val="%1、"/>
      <w:lvlJc w:val="left"/>
      <w:pPr>
        <w:tabs>
          <w:tab w:val="left" w:pos="1140"/>
        </w:tabs>
        <w:ind w:left="1140" w:hanging="7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6">
    <w:nsid w:val="2C30156E"/>
    <w:multiLevelType w:val="multilevel"/>
    <w:tmpl w:val="2C30156E"/>
    <w:lvl w:ilvl="0" w:tentative="0">
      <w:start w:val="1"/>
      <w:numFmt w:val="decimal"/>
      <w:suff w:val="space"/>
      <w:lvlText w:val="%1"/>
      <w:lvlJc w:val="left"/>
      <w:pPr>
        <w:ind w:left="531" w:firstLine="0"/>
      </w:pPr>
      <w:rPr>
        <w:rFonts w:hint="default"/>
      </w:rPr>
    </w:lvl>
    <w:lvl w:ilvl="1" w:tentative="0">
      <w:start w:val="1"/>
      <w:numFmt w:val="decimal"/>
      <w:suff w:val="space"/>
      <w:lvlText w:val="%1.%2"/>
      <w:lvlJc w:val="left"/>
      <w:pPr>
        <w:ind w:left="531" w:firstLine="0"/>
      </w:pPr>
      <w:rPr>
        <w:rFonts w:hint="default"/>
      </w:rPr>
    </w:lvl>
    <w:lvl w:ilvl="2" w:tentative="0">
      <w:start w:val="1"/>
      <w:numFmt w:val="decimal"/>
      <w:suff w:val="space"/>
      <w:lvlText w:val="%1.%2.%3"/>
      <w:lvlJc w:val="left"/>
      <w:pPr>
        <w:ind w:left="531" w:firstLine="0"/>
      </w:pPr>
      <w:rPr>
        <w:rFonts w:hint="default"/>
      </w:rPr>
    </w:lvl>
    <w:lvl w:ilvl="3" w:tentative="0">
      <w:start w:val="1"/>
      <w:numFmt w:val="decimal"/>
      <w:suff w:val="space"/>
      <w:lvlText w:val="%1.%2.%3.%4"/>
      <w:lvlJc w:val="left"/>
      <w:pPr>
        <w:ind w:left="531" w:firstLine="0"/>
      </w:pPr>
      <w:rPr>
        <w:rFonts w:hint="default"/>
      </w:rPr>
    </w:lvl>
    <w:lvl w:ilvl="4" w:tentative="0">
      <w:start w:val="1"/>
      <w:numFmt w:val="decimal"/>
      <w:suff w:val="space"/>
      <w:lvlText w:val="%1.%2.%3.%4.%5"/>
      <w:lvlJc w:val="left"/>
      <w:pPr>
        <w:ind w:left="531" w:firstLine="0"/>
      </w:pPr>
      <w:rPr>
        <w:rFonts w:hint="default"/>
      </w:rPr>
    </w:lvl>
    <w:lvl w:ilvl="5" w:tentative="0">
      <w:start w:val="1"/>
      <w:numFmt w:val="decimal"/>
      <w:suff w:val="space"/>
      <w:lvlText w:val="%1.%2.%3.%4.%5.%6"/>
      <w:lvlJc w:val="left"/>
      <w:pPr>
        <w:ind w:left="531" w:firstLine="0"/>
      </w:pPr>
      <w:rPr>
        <w:rFonts w:hint="default"/>
      </w:rPr>
    </w:lvl>
    <w:lvl w:ilvl="6" w:tentative="0">
      <w:start w:val="1"/>
      <w:numFmt w:val="decimal"/>
      <w:suff w:val="space"/>
      <w:lvlText w:val="%1.%2.%3.%4.%5.%6.%7"/>
      <w:lvlJc w:val="left"/>
      <w:pPr>
        <w:ind w:left="531" w:firstLine="0"/>
      </w:pPr>
      <w:rPr>
        <w:rFonts w:hint="default"/>
      </w:rPr>
    </w:lvl>
    <w:lvl w:ilvl="7" w:tentative="0">
      <w:start w:val="1"/>
      <w:numFmt w:val="decimal"/>
      <w:suff w:val="space"/>
      <w:lvlText w:val="%1.%2.%3.%4.%5.%6.%7.%8"/>
      <w:lvlJc w:val="left"/>
      <w:pPr>
        <w:ind w:left="531" w:firstLine="0"/>
      </w:pPr>
      <w:rPr>
        <w:rFonts w:hint="default"/>
      </w:rPr>
    </w:lvl>
    <w:lvl w:ilvl="8" w:tentative="0">
      <w:start w:val="1"/>
      <w:numFmt w:val="decimal"/>
      <w:suff w:val="space"/>
      <w:lvlText w:val="%1.%2.%3.%4.%5.%6.%7.%8.%9"/>
      <w:lvlJc w:val="left"/>
      <w:pPr>
        <w:ind w:left="531" w:firstLine="0"/>
      </w:pPr>
      <w:rPr>
        <w:rFonts w:hint="default"/>
      </w:rPr>
    </w:lvl>
  </w:abstractNum>
  <w:abstractNum w:abstractNumId="7">
    <w:nsid w:val="2CB42DF3"/>
    <w:multiLevelType w:val="multilevel"/>
    <w:tmpl w:val="2CB42DF3"/>
    <w:lvl w:ilvl="0" w:tentative="0">
      <w:start w:val="7"/>
      <w:numFmt w:val="decimal"/>
      <w:suff w:val="nothing"/>
      <w:lvlText w:val="%1  "/>
      <w:lvlJc w:val="left"/>
      <w:pPr>
        <w:ind w:left="180" w:firstLine="0"/>
      </w:pPr>
      <w:rPr>
        <w:rFonts w:hint="default" w:ascii="Arial" w:hAnsi="Arial" w:cs="Arial"/>
        <w:b/>
        <w:bCs/>
        <w:i w:val="0"/>
        <w:iCs w:val="0"/>
        <w:caps w:val="0"/>
        <w:strike w:val="0"/>
        <w:dstrike w:val="0"/>
        <w:vanish w:val="0"/>
        <w:color w:val="auto"/>
        <w:sz w:val="36"/>
        <w:szCs w:val="36"/>
        <w:vertAlign w:val="baseline"/>
      </w:rPr>
    </w:lvl>
    <w:lvl w:ilvl="1" w:tentative="0">
      <w:start w:val="1"/>
      <w:numFmt w:val="decimal"/>
      <w:suff w:val="nothing"/>
      <w:lvlText w:val="%1.%2  "/>
      <w:lvlJc w:val="left"/>
      <w:pPr>
        <w:ind w:left="360" w:firstLine="0"/>
      </w:pPr>
      <w:rPr>
        <w:rFonts w:hint="default" w:ascii="Arial" w:hAnsi="Arial" w:cs="Arial"/>
        <w:b/>
        <w:bCs/>
        <w:i w:val="0"/>
        <w:iCs w:val="0"/>
        <w:caps w:val="0"/>
        <w:strike w:val="0"/>
        <w:dstrike w:val="0"/>
        <w:vanish w:val="0"/>
        <w:color w:val="auto"/>
        <w:sz w:val="30"/>
        <w:szCs w:val="30"/>
        <w:vertAlign w:val="baseline"/>
      </w:rPr>
    </w:lvl>
    <w:lvl w:ilvl="2" w:tentative="0">
      <w:start w:val="1"/>
      <w:numFmt w:val="decimal"/>
      <w:lvlText w:val="7.2.%3"/>
      <w:lvlJc w:val="left"/>
      <w:pPr>
        <w:tabs>
          <w:tab w:val="left" w:pos="420"/>
        </w:tabs>
        <w:ind w:left="420" w:hanging="420"/>
      </w:pPr>
      <w:rPr>
        <w:rFonts w:hint="eastAsia"/>
        <w:b/>
        <w:bCs/>
        <w:i w:val="0"/>
        <w:iCs w:val="0"/>
        <w:caps w:val="0"/>
        <w:strike w:val="0"/>
        <w:dstrike w:val="0"/>
        <w:vanish w:val="0"/>
        <w:color w:val="auto"/>
        <w:sz w:val="24"/>
        <w:szCs w:val="24"/>
        <w:vertAlign w:val="baseline"/>
      </w:rPr>
    </w:lvl>
    <w:lvl w:ilvl="3" w:tentative="0">
      <w:start w:val="1"/>
      <w:numFmt w:val="decimal"/>
      <w:lvlText w:val="5.1.1.%4"/>
      <w:lvlJc w:val="left"/>
      <w:pPr>
        <w:tabs>
          <w:tab w:val="left" w:pos="600"/>
        </w:tabs>
        <w:ind w:left="600" w:hanging="420"/>
      </w:pPr>
      <w:rPr>
        <w:rFonts w:hint="eastAsia"/>
        <w:b/>
        <w:bCs/>
        <w:i w:val="0"/>
        <w:iCs w:val="0"/>
        <w:caps w:val="0"/>
        <w:strike w:val="0"/>
        <w:dstrike w:val="0"/>
        <w:vanish w:val="0"/>
        <w:color w:val="auto"/>
        <w:sz w:val="21"/>
        <w:szCs w:val="21"/>
        <w:vertAlign w:val="baseline"/>
      </w:rPr>
    </w:lvl>
    <w:lvl w:ilvl="4" w:tentative="0">
      <w:start w:val="1"/>
      <w:numFmt w:val="decimal"/>
      <w:lvlText w:val="%5)"/>
      <w:lvlJc w:val="left"/>
      <w:pPr>
        <w:tabs>
          <w:tab w:val="left" w:pos="425"/>
        </w:tabs>
        <w:ind w:left="425" w:hanging="425"/>
      </w:pPr>
      <w:rPr>
        <w:rFonts w:hint="default" w:ascii="Arial" w:hAnsi="Arial" w:eastAsia="宋体"/>
        <w:b w:val="0"/>
        <w:bCs w:val="0"/>
        <w:i w:val="0"/>
        <w:iCs w:val="0"/>
        <w:color w:val="auto"/>
        <w:sz w:val="20"/>
        <w:szCs w:val="20"/>
        <w:u w:val="none"/>
      </w:rPr>
    </w:lvl>
    <w:lvl w:ilvl="5" w:tentative="0">
      <w:start w:val="1"/>
      <w:numFmt w:val="decimal"/>
      <w:lvlRestart w:val="0"/>
      <w:pStyle w:val="35"/>
      <w:suff w:val="space"/>
      <w:lvlText w:val="Table %6"/>
      <w:lvlJc w:val="left"/>
      <w:pPr>
        <w:ind w:left="2250" w:firstLine="0"/>
      </w:pPr>
      <w:rPr>
        <w:rFonts w:hint="default" w:ascii="Arial" w:hAnsi="Arial" w:cs="Arial Narrow"/>
        <w:b/>
        <w:bCs/>
        <w:i w:val="0"/>
        <w:iCs w:val="0"/>
        <w:color w:val="auto"/>
        <w:sz w:val="20"/>
        <w:szCs w:val="20"/>
        <w:u w:val="none"/>
      </w:rPr>
    </w:lvl>
    <w:lvl w:ilvl="6" w:tentative="0">
      <w:start w:val="1"/>
      <w:numFmt w:val="decimal"/>
      <w:lvlRestart w:val="0"/>
      <w:suff w:val="space"/>
      <w:lvlText w:val="Table %7"/>
      <w:lvlJc w:val="left"/>
      <w:pPr>
        <w:ind w:left="540" w:firstLine="0"/>
      </w:pPr>
      <w:rPr>
        <w:rFonts w:hint="default" w:ascii="Arial" w:hAnsi="Arial" w:eastAsia="宋体"/>
        <w:b/>
        <w:bCs/>
        <w:i w:val="0"/>
        <w:iCs w:val="0"/>
        <w:caps w:val="0"/>
        <w:strike w:val="0"/>
        <w:dstrike w:val="0"/>
        <w:vanish w:val="0"/>
        <w:color w:val="auto"/>
        <w:spacing w:val="0"/>
        <w:w w:val="100"/>
        <w:kern w:val="0"/>
        <w:position w:val="0"/>
        <w:vertAlign w:val="baseline"/>
      </w:rPr>
    </w:lvl>
    <w:lvl w:ilvl="7" w:tentative="0">
      <w:start w:val="1"/>
      <w:numFmt w:val="decimal"/>
      <w:lvlRestart w:val="4"/>
      <w:lvlText w:val="%8)"/>
      <w:lvlJc w:val="left"/>
      <w:pPr>
        <w:tabs>
          <w:tab w:val="left" w:pos="397"/>
        </w:tabs>
        <w:ind w:left="397" w:hanging="397"/>
      </w:pPr>
      <w:rPr>
        <w:rFonts w:hint="default" w:ascii="Arial" w:hAnsi="Arial"/>
        <w:sz w:val="20"/>
        <w:szCs w:val="20"/>
      </w:rPr>
    </w:lvl>
    <w:lvl w:ilvl="8" w:tentative="0">
      <w:start w:val="1"/>
      <w:numFmt w:val="decimal"/>
      <w:lvlText w:val="Step%9"/>
      <w:lvlJc w:val="left"/>
      <w:pPr>
        <w:tabs>
          <w:tab w:val="left" w:pos="1134"/>
        </w:tabs>
        <w:ind w:left="1134" w:hanging="850"/>
      </w:pPr>
      <w:rPr>
        <w:rFonts w:hint="default" w:ascii="Arial" w:hAnsi="Arial" w:cs="Arial"/>
        <w:b w:val="0"/>
        <w:bCs w:val="0"/>
        <w:i w:val="0"/>
        <w:iCs w:val="0"/>
        <w:caps w:val="0"/>
        <w:strike w:val="0"/>
        <w:dstrike w:val="0"/>
        <w:vanish w:val="0"/>
        <w:color w:val="auto"/>
        <w:sz w:val="20"/>
        <w:szCs w:val="20"/>
        <w:vertAlign w:val="baseline"/>
      </w:rPr>
    </w:lvl>
  </w:abstractNum>
  <w:abstractNum w:abstractNumId="8">
    <w:nsid w:val="59109294"/>
    <w:multiLevelType w:val="multilevel"/>
    <w:tmpl w:val="59109294"/>
    <w:lvl w:ilvl="0" w:tentative="0">
      <w:start w:val="1"/>
      <w:numFmt w:val="upperLetter"/>
      <w:pStyle w:val="25"/>
      <w:suff w:val="nothing"/>
      <w:lvlText w:val="附录%1"/>
      <w:lvlJc w:val="left"/>
      <w:pPr>
        <w:ind w:left="4111"/>
      </w:pPr>
      <w:rPr>
        <w:rFonts w:cs="Times New Roman"/>
      </w:rPr>
    </w:lvl>
    <w:lvl w:ilvl="1" w:tentative="0">
      <w:start w:val="1"/>
      <w:numFmt w:val="decimal"/>
      <w:suff w:val="nothing"/>
      <w:lvlText w:val="%1.%2  "/>
      <w:lvlJc w:val="left"/>
      <w:rPr>
        <w:rFonts w:cs="Times New Roman"/>
      </w:rPr>
    </w:lvl>
    <w:lvl w:ilvl="2" w:tentative="0">
      <w:start w:val="1"/>
      <w:numFmt w:val="decimal"/>
      <w:suff w:val="nothing"/>
      <w:lvlText w:val="%1.%2.%3  "/>
      <w:lvlJc w:val="left"/>
      <w:rPr>
        <w:rFonts w:cs="Times New Roman"/>
      </w:rPr>
    </w:lvl>
    <w:lvl w:ilvl="3" w:tentative="0">
      <w:start w:val="1"/>
      <w:numFmt w:val="decimal"/>
      <w:suff w:val="nothing"/>
      <w:lvlText w:val="%1.%2.%3.%4  "/>
      <w:lvlJc w:val="left"/>
      <w:rPr>
        <w:rFonts w:cs="Times New Roman"/>
      </w:rPr>
    </w:lvl>
    <w:lvl w:ilvl="4" w:tentative="0">
      <w:start w:val="1"/>
      <w:numFmt w:val="decimal"/>
      <w:suff w:val="nothing"/>
      <w:lvlText w:val="%1.%2.%3.%4.%5  "/>
      <w:lvlJc w:val="left"/>
      <w:rPr>
        <w:rFonts w:cs="Times New Roman"/>
      </w:rPr>
    </w:lvl>
    <w:lvl w:ilvl="5" w:tentative="0">
      <w:start w:val="1"/>
      <w:numFmt w:val="decimal"/>
      <w:suff w:val="nothing"/>
      <w:lvlText w:val="%1.%2.%3.%4.%5.%6  "/>
      <w:lvlJc w:val="left"/>
      <w:rPr>
        <w:rFonts w:cs="Times New Roman"/>
      </w:rPr>
    </w:lvl>
    <w:lvl w:ilvl="6" w:tentative="0">
      <w:start w:val="1"/>
      <w:numFmt w:val="none"/>
      <w:suff w:val="nothing"/>
      <w:lvlText w:val=""/>
      <w:lvlJc w:val="left"/>
      <w:rPr>
        <w:rFonts w:cs="Times New Roman"/>
      </w:rPr>
    </w:lvl>
    <w:lvl w:ilvl="7" w:tentative="0">
      <w:start w:val="1"/>
      <w:numFmt w:val="none"/>
      <w:suff w:val="nothing"/>
      <w:lvlText w:val=""/>
      <w:lvlJc w:val="left"/>
      <w:rPr>
        <w:rFonts w:cs="Times New Roman"/>
      </w:rPr>
    </w:lvl>
    <w:lvl w:ilvl="8" w:tentative="0">
      <w:start w:val="1"/>
      <w:numFmt w:val="none"/>
      <w:suff w:val="nothing"/>
      <w:lvlText w:val=""/>
      <w:lvlJc w:val="left"/>
      <w:rPr>
        <w:rFonts w:cs="Times New Roman"/>
      </w:rPr>
    </w:lvl>
  </w:abstractNum>
  <w:abstractNum w:abstractNumId="9">
    <w:nsid w:val="66A068A9"/>
    <w:multiLevelType w:val="singleLevel"/>
    <w:tmpl w:val="66A068A9"/>
    <w:lvl w:ilvl="0" w:tentative="0">
      <w:start w:val="1"/>
      <w:numFmt w:val="decimal"/>
      <w:suff w:val="nothing"/>
      <w:lvlText w:val="%1、"/>
      <w:lvlJc w:val="left"/>
    </w:lvl>
  </w:abstractNum>
  <w:abstractNum w:abstractNumId="10">
    <w:nsid w:val="76CD6C02"/>
    <w:multiLevelType w:val="multilevel"/>
    <w:tmpl w:val="76CD6C02"/>
    <w:lvl w:ilvl="0" w:tentative="0">
      <w:start w:val="1"/>
      <w:numFmt w:val="decimal"/>
      <w:lvlText w:val="第%1条"/>
      <w:lvlJc w:val="left"/>
      <w:pPr>
        <w:tabs>
          <w:tab w:val="left" w:pos="1050"/>
        </w:tabs>
        <w:ind w:left="1050" w:hanging="1050"/>
      </w:pPr>
      <w:rPr>
        <w:rFonts w:hint="default"/>
        <w:b/>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8"/>
  </w:num>
  <w:num w:numId="2">
    <w:abstractNumId w:val="7"/>
  </w:num>
  <w:num w:numId="3">
    <w:abstractNumId w:val="10"/>
  </w:num>
  <w:num w:numId="4">
    <w:abstractNumId w:val="6"/>
  </w:num>
  <w:num w:numId="5">
    <w:abstractNumId w:val="9"/>
  </w:num>
  <w:num w:numId="6">
    <w:abstractNumId w:val="1"/>
  </w:num>
  <w:num w:numId="7">
    <w:abstractNumId w:val="0"/>
  </w:num>
  <w:num w:numId="8">
    <w:abstractNumId w:val="3"/>
  </w:num>
  <w:num w:numId="9">
    <w:abstractNumId w:val="5"/>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ExM2Y1ODNmNDk2YWQ3Njk2NzQ0NDJkNjBjNzhhZDUifQ=="/>
  </w:docVars>
  <w:rsids>
    <w:rsidRoot w:val="00172A27"/>
    <w:rsid w:val="00037C03"/>
    <w:rsid w:val="00081EDD"/>
    <w:rsid w:val="000C77E8"/>
    <w:rsid w:val="000E73E9"/>
    <w:rsid w:val="00172A27"/>
    <w:rsid w:val="00303B2F"/>
    <w:rsid w:val="0035553F"/>
    <w:rsid w:val="003E63F7"/>
    <w:rsid w:val="0049599F"/>
    <w:rsid w:val="004C7C8A"/>
    <w:rsid w:val="00576BCB"/>
    <w:rsid w:val="00637BC8"/>
    <w:rsid w:val="00700262"/>
    <w:rsid w:val="00765FF0"/>
    <w:rsid w:val="007B506A"/>
    <w:rsid w:val="007C60BE"/>
    <w:rsid w:val="008E24F6"/>
    <w:rsid w:val="009A4FD6"/>
    <w:rsid w:val="009B1E03"/>
    <w:rsid w:val="00A0690A"/>
    <w:rsid w:val="00A246A1"/>
    <w:rsid w:val="00B755E8"/>
    <w:rsid w:val="00B901D7"/>
    <w:rsid w:val="00C34398"/>
    <w:rsid w:val="00CA0AD5"/>
    <w:rsid w:val="00CB2A1E"/>
    <w:rsid w:val="00D01CD6"/>
    <w:rsid w:val="00E20968"/>
    <w:rsid w:val="00E9258F"/>
    <w:rsid w:val="00F30AAC"/>
    <w:rsid w:val="01577DFD"/>
    <w:rsid w:val="02551AC2"/>
    <w:rsid w:val="02E62032"/>
    <w:rsid w:val="03126843"/>
    <w:rsid w:val="040710B5"/>
    <w:rsid w:val="049C197A"/>
    <w:rsid w:val="0567008E"/>
    <w:rsid w:val="058C439E"/>
    <w:rsid w:val="05D525F7"/>
    <w:rsid w:val="063B4261"/>
    <w:rsid w:val="07723644"/>
    <w:rsid w:val="08A711CE"/>
    <w:rsid w:val="0A2F6992"/>
    <w:rsid w:val="0C59480B"/>
    <w:rsid w:val="0C5B443F"/>
    <w:rsid w:val="0C707BA5"/>
    <w:rsid w:val="0C8F3D96"/>
    <w:rsid w:val="0C980109"/>
    <w:rsid w:val="0CEA1B47"/>
    <w:rsid w:val="0F7F415F"/>
    <w:rsid w:val="103A7D34"/>
    <w:rsid w:val="10AF3FB6"/>
    <w:rsid w:val="10D11DE5"/>
    <w:rsid w:val="14A61D37"/>
    <w:rsid w:val="14B0626A"/>
    <w:rsid w:val="15CE4E89"/>
    <w:rsid w:val="16145868"/>
    <w:rsid w:val="16244107"/>
    <w:rsid w:val="16585594"/>
    <w:rsid w:val="165E3BFF"/>
    <w:rsid w:val="17AB76A1"/>
    <w:rsid w:val="192E3873"/>
    <w:rsid w:val="19B86B49"/>
    <w:rsid w:val="1A191E67"/>
    <w:rsid w:val="1A6F61CB"/>
    <w:rsid w:val="1A7211B0"/>
    <w:rsid w:val="1B951A71"/>
    <w:rsid w:val="1E3B1AE2"/>
    <w:rsid w:val="1E8F18C8"/>
    <w:rsid w:val="1EDA5072"/>
    <w:rsid w:val="1F591394"/>
    <w:rsid w:val="1F697CA3"/>
    <w:rsid w:val="217D2D99"/>
    <w:rsid w:val="22635875"/>
    <w:rsid w:val="22AA16DD"/>
    <w:rsid w:val="239C5B4C"/>
    <w:rsid w:val="23A83394"/>
    <w:rsid w:val="23A841FD"/>
    <w:rsid w:val="23E1643C"/>
    <w:rsid w:val="24271DA0"/>
    <w:rsid w:val="24A51F50"/>
    <w:rsid w:val="252E7F11"/>
    <w:rsid w:val="2557616D"/>
    <w:rsid w:val="25BE697B"/>
    <w:rsid w:val="25DA5519"/>
    <w:rsid w:val="264557DA"/>
    <w:rsid w:val="28073371"/>
    <w:rsid w:val="287F7D06"/>
    <w:rsid w:val="28D94518"/>
    <w:rsid w:val="28E44CA4"/>
    <w:rsid w:val="291F3B06"/>
    <w:rsid w:val="29F62D5A"/>
    <w:rsid w:val="2A90450E"/>
    <w:rsid w:val="2ABB38CD"/>
    <w:rsid w:val="2B907A69"/>
    <w:rsid w:val="2BD158BC"/>
    <w:rsid w:val="2C0C4764"/>
    <w:rsid w:val="2D665CB9"/>
    <w:rsid w:val="2DEF53F1"/>
    <w:rsid w:val="2E916C94"/>
    <w:rsid w:val="2EC92CDF"/>
    <w:rsid w:val="2F130C75"/>
    <w:rsid w:val="2FDA25FF"/>
    <w:rsid w:val="302E65CB"/>
    <w:rsid w:val="30307EE0"/>
    <w:rsid w:val="308B1C7C"/>
    <w:rsid w:val="309767B1"/>
    <w:rsid w:val="309C5B23"/>
    <w:rsid w:val="31060A0C"/>
    <w:rsid w:val="316255FD"/>
    <w:rsid w:val="32276DFF"/>
    <w:rsid w:val="32C87168"/>
    <w:rsid w:val="344C0742"/>
    <w:rsid w:val="351E2663"/>
    <w:rsid w:val="355C2420"/>
    <w:rsid w:val="365953FB"/>
    <w:rsid w:val="38C572CC"/>
    <w:rsid w:val="39127EFD"/>
    <w:rsid w:val="3BDA6CDB"/>
    <w:rsid w:val="3C2100FF"/>
    <w:rsid w:val="3D262BC7"/>
    <w:rsid w:val="3D291EAD"/>
    <w:rsid w:val="3EA4552C"/>
    <w:rsid w:val="3F000A6C"/>
    <w:rsid w:val="3FF3709E"/>
    <w:rsid w:val="41A10933"/>
    <w:rsid w:val="424527A7"/>
    <w:rsid w:val="42C342E0"/>
    <w:rsid w:val="42E87BEF"/>
    <w:rsid w:val="430B47C5"/>
    <w:rsid w:val="43C66A1B"/>
    <w:rsid w:val="44BF5697"/>
    <w:rsid w:val="45E968FE"/>
    <w:rsid w:val="47667690"/>
    <w:rsid w:val="47980FBD"/>
    <w:rsid w:val="47AA3D3E"/>
    <w:rsid w:val="483F1755"/>
    <w:rsid w:val="4A04013E"/>
    <w:rsid w:val="4A5A2CDF"/>
    <w:rsid w:val="4AA379FF"/>
    <w:rsid w:val="4AF96B5F"/>
    <w:rsid w:val="4B4D027F"/>
    <w:rsid w:val="4BF2526E"/>
    <w:rsid w:val="4BFC40B5"/>
    <w:rsid w:val="4C110119"/>
    <w:rsid w:val="4C2B330E"/>
    <w:rsid w:val="4CC874FB"/>
    <w:rsid w:val="4CFC7D9D"/>
    <w:rsid w:val="4D431912"/>
    <w:rsid w:val="4EA639D0"/>
    <w:rsid w:val="4EBA1EEB"/>
    <w:rsid w:val="4FB94F16"/>
    <w:rsid w:val="508807D2"/>
    <w:rsid w:val="51732A2D"/>
    <w:rsid w:val="52E85256"/>
    <w:rsid w:val="53FD5C55"/>
    <w:rsid w:val="55515FC9"/>
    <w:rsid w:val="559A7B22"/>
    <w:rsid w:val="55E76F51"/>
    <w:rsid w:val="560635DB"/>
    <w:rsid w:val="57717D18"/>
    <w:rsid w:val="57901C21"/>
    <w:rsid w:val="591923BD"/>
    <w:rsid w:val="59252A3E"/>
    <w:rsid w:val="5963668C"/>
    <w:rsid w:val="5A055EA6"/>
    <w:rsid w:val="5A8A5FAB"/>
    <w:rsid w:val="5B6E1D1E"/>
    <w:rsid w:val="5BAB3BFF"/>
    <w:rsid w:val="5BD31CA6"/>
    <w:rsid w:val="5C474ECC"/>
    <w:rsid w:val="5CAA0D98"/>
    <w:rsid w:val="5E8B1784"/>
    <w:rsid w:val="5EF01FB3"/>
    <w:rsid w:val="5F4D5455"/>
    <w:rsid w:val="5FCC4119"/>
    <w:rsid w:val="5FD76A25"/>
    <w:rsid w:val="60393739"/>
    <w:rsid w:val="606470E7"/>
    <w:rsid w:val="616B39EA"/>
    <w:rsid w:val="61731901"/>
    <w:rsid w:val="61744432"/>
    <w:rsid w:val="618F49BD"/>
    <w:rsid w:val="61B24DD5"/>
    <w:rsid w:val="62935ABC"/>
    <w:rsid w:val="637E1D93"/>
    <w:rsid w:val="638429F8"/>
    <w:rsid w:val="638C1D9D"/>
    <w:rsid w:val="652D7662"/>
    <w:rsid w:val="65324AF5"/>
    <w:rsid w:val="664F2EC3"/>
    <w:rsid w:val="67612AE3"/>
    <w:rsid w:val="68187FAA"/>
    <w:rsid w:val="689D1D26"/>
    <w:rsid w:val="68D07D3A"/>
    <w:rsid w:val="68DB3CBE"/>
    <w:rsid w:val="697E7214"/>
    <w:rsid w:val="69DC04BA"/>
    <w:rsid w:val="6A5D76D6"/>
    <w:rsid w:val="6ACE3616"/>
    <w:rsid w:val="6ADB1261"/>
    <w:rsid w:val="6BCC4005"/>
    <w:rsid w:val="6C540F21"/>
    <w:rsid w:val="6DA601D0"/>
    <w:rsid w:val="6DC46731"/>
    <w:rsid w:val="6DEB552F"/>
    <w:rsid w:val="6E1C12EA"/>
    <w:rsid w:val="6E2D4BEC"/>
    <w:rsid w:val="6E38169E"/>
    <w:rsid w:val="6EB23C84"/>
    <w:rsid w:val="6F1A6697"/>
    <w:rsid w:val="6F2317E3"/>
    <w:rsid w:val="6FB46FB3"/>
    <w:rsid w:val="727833D7"/>
    <w:rsid w:val="7296529F"/>
    <w:rsid w:val="72D67B0C"/>
    <w:rsid w:val="732B084D"/>
    <w:rsid w:val="754D0F08"/>
    <w:rsid w:val="75623361"/>
    <w:rsid w:val="76C4750C"/>
    <w:rsid w:val="76E04238"/>
    <w:rsid w:val="772819E4"/>
    <w:rsid w:val="78865B1A"/>
    <w:rsid w:val="79355C66"/>
    <w:rsid w:val="79AA6F24"/>
    <w:rsid w:val="79D037E1"/>
    <w:rsid w:val="7A28551B"/>
    <w:rsid w:val="7B4205E4"/>
    <w:rsid w:val="7D3A33A4"/>
    <w:rsid w:val="7D686DAC"/>
    <w:rsid w:val="7DD74BB3"/>
    <w:rsid w:val="7DEF400F"/>
    <w:rsid w:val="7E192942"/>
    <w:rsid w:val="7E741B85"/>
    <w:rsid w:val="7F606FAC"/>
    <w:rsid w:val="7F766AE4"/>
    <w:rsid w:val="7FDA09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iPriority="39"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9"/>
    <w:pPr>
      <w:keepNext/>
      <w:keepLines/>
      <w:spacing w:before="340" w:after="330"/>
      <w:textAlignment w:val="top"/>
      <w:outlineLvl w:val="0"/>
    </w:pPr>
    <w:rPr>
      <w:rFonts w:ascii="Arial" w:hAnsi="Arial" w:eastAsia="仿宋"/>
      <w:b/>
      <w:kern w:val="44"/>
      <w:sz w:val="44"/>
      <w:szCs w:val="44"/>
    </w:rPr>
  </w:style>
  <w:style w:type="paragraph" w:styleId="3">
    <w:name w:val="heading 2"/>
    <w:basedOn w:val="1"/>
    <w:next w:val="1"/>
    <w:qFormat/>
    <w:uiPriority w:val="99"/>
    <w:pPr>
      <w:tabs>
        <w:tab w:val="left" w:pos="360"/>
        <w:tab w:val="left" w:pos="864"/>
      </w:tabs>
      <w:spacing w:before="120" w:after="120"/>
      <w:textAlignment w:val="top"/>
      <w:outlineLvl w:val="1"/>
    </w:pPr>
    <w:rPr>
      <w:rFonts w:ascii="Arial" w:hAnsi="Arial" w:eastAsia="仿宋"/>
      <w:b/>
      <w:sz w:val="28"/>
      <w:szCs w:val="20"/>
    </w:rPr>
  </w:style>
  <w:style w:type="paragraph" w:styleId="4">
    <w:name w:val="heading 3"/>
    <w:basedOn w:val="1"/>
    <w:next w:val="1"/>
    <w:link w:val="24"/>
    <w:qFormat/>
    <w:uiPriority w:val="99"/>
    <w:pPr>
      <w:keepNext/>
      <w:keepLines/>
      <w:spacing w:before="260" w:after="260"/>
      <w:textAlignment w:val="top"/>
      <w:outlineLvl w:val="2"/>
    </w:pPr>
    <w:rPr>
      <w:rFonts w:ascii="Arial" w:hAnsi="Arial"/>
      <w:b/>
      <w:kern w:val="0"/>
      <w:sz w:val="20"/>
      <w:szCs w:val="20"/>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Normal Indent"/>
    <w:qFormat/>
    <w:uiPriority w:val="99"/>
    <w:pPr>
      <w:widowControl w:val="0"/>
      <w:ind w:firstLine="420" w:firstLineChars="200"/>
      <w:textAlignment w:val="top"/>
    </w:pPr>
    <w:rPr>
      <w:rFonts w:ascii="宋体" w:hAnsi="宋体" w:eastAsia="仿宋" w:cs="宋体"/>
      <w:color w:val="000000"/>
      <w:kern w:val="2"/>
      <w:sz w:val="28"/>
      <w:szCs w:val="22"/>
      <w:lang w:val="en-US" w:eastAsia="zh-CN" w:bidi="ar-SA"/>
    </w:rPr>
  </w:style>
  <w:style w:type="paragraph" w:styleId="6">
    <w:name w:val="annotation text"/>
    <w:basedOn w:val="1"/>
    <w:autoRedefine/>
    <w:semiHidden/>
    <w:unhideWhenUsed/>
    <w:qFormat/>
    <w:uiPriority w:val="99"/>
    <w:pPr>
      <w:jc w:val="left"/>
    </w:pPr>
  </w:style>
  <w:style w:type="paragraph" w:styleId="7">
    <w:name w:val="Body Text"/>
    <w:basedOn w:val="1"/>
    <w:qFormat/>
    <w:uiPriority w:val="1"/>
    <w:pPr>
      <w:spacing w:before="91"/>
      <w:ind w:left="112"/>
    </w:pPr>
    <w:rPr>
      <w:sz w:val="21"/>
      <w:szCs w:val="21"/>
    </w:rPr>
  </w:style>
  <w:style w:type="paragraph" w:styleId="8">
    <w:name w:val="toc 3"/>
    <w:basedOn w:val="1"/>
    <w:next w:val="1"/>
    <w:autoRedefine/>
    <w:qFormat/>
    <w:uiPriority w:val="99"/>
    <w:pPr>
      <w:adjustRightInd w:val="0"/>
      <w:snapToGrid w:val="0"/>
      <w:ind w:firstLine="1080" w:firstLineChars="300"/>
      <w:textAlignment w:val="top"/>
    </w:pPr>
    <w:rPr>
      <w:rFonts w:ascii="宋体" w:hAnsi="宋体" w:eastAsia="仿宋" w:cs="宋体"/>
      <w:color w:val="000000"/>
      <w:sz w:val="28"/>
      <w:szCs w:val="22"/>
    </w:rPr>
  </w:style>
  <w:style w:type="paragraph" w:styleId="9">
    <w:name w:val="footer"/>
    <w:basedOn w:val="1"/>
    <w:link w:val="20"/>
    <w:autoRedefine/>
    <w:unhideWhenUsed/>
    <w:qFormat/>
    <w:uiPriority w:val="99"/>
    <w:pPr>
      <w:tabs>
        <w:tab w:val="center" w:pos="4153"/>
        <w:tab w:val="right" w:pos="8306"/>
      </w:tabs>
      <w:snapToGrid w:val="0"/>
      <w:jc w:val="left"/>
    </w:pPr>
    <w:rPr>
      <w:sz w:val="18"/>
      <w:szCs w:val="18"/>
    </w:rPr>
  </w:style>
  <w:style w:type="paragraph" w:styleId="10">
    <w:name w:val="header"/>
    <w:basedOn w:val="1"/>
    <w:link w:val="19"/>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autoRedefine/>
    <w:qFormat/>
    <w:uiPriority w:val="99"/>
    <w:pPr>
      <w:adjustRightInd w:val="0"/>
      <w:snapToGrid w:val="0"/>
      <w:ind w:firstLine="360" w:firstLineChars="100"/>
      <w:textAlignment w:val="top"/>
    </w:pPr>
    <w:rPr>
      <w:rFonts w:ascii="宋体" w:hAnsi="宋体" w:eastAsia="仿宋" w:cs="宋体"/>
      <w:color w:val="000000"/>
      <w:sz w:val="28"/>
      <w:szCs w:val="22"/>
    </w:rPr>
  </w:style>
  <w:style w:type="paragraph" w:styleId="12">
    <w:name w:val="Subtitle"/>
    <w:basedOn w:val="1"/>
    <w:next w:val="1"/>
    <w:autoRedefine/>
    <w:qFormat/>
    <w:uiPriority w:val="99"/>
    <w:pPr>
      <w:spacing w:before="240" w:after="60" w:line="312" w:lineRule="auto"/>
      <w:jc w:val="center"/>
      <w:outlineLvl w:val="1"/>
    </w:pPr>
    <w:rPr>
      <w:rFonts w:ascii="Cambria" w:hAnsi="Cambria"/>
      <w:b/>
      <w:bCs/>
      <w:kern w:val="28"/>
      <w:sz w:val="32"/>
      <w:szCs w:val="32"/>
    </w:rPr>
  </w:style>
  <w:style w:type="paragraph" w:styleId="13">
    <w:name w:val="Normal (Web)"/>
    <w:basedOn w:val="1"/>
    <w:autoRedefine/>
    <w:semiHidden/>
    <w:unhideWhenUsed/>
    <w:qFormat/>
    <w:uiPriority w:val="99"/>
    <w:rPr>
      <w:sz w:val="24"/>
    </w:rPr>
  </w:style>
  <w:style w:type="table" w:styleId="15">
    <w:name w:val="Table Grid"/>
    <w:basedOn w:val="14"/>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autoRedefine/>
    <w:qFormat/>
    <w:uiPriority w:val="0"/>
    <w:rPr>
      <w:rFonts w:hint="default" w:ascii="Times New Roman"/>
    </w:rPr>
  </w:style>
  <w:style w:type="character" w:styleId="18">
    <w:name w:val="Hyperlink"/>
    <w:basedOn w:val="16"/>
    <w:semiHidden/>
    <w:unhideWhenUsed/>
    <w:qFormat/>
    <w:uiPriority w:val="99"/>
    <w:rPr>
      <w:color w:val="0000FF"/>
      <w:u w:val="single"/>
    </w:rPr>
  </w:style>
  <w:style w:type="character" w:customStyle="1" w:styleId="19">
    <w:name w:val="页眉 字符"/>
    <w:basedOn w:val="16"/>
    <w:link w:val="10"/>
    <w:autoRedefine/>
    <w:qFormat/>
    <w:uiPriority w:val="99"/>
    <w:rPr>
      <w:sz w:val="18"/>
      <w:szCs w:val="18"/>
    </w:rPr>
  </w:style>
  <w:style w:type="character" w:customStyle="1" w:styleId="20">
    <w:name w:val="页脚 字符"/>
    <w:basedOn w:val="16"/>
    <w:link w:val="9"/>
    <w:autoRedefine/>
    <w:qFormat/>
    <w:uiPriority w:val="99"/>
    <w:rPr>
      <w:sz w:val="18"/>
      <w:szCs w:val="18"/>
    </w:rPr>
  </w:style>
  <w:style w:type="paragraph" w:customStyle="1" w:styleId="21">
    <w:name w:val="Default"/>
    <w:autoRedefine/>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2">
    <w:name w:val="font21"/>
    <w:autoRedefine/>
    <w:qFormat/>
    <w:uiPriority w:val="0"/>
    <w:rPr>
      <w:rFonts w:ascii="Wingdings" w:hAnsi="Wingdings" w:cs="Wingdings"/>
      <w:color w:val="000000"/>
      <w:sz w:val="22"/>
      <w:szCs w:val="22"/>
      <w:u w:val="none"/>
    </w:rPr>
  </w:style>
  <w:style w:type="character" w:customStyle="1" w:styleId="23">
    <w:name w:val="font01"/>
    <w:autoRedefine/>
    <w:qFormat/>
    <w:uiPriority w:val="0"/>
    <w:rPr>
      <w:rFonts w:hint="eastAsia" w:ascii="微软雅黑" w:hAnsi="微软雅黑" w:eastAsia="微软雅黑" w:cs="微软雅黑"/>
      <w:color w:val="000000"/>
      <w:sz w:val="22"/>
      <w:szCs w:val="22"/>
      <w:u w:val="none"/>
    </w:rPr>
  </w:style>
  <w:style w:type="character" w:customStyle="1" w:styleId="24">
    <w:name w:val="标题 3 字符"/>
    <w:basedOn w:val="16"/>
    <w:link w:val="4"/>
    <w:autoRedefine/>
    <w:qFormat/>
    <w:locked/>
    <w:uiPriority w:val="99"/>
    <w:rPr>
      <w:rFonts w:ascii="Arial" w:hAnsi="Arial" w:eastAsia="宋体" w:cs="Times New Roman"/>
      <w:b/>
      <w:color w:val="auto"/>
      <w:kern w:val="0"/>
      <w:sz w:val="20"/>
      <w:szCs w:val="20"/>
      <w:lang w:val="en-US" w:eastAsia="zh-CN" w:bidi="ar-SA"/>
    </w:rPr>
  </w:style>
  <w:style w:type="paragraph" w:customStyle="1" w:styleId="25">
    <w:name w:val="编号-附录编号"/>
    <w:qFormat/>
    <w:uiPriority w:val="99"/>
    <w:pPr>
      <w:widowControl w:val="0"/>
      <w:numPr>
        <w:ilvl w:val="0"/>
        <w:numId w:val="1"/>
      </w:numPr>
      <w:ind w:firstLine="200" w:firstLineChars="200"/>
      <w:jc w:val="center"/>
      <w:textAlignment w:val="top"/>
      <w:outlineLvl w:val="0"/>
    </w:pPr>
    <w:rPr>
      <w:rFonts w:ascii="Arial" w:hAnsi="Arial" w:eastAsia="黑体" w:cs="Times New Roman"/>
      <w:color w:val="000000"/>
      <w:kern w:val="2"/>
      <w:sz w:val="28"/>
      <w:szCs w:val="24"/>
      <w:lang w:val="en-US" w:eastAsia="zh-CN" w:bidi="ar-SA"/>
    </w:rPr>
  </w:style>
  <w:style w:type="character" w:customStyle="1" w:styleId="26">
    <w:name w:val="10"/>
    <w:basedOn w:val="16"/>
    <w:autoRedefine/>
    <w:qFormat/>
    <w:uiPriority w:val="0"/>
    <w:rPr>
      <w:rFonts w:hint="default" w:ascii="Times New Roman" w:hAnsi="Times New Roman" w:cs="Times New Roman"/>
    </w:rPr>
  </w:style>
  <w:style w:type="character" w:customStyle="1" w:styleId="27">
    <w:name w:val="16"/>
    <w:basedOn w:val="16"/>
    <w:qFormat/>
    <w:uiPriority w:val="0"/>
    <w:rPr>
      <w:rFonts w:hint="eastAsia" w:ascii="微软雅黑" w:hAnsi="微软雅黑" w:eastAsia="微软雅黑" w:cs="微软雅黑"/>
      <w:color w:val="000000"/>
      <w:sz w:val="22"/>
      <w:szCs w:val="22"/>
    </w:rPr>
  </w:style>
  <w:style w:type="character" w:customStyle="1" w:styleId="28">
    <w:name w:val="17"/>
    <w:basedOn w:val="16"/>
    <w:autoRedefine/>
    <w:qFormat/>
    <w:uiPriority w:val="0"/>
    <w:rPr>
      <w:rFonts w:hint="default" w:ascii="Arial" w:hAnsi="Arial" w:cs="Times New Roman"/>
      <w:b/>
    </w:rPr>
  </w:style>
  <w:style w:type="character" w:customStyle="1" w:styleId="29">
    <w:name w:val="15"/>
    <w:basedOn w:val="16"/>
    <w:autoRedefine/>
    <w:qFormat/>
    <w:uiPriority w:val="0"/>
    <w:rPr>
      <w:rFonts w:hint="default" w:ascii="Wingdings" w:hAnsi="Wingdings" w:cs="Wingdings"/>
      <w:color w:val="000000"/>
      <w:sz w:val="22"/>
      <w:szCs w:val="22"/>
    </w:rPr>
  </w:style>
  <w:style w:type="table" w:customStyle="1" w:styleId="30">
    <w:name w:val="网格型1"/>
    <w:basedOn w:val="14"/>
    <w:autoRedefine/>
    <w:qFormat/>
    <w:uiPriority w:val="0"/>
    <w:rPr>
      <w:rFonts w:hint="eastAsia" w:ascii="等线" w:hAnsi="等线" w:eastAsia="等线" w:cs="等线"/>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paragraph" w:customStyle="1" w:styleId="31">
    <w:name w:val="列表段落1"/>
    <w:basedOn w:val="1"/>
    <w:qFormat/>
    <w:uiPriority w:val="99"/>
    <w:pPr>
      <w:ind w:firstLine="420"/>
    </w:pPr>
  </w:style>
  <w:style w:type="paragraph" w:customStyle="1" w:styleId="32">
    <w:name w:val="Notes Heading--Shift+F9"/>
    <w:next w:val="33"/>
    <w:qFormat/>
    <w:uiPriority w:val="0"/>
    <w:pPr>
      <w:keepNext/>
      <w:pBdr>
        <w:top w:val="single" w:color="auto" w:sz="8" w:space="5"/>
      </w:pBdr>
      <w:snapToGrid w:val="0"/>
      <w:spacing w:before="80" w:after="80"/>
      <w:ind w:left="1701"/>
    </w:pPr>
    <w:rPr>
      <w:rFonts w:ascii="Arial" w:hAnsi="Arial" w:eastAsia="黑体" w:cs="Times New Roman"/>
      <w:sz w:val="21"/>
      <w:szCs w:val="21"/>
      <w:lang w:val="en-US" w:eastAsia="zh-CN" w:bidi="ar-SA"/>
    </w:rPr>
  </w:style>
  <w:style w:type="paragraph" w:customStyle="1" w:styleId="33">
    <w:name w:val="Notes Text--Shift+F10"/>
    <w:qFormat/>
    <w:uiPriority w:val="0"/>
    <w:pPr>
      <w:pBdr>
        <w:bottom w:val="single" w:color="auto" w:sz="8" w:space="5"/>
      </w:pBdr>
      <w:ind w:left="1701"/>
      <w:jc w:val="both"/>
    </w:pPr>
    <w:rPr>
      <w:rFonts w:ascii="Arial" w:hAnsi="Arial" w:eastAsia="楷体_GB2312" w:cs="Times New Roman"/>
      <w:color w:val="000000"/>
      <w:sz w:val="21"/>
      <w:szCs w:val="21"/>
      <w:lang w:val="en-US" w:eastAsia="zh-CN" w:bidi="ar-SA"/>
    </w:rPr>
  </w:style>
  <w:style w:type="paragraph" w:styleId="34">
    <w:name w:val="List Paragraph"/>
    <w:basedOn w:val="1"/>
    <w:qFormat/>
    <w:uiPriority w:val="34"/>
    <w:pPr>
      <w:widowControl/>
      <w:spacing w:before="80" w:after="80"/>
      <w:ind w:left="1134" w:firstLine="420" w:firstLineChars="200"/>
      <w:jc w:val="left"/>
    </w:pPr>
    <w:rPr>
      <w:rFonts w:ascii="Arial" w:hAnsi="Arial" w:cs="Arial"/>
      <w:szCs w:val="20"/>
    </w:rPr>
  </w:style>
  <w:style w:type="paragraph" w:customStyle="1" w:styleId="35">
    <w:name w:val="Table Description"/>
    <w:next w:val="1"/>
    <w:qFormat/>
    <w:uiPriority w:val="0"/>
    <w:pPr>
      <w:keepNext/>
      <w:numPr>
        <w:ilvl w:val="5"/>
        <w:numId w:val="2"/>
      </w:numPr>
      <w:snapToGrid w:val="0"/>
      <w:spacing w:before="160" w:after="80"/>
      <w:jc w:val="center"/>
    </w:pPr>
    <w:rPr>
      <w:rFonts w:ascii="Arial" w:hAnsi="Arial" w:eastAsia="黑体" w:cs="Times New Roman"/>
      <w:sz w:val="18"/>
      <w:lang w:val="en-US" w:eastAsia="zh-CN" w:bidi="ar-SA"/>
    </w:rPr>
  </w:style>
  <w:style w:type="paragraph" w:customStyle="1" w:styleId="36">
    <w:name w:val="表格文本"/>
    <w:qFormat/>
    <w:uiPriority w:val="0"/>
    <w:pPr>
      <w:tabs>
        <w:tab w:val="decimal" w:pos="0"/>
      </w:tabs>
    </w:pPr>
    <w:rPr>
      <w:rFonts w:ascii="Arial" w:hAnsi="Arial" w:eastAsia="宋体" w:cs="Times New Roman"/>
      <w:sz w:val="18"/>
      <w:szCs w:val="21"/>
      <w:lang w:val="en-US" w:eastAsia="zh-CN" w:bidi="ar-SA"/>
    </w:rPr>
  </w:style>
  <w:style w:type="paragraph" w:customStyle="1" w:styleId="37">
    <w:name w:val="Notes Heading"/>
    <w:next w:val="38"/>
    <w:qFormat/>
    <w:uiPriority w:val="0"/>
    <w:pPr>
      <w:keepNext/>
      <w:pBdr>
        <w:top w:val="single" w:color="auto" w:sz="8" w:space="5"/>
      </w:pBdr>
      <w:spacing w:before="80" w:after="80"/>
      <w:ind w:left="1134"/>
    </w:pPr>
    <w:rPr>
      <w:rFonts w:ascii="Arial" w:hAnsi="Arial" w:eastAsia="宋体" w:cs="Arial"/>
      <w:b/>
      <w:bCs/>
      <w:lang w:val="en-US" w:eastAsia="zh-CN" w:bidi="ar-SA"/>
    </w:rPr>
  </w:style>
  <w:style w:type="paragraph" w:customStyle="1" w:styleId="38">
    <w:name w:val="Notes Text"/>
    <w:qFormat/>
    <w:uiPriority w:val="0"/>
    <w:pPr>
      <w:keepLines/>
      <w:pBdr>
        <w:bottom w:val="single" w:color="auto" w:sz="8" w:space="10"/>
      </w:pBdr>
      <w:ind w:left="1134"/>
      <w:jc w:val="both"/>
    </w:pPr>
    <w:rPr>
      <w:rFonts w:ascii="Arial" w:hAnsi="Arial" w:eastAsia="楷体_GB2312" w:cs="Arial Narrow"/>
      <w:lang w:val="en-US" w:eastAsia="zh-CN" w:bidi="ar-SA"/>
    </w:rPr>
  </w:style>
  <w:style w:type="paragraph" w:customStyle="1" w:styleId="39">
    <w:name w:val="缺省文本:1"/>
    <w:basedOn w:val="1"/>
    <w:qFormat/>
    <w:uiPriority w:val="0"/>
    <w:pPr>
      <w:autoSpaceDE w:val="0"/>
      <w:autoSpaceDN w:val="0"/>
      <w:adjustRightInd w:val="0"/>
      <w:spacing w:line="480" w:lineRule="exact"/>
      <w:jc w:val="left"/>
    </w:pPr>
    <w:rPr>
      <w:rFonts w:ascii="宋体"/>
      <w:kern w:val="0"/>
      <w:sz w:val="24"/>
    </w:rPr>
  </w:style>
  <w:style w:type="paragraph" w:customStyle="1" w:styleId="40">
    <w:name w:val="Table Text"/>
    <w:qFormat/>
    <w:uiPriority w:val="0"/>
    <w:pPr>
      <w:autoSpaceDE w:val="0"/>
      <w:autoSpaceDN w:val="0"/>
      <w:spacing w:before="80" w:after="80"/>
      <w:jc w:val="both"/>
      <w:textAlignment w:val="bottom"/>
    </w:pPr>
    <w:rPr>
      <w:rFonts w:ascii="Arial" w:hAnsi="Arial" w:eastAsia="宋体" w:cs="Arial Narrow"/>
      <w:sz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6770</Words>
  <Characters>7032</Characters>
  <Lines>15</Lines>
  <Paragraphs>4</Paragraphs>
  <TotalTime>1</TotalTime>
  <ScaleCrop>false</ScaleCrop>
  <LinksUpToDate>false</LinksUpToDate>
  <CharactersWithSpaces>7396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2016-09-08T03:13:00Z</dcterms:created>
  <dc:creator>admin</dc:creator>
  <cp:lastModifiedBy>小田</cp:lastModifiedBy>
  <dcterms:modified xsi:type="dcterms:W3CDTF">2026-06-22T06:27:40Z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0B677C0E85B74C1D95A7CC81F4CD09AC_13</vt:lpwstr>
  </property>
  <property fmtid="{D5CDD505-2E9C-101B-9397-08002B2CF9AE}" pid="4" name="KSOTemplateDocerSaveRecord">
    <vt:lpwstr>eyJoZGlkIjoiZDZjOTQzY2NjNWY0NjM5MDhhNTlmOTMzNjA4YjA4NDgiLCJ1c2VySWQiOiI0NTkwMzg0MDQifQ==</vt:lpwstr>
  </property>
</Properties>
</file>