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03387">
      <w:pPr>
        <w:pageBreakBefore w:val="0"/>
        <w:widowControl w:val="0"/>
        <w:wordWrap/>
        <w:overflowPunct/>
        <w:topLinePunct w:val="0"/>
        <w:bidi w:val="0"/>
        <w:spacing w:before="47" w:line="219" w:lineRule="auto"/>
        <w:ind w:left="3805" w:firstLine="236" w:firstLineChars="100"/>
        <w:outlineLvl w:val="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采购</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要</w:t>
      </w:r>
      <w:r>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求</w:t>
      </w:r>
    </w:p>
    <w:p w14:paraId="72FDDDFE">
      <w:pPr>
        <w:pageBreakBefore w:val="0"/>
        <w:widowControl w:val="0"/>
        <w:wordWrap/>
        <w:overflowPunct/>
        <w:topLinePunct w:val="0"/>
        <w:bidi w:val="0"/>
        <w:spacing w:line="257" w:lineRule="auto"/>
        <w:rPr>
          <w:color w:val="auto"/>
          <w:highlight w:val="none"/>
        </w:rPr>
      </w:pPr>
    </w:p>
    <w:p w14:paraId="56AC981E">
      <w:pPr>
        <w:keepNext w:val="0"/>
        <w:keepLines w:val="0"/>
        <w:pageBreakBefore w:val="0"/>
        <w:widowControl w:val="0"/>
        <w:kinsoku w:val="0"/>
        <w:wordWrap/>
        <w:overflowPunct/>
        <w:topLinePunct w:val="0"/>
        <w:autoSpaceDE w:val="0"/>
        <w:autoSpaceDN w:val="0"/>
        <w:bidi w:val="0"/>
        <w:adjustRightInd w:val="0"/>
        <w:snapToGrid w:val="0"/>
        <w:spacing w:line="420" w:lineRule="exact"/>
        <w:ind w:firstLine="482" w:firstLineChars="200"/>
        <w:textAlignment w:val="baseline"/>
        <w:rPr>
          <w:rFonts w:hint="default" w:ascii="宋体" w:hAnsi="宋体" w:eastAsia="宋体" w:cs="宋体"/>
          <w:b/>
          <w:snapToGrid w:val="0"/>
          <w:color w:val="auto"/>
          <w:sz w:val="24"/>
          <w:szCs w:val="24"/>
          <w:highlight w:val="none"/>
          <w:lang w:val="en-US" w:eastAsia="zh-CN" w:bidi="ar-SA"/>
        </w:rPr>
      </w:pPr>
      <w:bookmarkStart w:id="0" w:name="bookmark82"/>
      <w:bookmarkEnd w:id="0"/>
      <w:r>
        <w:rPr>
          <w:rFonts w:hint="eastAsia" w:ascii="宋体" w:hAnsi="宋体" w:eastAsia="宋体" w:cs="宋体"/>
          <w:b/>
          <w:snapToGrid w:val="0"/>
          <w:color w:val="auto"/>
          <w:sz w:val="24"/>
          <w:szCs w:val="24"/>
          <w:highlight w:val="none"/>
          <w:lang w:val="en-US" w:eastAsia="zh-CN" w:bidi="ar-SA"/>
        </w:rPr>
        <w:t>（一）服务需求</w:t>
      </w:r>
    </w:p>
    <w:p w14:paraId="00FECC12">
      <w:pPr>
        <w:widowControl/>
        <w:spacing w:line="360" w:lineRule="auto"/>
        <w:ind w:firstLine="482" w:firstLineChars="200"/>
        <w:rPr>
          <w:rFonts w:hint="eastAsia" w:asciiTheme="minorEastAsia" w:hAnsiTheme="minorEastAsia" w:eastAsiaTheme="minorEastAsia" w:cstheme="minorEastAsia"/>
          <w:b/>
          <w:sz w:val="24"/>
          <w:szCs w:val="24"/>
          <w:highlight w:val="none"/>
          <w:lang w:val="en-US" w:eastAsia="zh-CN"/>
        </w:rPr>
      </w:pPr>
    </w:p>
    <w:p w14:paraId="4BF4B4BC">
      <w:pPr>
        <w:widowControl/>
        <w:spacing w:line="360" w:lineRule="auto"/>
        <w:ind w:firstLine="482"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lang w:val="en-US" w:eastAsia="zh-CN"/>
        </w:rPr>
        <w:t>1.</w:t>
      </w:r>
      <w:r>
        <w:rPr>
          <w:rFonts w:hint="eastAsia" w:asciiTheme="minorEastAsia" w:hAnsiTheme="minorEastAsia" w:eastAsiaTheme="minorEastAsia" w:cstheme="minorEastAsia"/>
          <w:b/>
          <w:sz w:val="24"/>
          <w:szCs w:val="24"/>
          <w:highlight w:val="none"/>
        </w:rPr>
        <w:t xml:space="preserve">防制服务区域 </w:t>
      </w:r>
    </w:p>
    <w:p w14:paraId="09BDF805">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广丰区中心城区五个街道范围内的公共外环境(总面积22.6平方公里)、无业主小区和七个农贸市场</w:t>
      </w:r>
      <w:r>
        <w:rPr>
          <w:rFonts w:hint="eastAsia" w:asciiTheme="minorEastAsia" w:hAnsiTheme="minorEastAsia" w:eastAsiaTheme="minorEastAsia" w:cstheme="minorEastAsia"/>
          <w:sz w:val="24"/>
          <w:szCs w:val="24"/>
          <w:highlight w:val="none"/>
          <w:lang w:eastAsia="zh-CN"/>
        </w:rPr>
        <w:t>、廉政基地。</w:t>
      </w:r>
      <w:r>
        <w:rPr>
          <w:rFonts w:hint="eastAsia" w:asciiTheme="minorEastAsia" w:hAnsiTheme="minorEastAsia" w:eastAsiaTheme="minorEastAsia" w:cstheme="minorEastAsia"/>
          <w:sz w:val="24"/>
          <w:szCs w:val="24"/>
          <w:highlight w:val="none"/>
        </w:rPr>
        <w:t> </w:t>
      </w:r>
    </w:p>
    <w:p w14:paraId="0F4621D6">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w:t>
      </w:r>
      <w:r>
        <w:rPr>
          <w:rFonts w:hint="eastAsia" w:asciiTheme="minorEastAsia" w:hAnsiTheme="minorEastAsia" w:eastAsiaTheme="minorEastAsia" w:cstheme="minorEastAsia"/>
          <w:b/>
          <w:sz w:val="24"/>
          <w:szCs w:val="24"/>
          <w:highlight w:val="none"/>
          <w:lang w:val="en-US" w:eastAsia="zh-CN"/>
        </w:rPr>
        <w:t xml:space="preserve">  2.</w:t>
      </w:r>
      <w:r>
        <w:rPr>
          <w:rFonts w:hint="eastAsia" w:asciiTheme="minorEastAsia" w:hAnsiTheme="minorEastAsia" w:eastAsiaTheme="minorEastAsia" w:cstheme="minorEastAsia"/>
          <w:b/>
          <w:sz w:val="24"/>
          <w:szCs w:val="24"/>
          <w:highlight w:val="none"/>
        </w:rPr>
        <w:t xml:space="preserve">防制服务内容 </w:t>
      </w:r>
    </w:p>
    <w:p w14:paraId="221E84DF">
      <w:pPr>
        <w:widowControl/>
        <w:spacing w:line="360" w:lineRule="auto"/>
        <w:ind w:firstLine="48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对防制范围内的所有主次干道及其绿化带和下水道、广场、公园、无物业小区、城中村及城乡结合部等外环境开展消杀（灭鼠、蚊、蝇、蟑螂）、</w:t>
      </w:r>
      <w:r>
        <w:rPr>
          <w:rFonts w:hint="eastAsia" w:asciiTheme="minorEastAsia" w:hAnsiTheme="minorEastAsia" w:eastAsiaTheme="minorEastAsia" w:cstheme="minorEastAsia"/>
          <w:sz w:val="24"/>
          <w:szCs w:val="24"/>
          <w:highlight w:val="none"/>
          <w:lang w:eastAsia="zh-CN"/>
        </w:rPr>
        <w:t>设置</w:t>
      </w:r>
      <w:r>
        <w:rPr>
          <w:rFonts w:hint="eastAsia" w:asciiTheme="minorEastAsia" w:hAnsiTheme="minorEastAsia" w:eastAsiaTheme="minorEastAsia" w:cstheme="minorEastAsia"/>
          <w:sz w:val="24"/>
          <w:szCs w:val="24"/>
          <w:highlight w:val="none"/>
        </w:rPr>
        <w:t>毒饵站、</w:t>
      </w:r>
      <w:r>
        <w:rPr>
          <w:rFonts w:hint="eastAsia" w:asciiTheme="minorEastAsia" w:hAnsiTheme="minorEastAsia" w:eastAsiaTheme="minorEastAsia" w:cstheme="minorEastAsia"/>
          <w:sz w:val="24"/>
          <w:szCs w:val="24"/>
          <w:highlight w:val="none"/>
          <w:lang w:eastAsia="zh-CN"/>
        </w:rPr>
        <w:t>投放</w:t>
      </w:r>
      <w:r>
        <w:rPr>
          <w:rFonts w:hint="eastAsia" w:asciiTheme="minorEastAsia" w:hAnsiTheme="minorEastAsia" w:eastAsiaTheme="minorEastAsia" w:cstheme="minorEastAsia"/>
          <w:sz w:val="24"/>
          <w:szCs w:val="24"/>
          <w:highlight w:val="none"/>
        </w:rPr>
        <w:t>鼠药、捕蝇笼和堵塞鼠洞等。</w:t>
      </w:r>
    </w:p>
    <w:p w14:paraId="5162F4F5">
      <w:pPr>
        <w:widowControl/>
        <w:spacing w:line="360" w:lineRule="auto"/>
        <w:ind w:firstLine="48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bCs/>
          <w:sz w:val="24"/>
          <w:szCs w:val="24"/>
          <w:highlight w:val="none"/>
          <w:lang w:val="en-US" w:eastAsia="zh-CN"/>
        </w:rPr>
        <w:t>3.</w:t>
      </w:r>
      <w:r>
        <w:rPr>
          <w:rFonts w:hint="eastAsia" w:asciiTheme="minorEastAsia" w:hAnsiTheme="minorEastAsia" w:eastAsiaTheme="minorEastAsia" w:cstheme="minorEastAsia"/>
          <w:b/>
          <w:sz w:val="24"/>
          <w:szCs w:val="24"/>
          <w:highlight w:val="none"/>
        </w:rPr>
        <w:t xml:space="preserve">防制周期和要求 </w:t>
      </w:r>
    </w:p>
    <w:p w14:paraId="76994F0F">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(1)每年为1个防制服务周期，每年至少开展3次集中防制工作（即：春季灭鼠蚊蝇、夏季灭鼠蚊蝇蟑、秋季灭鼠工作）和日常防制，4月-10月份每月至少2次,11月-次年3月每月至少1次，每次不少于</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 xml:space="preserve">人作业。 防制工作必须保证全年的鼠、蚊、蝇、蟑螂密度达到国家病媒生物密度控制水平标准 C 级要求； </w:t>
      </w:r>
    </w:p>
    <w:p w14:paraId="1148669E">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(2)在提供药物投放服务时，必须作好宣传和技术指导工作，注意安全，预防人畜误食鼠药中毒等事件发生，以及对发生误食中毒事件进行及时处理，并承担因宣传和指导不力造成环境污染和人畜误食中毒所产生的所有后果； </w:t>
      </w:r>
    </w:p>
    <w:p w14:paraId="6314A7F2">
      <w:pPr>
        <w:widowControl/>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rPr>
        <w:t xml:space="preserve">   (3)成交供应商在提供药物投放服务时，必须科学、规范投放，确保消杀药物的投放量到位率、覆盖率符合要求并作好相关文字记录，保留备查。 </w:t>
      </w:r>
    </w:p>
    <w:p w14:paraId="30AD7272">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w:t>
      </w:r>
      <w:r>
        <w:rPr>
          <w:rFonts w:hint="eastAsia" w:asciiTheme="minorEastAsia" w:hAnsiTheme="minorEastAsia" w:eastAsiaTheme="minorEastAsia" w:cstheme="minorEastAsia"/>
          <w:b/>
          <w:sz w:val="24"/>
          <w:szCs w:val="24"/>
          <w:highlight w:val="none"/>
          <w:lang w:val="en-US" w:eastAsia="zh-CN"/>
        </w:rPr>
        <w:t>4.</w:t>
      </w:r>
      <w:r>
        <w:rPr>
          <w:rFonts w:hint="eastAsia" w:asciiTheme="minorEastAsia" w:hAnsiTheme="minorEastAsia" w:eastAsiaTheme="minorEastAsia" w:cstheme="minorEastAsia"/>
          <w:b/>
          <w:sz w:val="24"/>
          <w:szCs w:val="24"/>
          <w:highlight w:val="none"/>
        </w:rPr>
        <w:t xml:space="preserve">用药标准及要求、需求 </w:t>
      </w:r>
    </w:p>
    <w:p w14:paraId="147C8EF7">
      <w:pPr>
        <w:widowControl/>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供应商必须注重科学合理用药，不得使用假药、国家禁用的药物，并须保证药物来源和质量正当可靠，使用的药物必须符合GB/T27777-2011《杀鼠剂安全使用准则》与GB/T27779-2011《卫生杀虫剂安全使用准则》的要求，达到“安全、高效、环保”并交替使用药物防止产生耐药性的要求。为保证用药质量，确保“双创”工作顺利进行，使用药物必须按照以下标准和要求执行。</w:t>
      </w:r>
    </w:p>
    <w:p w14:paraId="0BDADC94">
      <w:pPr>
        <w:widowControl/>
        <w:spacing w:line="360" w:lineRule="auto"/>
        <w:rPr>
          <w:rFonts w:hint="eastAsia" w:asciiTheme="minorEastAsia" w:hAnsiTheme="minorEastAsia" w:eastAsiaTheme="minorEastAsia" w:cstheme="minorEastAsia"/>
          <w:sz w:val="24"/>
          <w:szCs w:val="24"/>
          <w:highlight w:val="none"/>
        </w:rPr>
      </w:pPr>
    </w:p>
    <w:p w14:paraId="2AB0AAF5">
      <w:pPr>
        <w:widowControl/>
        <w:spacing w:line="360" w:lineRule="auto"/>
        <w:rPr>
          <w:rFonts w:hint="eastAsia" w:asciiTheme="minorEastAsia" w:hAnsiTheme="minorEastAsia" w:eastAsiaTheme="minorEastAsia" w:cstheme="minorEastAsia"/>
          <w:sz w:val="24"/>
          <w:szCs w:val="24"/>
          <w:highlight w:val="none"/>
        </w:rPr>
      </w:pPr>
    </w:p>
    <w:p w14:paraId="6DCFBDB7">
      <w:pPr>
        <w:pStyle w:val="5"/>
        <w:rPr>
          <w:rFonts w:hint="eastAsia" w:asciiTheme="minorEastAsia" w:hAnsiTheme="minorEastAsia" w:eastAsiaTheme="minorEastAsia" w:cstheme="minorEastAsia"/>
          <w:sz w:val="24"/>
          <w:szCs w:val="24"/>
          <w:highlight w:val="none"/>
        </w:rPr>
      </w:pPr>
    </w:p>
    <w:p w14:paraId="3051E99F">
      <w:pPr>
        <w:rPr>
          <w:rFonts w:hint="eastAsia" w:asciiTheme="minorEastAsia" w:hAnsiTheme="minorEastAsia" w:eastAsiaTheme="minorEastAsia" w:cstheme="minorEastAsia"/>
          <w:sz w:val="24"/>
          <w:szCs w:val="24"/>
          <w:highlight w:val="none"/>
        </w:rPr>
      </w:pPr>
    </w:p>
    <w:p w14:paraId="2E65D058">
      <w:pPr>
        <w:pStyle w:val="5"/>
        <w:rPr>
          <w:rFonts w:hint="eastAsia" w:asciiTheme="minorEastAsia" w:hAnsiTheme="minorEastAsia" w:eastAsiaTheme="minorEastAsia" w:cstheme="minorEastAsia"/>
          <w:sz w:val="24"/>
          <w:szCs w:val="24"/>
          <w:highlight w:val="none"/>
        </w:rPr>
      </w:pPr>
    </w:p>
    <w:tbl>
      <w:tblPr>
        <w:tblStyle w:val="6"/>
        <w:tblW w:w="49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0"/>
        <w:gridCol w:w="737"/>
        <w:gridCol w:w="1656"/>
        <w:gridCol w:w="1549"/>
        <w:gridCol w:w="766"/>
        <w:gridCol w:w="916"/>
        <w:gridCol w:w="2264"/>
      </w:tblGrid>
      <w:tr w14:paraId="2D66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64" w:type="pct"/>
            <w:tcBorders>
              <w:top w:val="single" w:color="000000" w:sz="4" w:space="0"/>
              <w:left w:val="single" w:color="000000" w:sz="4" w:space="0"/>
              <w:bottom w:val="nil"/>
              <w:right w:val="single" w:color="000000" w:sz="4" w:space="0"/>
            </w:tcBorders>
            <w:shd w:val="clear" w:color="auto" w:fill="D7D7D7"/>
            <w:noWrap w:val="0"/>
            <w:vAlign w:val="center"/>
          </w:tcPr>
          <w:p w14:paraId="2FA77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序号</w:t>
            </w:r>
          </w:p>
        </w:tc>
        <w:tc>
          <w:tcPr>
            <w:tcW w:w="432" w:type="pct"/>
            <w:tcBorders>
              <w:top w:val="single" w:color="000000" w:sz="4" w:space="0"/>
              <w:left w:val="single" w:color="000000" w:sz="4" w:space="0"/>
              <w:bottom w:val="nil"/>
              <w:right w:val="single" w:color="000000" w:sz="4" w:space="0"/>
            </w:tcBorders>
            <w:shd w:val="clear" w:color="auto" w:fill="D7D7D7"/>
            <w:noWrap w:val="0"/>
            <w:vAlign w:val="center"/>
          </w:tcPr>
          <w:p w14:paraId="2E2C60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项目</w:t>
            </w:r>
          </w:p>
        </w:tc>
        <w:tc>
          <w:tcPr>
            <w:tcW w:w="972" w:type="pct"/>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553B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品名</w:t>
            </w:r>
          </w:p>
        </w:tc>
        <w:tc>
          <w:tcPr>
            <w:tcW w:w="910" w:type="pct"/>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2BECD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规格</w:t>
            </w:r>
          </w:p>
        </w:tc>
        <w:tc>
          <w:tcPr>
            <w:tcW w:w="450" w:type="pct"/>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469F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单位</w:t>
            </w:r>
          </w:p>
        </w:tc>
        <w:tc>
          <w:tcPr>
            <w:tcW w:w="538" w:type="pct"/>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6E717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数量</w:t>
            </w:r>
          </w:p>
        </w:tc>
        <w:tc>
          <w:tcPr>
            <w:tcW w:w="1330" w:type="pct"/>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8040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用途说明</w:t>
            </w:r>
          </w:p>
        </w:tc>
      </w:tr>
      <w:tr w14:paraId="7A893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630B7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一</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594F6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灭鼠费用</w:t>
            </w:r>
          </w:p>
        </w:tc>
        <w:tc>
          <w:tcPr>
            <w:tcW w:w="972" w:type="pct"/>
            <w:tcBorders>
              <w:top w:val="single" w:color="000000" w:sz="4" w:space="0"/>
              <w:left w:val="nil"/>
              <w:bottom w:val="nil"/>
              <w:right w:val="single" w:color="000000" w:sz="4" w:space="0"/>
            </w:tcBorders>
            <w:noWrap w:val="0"/>
            <w:vAlign w:val="center"/>
          </w:tcPr>
          <w:p w14:paraId="0ED9A9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★0.005%溴鼠灵毒饵</w:t>
            </w:r>
          </w:p>
        </w:tc>
        <w:tc>
          <w:tcPr>
            <w:tcW w:w="910" w:type="pct"/>
            <w:tcBorders>
              <w:top w:val="single" w:color="000000" w:sz="4" w:space="0"/>
              <w:left w:val="single" w:color="000000" w:sz="4" w:space="0"/>
              <w:bottom w:val="nil"/>
              <w:right w:val="single" w:color="000000" w:sz="4" w:space="0"/>
            </w:tcBorders>
            <w:noWrap w:val="0"/>
            <w:vAlign w:val="center"/>
          </w:tcPr>
          <w:p w14:paraId="0944A0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20kg/袋</w:t>
            </w:r>
          </w:p>
        </w:tc>
        <w:tc>
          <w:tcPr>
            <w:tcW w:w="450" w:type="pct"/>
            <w:tcBorders>
              <w:top w:val="single" w:color="000000" w:sz="4" w:space="0"/>
              <w:left w:val="single" w:color="000000" w:sz="4" w:space="0"/>
              <w:bottom w:val="nil"/>
              <w:right w:val="single" w:color="000000" w:sz="4" w:space="0"/>
            </w:tcBorders>
            <w:noWrap w:val="0"/>
            <w:vAlign w:val="center"/>
          </w:tcPr>
          <w:p w14:paraId="7EC079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kg</w:t>
            </w:r>
          </w:p>
        </w:tc>
        <w:tc>
          <w:tcPr>
            <w:tcW w:w="538" w:type="pct"/>
            <w:tcBorders>
              <w:top w:val="single" w:color="000000" w:sz="4" w:space="0"/>
              <w:left w:val="single" w:color="000000" w:sz="4" w:space="0"/>
              <w:bottom w:val="nil"/>
              <w:right w:val="single" w:color="000000" w:sz="4" w:space="0"/>
            </w:tcBorders>
            <w:noWrap w:val="0"/>
            <w:vAlign w:val="center"/>
          </w:tcPr>
          <w:p w14:paraId="4AD5F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4700</w:t>
            </w:r>
          </w:p>
        </w:tc>
        <w:tc>
          <w:tcPr>
            <w:tcW w:w="1330" w:type="pct"/>
            <w:tcBorders>
              <w:top w:val="single" w:color="000000" w:sz="4" w:space="0"/>
              <w:left w:val="single" w:color="000000" w:sz="4" w:space="0"/>
              <w:bottom w:val="nil"/>
              <w:right w:val="single" w:color="000000" w:sz="4" w:space="0"/>
            </w:tcBorders>
            <w:noWrap w:val="0"/>
            <w:vAlign w:val="center"/>
          </w:tcPr>
          <w:p w14:paraId="6E8170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1.春、秋季大面积灭鼠需用 2000kg；2. 日常灭鼠用 2000kg；3.社区及廉政基地发放 800kg。</w:t>
            </w:r>
          </w:p>
        </w:tc>
      </w:tr>
      <w:tr w14:paraId="1789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1406A0">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DCA18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nil"/>
              <w:bottom w:val="nil"/>
              <w:right w:val="single" w:color="000000" w:sz="4" w:space="0"/>
            </w:tcBorders>
            <w:noWrap w:val="0"/>
            <w:vAlign w:val="center"/>
          </w:tcPr>
          <w:p w14:paraId="4BE99A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★0.005%溴鼠灵腊块</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C2A1F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10kg/件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127FA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kg</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00A8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057AEB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1.由于城区下水道和各类沟、渠、井长期潮湿不宜投放;2.灭鼠毒饵，利用蜡块进行灭鼠;</w:t>
            </w:r>
          </w:p>
        </w:tc>
      </w:tr>
      <w:tr w14:paraId="5F959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883A37">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1FBC91">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nil"/>
              <w:bottom w:val="single" w:color="000000" w:sz="4" w:space="0"/>
              <w:right w:val="single" w:color="000000" w:sz="4" w:space="0"/>
            </w:tcBorders>
            <w:noWrap w:val="0"/>
            <w:vAlign w:val="center"/>
          </w:tcPr>
          <w:p w14:paraId="18F69D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粘鼠板</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1E80CA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40g*50 张/件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6CC9F9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张</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9CBF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1100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7A84C6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粘鼠板主要用于农贸市场、五小门店等室内环境灭鼠。</w:t>
            </w:r>
          </w:p>
        </w:tc>
      </w:tr>
      <w:tr w14:paraId="4A79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EA8CF57">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68B6F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nil"/>
              <w:bottom w:val="single" w:color="000000" w:sz="4" w:space="0"/>
              <w:right w:val="single" w:color="000000" w:sz="4" w:space="0"/>
            </w:tcBorders>
            <w:noWrap w:val="0"/>
            <w:vAlign w:val="center"/>
          </w:tcPr>
          <w:p w14:paraId="31C4EE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毒饵盒(水泥或陶瓷)</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044BF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30cm*12cm*12cm（孔径 8cm）</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701A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套</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5368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1800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0C0A0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用于公共区域外环境的灭鼠毒饵投放。</w:t>
            </w:r>
          </w:p>
        </w:tc>
      </w:tr>
      <w:tr w14:paraId="06AFE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restart"/>
            <w:tcBorders>
              <w:top w:val="nil"/>
              <w:left w:val="single" w:color="000000" w:sz="4" w:space="0"/>
              <w:bottom w:val="single" w:color="000000" w:sz="4" w:space="0"/>
              <w:right w:val="single" w:color="000000" w:sz="4" w:space="0"/>
            </w:tcBorders>
            <w:noWrap w:val="0"/>
            <w:vAlign w:val="center"/>
          </w:tcPr>
          <w:p w14:paraId="76A4EE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二</w:t>
            </w:r>
          </w:p>
        </w:tc>
        <w:tc>
          <w:tcPr>
            <w:tcW w:w="432" w:type="pct"/>
            <w:vMerge w:val="restart"/>
            <w:tcBorders>
              <w:top w:val="nil"/>
              <w:left w:val="single" w:color="000000" w:sz="4" w:space="0"/>
              <w:bottom w:val="single" w:color="000000" w:sz="4" w:space="0"/>
              <w:right w:val="single" w:color="000000" w:sz="4" w:space="0"/>
            </w:tcBorders>
            <w:noWrap w:val="0"/>
            <w:vAlign w:val="center"/>
          </w:tcPr>
          <w:p w14:paraId="0D295C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灭蟑费用</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2281E7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★杀蟑饵剂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DDE2F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5g*20 盒*50 包</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F2D69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815B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22</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1DB09C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用于临街五小门店、各类场所灭蟑用药</w:t>
            </w:r>
          </w:p>
        </w:tc>
      </w:tr>
      <w:tr w14:paraId="7CFD9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nil"/>
              <w:left w:val="single" w:color="000000" w:sz="4" w:space="0"/>
              <w:bottom w:val="single" w:color="000000" w:sz="4" w:space="0"/>
              <w:right w:val="single" w:color="000000" w:sz="4" w:space="0"/>
            </w:tcBorders>
            <w:noWrap w:val="0"/>
            <w:vAlign w:val="center"/>
          </w:tcPr>
          <w:p w14:paraId="76D4E0B0">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nil"/>
              <w:left w:val="single" w:color="000000" w:sz="4" w:space="0"/>
              <w:bottom w:val="single" w:color="000000" w:sz="4" w:space="0"/>
              <w:right w:val="single" w:color="000000" w:sz="4" w:space="0"/>
            </w:tcBorders>
            <w:noWrap w:val="0"/>
            <w:vAlign w:val="center"/>
          </w:tcPr>
          <w:p w14:paraId="21425386">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153530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★0.05%氟虫腈杀蟑胶饵（针剂）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54996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5g*200 支</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0993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支</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6433F0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1050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00971F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用于临街五小门店、各类场所灭蟑用药</w:t>
            </w:r>
          </w:p>
        </w:tc>
      </w:tr>
      <w:tr w14:paraId="75A3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nil"/>
              <w:left w:val="single" w:color="000000" w:sz="4" w:space="0"/>
              <w:bottom w:val="single" w:color="000000" w:sz="4" w:space="0"/>
              <w:right w:val="single" w:color="000000" w:sz="4" w:space="0"/>
            </w:tcBorders>
            <w:noWrap w:val="0"/>
            <w:vAlign w:val="center"/>
          </w:tcPr>
          <w:p w14:paraId="36916FBF">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nil"/>
              <w:left w:val="single" w:color="000000" w:sz="4" w:space="0"/>
              <w:bottom w:val="single" w:color="000000" w:sz="4" w:space="0"/>
              <w:right w:val="single" w:color="000000" w:sz="4" w:space="0"/>
            </w:tcBorders>
            <w:noWrap w:val="0"/>
            <w:vAlign w:val="center"/>
          </w:tcPr>
          <w:p w14:paraId="39E78E7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5B366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★0.05%氟虫腈杀蟑胶饵（方便贴）</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EE8B5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 粒*200 盒</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2063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盒</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D7B21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49A41A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用于临街五小门店、室内场所灭蟑用药</w:t>
            </w:r>
          </w:p>
        </w:tc>
      </w:tr>
      <w:tr w14:paraId="053FA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nil"/>
              <w:left w:val="single" w:color="000000" w:sz="4" w:space="0"/>
              <w:bottom w:val="single" w:color="000000" w:sz="4" w:space="0"/>
              <w:right w:val="single" w:color="000000" w:sz="4" w:space="0"/>
            </w:tcBorders>
            <w:noWrap w:val="0"/>
            <w:vAlign w:val="center"/>
          </w:tcPr>
          <w:p w14:paraId="125D5174">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nil"/>
              <w:left w:val="single" w:color="000000" w:sz="4" w:space="0"/>
              <w:bottom w:val="single" w:color="000000" w:sz="4" w:space="0"/>
              <w:right w:val="single" w:color="000000" w:sz="4" w:space="0"/>
            </w:tcBorders>
            <w:noWrap w:val="0"/>
            <w:vAlign w:val="center"/>
          </w:tcPr>
          <w:p w14:paraId="4828EDA2">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68121A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★2.5%高氯残杀威热(烟雾剂)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DFBDF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5L*4 桶/件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5DEF4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kg</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4E7F1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250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15D17A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用于整个城区单位下水道、留泥井熏杀蟑螂用</w:t>
            </w:r>
          </w:p>
        </w:tc>
      </w:tr>
      <w:tr w14:paraId="7582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44A2B4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三</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27164E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灭蝇药品</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DDA4B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★杀蝇饵剂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E2F3E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5g*20 盒*50 包</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716B9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A4F7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38D7E1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用于室内场所灭蝇诱杀</w:t>
            </w:r>
          </w:p>
        </w:tc>
      </w:tr>
      <w:tr w14:paraId="47946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516D91">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21E0C2">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707787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粘蝇纸</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16CD4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1*500 张/件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53C35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6A29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77AB45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用于室内场所灭蝇粘捕</w:t>
            </w:r>
          </w:p>
        </w:tc>
      </w:tr>
      <w:tr w14:paraId="211B9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370B06">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7A2BC8B">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4CF758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捕蝇笼（套装）</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D6430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1*24 个/件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3438C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套</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757739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350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648C9E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用于农贸市场、垃圾站、公共厕所、公园等外环境杀灭</w:t>
            </w:r>
          </w:p>
        </w:tc>
      </w:tr>
      <w:tr w14:paraId="08AF5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58CE7C">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50D50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1EB9DE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★10%高效氯氰菊脂悬浮剂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3B2FD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1L*10 瓶/箱</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3ABB2B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C54C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4F8FEF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公测及农贸市场使用超低容量机喷杀</w:t>
            </w:r>
          </w:p>
        </w:tc>
      </w:tr>
      <w:tr w14:paraId="2CF9F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D2E602">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F8AE92">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14400A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★10%烯丙氯菊乳油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9752F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500m*20 瓶/件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12B7FF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634DC8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08FE2A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用于室内食堂、餐厅等场所灭蟑</w:t>
            </w:r>
          </w:p>
        </w:tc>
      </w:tr>
      <w:tr w14:paraId="6885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2D4689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四</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547A34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灭蚊药品</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4E9CC4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★15%顺氯.残杀威</w:t>
            </w:r>
            <w:r>
              <w:rPr>
                <w:rFonts w:hint="eastAsia" w:ascii="宋体" w:hAnsi="宋体" w:eastAsia="宋体" w:cs="宋体"/>
                <w:i w:val="0"/>
                <w:iCs w:val="0"/>
                <w:color w:val="000000"/>
                <w:kern w:val="0"/>
                <w:sz w:val="24"/>
                <w:szCs w:val="24"/>
                <w:highlight w:val="none"/>
                <w:u w:val="none"/>
                <w:lang w:val="en-US" w:eastAsia="zh-CN" w:bidi="ar"/>
              </w:rPr>
              <w:t>悬浮剂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3130E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1L*10 瓶/箱</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3D2B6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F58F5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1500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26BFC2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杀灭蚊子幼虫专用药物</w:t>
            </w:r>
          </w:p>
        </w:tc>
      </w:tr>
      <w:tr w14:paraId="7586A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88D0DF">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251B0C">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0AC85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★5%倍硫磷灭蚊幼缓释剂药包</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1D974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5G*2000 包/桶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097BB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包</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0B8B4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12000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0A8B0D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蚊幼孳生地使用</w:t>
            </w:r>
          </w:p>
        </w:tc>
      </w:tr>
      <w:tr w14:paraId="403A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9F28F42">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6D56B9">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713554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★5%倍硫磷灭蚊幼缓释剂药包</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3176E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500G*50 包/桶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242A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包</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0F119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700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35BA3B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蚊幼孳生地使用</w:t>
            </w:r>
          </w:p>
        </w:tc>
      </w:tr>
      <w:tr w14:paraId="22DA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0110A4">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FB8799">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404A4F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★5%氯菊.四氟醚水乳剂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18810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500ml*20 瓶/箱</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26880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03689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230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F3F30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滞留喷杀使用</w:t>
            </w:r>
          </w:p>
        </w:tc>
      </w:tr>
      <w:tr w14:paraId="54A76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DA178E">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535245">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339C0B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★2%吡虫啉杀虫粉剂</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179540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50g*200 袋/件</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1EF1E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袋</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07E5C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440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24743D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滞留喷杀使用</w:t>
            </w:r>
          </w:p>
        </w:tc>
      </w:tr>
      <w:tr w14:paraId="54C73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14B8BD">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4DF372">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63DDB6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★2%吡虫啉杀虫粉剂缓释包</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40BF2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3g*100 袋*20 中包</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55CF6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包</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A5C65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6000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4D5964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杀灭蚊幼虫专用药物</w:t>
            </w:r>
          </w:p>
        </w:tc>
      </w:tr>
      <w:tr w14:paraId="0694D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B71A6A">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29677F">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1E7F02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★10%烯丙氯菊乳油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E09E6D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500ml*20 瓶/箱</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C142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瓶</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DE31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60</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0FDAC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外环境灭成蚊专用</w:t>
            </w:r>
          </w:p>
        </w:tc>
      </w:tr>
      <w:tr w14:paraId="71C1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68C8C9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五</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5AD8F9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城区除“四害 ”动员大会、技术培训班、宣传教育</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6E4252C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年度全区除“ 四害 ”工作宣传动员</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009F0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 次</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128A2CB">
            <w:pPr>
              <w:jc w:val="center"/>
              <w:rPr>
                <w:rFonts w:hint="eastAsia" w:asciiTheme="minorEastAsia" w:hAnsiTheme="minorEastAsia" w:eastAsiaTheme="minorEastAsia" w:cstheme="minorEastAsia"/>
                <w:i w:val="0"/>
                <w:iCs w:val="0"/>
                <w:color w:val="000000"/>
                <w:sz w:val="24"/>
                <w:szCs w:val="24"/>
                <w:highlight w:val="none"/>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4865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 次</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C4E8B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资料印制费、防制宣传单、横幅、标语、标牌、防治知识普及现场药械发放等。</w:t>
            </w:r>
          </w:p>
        </w:tc>
      </w:tr>
      <w:tr w14:paraId="080A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BFBB53">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8F9940">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753471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年度举办一次除"四害"技术培训班</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1B38CE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1次</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69BA2CEF">
            <w:pPr>
              <w:jc w:val="center"/>
              <w:rPr>
                <w:rFonts w:hint="eastAsia" w:asciiTheme="minorEastAsia" w:hAnsiTheme="minorEastAsia" w:eastAsiaTheme="minorEastAsia" w:cstheme="minorEastAsia"/>
                <w:i w:val="0"/>
                <w:iCs w:val="0"/>
                <w:color w:val="000000"/>
                <w:sz w:val="24"/>
                <w:szCs w:val="24"/>
                <w:highlight w:val="none"/>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D963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1次</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1CE3D9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（1）会场费资料费;（2）授课费</w:t>
            </w:r>
          </w:p>
        </w:tc>
      </w:tr>
      <w:tr w14:paraId="08781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C30D45">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10897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3E93DE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社区、居民宣传教育</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21812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 次</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1D4F384F">
            <w:pPr>
              <w:jc w:val="center"/>
              <w:rPr>
                <w:rFonts w:hint="eastAsia" w:asciiTheme="minorEastAsia" w:hAnsiTheme="minorEastAsia" w:eastAsiaTheme="minorEastAsia" w:cstheme="minorEastAsia"/>
                <w:i w:val="0"/>
                <w:iCs w:val="0"/>
                <w:color w:val="000000"/>
                <w:sz w:val="24"/>
                <w:szCs w:val="24"/>
                <w:highlight w:val="none"/>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E78C9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 次</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26580E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宣传、社区讲座、资料、药品发放等</w:t>
            </w:r>
          </w:p>
        </w:tc>
      </w:tr>
      <w:tr w14:paraId="3719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4DB850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六</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46A36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项目管理</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C0B4D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办公费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695527FB">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A753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7A1BC8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4D72C3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日常办公支出、房租及水电费等</w:t>
            </w:r>
          </w:p>
        </w:tc>
      </w:tr>
      <w:tr w14:paraId="79DA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DAD7AB">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A1745B">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7C386A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设备折旧</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98AA2FC">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7629F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E117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74BA7D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自有车辆费用 2 辆</w:t>
            </w:r>
          </w:p>
        </w:tc>
      </w:tr>
      <w:tr w14:paraId="2139B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ABF15C">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5CAB4C">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E8824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社保及其他保险</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2D9528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DD8550D">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人</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0FCEAF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1B3D00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53619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F9C2DEC">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2133BB">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5E9CE2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意外保险</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F0201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699CB51">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人</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449784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9</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212A64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2DA9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485EE1">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517684">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258E47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管理人员</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2CCF02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BA7E3E3">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人</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196D5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3FB594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6D20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C1814C">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C67857">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6D2C81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技术人员</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09E61E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31445929">
            <w:pPr>
              <w:jc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人</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98E41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8</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174E91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5E61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5EEE636">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254D9E">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646A1F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餐费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6FBCDEC">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4BA15D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5E85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C8B64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0B101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DD076CD">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101136">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0CD429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税费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2BF902A8">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5DB7CE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lang w:val="en-US" w:eastAsia="zh-CN"/>
              </w:rPr>
            </w:pPr>
            <w:r>
              <w:rPr>
                <w:rFonts w:hint="eastAsia" w:asciiTheme="minorEastAsia" w:hAnsiTheme="minorEastAsia" w:eastAsiaTheme="minorEastAsia" w:cstheme="minorEastAsia"/>
                <w:i w:val="0"/>
                <w:iCs w:val="0"/>
                <w:color w:val="000000"/>
                <w:sz w:val="24"/>
                <w:szCs w:val="24"/>
                <w:highlight w:val="none"/>
                <w:u w:val="none"/>
                <w:lang w:val="en-US" w:eastAsia="zh-CN"/>
              </w:rPr>
              <w:t>%</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48C6226">
            <w:pPr>
              <w:jc w:val="center"/>
              <w:rPr>
                <w:rFonts w:hint="eastAsia" w:asciiTheme="minorEastAsia" w:hAnsiTheme="minorEastAsia" w:eastAsiaTheme="minorEastAsia" w:cstheme="minorEastAsia"/>
                <w:i w:val="0"/>
                <w:iCs w:val="0"/>
                <w:color w:val="000000"/>
                <w:sz w:val="24"/>
                <w:szCs w:val="24"/>
                <w:highlight w:val="none"/>
                <w:u w:val="none"/>
              </w:rPr>
            </w:pP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58C62B75">
            <w:pPr>
              <w:rPr>
                <w:rFonts w:hint="eastAsia" w:asciiTheme="minorEastAsia" w:hAnsiTheme="minorEastAsia" w:eastAsiaTheme="minorEastAsia" w:cstheme="minorEastAsia"/>
                <w:i w:val="0"/>
                <w:iCs w:val="0"/>
                <w:color w:val="000000"/>
                <w:sz w:val="24"/>
                <w:szCs w:val="24"/>
                <w:highlight w:val="none"/>
                <w:u w:val="none"/>
                <w:lang w:val="en-US" w:eastAsia="zh-CN"/>
              </w:rPr>
            </w:pPr>
          </w:p>
        </w:tc>
      </w:tr>
      <w:tr w14:paraId="7F41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14:paraId="5DF5D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七</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14:paraId="7F60A1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交通费用</w:t>
            </w: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3B0BE3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汽油费、修理费、车辆保险费</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BDA650E">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079ACF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03EEE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3847D9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满足项目防制用车及日常防制药械运费</w:t>
            </w:r>
          </w:p>
        </w:tc>
      </w:tr>
      <w:tr w14:paraId="70FA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33A433">
            <w:pPr>
              <w:jc w:val="center"/>
              <w:rPr>
                <w:rFonts w:hint="eastAsia" w:asciiTheme="minorEastAsia" w:hAnsiTheme="minorEastAsia" w:eastAsiaTheme="minorEastAsia" w:cstheme="minorEastAsia"/>
                <w:i w:val="0"/>
                <w:iCs w:val="0"/>
                <w:color w:val="000000"/>
                <w:sz w:val="24"/>
                <w:szCs w:val="24"/>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F291A2">
            <w:pPr>
              <w:jc w:val="center"/>
              <w:rPr>
                <w:rFonts w:hint="eastAsia" w:asciiTheme="minorEastAsia" w:hAnsiTheme="minorEastAsia" w:eastAsiaTheme="minorEastAsia" w:cstheme="minorEastAsia"/>
                <w:i w:val="0"/>
                <w:iCs w:val="0"/>
                <w:color w:val="000000"/>
                <w:sz w:val="24"/>
                <w:szCs w:val="24"/>
                <w:highlight w:val="none"/>
                <w:u w:val="none"/>
              </w:rPr>
            </w:pPr>
          </w:p>
        </w:tc>
        <w:tc>
          <w:tcPr>
            <w:tcW w:w="972" w:type="pct"/>
            <w:tcBorders>
              <w:top w:val="single" w:color="000000" w:sz="4" w:space="0"/>
              <w:left w:val="single" w:color="000000" w:sz="4" w:space="0"/>
              <w:bottom w:val="single" w:color="000000" w:sz="4" w:space="0"/>
              <w:right w:val="single" w:color="000000" w:sz="4" w:space="0"/>
            </w:tcBorders>
            <w:noWrap w:val="0"/>
            <w:vAlign w:val="center"/>
          </w:tcPr>
          <w:p w14:paraId="0A8399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人员差旅补助</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C1350B8">
            <w:pPr>
              <w:rPr>
                <w:rFonts w:hint="eastAsia" w:asciiTheme="minorEastAsia" w:hAnsiTheme="minorEastAsia" w:eastAsiaTheme="minorEastAsia" w:cstheme="minorEastAsia"/>
                <w:i w:val="0"/>
                <w:iCs w:val="0"/>
                <w:color w:val="000000"/>
                <w:sz w:val="24"/>
                <w:szCs w:val="24"/>
                <w:highlight w:val="none"/>
                <w:u w:val="none"/>
              </w:rPr>
            </w:pPr>
          </w:p>
        </w:tc>
        <w:tc>
          <w:tcPr>
            <w:tcW w:w="450" w:type="pct"/>
            <w:tcBorders>
              <w:top w:val="single" w:color="000000" w:sz="4" w:space="0"/>
              <w:left w:val="single" w:color="000000" w:sz="4" w:space="0"/>
              <w:bottom w:val="single" w:color="000000" w:sz="4" w:space="0"/>
              <w:right w:val="single" w:color="000000" w:sz="4" w:space="0"/>
            </w:tcBorders>
            <w:noWrap w:val="0"/>
            <w:vAlign w:val="center"/>
          </w:tcPr>
          <w:p w14:paraId="279D2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年</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8853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w:t>
            </w:r>
          </w:p>
        </w:tc>
        <w:tc>
          <w:tcPr>
            <w:tcW w:w="1330" w:type="pct"/>
            <w:tcBorders>
              <w:top w:val="single" w:color="000000" w:sz="4" w:space="0"/>
              <w:left w:val="single" w:color="000000" w:sz="4" w:space="0"/>
              <w:bottom w:val="single" w:color="000000" w:sz="4" w:space="0"/>
              <w:right w:val="single" w:color="000000" w:sz="4" w:space="0"/>
            </w:tcBorders>
            <w:noWrap w:val="0"/>
            <w:vAlign w:val="center"/>
          </w:tcPr>
          <w:p w14:paraId="6C9C33D5">
            <w:pPr>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p>
        </w:tc>
      </w:tr>
      <w:tr w14:paraId="74C8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6FE5F8BA">
            <w:pPr>
              <w:widowControl/>
              <w:spacing w:line="400" w:lineRule="exact"/>
              <w:rPr>
                <w:rFonts w:hint="eastAsia" w:asciiTheme="minorEastAsia" w:hAnsiTheme="minorEastAsia" w:eastAsiaTheme="minorEastAsia" w:cstheme="minorEastAsia"/>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sz w:val="24"/>
                <w:szCs w:val="24"/>
                <w:highlight w:val="none"/>
                <w:lang w:val="en-US" w:eastAsia="zh-CN"/>
              </w:rPr>
              <w:t>响应文件中的所投带★药品须提供①农业部颁发的农药登记证、企业标准、农药生产批准证书或农药生产许可证（提供以上证书扫描件加盖公章)；未按以上要求提供的或提供不符合的做无效响应处理。</w:t>
            </w:r>
          </w:p>
        </w:tc>
      </w:tr>
    </w:tbl>
    <w:p w14:paraId="7F481ACB">
      <w:pPr>
        <w:pStyle w:val="5"/>
        <w:rPr>
          <w:rFonts w:hint="eastAsia" w:asciiTheme="minorEastAsia" w:hAnsiTheme="minorEastAsia" w:eastAsiaTheme="minorEastAsia" w:cstheme="minorEastAsia"/>
          <w:sz w:val="24"/>
          <w:szCs w:val="24"/>
          <w:highlight w:val="none"/>
        </w:rPr>
      </w:pPr>
    </w:p>
    <w:p w14:paraId="071E4C11">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 xml:space="preserve">   （</w:t>
      </w:r>
      <w:r>
        <w:rPr>
          <w:rFonts w:hint="eastAsia" w:asciiTheme="minorEastAsia" w:hAnsiTheme="minorEastAsia" w:eastAsiaTheme="minorEastAsia" w:cstheme="minorEastAsia"/>
          <w:b/>
          <w:sz w:val="24"/>
          <w:szCs w:val="24"/>
          <w:highlight w:val="none"/>
          <w:lang w:val="en-US" w:eastAsia="zh-CN"/>
        </w:rPr>
        <w:t>二</w:t>
      </w:r>
      <w:r>
        <w:rPr>
          <w:rFonts w:hint="eastAsia" w:asciiTheme="minorEastAsia" w:hAnsiTheme="minorEastAsia" w:eastAsiaTheme="minorEastAsia" w:cstheme="minorEastAsia"/>
          <w:b/>
          <w:sz w:val="24"/>
          <w:szCs w:val="24"/>
          <w:highlight w:val="none"/>
        </w:rPr>
        <w:t xml:space="preserve">）服务具体要求 </w:t>
      </w:r>
    </w:p>
    <w:p w14:paraId="38D1DD5C">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b/>
          <w:sz w:val="24"/>
          <w:szCs w:val="24"/>
          <w:highlight w:val="none"/>
        </w:rPr>
        <w:t xml:space="preserve">本地调查 </w:t>
      </w:r>
    </w:p>
    <w:p w14:paraId="3FC3A4EE">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为科学有效制订病媒生物防制工作计划，切合实际有效开展相关综合防制工作，在开始病媒生物防制服务消杀工作之前必须先对防制区域开展不同类型病媒生物孳生地的全面调查，并依据评估情况进行及时纠偏，确保综合防制效果。同时形成病媒生物防制台账资料，收集归档。 </w:t>
      </w:r>
    </w:p>
    <w:p w14:paraId="1095E77D">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b/>
          <w:sz w:val="24"/>
          <w:szCs w:val="24"/>
          <w:highlight w:val="none"/>
        </w:rPr>
        <w:t xml:space="preserve">病媒生物防制作业要求 </w:t>
      </w:r>
    </w:p>
    <w:p w14:paraId="076B9A4B">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①落实中心城区内的公共外环境病媒生物防制工作，确保按计划在各区域进行全方位的灭鼠、灭蚊、灭蝇、灭蟑螂作业。 </w:t>
      </w:r>
    </w:p>
    <w:p w14:paraId="6BAC1286">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②坚持“预防为主，综合防制”的消杀方针，确保使用国家规定或相关部门认定或推荐的药物。对病媒生物防制药物建立进出登记台账。病媒生物防制作业时要注意安全用药，废弃药物及死鼠等要妥善处理，防止污染。 </w:t>
      </w:r>
    </w:p>
    <w:p w14:paraId="493ADB6B">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③病媒生物防制工作人员需经培训合格后持证上岗，按照病媒生物防制工作的法规标准，规范操作。作业时必须统一服装、统一标准，做到安全作业、文明作业、科学作业。 </w:t>
      </w:r>
    </w:p>
    <w:p w14:paraId="49E2F863">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④做好每次病媒生物防制工作的记录，登记时间、处理位置、用药量等数据。</w:t>
      </w:r>
    </w:p>
    <w:p w14:paraId="40419B71">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⑤安排专人负责巡查和开展病媒生物防制效果跟踪检查，并根据实际效果调整用药品种、剂量、时间、防制方式等措施。 </w:t>
      </w:r>
    </w:p>
    <w:p w14:paraId="1B44223C">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⑥于合同签订后立即进行一次全覆盖的孳生地调查，并将孳生地情况、相关环境问题等详细资料汇总成册报广丰区卫生健康委员会。</w:t>
      </w:r>
    </w:p>
    <w:p w14:paraId="16B5C863">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⑦合同签订后立即开展一次大规模病媒生物消杀防制工作，迅速降低中心城区内病媒生物密度，鼠、蚊、蝇、蟑螂密度需达到国家病媒生物密度控制水平标准C级要求。 </w:t>
      </w:r>
    </w:p>
    <w:p w14:paraId="06B0D935">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⑧在完成首次全方位病媒生物防制工作后，组织对防制区域全面安装毒饵站、捕蝇笼、灭蚊灯和堵塞鼠洞等工作，并张贴标签（警示）牌等标识标语。必须对其进行日常维护，毒饵料必须常年保持新鲜；因施药问题造成人员和财产损失的安全事故，成交供应商负全部责任，承担所有的损失和赔偿；</w:t>
      </w:r>
    </w:p>
    <w:p w14:paraId="378C397B">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⑨对中心城区内的重点孳生地进行全面巡检和治理。 </w:t>
      </w:r>
    </w:p>
    <w:p w14:paraId="7AE0440D">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⑩合同期间，采购单位可根据工作需求，通知成交供应商进行有针对性的病媒生物防制和突击治理工作。 </w:t>
      </w:r>
    </w:p>
    <w:p w14:paraId="47BA9D2A">
      <w:pPr>
        <w:widowControl/>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⑪合同期间应配合采购单位组织的技术培训、公益性宣传教育活动。 </w:t>
      </w:r>
    </w:p>
    <w:p w14:paraId="3FDCDD90">
      <w:pPr>
        <w:widowControl/>
        <w:spacing w:line="400" w:lineRule="exact"/>
        <w:ind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⑫需从病媒生物综合防制的角度，从孳生地调查、危害监测、环境治理等方面提供技术性。</w:t>
      </w:r>
    </w:p>
    <w:p w14:paraId="13C63D88">
      <w:pPr>
        <w:pStyle w:val="5"/>
        <w:numPr>
          <w:ilvl w:val="0"/>
          <w:numId w:val="0"/>
        </w:numPr>
        <w:ind w:firstLine="480" w:firstLineChars="200"/>
        <w:rPr>
          <w:rFonts w:hint="eastAsia" w:asciiTheme="minorEastAsia" w:hAnsiTheme="minorEastAsia" w:eastAsiaTheme="minorEastAsia" w:cstheme="minorEastAsia"/>
          <w:b w:val="0"/>
          <w:bCs w:val="0"/>
          <w:color w:val="000000" w:themeColor="text1"/>
          <w:sz w:val="24"/>
          <w:szCs w:val="24"/>
          <w:highlight w:val="none"/>
          <w:lang w:val="zh-CN" w:eastAsia="zh-CN" w:bidi="zh-CN"/>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sz w:val="24"/>
          <w:szCs w:val="24"/>
          <w:highlight w:val="none"/>
          <w:lang w:val="zh-CN" w:eastAsia="zh-CN" w:bidi="zh-CN"/>
          <w14:textFill>
            <w14:solidFill>
              <w14:schemeClr w14:val="tx1"/>
            </w14:solidFill>
          </w14:textFill>
        </w:rPr>
        <w:t>3</w:t>
      </w:r>
      <w:r>
        <w:rPr>
          <w:rFonts w:hint="eastAsia" w:asciiTheme="minorEastAsia" w:hAnsiTheme="minorEastAsia" w:eastAsiaTheme="minorEastAsia" w:cstheme="minorEastAsia"/>
          <w:b w:val="0"/>
          <w:bCs w:val="0"/>
          <w:snapToGrid w:val="0"/>
          <w:color w:val="000000" w:themeColor="text1"/>
          <w:sz w:val="24"/>
          <w:szCs w:val="24"/>
          <w:highlight w:val="none"/>
          <w:lang w:val="en-US" w:eastAsia="zh-CN" w:bidi="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highlight w:val="none"/>
          <w:lang w:val="zh-CN" w:eastAsia="zh-CN" w:bidi="zh-CN"/>
          <w14:textFill>
            <w14:solidFill>
              <w14:schemeClr w14:val="tx1"/>
            </w14:solidFill>
          </w14:textFill>
        </w:rPr>
        <w:t>车辆、器械配备</w:t>
      </w:r>
      <w:r>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t>表</w:t>
      </w:r>
      <w:r>
        <w:rPr>
          <w:rFonts w:hint="eastAsia" w:asciiTheme="minorEastAsia" w:hAnsiTheme="minorEastAsia" w:eastAsiaTheme="minorEastAsia" w:cstheme="minorEastAsia"/>
          <w:b w:val="0"/>
          <w:bCs w:val="0"/>
          <w:color w:val="000000" w:themeColor="text1"/>
          <w:sz w:val="24"/>
          <w:szCs w:val="24"/>
          <w:highlight w:val="none"/>
          <w:lang w:val="zh-CN" w:eastAsia="zh-CN" w:bidi="zh-CN"/>
          <w14:textFill>
            <w14:solidFill>
              <w14:schemeClr w14:val="tx1"/>
            </w14:solidFill>
          </w14:textFill>
        </w:rPr>
        <w:t>：</w:t>
      </w:r>
    </w:p>
    <w:tbl>
      <w:tblPr>
        <w:tblStyle w:val="7"/>
        <w:tblW w:w="46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1973"/>
        <w:gridCol w:w="1973"/>
        <w:gridCol w:w="1985"/>
      </w:tblGrid>
      <w:tr w14:paraId="0788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Align w:val="center"/>
          </w:tcPr>
          <w:p w14:paraId="589741E3">
            <w:pPr>
              <w:widowControl w:val="0"/>
              <w:spacing w:line="360" w:lineRule="auto"/>
              <w:jc w:val="center"/>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rPr>
              <w:t>用途</w:t>
            </w:r>
          </w:p>
        </w:tc>
        <w:tc>
          <w:tcPr>
            <w:tcW w:w="1249" w:type="pct"/>
            <w:vAlign w:val="center"/>
          </w:tcPr>
          <w:p w14:paraId="31790663">
            <w:pPr>
              <w:widowControl w:val="0"/>
              <w:spacing w:line="360" w:lineRule="auto"/>
              <w:jc w:val="center"/>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rPr>
              <w:t>设备</w:t>
            </w:r>
          </w:p>
        </w:tc>
        <w:tc>
          <w:tcPr>
            <w:tcW w:w="1249" w:type="pct"/>
            <w:vAlign w:val="center"/>
          </w:tcPr>
          <w:p w14:paraId="28E721D5">
            <w:pPr>
              <w:widowControl w:val="0"/>
              <w:spacing w:line="360" w:lineRule="auto"/>
              <w:jc w:val="center"/>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rPr>
              <w:t>数量</w:t>
            </w:r>
          </w:p>
        </w:tc>
        <w:tc>
          <w:tcPr>
            <w:tcW w:w="1256" w:type="pct"/>
            <w:vAlign w:val="center"/>
          </w:tcPr>
          <w:p w14:paraId="21A8B840">
            <w:pPr>
              <w:widowControl w:val="0"/>
              <w:spacing w:line="360" w:lineRule="auto"/>
              <w:jc w:val="center"/>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rPr>
              <w:t>备注</w:t>
            </w:r>
          </w:p>
        </w:tc>
      </w:tr>
      <w:tr w14:paraId="7B23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restart"/>
            <w:vAlign w:val="center"/>
          </w:tcPr>
          <w:p w14:paraId="02244AE1">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lang w:val="zh-CN" w:eastAsia="zh-CN" w:bidi="zh-CN"/>
              </w:rPr>
              <w:t>供药品器械配送和现场施工</w:t>
            </w:r>
          </w:p>
        </w:tc>
        <w:tc>
          <w:tcPr>
            <w:tcW w:w="1249" w:type="pct"/>
            <w:vAlign w:val="center"/>
          </w:tcPr>
          <w:p w14:paraId="2FAE9345">
            <w:pPr>
              <w:widowControl w:val="0"/>
              <w:spacing w:line="360" w:lineRule="auto"/>
              <w:jc w:val="left"/>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热烟雾机</w:t>
            </w:r>
          </w:p>
        </w:tc>
        <w:tc>
          <w:tcPr>
            <w:tcW w:w="1249" w:type="pct"/>
            <w:vAlign w:val="center"/>
          </w:tcPr>
          <w:p w14:paraId="3BBF4465">
            <w:pPr>
              <w:widowControl w:val="0"/>
              <w:spacing w:line="360" w:lineRule="auto"/>
              <w:jc w:val="left"/>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8台</w:t>
            </w:r>
            <w:r>
              <w:rPr>
                <w:rFonts w:hint="eastAsia" w:asciiTheme="minorEastAsia" w:hAnsiTheme="minorEastAsia" w:eastAsiaTheme="minorEastAsia" w:cstheme="minorEastAsia"/>
                <w:b/>
                <w:bCs/>
                <w:snapToGrid/>
                <w:color w:val="0000FF"/>
                <w:kern w:val="0"/>
                <w:sz w:val="24"/>
                <w:szCs w:val="24"/>
                <w:highlight w:val="none"/>
                <w:lang w:val="en-US" w:eastAsia="zh-CN" w:bidi="zh-CN"/>
              </w:rPr>
              <w:t>及</w:t>
            </w:r>
            <w:r>
              <w:rPr>
                <w:rFonts w:hint="eastAsia" w:asciiTheme="minorEastAsia" w:hAnsiTheme="minorEastAsia" w:eastAsiaTheme="minorEastAsia" w:cstheme="minorEastAsia"/>
                <w:b/>
                <w:bCs/>
                <w:snapToGrid/>
                <w:color w:val="0000FF"/>
                <w:kern w:val="0"/>
                <w:sz w:val="24"/>
                <w:szCs w:val="24"/>
                <w:highlight w:val="none"/>
                <w:lang w:val="zh-CN" w:eastAsia="zh-CN" w:bidi="zh-CN"/>
              </w:rPr>
              <w:t>以上</w:t>
            </w:r>
          </w:p>
        </w:tc>
        <w:tc>
          <w:tcPr>
            <w:tcW w:w="1256" w:type="pct"/>
            <w:vMerge w:val="restart"/>
            <w:vAlign w:val="center"/>
          </w:tcPr>
          <w:p w14:paraId="5B6C8E56">
            <w:pPr>
              <w:widowControl w:val="0"/>
              <w:spacing w:line="360" w:lineRule="auto"/>
              <w:jc w:val="center"/>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rPr>
              <w:t>以上设备需求结合现场实际统筹调配。</w:t>
            </w:r>
          </w:p>
        </w:tc>
      </w:tr>
      <w:tr w14:paraId="4343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605E43ED">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tcPr>
          <w:p w14:paraId="2B985B17">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电动式超低容量喷雾器</w:t>
            </w:r>
          </w:p>
        </w:tc>
        <w:tc>
          <w:tcPr>
            <w:tcW w:w="1249" w:type="pct"/>
          </w:tcPr>
          <w:p w14:paraId="2DDF0B60">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en-US" w:eastAsia="zh-CN" w:bidi="zh-CN"/>
              </w:rPr>
              <w:t>3</w:t>
            </w:r>
            <w:r>
              <w:rPr>
                <w:rFonts w:hint="eastAsia" w:asciiTheme="minorEastAsia" w:hAnsiTheme="minorEastAsia" w:eastAsiaTheme="minorEastAsia" w:cstheme="minorEastAsia"/>
                <w:b/>
                <w:bCs/>
                <w:snapToGrid/>
                <w:color w:val="0000FF"/>
                <w:kern w:val="0"/>
                <w:sz w:val="24"/>
                <w:szCs w:val="24"/>
                <w:highlight w:val="none"/>
                <w:lang w:val="zh-CN" w:eastAsia="zh-CN" w:bidi="zh-CN"/>
              </w:rPr>
              <w:t>台</w:t>
            </w:r>
            <w:r>
              <w:rPr>
                <w:rFonts w:hint="eastAsia" w:asciiTheme="minorEastAsia" w:hAnsiTheme="minorEastAsia" w:eastAsiaTheme="minorEastAsia" w:cstheme="minorEastAsia"/>
                <w:b/>
                <w:bCs/>
                <w:snapToGrid/>
                <w:color w:val="0000FF"/>
                <w:kern w:val="0"/>
                <w:sz w:val="24"/>
                <w:szCs w:val="24"/>
                <w:highlight w:val="none"/>
                <w:lang w:val="en-US" w:eastAsia="zh-CN" w:bidi="zh-CN"/>
              </w:rPr>
              <w:t>及</w:t>
            </w:r>
            <w:r>
              <w:rPr>
                <w:rFonts w:hint="eastAsia" w:asciiTheme="minorEastAsia" w:hAnsiTheme="minorEastAsia" w:eastAsiaTheme="minorEastAsia" w:cstheme="minorEastAsia"/>
                <w:b/>
                <w:bCs/>
                <w:snapToGrid/>
                <w:color w:val="0000FF"/>
                <w:kern w:val="0"/>
                <w:sz w:val="24"/>
                <w:szCs w:val="24"/>
                <w:highlight w:val="none"/>
                <w:lang w:val="zh-CN" w:eastAsia="zh-CN" w:bidi="zh-CN"/>
              </w:rPr>
              <w:t>以上</w:t>
            </w:r>
          </w:p>
        </w:tc>
        <w:tc>
          <w:tcPr>
            <w:tcW w:w="1256" w:type="pct"/>
            <w:vMerge w:val="continue"/>
          </w:tcPr>
          <w:p w14:paraId="1D657732">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r w14:paraId="58FA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043B8B52">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tcPr>
          <w:p w14:paraId="3470A69D">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背负式机动喷雾机</w:t>
            </w:r>
          </w:p>
        </w:tc>
        <w:tc>
          <w:tcPr>
            <w:tcW w:w="1249" w:type="pct"/>
          </w:tcPr>
          <w:p w14:paraId="3D174BE2">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en-US" w:eastAsia="zh-CN" w:bidi="zh-CN"/>
              </w:rPr>
              <w:t>5</w:t>
            </w:r>
            <w:r>
              <w:rPr>
                <w:rFonts w:hint="eastAsia" w:asciiTheme="minorEastAsia" w:hAnsiTheme="minorEastAsia" w:eastAsiaTheme="minorEastAsia" w:cstheme="minorEastAsia"/>
                <w:b/>
                <w:bCs/>
                <w:snapToGrid/>
                <w:color w:val="0000FF"/>
                <w:kern w:val="0"/>
                <w:sz w:val="24"/>
                <w:szCs w:val="24"/>
                <w:highlight w:val="none"/>
                <w:lang w:val="zh-CN" w:eastAsia="zh-CN" w:bidi="zh-CN"/>
              </w:rPr>
              <w:t>台</w:t>
            </w:r>
          </w:p>
        </w:tc>
        <w:tc>
          <w:tcPr>
            <w:tcW w:w="1256" w:type="pct"/>
            <w:vMerge w:val="continue"/>
          </w:tcPr>
          <w:p w14:paraId="0A1ABBA7">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r w14:paraId="7AB4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04007D59">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tcPr>
          <w:p w14:paraId="070291FB">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无人机</w:t>
            </w:r>
          </w:p>
        </w:tc>
        <w:tc>
          <w:tcPr>
            <w:tcW w:w="1249" w:type="pct"/>
          </w:tcPr>
          <w:p w14:paraId="7A17A290">
            <w:pPr>
              <w:widowControl w:val="0"/>
              <w:jc w:val="both"/>
              <w:rPr>
                <w:rFonts w:hint="eastAsia" w:asciiTheme="minorEastAsia" w:hAnsiTheme="minorEastAsia" w:eastAsiaTheme="minorEastAsia" w:cstheme="minorEastAsia"/>
                <w:b/>
                <w:bCs/>
                <w:color w:val="0000FF"/>
                <w:sz w:val="24"/>
                <w:szCs w:val="24"/>
                <w:highlight w:val="none"/>
                <w:vertAlign w:val="baseline"/>
                <w:lang w:val="en-US"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2台</w:t>
            </w:r>
            <w:r>
              <w:rPr>
                <w:rFonts w:hint="eastAsia" w:asciiTheme="minorEastAsia" w:hAnsiTheme="minorEastAsia" w:eastAsiaTheme="minorEastAsia" w:cstheme="minorEastAsia"/>
                <w:b/>
                <w:bCs/>
                <w:snapToGrid/>
                <w:color w:val="0000FF"/>
                <w:kern w:val="0"/>
                <w:sz w:val="24"/>
                <w:szCs w:val="24"/>
                <w:highlight w:val="none"/>
                <w:lang w:val="en-US" w:eastAsia="zh-CN" w:bidi="zh-CN"/>
              </w:rPr>
              <w:t>及以上</w:t>
            </w:r>
          </w:p>
        </w:tc>
        <w:tc>
          <w:tcPr>
            <w:tcW w:w="1256" w:type="pct"/>
            <w:vMerge w:val="continue"/>
          </w:tcPr>
          <w:p w14:paraId="653F19DE">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r w14:paraId="6190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608B7A8F">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tcPr>
          <w:p w14:paraId="3C8E7048">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电子猫</w:t>
            </w:r>
          </w:p>
        </w:tc>
        <w:tc>
          <w:tcPr>
            <w:tcW w:w="1249" w:type="pct"/>
          </w:tcPr>
          <w:p w14:paraId="3B358DE0">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snapToGrid/>
                <w:color w:val="0000FF"/>
                <w:kern w:val="0"/>
                <w:sz w:val="24"/>
                <w:szCs w:val="24"/>
                <w:highlight w:val="none"/>
                <w:lang w:val="zh-CN" w:eastAsia="zh-CN" w:bidi="zh-CN"/>
              </w:rPr>
              <w:t>3台</w:t>
            </w:r>
            <w:r>
              <w:rPr>
                <w:rFonts w:hint="eastAsia" w:asciiTheme="minorEastAsia" w:hAnsiTheme="minorEastAsia" w:eastAsiaTheme="minorEastAsia" w:cstheme="minorEastAsia"/>
                <w:b/>
                <w:bCs/>
                <w:snapToGrid/>
                <w:color w:val="0000FF"/>
                <w:kern w:val="0"/>
                <w:sz w:val="24"/>
                <w:szCs w:val="24"/>
                <w:highlight w:val="none"/>
                <w:lang w:val="en-US" w:eastAsia="zh-CN" w:bidi="zh-CN"/>
              </w:rPr>
              <w:t>及以上</w:t>
            </w:r>
          </w:p>
        </w:tc>
        <w:tc>
          <w:tcPr>
            <w:tcW w:w="1256" w:type="pct"/>
            <w:vMerge w:val="continue"/>
          </w:tcPr>
          <w:p w14:paraId="3315CBBB">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r w14:paraId="0491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5F2DC109">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tcPr>
          <w:p w14:paraId="65184C95">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lang w:val="zh-CN" w:eastAsia="zh-CN" w:bidi="zh-CN"/>
              </w:rPr>
              <w:t>机动运输施工车辆</w:t>
            </w:r>
          </w:p>
        </w:tc>
        <w:tc>
          <w:tcPr>
            <w:tcW w:w="1249" w:type="pct"/>
          </w:tcPr>
          <w:p w14:paraId="6E480035">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lang w:val="zh-CN" w:eastAsia="zh-CN" w:bidi="zh-CN"/>
              </w:rPr>
              <w:t>2台</w:t>
            </w:r>
            <w:r>
              <w:rPr>
                <w:rFonts w:hint="eastAsia" w:asciiTheme="minorEastAsia" w:hAnsiTheme="minorEastAsia" w:eastAsiaTheme="minorEastAsia" w:cstheme="minorEastAsia"/>
                <w:b/>
                <w:bCs/>
                <w:color w:val="0000FF"/>
                <w:sz w:val="24"/>
                <w:szCs w:val="24"/>
                <w:highlight w:val="none"/>
                <w:lang w:val="en-US" w:eastAsia="zh-CN" w:bidi="zh-CN"/>
              </w:rPr>
              <w:t>及</w:t>
            </w:r>
            <w:r>
              <w:rPr>
                <w:rFonts w:hint="eastAsia" w:asciiTheme="minorEastAsia" w:hAnsiTheme="minorEastAsia" w:eastAsiaTheme="minorEastAsia" w:cstheme="minorEastAsia"/>
                <w:b/>
                <w:bCs/>
                <w:color w:val="0000FF"/>
                <w:sz w:val="24"/>
                <w:szCs w:val="24"/>
                <w:highlight w:val="none"/>
                <w:lang w:val="zh-CN" w:eastAsia="zh-CN" w:bidi="zh-CN"/>
              </w:rPr>
              <w:t>以上</w:t>
            </w:r>
          </w:p>
        </w:tc>
        <w:tc>
          <w:tcPr>
            <w:tcW w:w="1256" w:type="pct"/>
            <w:vMerge w:val="continue"/>
          </w:tcPr>
          <w:p w14:paraId="2530E0EC">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r w14:paraId="158C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pct"/>
            <w:vMerge w:val="continue"/>
          </w:tcPr>
          <w:p w14:paraId="723601DE">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c>
          <w:tcPr>
            <w:tcW w:w="1249" w:type="pct"/>
            <w:shd w:val="clear" w:color="auto" w:fill="auto"/>
            <w:vAlign w:val="top"/>
          </w:tcPr>
          <w:p w14:paraId="092A5DBE">
            <w:pPr>
              <w:widowControl w:val="0"/>
              <w:jc w:val="both"/>
              <w:rPr>
                <w:rFonts w:hint="eastAsia" w:asciiTheme="minorEastAsia" w:hAnsiTheme="minorEastAsia" w:eastAsiaTheme="minorEastAsia" w:cstheme="minorEastAsia"/>
                <w:b/>
                <w:bCs/>
                <w:snapToGrid w:val="0"/>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lang w:val="zh-CN" w:eastAsia="zh-CN" w:bidi="zh-CN"/>
              </w:rPr>
              <w:t xml:space="preserve">其他车辆 </w:t>
            </w:r>
          </w:p>
        </w:tc>
        <w:tc>
          <w:tcPr>
            <w:tcW w:w="1249" w:type="pct"/>
            <w:shd w:val="clear" w:color="auto" w:fill="auto"/>
            <w:vAlign w:val="top"/>
          </w:tcPr>
          <w:p w14:paraId="082F8EBE">
            <w:pPr>
              <w:widowControl w:val="0"/>
              <w:jc w:val="both"/>
              <w:rPr>
                <w:rFonts w:hint="eastAsia" w:asciiTheme="minorEastAsia" w:hAnsiTheme="minorEastAsia" w:eastAsiaTheme="minorEastAsia" w:cstheme="minorEastAsia"/>
                <w:b/>
                <w:bCs/>
                <w:snapToGrid w:val="0"/>
                <w:color w:val="0000FF"/>
                <w:sz w:val="24"/>
                <w:szCs w:val="24"/>
                <w:highlight w:val="none"/>
                <w:vertAlign w:val="baseline"/>
                <w:lang w:val="zh-CN" w:eastAsia="zh-CN" w:bidi="zh-CN"/>
              </w:rPr>
            </w:pPr>
            <w:r>
              <w:rPr>
                <w:rFonts w:hint="eastAsia" w:asciiTheme="minorEastAsia" w:hAnsiTheme="minorEastAsia" w:eastAsiaTheme="minorEastAsia" w:cstheme="minorEastAsia"/>
                <w:b/>
                <w:bCs/>
                <w:color w:val="0000FF"/>
                <w:sz w:val="24"/>
                <w:szCs w:val="24"/>
                <w:highlight w:val="none"/>
                <w:lang w:val="zh-CN" w:eastAsia="zh-CN" w:bidi="zh-CN"/>
              </w:rPr>
              <w:t>6台</w:t>
            </w:r>
            <w:r>
              <w:rPr>
                <w:rFonts w:hint="eastAsia" w:asciiTheme="minorEastAsia" w:hAnsiTheme="minorEastAsia" w:eastAsiaTheme="minorEastAsia" w:cstheme="minorEastAsia"/>
                <w:b/>
                <w:bCs/>
                <w:color w:val="0000FF"/>
                <w:sz w:val="24"/>
                <w:szCs w:val="24"/>
                <w:highlight w:val="none"/>
                <w:lang w:val="en-US" w:eastAsia="zh-CN" w:bidi="zh-CN"/>
              </w:rPr>
              <w:t>及</w:t>
            </w:r>
            <w:r>
              <w:rPr>
                <w:rFonts w:hint="eastAsia" w:asciiTheme="minorEastAsia" w:hAnsiTheme="minorEastAsia" w:eastAsiaTheme="minorEastAsia" w:cstheme="minorEastAsia"/>
                <w:b/>
                <w:bCs/>
                <w:color w:val="0000FF"/>
                <w:sz w:val="24"/>
                <w:szCs w:val="24"/>
                <w:highlight w:val="none"/>
                <w:lang w:val="zh-CN" w:eastAsia="zh-CN" w:bidi="zh-CN"/>
              </w:rPr>
              <w:t>以上</w:t>
            </w:r>
          </w:p>
        </w:tc>
        <w:tc>
          <w:tcPr>
            <w:tcW w:w="1256" w:type="pct"/>
            <w:vMerge w:val="continue"/>
          </w:tcPr>
          <w:p w14:paraId="50C066F2">
            <w:pPr>
              <w:widowControl w:val="0"/>
              <w:jc w:val="both"/>
              <w:rPr>
                <w:rFonts w:hint="eastAsia" w:asciiTheme="minorEastAsia" w:hAnsiTheme="minorEastAsia" w:eastAsiaTheme="minorEastAsia" w:cstheme="minorEastAsia"/>
                <w:b/>
                <w:bCs/>
                <w:color w:val="0000FF"/>
                <w:sz w:val="24"/>
                <w:szCs w:val="24"/>
                <w:highlight w:val="none"/>
                <w:vertAlign w:val="baseline"/>
                <w:lang w:val="zh-CN" w:eastAsia="zh-CN" w:bidi="zh-CN"/>
              </w:rPr>
            </w:pPr>
          </w:p>
        </w:tc>
      </w:tr>
    </w:tbl>
    <w:p w14:paraId="79CFBE16">
      <w:pPr>
        <w:rPr>
          <w:rFonts w:hint="eastAsia" w:asciiTheme="minorEastAsia" w:hAnsiTheme="minorEastAsia" w:eastAsiaTheme="minorEastAsia" w:cstheme="minorEastAsia"/>
          <w:b w:val="0"/>
          <w:bCs w:val="0"/>
          <w:color w:val="000000" w:themeColor="text1"/>
          <w:sz w:val="24"/>
          <w:szCs w:val="24"/>
          <w:highlight w:val="none"/>
          <w:lang w:val="zh-CN" w:eastAsia="zh-CN" w:bidi="zh-CN"/>
          <w14:textFill>
            <w14:solidFill>
              <w14:schemeClr w14:val="tx1"/>
            </w14:solidFill>
          </w14:textFill>
        </w:rPr>
      </w:pPr>
    </w:p>
    <w:p w14:paraId="71932952">
      <w:pPr>
        <w:ind w:firstLine="480" w:firstLineChars="200"/>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t>4.人员配备表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4"/>
        <w:gridCol w:w="2150"/>
        <w:gridCol w:w="3548"/>
      </w:tblGrid>
      <w:tr w14:paraId="232A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3E9A0592">
            <w:pPr>
              <w:pStyle w:val="3"/>
              <w:spacing w:before="0" w:after="0" w:line="360" w:lineRule="auto"/>
              <w:jc w:val="center"/>
              <w:outlineLvl w:val="1"/>
              <w:rPr>
                <w:rFonts w:hint="eastAsia" w:asciiTheme="minorEastAsia" w:hAnsiTheme="minorEastAsia" w:eastAsiaTheme="minorEastAsia" w:cstheme="minorEastAsia"/>
                <w:b w:val="0"/>
                <w:bCs w:val="0"/>
                <w:color w:val="333333"/>
                <w:sz w:val="24"/>
                <w:szCs w:val="24"/>
                <w:highlight w:val="none"/>
              </w:rPr>
            </w:pPr>
            <w:r>
              <w:rPr>
                <w:rFonts w:hint="eastAsia" w:asciiTheme="minorEastAsia" w:hAnsiTheme="minorEastAsia" w:eastAsiaTheme="minorEastAsia" w:cstheme="minorEastAsia"/>
                <w:b w:val="0"/>
                <w:bCs w:val="0"/>
                <w:color w:val="333333"/>
                <w:sz w:val="24"/>
                <w:szCs w:val="24"/>
                <w:highlight w:val="none"/>
              </w:rPr>
              <w:t>岗位</w:t>
            </w:r>
          </w:p>
        </w:tc>
        <w:tc>
          <w:tcPr>
            <w:tcW w:w="0" w:type="auto"/>
            <w:noWrap w:val="0"/>
            <w:vAlign w:val="top"/>
          </w:tcPr>
          <w:p w14:paraId="3C247D31">
            <w:pPr>
              <w:pStyle w:val="3"/>
              <w:spacing w:before="0" w:after="0" w:line="360" w:lineRule="auto"/>
              <w:jc w:val="center"/>
              <w:outlineLvl w:val="1"/>
              <w:rPr>
                <w:rFonts w:hint="eastAsia" w:asciiTheme="minorEastAsia" w:hAnsiTheme="minorEastAsia" w:eastAsiaTheme="minorEastAsia" w:cstheme="minorEastAsia"/>
                <w:b w:val="0"/>
                <w:bCs w:val="0"/>
                <w:color w:val="333333"/>
                <w:sz w:val="24"/>
                <w:szCs w:val="24"/>
                <w:highlight w:val="none"/>
                <w:lang w:val="en-US" w:eastAsia="zh-CN"/>
              </w:rPr>
            </w:pPr>
            <w:r>
              <w:rPr>
                <w:rFonts w:hint="eastAsia" w:asciiTheme="minorEastAsia" w:hAnsiTheme="minorEastAsia" w:eastAsiaTheme="minorEastAsia" w:cstheme="minorEastAsia"/>
                <w:b w:val="0"/>
                <w:bCs w:val="0"/>
                <w:color w:val="333333"/>
                <w:sz w:val="24"/>
                <w:szCs w:val="24"/>
                <w:highlight w:val="none"/>
                <w:lang w:val="en-US" w:eastAsia="zh-CN"/>
              </w:rPr>
              <w:t>数量（人）</w:t>
            </w:r>
          </w:p>
        </w:tc>
        <w:tc>
          <w:tcPr>
            <w:tcW w:w="0" w:type="auto"/>
            <w:noWrap w:val="0"/>
            <w:vAlign w:val="top"/>
          </w:tcPr>
          <w:p w14:paraId="7FA2C528">
            <w:pPr>
              <w:pStyle w:val="3"/>
              <w:spacing w:before="0" w:after="0" w:line="360" w:lineRule="auto"/>
              <w:jc w:val="center"/>
              <w:outlineLvl w:val="1"/>
              <w:rPr>
                <w:rFonts w:hint="eastAsia" w:asciiTheme="minorEastAsia" w:hAnsiTheme="minorEastAsia" w:eastAsiaTheme="minorEastAsia" w:cstheme="minorEastAsia"/>
                <w:b w:val="0"/>
                <w:bCs w:val="0"/>
                <w:color w:val="333333"/>
                <w:sz w:val="24"/>
                <w:szCs w:val="24"/>
                <w:highlight w:val="none"/>
              </w:rPr>
            </w:pPr>
            <w:r>
              <w:rPr>
                <w:rFonts w:hint="eastAsia" w:asciiTheme="minorEastAsia" w:hAnsiTheme="minorEastAsia" w:eastAsiaTheme="minorEastAsia" w:cstheme="minorEastAsia"/>
                <w:b w:val="0"/>
                <w:bCs w:val="0"/>
                <w:color w:val="333333"/>
                <w:sz w:val="24"/>
                <w:szCs w:val="24"/>
                <w:highlight w:val="none"/>
                <w:lang w:eastAsia="zh-CN"/>
              </w:rPr>
              <w:t>最低人员配置</w:t>
            </w:r>
          </w:p>
        </w:tc>
      </w:tr>
      <w:tr w14:paraId="544D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0" w:type="auto"/>
            <w:noWrap w:val="0"/>
            <w:vAlign w:val="top"/>
          </w:tcPr>
          <w:p w14:paraId="653148E3">
            <w:pPr>
              <w:wordWrap w:val="0"/>
              <w:spacing w:line="360" w:lineRule="auto"/>
              <w:jc w:val="center"/>
              <w:rPr>
                <w:rFonts w:hint="eastAsia" w:asciiTheme="minorEastAsia" w:hAnsiTheme="minorEastAsia" w:eastAsiaTheme="minorEastAsia" w:cstheme="minorEastAsia"/>
                <w:b/>
                <w:bCs/>
                <w:color w:val="0000FF"/>
                <w:sz w:val="24"/>
                <w:szCs w:val="24"/>
                <w:highlight w:val="none"/>
              </w:rPr>
            </w:pPr>
            <w:r>
              <w:rPr>
                <w:rFonts w:hint="eastAsia" w:asciiTheme="minorEastAsia" w:hAnsiTheme="minorEastAsia" w:eastAsiaTheme="minorEastAsia" w:cstheme="minorEastAsia"/>
                <w:b/>
                <w:bCs/>
                <w:color w:val="0000FF"/>
                <w:sz w:val="24"/>
                <w:szCs w:val="24"/>
                <w:highlight w:val="none"/>
              </w:rPr>
              <w:t>项目经理</w:t>
            </w:r>
          </w:p>
        </w:tc>
        <w:tc>
          <w:tcPr>
            <w:tcW w:w="0" w:type="auto"/>
            <w:noWrap w:val="0"/>
            <w:vAlign w:val="center"/>
          </w:tcPr>
          <w:p w14:paraId="650CFF58">
            <w:pPr>
              <w:wordWrap w:val="0"/>
              <w:spacing w:line="360" w:lineRule="auto"/>
              <w:jc w:val="center"/>
              <w:rPr>
                <w:rFonts w:hint="eastAsia" w:asciiTheme="minorEastAsia" w:hAnsiTheme="minorEastAsia" w:eastAsiaTheme="minorEastAsia" w:cstheme="minorEastAsia"/>
                <w:b/>
                <w:bCs/>
                <w:color w:val="0000FF"/>
                <w:sz w:val="24"/>
                <w:szCs w:val="24"/>
                <w:highlight w:val="none"/>
                <w:lang w:val="en-US" w:eastAsia="zh-CN"/>
              </w:rPr>
            </w:pPr>
            <w:r>
              <w:rPr>
                <w:rFonts w:hint="eastAsia" w:asciiTheme="minorEastAsia" w:hAnsiTheme="minorEastAsia" w:eastAsiaTheme="minorEastAsia" w:cstheme="minorEastAsia"/>
                <w:b/>
                <w:bCs/>
                <w:color w:val="0000FF"/>
                <w:sz w:val="24"/>
                <w:szCs w:val="24"/>
                <w:highlight w:val="none"/>
                <w:lang w:val="en-US" w:eastAsia="zh-CN"/>
              </w:rPr>
              <w:t>1</w:t>
            </w:r>
          </w:p>
        </w:tc>
        <w:tc>
          <w:tcPr>
            <w:tcW w:w="0" w:type="auto"/>
            <w:vMerge w:val="restart"/>
            <w:noWrap w:val="0"/>
            <w:vAlign w:val="center"/>
          </w:tcPr>
          <w:p w14:paraId="322B27C6">
            <w:pPr>
              <w:wordWrap w:val="0"/>
              <w:spacing w:line="360" w:lineRule="auto"/>
              <w:jc w:val="left"/>
              <w:rPr>
                <w:rFonts w:hint="eastAsia" w:asciiTheme="minorEastAsia" w:hAnsiTheme="minorEastAsia" w:eastAsiaTheme="minorEastAsia" w:cstheme="minorEastAsia"/>
                <w:b/>
                <w:bCs/>
                <w:color w:val="0000FF"/>
                <w:sz w:val="24"/>
                <w:szCs w:val="24"/>
                <w:highlight w:val="none"/>
                <w:lang w:eastAsia="zh-CN"/>
              </w:rPr>
            </w:pPr>
            <w:r>
              <w:rPr>
                <w:rFonts w:hint="eastAsia" w:asciiTheme="minorEastAsia" w:hAnsiTheme="minorEastAsia" w:eastAsiaTheme="minorEastAsia" w:cstheme="minorEastAsia"/>
                <w:b/>
                <w:bCs/>
                <w:color w:val="0000FF"/>
                <w:sz w:val="24"/>
                <w:szCs w:val="24"/>
                <w:highlight w:val="none"/>
                <w:lang w:eastAsia="zh-CN"/>
              </w:rPr>
              <w:t>高级证书</w:t>
            </w:r>
          </w:p>
        </w:tc>
      </w:tr>
      <w:tr w14:paraId="2FA6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0" w:type="auto"/>
            <w:noWrap w:val="0"/>
            <w:vAlign w:val="top"/>
          </w:tcPr>
          <w:p w14:paraId="0827BACA">
            <w:pPr>
              <w:wordWrap w:val="0"/>
              <w:spacing w:line="360" w:lineRule="auto"/>
              <w:jc w:val="center"/>
              <w:rPr>
                <w:rFonts w:hint="eastAsia" w:asciiTheme="minorEastAsia" w:hAnsiTheme="minorEastAsia" w:eastAsiaTheme="minorEastAsia" w:cstheme="minorEastAsia"/>
                <w:b/>
                <w:bCs/>
                <w:color w:val="0000FF"/>
                <w:sz w:val="24"/>
                <w:szCs w:val="24"/>
                <w:highlight w:val="none"/>
              </w:rPr>
            </w:pPr>
            <w:r>
              <w:rPr>
                <w:rFonts w:hint="eastAsia" w:asciiTheme="minorEastAsia" w:hAnsiTheme="minorEastAsia" w:eastAsiaTheme="minorEastAsia" w:cstheme="minorEastAsia"/>
                <w:b/>
                <w:bCs/>
                <w:color w:val="0000FF"/>
                <w:sz w:val="24"/>
                <w:szCs w:val="24"/>
                <w:highlight w:val="none"/>
              </w:rPr>
              <w:t>项目技术负责人</w:t>
            </w:r>
          </w:p>
        </w:tc>
        <w:tc>
          <w:tcPr>
            <w:tcW w:w="0" w:type="auto"/>
            <w:noWrap w:val="0"/>
            <w:vAlign w:val="top"/>
          </w:tcPr>
          <w:p w14:paraId="6EFBE24D">
            <w:pPr>
              <w:wordWrap w:val="0"/>
              <w:spacing w:line="360" w:lineRule="auto"/>
              <w:jc w:val="center"/>
              <w:rPr>
                <w:rFonts w:hint="eastAsia" w:asciiTheme="minorEastAsia" w:hAnsiTheme="minorEastAsia" w:eastAsiaTheme="minorEastAsia" w:cstheme="minorEastAsia"/>
                <w:b/>
                <w:bCs/>
                <w:color w:val="0000FF"/>
                <w:sz w:val="24"/>
                <w:szCs w:val="24"/>
                <w:highlight w:val="none"/>
                <w:lang w:val="en-US" w:eastAsia="zh-CN"/>
              </w:rPr>
            </w:pPr>
            <w:r>
              <w:rPr>
                <w:rFonts w:hint="eastAsia" w:asciiTheme="minorEastAsia" w:hAnsiTheme="minorEastAsia" w:eastAsiaTheme="minorEastAsia" w:cstheme="minorEastAsia"/>
                <w:b/>
                <w:bCs/>
                <w:color w:val="0000FF"/>
                <w:sz w:val="24"/>
                <w:szCs w:val="24"/>
                <w:highlight w:val="none"/>
                <w:lang w:val="en-US" w:eastAsia="zh-CN"/>
              </w:rPr>
              <w:t>1</w:t>
            </w:r>
          </w:p>
        </w:tc>
        <w:tc>
          <w:tcPr>
            <w:tcW w:w="0" w:type="auto"/>
            <w:vMerge w:val="continue"/>
            <w:noWrap w:val="0"/>
            <w:vAlign w:val="top"/>
          </w:tcPr>
          <w:p w14:paraId="292C2C06">
            <w:pPr>
              <w:pStyle w:val="3"/>
              <w:spacing w:before="0" w:after="0" w:line="360" w:lineRule="auto"/>
              <w:outlineLvl w:val="1"/>
              <w:rPr>
                <w:rFonts w:hint="eastAsia" w:asciiTheme="minorEastAsia" w:hAnsiTheme="minorEastAsia" w:eastAsiaTheme="minorEastAsia" w:cstheme="minorEastAsia"/>
                <w:b w:val="0"/>
                <w:bCs w:val="0"/>
                <w:color w:val="333333"/>
                <w:sz w:val="24"/>
                <w:szCs w:val="24"/>
                <w:highlight w:val="none"/>
                <w:lang w:eastAsia="zh-CN"/>
              </w:rPr>
            </w:pPr>
          </w:p>
        </w:tc>
      </w:tr>
      <w:tr w14:paraId="1DC7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183B3820">
            <w:pPr>
              <w:wordWrap w:val="0"/>
              <w:spacing w:line="360" w:lineRule="auto"/>
              <w:jc w:val="center"/>
              <w:rPr>
                <w:rFonts w:hint="eastAsia" w:asciiTheme="minorEastAsia" w:hAnsiTheme="minorEastAsia" w:eastAsiaTheme="minorEastAsia" w:cstheme="minorEastAsia"/>
                <w:b/>
                <w:bCs/>
                <w:color w:val="0000FF"/>
                <w:sz w:val="24"/>
                <w:szCs w:val="24"/>
                <w:highlight w:val="none"/>
              </w:rPr>
            </w:pPr>
            <w:r>
              <w:rPr>
                <w:rFonts w:hint="eastAsia" w:asciiTheme="minorEastAsia" w:hAnsiTheme="minorEastAsia" w:eastAsiaTheme="minorEastAsia" w:cstheme="minorEastAsia"/>
                <w:b/>
                <w:bCs/>
                <w:color w:val="0000FF"/>
                <w:sz w:val="24"/>
                <w:szCs w:val="24"/>
                <w:highlight w:val="none"/>
              </w:rPr>
              <w:t>其他专业技术人员</w:t>
            </w:r>
          </w:p>
        </w:tc>
        <w:tc>
          <w:tcPr>
            <w:tcW w:w="0" w:type="auto"/>
            <w:noWrap w:val="0"/>
            <w:vAlign w:val="center"/>
          </w:tcPr>
          <w:p w14:paraId="2E86D49F">
            <w:pPr>
              <w:wordWrap w:val="0"/>
              <w:spacing w:line="360" w:lineRule="auto"/>
              <w:jc w:val="center"/>
              <w:rPr>
                <w:rFonts w:hint="eastAsia" w:asciiTheme="minorEastAsia" w:hAnsiTheme="minorEastAsia" w:eastAsiaTheme="minorEastAsia" w:cstheme="minorEastAsia"/>
                <w:b/>
                <w:bCs/>
                <w:color w:val="0000FF"/>
                <w:sz w:val="24"/>
                <w:szCs w:val="24"/>
                <w:highlight w:val="none"/>
                <w:lang w:val="en-US" w:eastAsia="zh-CN"/>
              </w:rPr>
            </w:pPr>
            <w:r>
              <w:rPr>
                <w:rFonts w:hint="eastAsia" w:asciiTheme="minorEastAsia" w:hAnsiTheme="minorEastAsia" w:eastAsiaTheme="minorEastAsia" w:cstheme="minorEastAsia"/>
                <w:b/>
                <w:bCs/>
                <w:color w:val="0000FF"/>
                <w:sz w:val="24"/>
                <w:szCs w:val="24"/>
                <w:highlight w:val="none"/>
                <w:lang w:val="en-US" w:eastAsia="zh-CN"/>
              </w:rPr>
              <w:t>7</w:t>
            </w:r>
          </w:p>
        </w:tc>
        <w:tc>
          <w:tcPr>
            <w:tcW w:w="0" w:type="auto"/>
            <w:noWrap w:val="0"/>
            <w:vAlign w:val="top"/>
          </w:tcPr>
          <w:p w14:paraId="63BB9BC6">
            <w:pPr>
              <w:pStyle w:val="3"/>
              <w:spacing w:before="0" w:after="0" w:line="360" w:lineRule="auto"/>
              <w:outlineLvl w:val="1"/>
              <w:rPr>
                <w:rFonts w:hint="default" w:asciiTheme="minorEastAsia" w:hAnsiTheme="minorEastAsia" w:eastAsiaTheme="minorEastAsia" w:cstheme="minorEastAsia"/>
                <w:b w:val="0"/>
                <w:bCs w:val="0"/>
                <w:color w:val="333333"/>
                <w:sz w:val="24"/>
                <w:szCs w:val="24"/>
                <w:highlight w:val="none"/>
                <w:lang w:val="en-US" w:eastAsia="zh-CN"/>
              </w:rPr>
            </w:pPr>
            <w:r>
              <w:rPr>
                <w:rFonts w:hint="eastAsia" w:asciiTheme="minorEastAsia" w:hAnsiTheme="minorEastAsia" w:eastAsiaTheme="minorEastAsia" w:cstheme="minorEastAsia"/>
                <w:b w:val="0"/>
                <w:bCs w:val="0"/>
                <w:color w:val="333333"/>
                <w:sz w:val="24"/>
                <w:szCs w:val="24"/>
                <w:highlight w:val="none"/>
                <w:lang w:eastAsia="zh-CN"/>
              </w:rPr>
              <w:t>为中级和初级证书各</w:t>
            </w:r>
            <w:r>
              <w:rPr>
                <w:rFonts w:hint="eastAsia" w:asciiTheme="minorEastAsia" w:hAnsiTheme="minorEastAsia" w:eastAsiaTheme="minorEastAsia" w:cstheme="minorEastAsia"/>
                <w:b w:val="0"/>
                <w:bCs w:val="0"/>
                <w:color w:val="333333"/>
                <w:sz w:val="24"/>
                <w:szCs w:val="24"/>
                <w:highlight w:val="none"/>
                <w:lang w:val="en-US" w:eastAsia="zh-CN"/>
              </w:rPr>
              <w:t>3人</w:t>
            </w:r>
          </w:p>
        </w:tc>
      </w:tr>
      <w:tr w14:paraId="5D8D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3"/>
            <w:noWrap w:val="0"/>
            <w:vAlign w:val="top"/>
          </w:tcPr>
          <w:p w14:paraId="5E869365">
            <w:pPr>
              <w:spacing w:line="360" w:lineRule="auto"/>
              <w:rPr>
                <w:rFonts w:hint="eastAsia" w:asciiTheme="minorEastAsia" w:hAnsiTheme="minorEastAsia" w:eastAsiaTheme="minorEastAsia" w:cstheme="minorEastAsia"/>
                <w:b/>
                <w:bCs/>
                <w:color w:val="0000FF"/>
                <w:sz w:val="24"/>
                <w:szCs w:val="24"/>
                <w:highlight w:val="none"/>
                <w:lang w:val="en-US" w:eastAsia="zh-CN"/>
              </w:rPr>
            </w:pPr>
            <w:r>
              <w:rPr>
                <w:rFonts w:hint="eastAsia" w:asciiTheme="minorEastAsia" w:hAnsiTheme="minorEastAsia" w:eastAsiaTheme="minorEastAsia" w:cstheme="minorEastAsia"/>
                <w:sz w:val="24"/>
                <w:szCs w:val="24"/>
                <w:highlight w:val="none"/>
              </w:rPr>
              <w:t>注</w:t>
            </w:r>
            <w:r>
              <w:rPr>
                <w:rFonts w:hint="eastAsia" w:asciiTheme="minorEastAsia" w:hAnsiTheme="minorEastAsia" w:eastAsiaTheme="minorEastAsia" w:cstheme="minorEastAsia"/>
                <w:b/>
                <w:bCs/>
                <w:color w:val="0000FF"/>
                <w:sz w:val="24"/>
                <w:szCs w:val="24"/>
                <w:highlight w:val="none"/>
              </w:rPr>
              <w:t>：1.</w:t>
            </w:r>
            <w:r>
              <w:rPr>
                <w:rFonts w:hint="eastAsia" w:asciiTheme="minorEastAsia" w:hAnsiTheme="minorEastAsia" w:eastAsiaTheme="minorEastAsia" w:cstheme="minorEastAsia"/>
                <w:b/>
                <w:bCs/>
                <w:color w:val="0000FF"/>
                <w:sz w:val="24"/>
                <w:szCs w:val="24"/>
                <w:highlight w:val="none"/>
                <w:lang w:val="en-US" w:eastAsia="zh-CN"/>
              </w:rPr>
              <w:t>以上团队人员须取得《</w:t>
            </w:r>
            <w:r>
              <w:rPr>
                <w:rFonts w:hint="eastAsia" w:asciiTheme="minorEastAsia" w:hAnsiTheme="minorEastAsia" w:eastAsiaTheme="minorEastAsia" w:cstheme="minorEastAsia"/>
                <w:b/>
                <w:bCs/>
                <w:color w:val="0000FF"/>
                <w:sz w:val="24"/>
                <w:szCs w:val="24"/>
                <w:highlight w:val="none"/>
                <w:lang w:val="zh-CN" w:eastAsia="zh-CN"/>
              </w:rPr>
              <w:t>中华人民共和国有害生物防制员职业资格证书》（在</w:t>
            </w:r>
            <w:r>
              <w:rPr>
                <w:rFonts w:hint="eastAsia" w:asciiTheme="minorEastAsia" w:hAnsiTheme="minorEastAsia" w:eastAsiaTheme="minorEastAsia" w:cstheme="minorEastAsia"/>
                <w:b/>
                <w:bCs/>
                <w:color w:val="0000FF"/>
                <w:sz w:val="24"/>
                <w:szCs w:val="24"/>
                <w:highlight w:val="none"/>
                <w:lang w:val="en-US" w:eastAsia="zh-CN"/>
              </w:rPr>
              <w:t>响应文件中提供证书扫描件加盖供应商公章</w:t>
            </w:r>
            <w:r>
              <w:rPr>
                <w:rFonts w:hint="eastAsia" w:asciiTheme="minorEastAsia" w:hAnsiTheme="minorEastAsia" w:eastAsiaTheme="minorEastAsia" w:cstheme="minorEastAsia"/>
                <w:b/>
                <w:bCs/>
                <w:color w:val="0000FF"/>
                <w:sz w:val="24"/>
                <w:szCs w:val="24"/>
                <w:highlight w:val="none"/>
                <w:lang w:val="zh-CN" w:eastAsia="zh-CN"/>
              </w:rPr>
              <w:t>）。</w:t>
            </w:r>
          </w:p>
          <w:p w14:paraId="37499572">
            <w:pPr>
              <w:pStyle w:val="3"/>
              <w:spacing w:before="0" w:after="0" w:line="360" w:lineRule="auto"/>
              <w:outlineLvl w:val="1"/>
              <w:rPr>
                <w:rFonts w:hint="eastAsia" w:asciiTheme="minorEastAsia" w:hAnsiTheme="minorEastAsia" w:eastAsiaTheme="minorEastAsia" w:cstheme="minorEastAsia"/>
                <w:b w:val="0"/>
                <w:bCs w:val="0"/>
                <w:color w:val="333333"/>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b/>
                <w:bCs/>
                <w:color w:val="0000FF"/>
                <w:sz w:val="24"/>
                <w:szCs w:val="24"/>
                <w:highlight w:val="none"/>
                <w:lang w:val="en-US" w:eastAsia="zh-CN"/>
              </w:rPr>
              <w:t>供应商</w:t>
            </w:r>
            <w:r>
              <w:rPr>
                <w:rFonts w:hint="eastAsia" w:asciiTheme="minorEastAsia" w:hAnsiTheme="minorEastAsia" w:eastAsiaTheme="minorEastAsia" w:cstheme="minorEastAsia"/>
                <w:b/>
                <w:bCs/>
                <w:color w:val="0000FF"/>
                <w:sz w:val="24"/>
                <w:szCs w:val="24"/>
                <w:highlight w:val="none"/>
              </w:rPr>
              <w:t>须依法为</w:t>
            </w:r>
            <w:r>
              <w:rPr>
                <w:rFonts w:hint="eastAsia" w:asciiTheme="minorEastAsia" w:hAnsiTheme="minorEastAsia" w:eastAsiaTheme="minorEastAsia" w:cstheme="minorEastAsia"/>
                <w:b/>
                <w:bCs/>
                <w:strike w:val="0"/>
                <w:dstrike w:val="0"/>
                <w:color w:val="0000FF"/>
                <w:sz w:val="24"/>
                <w:szCs w:val="24"/>
                <w:highlight w:val="none"/>
              </w:rPr>
              <w:t>所有人员</w:t>
            </w:r>
            <w:r>
              <w:rPr>
                <w:rFonts w:hint="eastAsia" w:asciiTheme="minorEastAsia" w:hAnsiTheme="minorEastAsia" w:eastAsiaTheme="minorEastAsia" w:cstheme="minorEastAsia"/>
                <w:b/>
                <w:bCs/>
                <w:color w:val="0000FF"/>
                <w:sz w:val="24"/>
                <w:szCs w:val="24"/>
                <w:highlight w:val="none"/>
              </w:rPr>
              <w:t>足额缴纳社会保险（</w:t>
            </w:r>
            <w:r>
              <w:rPr>
                <w:rFonts w:hint="eastAsia" w:asciiTheme="minorEastAsia" w:hAnsiTheme="minorEastAsia" w:eastAsiaTheme="minorEastAsia" w:cstheme="minorEastAsia"/>
                <w:b/>
                <w:bCs/>
                <w:color w:val="0000FF"/>
                <w:sz w:val="24"/>
                <w:szCs w:val="24"/>
                <w:highlight w:val="none"/>
                <w:lang w:eastAsia="zh-CN"/>
              </w:rPr>
              <w:t>在响应文件中提供社保证明材料加盖供应商公章</w:t>
            </w:r>
            <w:r>
              <w:rPr>
                <w:rFonts w:hint="eastAsia" w:asciiTheme="minorEastAsia" w:hAnsiTheme="minorEastAsia" w:eastAsiaTheme="minorEastAsia" w:cstheme="minorEastAsia"/>
                <w:b/>
                <w:bCs/>
                <w:color w:val="0000FF"/>
                <w:sz w:val="24"/>
                <w:szCs w:val="24"/>
                <w:highlight w:val="none"/>
              </w:rPr>
              <w:t>）。</w:t>
            </w:r>
          </w:p>
        </w:tc>
      </w:tr>
    </w:tbl>
    <w:p w14:paraId="2A745E3A">
      <w:pPr>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pPr>
    </w:p>
    <w:p w14:paraId="49A3A361">
      <w:pPr>
        <w:widowControl/>
        <w:spacing w:line="400" w:lineRule="exact"/>
        <w:ind w:firstLine="480" w:firstLineChars="200"/>
        <w:rPr>
          <w:rFonts w:hint="eastAsia" w:ascii="宋体" w:hAnsi="宋体" w:eastAsia="宋体" w:cs="宋体"/>
          <w:sz w:val="24"/>
          <w:szCs w:val="24"/>
          <w:highlight w:val="none"/>
          <w:lang w:eastAsia="zh-CN"/>
        </w:rPr>
      </w:pPr>
      <w:r>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t>5.</w:t>
      </w:r>
      <w:r>
        <w:rPr>
          <w:rFonts w:hint="eastAsia" w:asciiTheme="minorEastAsia" w:hAnsiTheme="minorEastAsia" w:eastAsiaTheme="minorEastAsia" w:cstheme="minorEastAsia"/>
          <w:b/>
          <w:bCs/>
          <w:color w:val="000000" w:themeColor="text1"/>
          <w:sz w:val="24"/>
          <w:szCs w:val="24"/>
          <w:highlight w:val="none"/>
          <w:lang w:val="en-US" w:eastAsia="zh-CN" w:bidi="zh-CN"/>
          <w14:textFill>
            <w14:solidFill>
              <w14:schemeClr w14:val="tx1"/>
            </w14:solidFill>
          </w14:textFill>
        </w:rPr>
        <w:t>供应商在签订合同前向采购人提供</w:t>
      </w:r>
      <w:r>
        <w:rPr>
          <w:rFonts w:hint="eastAsia" w:asciiTheme="minorEastAsia" w:hAnsiTheme="minorEastAsia" w:eastAsiaTheme="minorEastAsia" w:cstheme="minorEastAsia"/>
          <w:b/>
          <w:bCs/>
          <w:color w:val="000000" w:themeColor="text1"/>
          <w:sz w:val="24"/>
          <w:szCs w:val="24"/>
          <w:highlight w:val="none"/>
          <w:lang w:val="zh-CN" w:eastAsia="zh-CN" w:bidi="zh-CN"/>
          <w14:textFill>
            <w14:solidFill>
              <w14:schemeClr w14:val="tx1"/>
            </w14:solidFill>
          </w14:textFill>
        </w:rPr>
        <w:t>服务区</w:t>
      </w:r>
      <w:r>
        <w:rPr>
          <w:rFonts w:hint="eastAsia" w:asciiTheme="minorEastAsia" w:hAnsiTheme="minorEastAsia" w:eastAsiaTheme="minorEastAsia" w:cstheme="minorEastAsia"/>
          <w:b/>
          <w:bCs/>
          <w:color w:val="000000" w:themeColor="text1"/>
          <w:sz w:val="24"/>
          <w:szCs w:val="24"/>
          <w:highlight w:val="none"/>
          <w:lang w:val="en-US" w:eastAsia="zh-CN" w:bidi="zh-CN"/>
          <w14:textFill>
            <w14:solidFill>
              <w14:schemeClr w14:val="tx1"/>
            </w14:solidFill>
          </w14:textFill>
        </w:rPr>
        <w:t>防制及突发公共卫生事件应急措施服务方案</w:t>
      </w:r>
      <w:r>
        <w:rPr>
          <w:rFonts w:hint="eastAsia" w:asciiTheme="minorEastAsia" w:hAnsiTheme="minorEastAsia" w:eastAsiaTheme="minorEastAsia" w:cstheme="minorEastAsia"/>
          <w:b w:val="0"/>
          <w:bCs w:val="0"/>
          <w:color w:val="000000" w:themeColor="text1"/>
          <w:sz w:val="24"/>
          <w:szCs w:val="24"/>
          <w:highlight w:val="none"/>
          <w:lang w:val="en-US" w:eastAsia="zh-CN" w:bidi="zh-CN"/>
          <w14:textFill>
            <w14:solidFill>
              <w14:schemeClr w14:val="tx1"/>
            </w14:solidFill>
          </w14:textFill>
        </w:rPr>
        <w:t>，包括但不限于:①突发的公共卫生事件处置预案；②突发事件响应时效、人员、器械、药物、车辆等合理安排；③应急外置具体要求；④防制任务；⑤质量标准；⑥有效控制方法等综合评价。</w:t>
      </w:r>
    </w:p>
    <w:p w14:paraId="3AFCCA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eastAsia="zh-CN"/>
        </w:rPr>
      </w:pPr>
    </w:p>
    <w:p w14:paraId="28DA34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（二）商务条件：</w:t>
      </w:r>
    </w:p>
    <w:p w14:paraId="010F98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lang w:val="en-US" w:eastAsia="zh-CN"/>
        </w:rPr>
        <w:t>.服务期、服务时间：自合同签订之日起，服务期限为1年；</w:t>
      </w:r>
      <w:r>
        <w:rPr>
          <w:rFonts w:hint="eastAsia" w:ascii="宋体" w:hAnsi="宋体" w:eastAsia="宋体" w:cs="宋体"/>
          <w:b/>
          <w:bCs/>
          <w:color w:val="0000FF"/>
          <w:sz w:val="24"/>
          <w:szCs w:val="24"/>
          <w:highlight w:val="none"/>
          <w:lang w:val="en-US" w:eastAsia="zh-CN"/>
        </w:rPr>
        <w:t>采购人通知后15日内进场</w:t>
      </w:r>
      <w:r>
        <w:rPr>
          <w:rFonts w:hint="eastAsia" w:ascii="宋体" w:hAnsi="宋体" w:eastAsia="宋体" w:cs="宋体"/>
          <w:sz w:val="24"/>
          <w:szCs w:val="24"/>
          <w:highlight w:val="none"/>
          <w:lang w:val="en-US" w:eastAsia="zh-CN"/>
        </w:rPr>
        <w:t>。</w:t>
      </w:r>
    </w:p>
    <w:p w14:paraId="5954C3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 xml:space="preserve">付款方式：合同价款分四次支付，每三个月为一个季度。第一季度完成后收到中标人发票后10个工作日支付合同总金额的35%；第二季度完成后收到中标人发票后10个工作日支付合同总金额的25%；第三季度完成后收到中标人发票后10个工作日支付合同总金额的20%，第四季度完成后收到中标人发票后10个工作日支付合同总金额的15%，剩余的5%履约结束后10个工作日内支付。   </w:t>
      </w:r>
    </w:p>
    <w:p w14:paraId="35EEFD9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服务地点：</w:t>
      </w:r>
      <w:r>
        <w:rPr>
          <w:rFonts w:hint="eastAsia" w:ascii="宋体" w:hAnsi="宋体" w:eastAsia="宋体" w:cs="宋体"/>
          <w:sz w:val="24"/>
          <w:szCs w:val="24"/>
          <w:highlight w:val="none"/>
          <w:lang w:val="en-US" w:eastAsia="zh-CN"/>
        </w:rPr>
        <w:t>广丰区区内</w:t>
      </w:r>
      <w:r>
        <w:rPr>
          <w:rFonts w:hint="eastAsia" w:ascii="宋体" w:hAnsi="宋体" w:eastAsia="宋体" w:cs="宋体"/>
          <w:sz w:val="24"/>
          <w:szCs w:val="24"/>
          <w:highlight w:val="none"/>
        </w:rPr>
        <w:t>。</w:t>
      </w:r>
    </w:p>
    <w:p w14:paraId="09BF48F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本项目报价包括成本费用、运杂费、保险费、检验与检测费，施工费、与项目相关的咨询服务费（含效果评价、总结报告和技术培训费）、验收费、利税以及交付使用前一切可能发生的所有费用。</w:t>
      </w:r>
    </w:p>
    <w:p w14:paraId="669C06B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0000FF"/>
          <w:sz w:val="24"/>
          <w:szCs w:val="24"/>
          <w:highlight w:val="none"/>
          <w:lang w:val="en-US" w:eastAsia="zh-CN"/>
        </w:rPr>
      </w:pPr>
      <w:r>
        <w:rPr>
          <w:rFonts w:hint="eastAsia" w:ascii="宋体" w:hAnsi="宋体" w:eastAsia="宋体" w:cs="宋体"/>
          <w:sz w:val="24"/>
          <w:szCs w:val="24"/>
          <w:highlight w:val="none"/>
          <w:lang w:val="en-US" w:eastAsia="zh-CN"/>
        </w:rPr>
        <w:t>6.</w:t>
      </w:r>
      <w:r>
        <w:rPr>
          <w:rFonts w:hint="eastAsia" w:ascii="宋体" w:hAnsi="宋体" w:eastAsia="宋体" w:cs="宋体"/>
          <w:b/>
          <w:bCs/>
          <w:color w:val="0000FF"/>
          <w:sz w:val="24"/>
          <w:szCs w:val="24"/>
          <w:highlight w:val="none"/>
          <w:lang w:val="en-US" w:eastAsia="zh-CN"/>
        </w:rPr>
        <w:t>供应商须提供1份自2023年6月1日（以合同签订时间为准）至响应截止日具有同类型业绩证明材料。（须按照响应文件格式中“9.技术文件”的要求提供相应的佐证材料）</w:t>
      </w:r>
    </w:p>
    <w:p w14:paraId="22B6461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7.其他未尽事宜，可在合同中另行约定。</w:t>
      </w:r>
    </w:p>
    <w:p w14:paraId="4A951495">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F542F5"/>
    <w:rsid w:val="0E0B0D07"/>
    <w:rsid w:val="282F63B2"/>
    <w:rsid w:val="2A492CDC"/>
    <w:rsid w:val="50FD42F8"/>
    <w:rsid w:val="5BF542F5"/>
    <w:rsid w:val="62EF1C6C"/>
    <w:rsid w:val="64036CA5"/>
    <w:rsid w:val="6C127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jc w:val="center"/>
      <w:outlineLvl w:val="0"/>
    </w:pPr>
    <w:rPr>
      <w:rFonts w:ascii="Times New Roman" w:hAnsi="Times New Roman" w:eastAsia="宋体"/>
      <w:b/>
      <w:color w:val="000000"/>
      <w:kern w:val="44"/>
      <w:sz w:val="44"/>
      <w:lang w:eastAsia="en-US" w:bidi="en-US"/>
    </w:rPr>
  </w:style>
  <w:style w:type="paragraph" w:styleId="3">
    <w:name w:val="heading 2"/>
    <w:basedOn w:val="1"/>
    <w:next w:val="1"/>
    <w:link w:val="11"/>
    <w:semiHidden/>
    <w:unhideWhenUsed/>
    <w:qFormat/>
    <w:uiPriority w:val="0"/>
    <w:pPr>
      <w:keepNext/>
      <w:keepLines/>
      <w:spacing w:before="260" w:after="260" w:line="413" w:lineRule="auto"/>
      <w:jc w:val="center"/>
      <w:outlineLvl w:val="1"/>
    </w:pPr>
    <w:rPr>
      <w:rFonts w:eastAsia="宋体" w:cs="Arial"/>
      <w:b/>
      <w:bCs/>
      <w:sz w:val="30"/>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0"/>
    <w:pPr>
      <w:spacing w:before="120" w:beforeLines="0" w:beforeAutospacing="0"/>
    </w:pPr>
    <w:rPr>
      <w:rFonts w:ascii="Arial" w:hAnsi="Arial"/>
      <w:sz w:val="24"/>
    </w:rPr>
  </w:style>
  <w:style w:type="paragraph" w:styleId="5">
    <w:name w:val="Body Text"/>
    <w:basedOn w:val="1"/>
    <w:next w:val="1"/>
    <w:qFormat/>
    <w:uiPriority w:val="0"/>
    <w:rPr>
      <w:rFonts w:ascii="仿宋" w:hAnsi="仿宋" w:eastAsia="仿宋" w:cs="仿宋"/>
      <w:sz w:val="30"/>
      <w:szCs w:val="3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样式2"/>
    <w:basedOn w:val="1"/>
    <w:next w:val="1"/>
    <w:qFormat/>
    <w:uiPriority w:val="0"/>
    <w:pPr>
      <w:keepNext/>
      <w:spacing w:line="360" w:lineRule="auto"/>
      <w:outlineLvl w:val="0"/>
    </w:pPr>
    <w:rPr>
      <w:rFonts w:hint="eastAsia" w:ascii="Arial" w:hAnsi="Arial" w:eastAsia="宋体" w:cs="Arial"/>
      <w:b/>
      <w:color w:val="000000"/>
      <w:sz w:val="30"/>
      <w:szCs w:val="36"/>
    </w:rPr>
  </w:style>
  <w:style w:type="character" w:customStyle="1" w:styleId="10">
    <w:name w:val="标题 1 字符"/>
    <w:link w:val="2"/>
    <w:qFormat/>
    <w:uiPriority w:val="0"/>
    <w:rPr>
      <w:rFonts w:ascii="Times New Roman" w:hAnsi="Times New Roman" w:eastAsia="宋体" w:cs="Arial"/>
      <w:b/>
      <w:color w:val="000000"/>
      <w:kern w:val="2"/>
      <w:sz w:val="32"/>
      <w:lang w:eastAsia="en-US" w:bidi="en-US"/>
    </w:rPr>
  </w:style>
  <w:style w:type="character" w:customStyle="1" w:styleId="11">
    <w:name w:val="标题 2 字符"/>
    <w:link w:val="3"/>
    <w:qFormat/>
    <w:uiPriority w:val="9"/>
    <w:rPr>
      <w:rFonts w:eastAsia="宋体" w:cs="Arial"/>
      <w:b/>
      <w:bCs/>
      <w:kern w:val="2"/>
      <w:sz w:val="30"/>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2026-08-05T09:19:00Z</dcterms:created>
  <dc:creator>admin</dc:creator>
  <cp:lastModifiedBy>admin</cp:lastModifiedBy>
  <dcterms:modified xsi:type="dcterms:W3CDTF">2026-08-05T09:20:14Z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A04CE41FCDF14D60B4761D87892143F0_11</vt:lpwstr>
  </property>
  <property fmtid="{D5CDD505-2E9C-101B-9397-08002B2CF9AE}" pid="4" name="KSOTemplateDocerSaveRecord">
    <vt:lpwstr>eyJoZGlkIjoiMmQ2MTY4OWI2ZDRjMzRlMGYzNGJmZDc2NjhiNGFjNzQiLCJ1c2VySWQiOiI1ODA1NTcwODMifQ==</vt:lpwstr>
  </property>
</Properties>
</file>