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445301-2026-01109</w:t>
      </w:r>
    </w:p>
    <w:p>
      <w:pPr>
        <w:pStyle w:val="null3"/>
        <w:jc w:val="center"/>
        <w:outlineLvl w:val="3"/>
      </w:pPr>
      <w:r>
        <w:rPr>
          <w:sz w:val="24"/>
          <w:b/>
        </w:rPr>
        <w:t>采购项目编号：</w:t>
      </w:r>
      <w:r>
        <w:rPr>
          <w:sz w:val="24"/>
          <w:b/>
        </w:rPr>
        <w:t>yftyzb2026-0019</w:t>
      </w:r>
    </w:p>
    <w:p>
      <w:pPr>
        <w:pStyle w:val="null3"/>
        <w:jc w:val="center"/>
        <w:outlineLvl w:val="3"/>
      </w:pPr>
      <w:r>
        <w:rPr>
          <w:sz w:val="24"/>
          <w:b/>
        </w:rPr>
        <w:t>项目名称：</w:t>
      </w:r>
      <w:r>
        <w:rPr>
          <w:sz w:val="24"/>
          <w:b/>
        </w:rPr>
        <w:t>云浮市市属国有林场2026年中央财政林草有害生物防治项目(二次)</w:t>
      </w:r>
    </w:p>
    <w:p>
      <w:pPr>
        <w:pStyle w:val="null3"/>
        <w:jc w:val="center"/>
        <w:outlineLvl w:val="3"/>
      </w:pPr>
      <w:r>
        <w:rPr>
          <w:sz w:val="24"/>
          <w:b/>
        </w:rPr>
        <w:t>采购人：</w:t>
      </w:r>
      <w:r>
        <w:rPr>
          <w:sz w:val="24"/>
          <w:b/>
        </w:rPr>
        <w:t>云浮市国有林场和森林公园管理总站</w:t>
      </w:r>
    </w:p>
    <w:p>
      <w:pPr>
        <w:pStyle w:val="null3"/>
        <w:jc w:val="center"/>
        <w:outlineLvl w:val="3"/>
      </w:pPr>
      <w:r>
        <w:rPr>
          <w:sz w:val="24"/>
          <w:b/>
        </w:rPr>
        <w:t>采购代理机构：</w:t>
      </w:r>
      <w:r>
        <w:rPr>
          <w:sz w:val="24"/>
          <w:b/>
        </w:rPr>
        <w:t>云浮市泰宇招标采购有限公司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云浮市泰宇招标采购有限公司</w:t>
      </w:r>
      <w:r>
        <w:rPr/>
        <w:t>受</w:t>
      </w:r>
      <w:r>
        <w:rPr/>
        <w:t>云浮市国有林场和森林公园管理总站</w:t>
      </w:r>
      <w:r>
        <w:rPr/>
        <w:t>的委托，采用</w:t>
      </w:r>
      <w:r>
        <w:rPr/>
        <w:t>竞争性磋商</w:t>
      </w:r>
      <w:r>
        <w:rPr/>
        <w:t>方式组织采购</w:t>
      </w:r>
      <w:r>
        <w:rPr/>
        <w:t>云浮市市属国有林场2026年中央财政林草有害生物防治项目(二次)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云浮市市属国有林场2026年中央财政林草有害生物防治项目(二次)</w:t>
      </w:r>
    </w:p>
    <w:p>
      <w:pPr>
        <w:pStyle w:val="null3"/>
        <w:ind w:firstLine="480"/>
      </w:pPr>
      <w:r>
        <w:rPr/>
        <w:t>采购计划编号：</w:t>
      </w:r>
      <w:r>
        <w:rPr/>
        <w:t>445301-2026-01109</w:t>
      </w:r>
    </w:p>
    <w:p>
      <w:pPr>
        <w:pStyle w:val="null3"/>
        <w:ind w:firstLine="480"/>
      </w:pPr>
      <w:r>
        <w:rPr/>
        <w:t>采购项目编号：</w:t>
      </w:r>
      <w:r>
        <w:rPr/>
        <w:t>yftyzb2026-0019</w:t>
      </w:r>
    </w:p>
    <w:p>
      <w:pPr>
        <w:pStyle w:val="null3"/>
        <w:ind w:firstLine="480"/>
      </w:pPr>
      <w:r>
        <w:rPr/>
        <w:t>采购方式：</w:t>
      </w:r>
      <w:r>
        <w:rPr/>
        <w:t>竞争性磋商</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采购包1(云浮市市属国有林场2026年中央财政林草有害生物防治项目(二次)):</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云浮市市属国有林场2026年中央财政林草有害生物防治项目(二次)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合同履行期限：自合同签订之日起至2027年5月15日前全面完成。实际项目建设时间，以中标后签合同规定的时间为准。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2）有依法缴纳税收和社会保障资金的良好记录：（需提供承诺函或声明函，格式自拟）</w:t>
      </w:r>
    </w:p>
    <w:p>
      <w:pPr>
        <w:pStyle w:val="null3"/>
      </w:pPr>
      <w:r>
        <w:rPr/>
        <w:t>3）具有良好的商业信誉和健全的财务会计制度：（需提供承诺函或声明函，格式自拟）</w:t>
      </w:r>
    </w:p>
    <w:p>
      <w:pPr>
        <w:pStyle w:val="null3"/>
      </w:pPr>
      <w:r>
        <w:rPr/>
        <w:t>4）履行合同所必需的设备和专业技术能力：（需提供承诺函或声明函，格式自拟）</w:t>
      </w:r>
    </w:p>
    <w:p>
      <w:pPr>
        <w:pStyle w:val="null3"/>
      </w:pPr>
      <w:r>
        <w:rPr/>
        <w:t>5）参加采购活动前3年内，在经营活动中没有重大违法记录：（需提供承诺函或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采购包1（云浮市市属国有林场2026年中央财政林草有害生物防治项目(二次)）：</w:t>
      </w:r>
      <w:r>
        <w:rPr/>
        <w:t>本项目属于专门面向中小企业采购的项目。（提供中小企业声明函）；本项目采购标的对应的中小企业划分标准所属行业：“农、林、牧、渔业”。</w:t>
      </w:r>
    </w:p>
    <w:p>
      <w:pPr>
        <w:pStyle w:val="null3"/>
        <w:outlineLvl w:val="3"/>
      </w:pPr>
      <w:r>
        <w:rPr>
          <w:sz w:val="24"/>
          <w:b/>
        </w:rPr>
        <w:t>3.本项目特定的资格要求：</w:t>
      </w:r>
    </w:p>
    <w:p>
      <w:pPr>
        <w:pStyle w:val="null3"/>
      </w:pPr>
      <w:r>
        <w:rPr/>
        <w:t>采购包1（云浮市市属国有林场2026年中央财政林草有害生物防治项目(二次)）：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3)供应商需具有有效期内的林业有害生物防治组织丙级（或以上）资质证书。（需提供证书复印件并加盖公章）。</w:t>
      </w:r>
    </w:p>
    <w:p>
      <w:pPr>
        <w:pStyle w:val="null3"/>
      </w:pPr>
      <w:r>
        <w:rPr/>
        <w:t>4)本项目不接受联合体投标，不允许对项目转包、分包。（需提供承诺函或声明函，格式自拟）。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云浮市国有林场和森林公园管理总站</w:t>
      </w:r>
    </w:p>
    <w:p>
      <w:pPr>
        <w:pStyle w:val="null3"/>
        <w:ind w:firstLine="480"/>
      </w:pPr>
      <w:r>
        <w:rPr/>
        <w:t>地址：</w:t>
      </w:r>
      <w:r>
        <w:rPr/>
        <w:t>云浮市云城区锦绣路26号</w:t>
      </w:r>
    </w:p>
    <w:p>
      <w:pPr>
        <w:pStyle w:val="null3"/>
        <w:ind w:firstLine="480"/>
      </w:pPr>
      <w:r>
        <w:rPr/>
        <w:t>联系方式：</w:t>
      </w:r>
      <w:r>
        <w:rPr/>
        <w:t>0766-8869689</w:t>
      </w:r>
    </w:p>
    <w:p>
      <w:pPr>
        <w:pStyle w:val="null3"/>
        <w:outlineLvl w:val="3"/>
      </w:pPr>
      <w:r>
        <w:rPr>
          <w:sz w:val="24"/>
          <w:b/>
        </w:rPr>
        <w:t>2.采购代理机构信息</w:t>
      </w:r>
    </w:p>
    <w:p>
      <w:pPr>
        <w:pStyle w:val="null3"/>
        <w:ind w:firstLine="480"/>
      </w:pPr>
      <w:r>
        <w:rPr/>
        <w:t>名称：</w:t>
      </w:r>
      <w:r>
        <w:rPr/>
        <w:t>云浮市泰宇招标采购有限公司</w:t>
      </w:r>
    </w:p>
    <w:p>
      <w:pPr>
        <w:pStyle w:val="null3"/>
        <w:ind w:firstLine="480"/>
      </w:pPr>
      <w:r>
        <w:rPr/>
        <w:t xml:space="preserve"> 地址：</w:t>
      </w:r>
      <w:r>
        <w:rPr/>
        <w:t>广东省云浮市云城区金丰路8号8楼</w:t>
      </w:r>
    </w:p>
    <w:p>
      <w:pPr>
        <w:pStyle w:val="null3"/>
        <w:ind w:firstLine="480"/>
      </w:pPr>
      <w:r>
        <w:rPr/>
        <w:t xml:space="preserve"> 联系方式：</w:t>
      </w:r>
      <w:r>
        <w:rPr/>
        <w:t>0766-8861989</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0766-8861989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云浮市泰宇招标采购有限公司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云浮市市属国有林场2026年中央财政林草有害生物防治项目(二次)</w:t>
      </w:r>
    </w:p>
    <w:p>
      <w:pPr>
        <w:pStyle w:val="null3"/>
        <w:ind w:firstLine="420"/>
        <w:jc w:val="both"/>
      </w:pPr>
      <w:r>
        <w:rPr>
          <w:sz w:val="21"/>
        </w:rPr>
        <w:t>2、项目地点：</w:t>
      </w:r>
      <w:r>
        <w:rPr>
          <w:sz w:val="21"/>
        </w:rPr>
        <w:t>市属国有林场和南山森林公园</w:t>
      </w:r>
    </w:p>
    <w:p>
      <w:pPr>
        <w:pStyle w:val="null3"/>
        <w:ind w:firstLine="420"/>
        <w:jc w:val="both"/>
      </w:pPr>
      <w:r>
        <w:rPr>
          <w:sz w:val="21"/>
        </w:rPr>
        <w:t>3、服务内容：监测区全松林监测60007亩次、选择清除干枯松370株，全面清除疑似松材线虫小班</w:t>
      </w:r>
      <w:r>
        <w:rPr>
          <w:sz w:val="21"/>
        </w:rPr>
        <w:t>167</w:t>
      </w:r>
      <w:r>
        <w:rPr>
          <w:sz w:val="21"/>
        </w:rPr>
        <w:t>亩</w:t>
      </w:r>
      <w:r>
        <w:rPr>
          <w:sz w:val="21"/>
        </w:rPr>
        <w:t>，</w:t>
      </w:r>
      <w:r>
        <w:rPr>
          <w:sz w:val="21"/>
        </w:rPr>
        <w:t>大径级松树打孔注药</w:t>
      </w:r>
      <w:r>
        <w:rPr>
          <w:sz w:val="21"/>
        </w:rPr>
        <w:t>100株，薇甘菊防治5400亩。</w:t>
      </w:r>
    </w:p>
    <w:p>
      <w:pPr>
        <w:pStyle w:val="null3"/>
      </w:pPr>
      <w:r>
        <w:rPr>
          <w:sz w:val="21"/>
        </w:rPr>
        <w:t xml:space="preserve">      4、服务期限：</w:t>
      </w:r>
      <w:r>
        <w:rPr>
          <w:sz w:val="21"/>
        </w:rPr>
        <w:t>自合同签订之日起至</w:t>
      </w:r>
      <w:r>
        <w:rPr>
          <w:sz w:val="21"/>
        </w:rPr>
        <w:t>2027</w:t>
      </w:r>
      <w:r>
        <w:rPr>
          <w:sz w:val="21"/>
        </w:rPr>
        <w:t>年</w:t>
      </w:r>
      <w:r>
        <w:rPr>
          <w:sz w:val="21"/>
        </w:rPr>
        <w:t>5</w:t>
      </w:r>
      <w:r>
        <w:rPr>
          <w:sz w:val="21"/>
        </w:rPr>
        <w:t>月</w:t>
      </w:r>
      <w:r>
        <w:rPr>
          <w:sz w:val="21"/>
        </w:rPr>
        <w:t>15</w:t>
      </w:r>
      <w:r>
        <w:rPr>
          <w:sz w:val="21"/>
        </w:rPr>
        <w:t>日前</w:t>
      </w:r>
      <w:r>
        <w:rPr>
          <w:sz w:val="21"/>
        </w:rPr>
        <w:t>期间全面完成。实际项目建设时间，以中标</w:t>
      </w:r>
      <w:r>
        <w:rPr>
          <w:sz w:val="21"/>
        </w:rPr>
        <w:t>后</w:t>
      </w:r>
      <w:r>
        <w:rPr>
          <w:sz w:val="21"/>
        </w:rPr>
        <w:t>签合同规定的时间为准。</w:t>
      </w:r>
    </w:p>
    <w:p>
      <w:pPr>
        <w:pStyle w:val="null3"/>
      </w:pPr>
      <w:r>
        <w:rPr/>
        <w:t>采购包1（云浮市市属国有林场2026年中央财政林草有害生物防治项目(二次)）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自合同签订之日起至2027年5月15日前全面完成。实际项目建设时间，以中标后签合同规定的时间为准。</w:t>
            </w:r>
          </w:p>
        </w:tc>
      </w:tr>
      <w:tr>
        <w:tc>
          <w:tcPr>
            <w:tcW w:type="dxa" w:w="4153"/>
          </w:tcPr>
          <w:p>
            <w:pPr>
              <w:pStyle w:val="null3"/>
            </w:pPr>
            <w:r>
              <w:rPr/>
              <w:t>标的提供的地点</w:t>
            </w:r>
          </w:p>
        </w:tc>
        <w:tc>
          <w:tcPr>
            <w:tcW w:type="dxa" w:w="4153"/>
          </w:tcPr>
          <w:p>
            <w:pPr>
              <w:pStyle w:val="null3"/>
            </w:pPr>
            <w:r>
              <w:rPr/>
              <w:t>市属国有林场和南山森林公园</w:t>
            </w:r>
          </w:p>
        </w:tc>
      </w:tr>
      <w:tr>
        <w:tc>
          <w:tcPr>
            <w:tcW w:type="dxa" w:w="4153"/>
          </w:tcPr>
          <w:p>
            <w:pPr>
              <w:pStyle w:val="null3"/>
            </w:pPr>
            <w:r>
              <w:rPr/>
              <w:t>付款方式</w:t>
            </w:r>
          </w:p>
        </w:tc>
        <w:tc>
          <w:tcPr>
            <w:tcW w:type="dxa" w:w="4153"/>
          </w:tcPr>
          <w:p>
            <w:pPr>
              <w:pStyle w:val="null3"/>
            </w:pPr>
            <w:r>
              <w:rPr/>
              <w:t>1期：支付比例100%,1.自签订施工合同后5个工作日内，成交供应商可向采购人书面申请支付项目合同价总额的30%作为项目预付款。 2.完成项目工程量的80%，由成交供应商出具施工进度报告，经采购人审核同意后，成交供应商凭进度报告可向采购人书面申请支付项目合同价总额50%作为项目进度款。 3.项目完工后，由成交供应商出具竣工报告，采购人出具自查验收报告，成交供应商凭竣工报告和自查验收报告可向采购人书面申请支付尾款项目合同价总额20%。 4.成交供应商向采购人提出支付申请，经采购人审核同意后向财政局提出申请支付，采购人向市财政局提出支付申请视为履约，实际支出时间以财政局支付时间为准。 5.若采购人延迟支付中标人合同款项的，应当支付逾期利息，约定利率不得低于合同订立时1年期贷款市场报价利率。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1期：验收依据包括批复的作业设计、防治合同等文件要求。 验收合格要求：所有资料齐全，内容填写真实、规范。对于未达到验收标准的要求进行整改，整改达标后再次进行验收，直到合格。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账号：44661601040000759</w:t>
            </w:r>
          </w:p>
          <w:p>
            <w:pPr>
              <w:pStyle w:val="null3"/>
            </w:pPr>
            <w:r>
              <w:rPr/>
              <w:t>户名：云浮市国有林场和森林公园管理总站</w:t>
            </w:r>
          </w:p>
          <w:p>
            <w:pPr>
              <w:pStyle w:val="null3"/>
            </w:pPr>
            <w:r>
              <w:rPr/>
              <w:t>开户行：农行云浮城区支行</w:t>
            </w:r>
          </w:p>
          <w:p>
            <w:pPr>
              <w:pStyle w:val="null3"/>
            </w:pPr>
            <w:r>
              <w:rPr/>
              <w:t>支票提交方式：现场提交</w:t>
            </w:r>
          </w:p>
          <w:p>
            <w:pPr>
              <w:pStyle w:val="null3"/>
            </w:pPr>
            <w:r>
              <w:rPr/>
              <w:t>汇票、本票提交方式：现场提交</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其他，1、报价要求，本项目的报价须以人民币元为单位，所报的价格不得高于项目预算总价，投标人的报价应包括服务、人工、管理、材料、运输、税费及合同实施过程中一切不可预见的费用等。 2、人员保障（1）中标人必须按采购人的招标需求和投标文件承诺，配置足额的项目管理人员及现场施工人员，并将具体人员名单提交采购人备案。现场施工人员一经确定后，中标人不得随意更换或减少。如需更换岗位服务人员，中标人需提前15日与采购人沟通，经采购人同意后方可进行人员的调整或减少。项目负责人要积极与采购人沟通联系，及时解决工作中出现的问题。（2）中标人应按照《中华人民共和国劳动法》、《中华人民共和国劳动合同法》、《中华人民共和国社会保险法》等相关法律法规的规定，与项目有相关关系人员签订劳动合同，支付相关人员工资、福利、医疗、社保、工伤、奖金、加班费等一切劳务费用。（3）采购人与中标人的现场施工人员为非雇用关系。现场施工人员的相关劳务及其他费用与采购人无关。</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云浮市市属国有林场2026年中央财政林草有害生物防治项目(二次)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云浮市市属国有林场2026年中央财政林草有害生物防治项目(二次)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一、防治目标</w:t>
            </w:r>
          </w:p>
          <w:p>
            <w:pPr>
              <w:pStyle w:val="null3"/>
              <w:jc w:val="both"/>
            </w:pPr>
            <w:r>
              <w:rPr>
                <w:sz w:val="21"/>
              </w:rPr>
              <w:t>2026年市属国有林场有害生物防治目标要求，</w:t>
            </w:r>
            <w:r>
              <w:rPr>
                <w:sz w:val="21"/>
              </w:rPr>
              <w:t>该项目</w:t>
            </w:r>
            <w:r>
              <w:rPr>
                <w:sz w:val="21"/>
              </w:rPr>
              <w:t>完成</w:t>
            </w:r>
            <w:r>
              <w:rPr>
                <w:sz w:val="21"/>
              </w:rPr>
              <w:t>市属</w:t>
            </w:r>
            <w:r>
              <w:rPr>
                <w:sz w:val="21"/>
              </w:rPr>
              <w:t>国有林场和南山森林公园的监测区全松林监测</w:t>
            </w:r>
            <w:r>
              <w:rPr>
                <w:sz w:val="21"/>
              </w:rPr>
              <w:t>60007亩次、选择清除干枯松370株，全面清除疑似松材线虫小班</w:t>
            </w:r>
            <w:r>
              <w:rPr>
                <w:sz w:val="21"/>
              </w:rPr>
              <w:t>167</w:t>
            </w:r>
            <w:r>
              <w:rPr>
                <w:sz w:val="21"/>
              </w:rPr>
              <w:t>亩；打孔注药</w:t>
            </w:r>
            <w:r>
              <w:rPr>
                <w:sz w:val="21"/>
              </w:rPr>
              <w:t>100株；薇甘菊防治5400亩。</w:t>
            </w:r>
          </w:p>
        </w:tc>
      </w:tr>
      <w:tr>
        <w:tc>
          <w:tcPr>
            <w:tcW w:type="dxa" w:w="2076"/>
          </w:tcPr>
          <w:p/>
        </w:tc>
        <w:tc>
          <w:tcPr>
            <w:tcW w:type="dxa" w:w="415"/>
          </w:tcPr>
          <w:p>
            <w:pPr>
              <w:pStyle w:val="null3"/>
            </w:pPr>
            <w:r>
              <w:rPr/>
              <w:t>2</w:t>
            </w:r>
          </w:p>
        </w:tc>
        <w:tc>
          <w:tcPr>
            <w:tcW w:type="dxa" w:w="5814"/>
          </w:tcPr>
          <w:p>
            <w:pPr>
              <w:pStyle w:val="null3"/>
              <w:ind w:firstLine="422"/>
            </w:pPr>
            <w:r>
              <w:rPr>
                <w:sz w:val="21"/>
                <w:b/>
              </w:rPr>
              <w:t>二、防治任务</w:t>
            </w:r>
          </w:p>
          <w:p>
            <w:pPr>
              <w:pStyle w:val="null3"/>
              <w:ind w:firstLine="420"/>
              <w:jc w:val="both"/>
            </w:pPr>
            <w:r>
              <w:rPr>
                <w:sz w:val="21"/>
              </w:rPr>
              <w:t>市属国有林场和南山公园</w:t>
            </w:r>
            <w:r>
              <w:rPr>
                <w:sz w:val="21"/>
              </w:rPr>
              <w:t>监测区全松林监测</w:t>
            </w:r>
            <w:r>
              <w:rPr>
                <w:sz w:val="21"/>
              </w:rPr>
              <w:t>60007亩次；南山森林公园选择清除干枯松120株，同乐林场选择清除疑似松材线虫干枯松250株，合计选择清除干枯松370株；同乐林场全面清除疑似松材线虫松林小班</w:t>
            </w:r>
            <w:r>
              <w:rPr>
                <w:sz w:val="21"/>
              </w:rPr>
              <w:t>167</w:t>
            </w:r>
            <w:r>
              <w:rPr>
                <w:sz w:val="21"/>
              </w:rPr>
              <w:t>亩；南山森林公园大径级松树打孔注药</w:t>
            </w:r>
            <w:r>
              <w:rPr>
                <w:sz w:val="21"/>
              </w:rPr>
              <w:t>100株；薇甘菊化学防治5400亩。</w:t>
            </w:r>
          </w:p>
          <w:p>
            <w:pPr>
              <w:pStyle w:val="null3"/>
              <w:ind w:firstLine="390"/>
              <w:jc w:val="both"/>
            </w:pPr>
            <w:r>
              <w:rPr>
                <w:sz w:val="21"/>
                <w:b/>
              </w:rPr>
              <w:t>1、做好疫情日常监测</w:t>
            </w:r>
          </w:p>
          <w:p>
            <w:pPr>
              <w:pStyle w:val="null3"/>
              <w:ind w:firstLine="420"/>
              <w:jc w:val="both"/>
            </w:pPr>
            <w:r>
              <w:rPr>
                <w:sz w:val="21"/>
              </w:rPr>
              <w:t>全面掌握松材线虫病发生分布情况，将发生面积具体落实到地籍小班，提出防治区域及防治面积，为开展科学除治工作提供保障。同时，密切留意林区周边及其它乡镇的松林疫情，严密监测林区的松林疫情，采用人工地面巡查结合无人机航拍的方法，一年</w:t>
            </w:r>
            <w:r>
              <w:rPr>
                <w:sz w:val="21"/>
              </w:rPr>
              <w:t>4次，每个季度1次，其中3次为日常监测，1次为秋季专普，并定期报告疫情发生情况，监测区全松林监测面积60007亩次。同时，密切监测薇甘菊发生情况。</w:t>
            </w:r>
          </w:p>
          <w:p>
            <w:pPr>
              <w:pStyle w:val="null3"/>
              <w:ind w:firstLine="386"/>
              <w:jc w:val="both"/>
            </w:pPr>
            <w:r>
              <w:rPr>
                <w:sz w:val="21"/>
                <w:b/>
              </w:rPr>
              <w:t>2、选择清除</w:t>
            </w:r>
          </w:p>
          <w:p>
            <w:pPr>
              <w:pStyle w:val="null3"/>
              <w:ind w:firstLine="420"/>
              <w:jc w:val="both"/>
            </w:pPr>
            <w:r>
              <w:rPr>
                <w:sz w:val="21"/>
              </w:rPr>
              <w:t>对南山森林公园的枯死松树和同乐林场的枯死松树、有感染疫情风险的松树进行选择清除。南山森林公园选择清除干枯松</w:t>
            </w:r>
            <w:r>
              <w:rPr>
                <w:sz w:val="21"/>
              </w:rPr>
              <w:t>120株，同乐林场选择清除疑似松材病虫干枯松250株，合计选择清除370株，具体选择清除小班可结合实际进行调整。</w:t>
            </w:r>
          </w:p>
          <w:p>
            <w:pPr>
              <w:pStyle w:val="null3"/>
              <w:ind w:firstLine="386"/>
              <w:jc w:val="both"/>
            </w:pPr>
            <w:r>
              <w:rPr>
                <w:sz w:val="21"/>
                <w:b/>
              </w:rPr>
              <w:t>3、全面清除</w:t>
            </w:r>
          </w:p>
          <w:p>
            <w:pPr>
              <w:pStyle w:val="null3"/>
              <w:ind w:firstLine="420"/>
              <w:jc w:val="both"/>
            </w:pPr>
            <w:r>
              <w:rPr>
                <w:sz w:val="21"/>
              </w:rPr>
              <w:t>对同乐林场枯死松树和有松材线虫病感染疫情风险的松树小班进行全面清除，清除面积</w:t>
            </w:r>
            <w:r>
              <w:rPr>
                <w:sz w:val="21"/>
              </w:rPr>
              <w:t>167</w:t>
            </w:r>
            <w:r>
              <w:rPr>
                <w:sz w:val="21"/>
              </w:rPr>
              <w:t>亩。</w:t>
            </w:r>
          </w:p>
          <w:p>
            <w:pPr>
              <w:pStyle w:val="null3"/>
              <w:ind w:firstLine="386"/>
              <w:jc w:val="both"/>
            </w:pPr>
            <w:r>
              <w:rPr>
                <w:sz w:val="21"/>
                <w:b/>
              </w:rPr>
              <w:t>4、打孔注药</w:t>
            </w:r>
          </w:p>
          <w:p>
            <w:pPr>
              <w:pStyle w:val="null3"/>
              <w:ind w:firstLine="420"/>
              <w:jc w:val="both"/>
            </w:pPr>
            <w:r>
              <w:rPr>
                <w:sz w:val="21"/>
              </w:rPr>
              <w:t>对南山森林公园内需要重点保护</w:t>
            </w:r>
            <w:r>
              <w:rPr>
                <w:sz w:val="21"/>
              </w:rPr>
              <w:t>100株的胸径30厘米以上大径级松树进行打孔、注药，作为主动预防措施，保护具有高价值景观的大径级松树。</w:t>
            </w:r>
          </w:p>
          <w:p>
            <w:pPr>
              <w:pStyle w:val="null3"/>
              <w:ind w:firstLine="390"/>
              <w:jc w:val="both"/>
            </w:pPr>
            <w:r>
              <w:rPr>
                <w:sz w:val="21"/>
                <w:b/>
              </w:rPr>
              <w:t>5、薇甘菊防治</w:t>
            </w:r>
          </w:p>
          <w:p>
            <w:pPr>
              <w:pStyle w:val="null3"/>
              <w:ind w:firstLine="420"/>
              <w:jc w:val="both"/>
            </w:pPr>
            <w:r>
              <w:rPr>
                <w:sz w:val="21"/>
              </w:rPr>
              <w:t>薇甘菊化学防治面积</w:t>
            </w:r>
            <w:r>
              <w:rPr>
                <w:sz w:val="21"/>
              </w:rPr>
              <w:t>5400亩（其中：大云雾林场1919亩、龙埇林场1890亩、同乐林场110亩、水台林场1231亩、南山森林公园250亩）。</w:t>
            </w:r>
          </w:p>
          <w:p>
            <w:pPr>
              <w:pStyle w:val="null3"/>
              <w:ind w:firstLine="420"/>
              <w:jc w:val="both"/>
            </w:pPr>
            <w:r>
              <w:rPr>
                <w:sz w:val="21"/>
              </w:rPr>
              <w:t>（</w:t>
            </w:r>
            <w:r>
              <w:rPr>
                <w:sz w:val="21"/>
              </w:rPr>
              <w:t>1）化学防治方案</w:t>
            </w:r>
          </w:p>
          <w:p>
            <w:pPr>
              <w:pStyle w:val="null3"/>
              <w:ind w:firstLine="420"/>
              <w:jc w:val="both"/>
            </w:pPr>
            <w:r>
              <w:rPr>
                <w:sz w:val="21"/>
              </w:rPr>
              <w:t>药剂：薇甘菊专用化学药剂；</w:t>
            </w:r>
          </w:p>
          <w:p>
            <w:pPr>
              <w:pStyle w:val="null3"/>
              <w:ind w:firstLine="420"/>
              <w:jc w:val="both"/>
            </w:pPr>
            <w:r>
              <w:rPr>
                <w:sz w:val="21"/>
              </w:rPr>
              <w:t>用量：按药剂使用说明比例兑水稀释；</w:t>
            </w:r>
          </w:p>
          <w:p>
            <w:pPr>
              <w:pStyle w:val="null3"/>
              <w:ind w:firstLine="420"/>
              <w:jc w:val="both"/>
            </w:pPr>
            <w:r>
              <w:rPr>
                <w:sz w:val="21"/>
              </w:rPr>
              <w:t>施药方式：定向均匀喷雾，喷至茎叶湿透、不滴水；</w:t>
            </w:r>
          </w:p>
          <w:p>
            <w:pPr>
              <w:pStyle w:val="null3"/>
              <w:ind w:firstLine="420"/>
              <w:jc w:val="both"/>
            </w:pPr>
            <w:r>
              <w:rPr>
                <w:sz w:val="21"/>
              </w:rPr>
              <w:t>施药时期：</w:t>
            </w:r>
            <w:r>
              <w:rPr>
                <w:sz w:val="21"/>
              </w:rPr>
              <w:t>5—11月（生长旺盛期、未结籽前）；</w:t>
            </w:r>
          </w:p>
          <w:p>
            <w:pPr>
              <w:pStyle w:val="null3"/>
              <w:ind w:firstLine="420"/>
              <w:jc w:val="both"/>
            </w:pPr>
            <w:r>
              <w:rPr>
                <w:sz w:val="21"/>
              </w:rPr>
              <w:t>天气要求：无风</w:t>
            </w:r>
            <w:r>
              <w:rPr>
                <w:sz w:val="21"/>
              </w:rPr>
              <w:t>/微风、无雨，避开正午高温；如喷后4—6小时遇雨须补喷；</w:t>
            </w:r>
          </w:p>
          <w:p>
            <w:pPr>
              <w:pStyle w:val="null3"/>
              <w:ind w:firstLine="420"/>
              <w:jc w:val="both"/>
            </w:pPr>
            <w:r>
              <w:rPr>
                <w:sz w:val="21"/>
              </w:rPr>
              <w:t>质量标准：按要求完成</w:t>
            </w:r>
            <w:r>
              <w:rPr>
                <w:sz w:val="21"/>
              </w:rPr>
              <w:t>5400亩化学防治任务。</w:t>
            </w:r>
          </w:p>
          <w:p>
            <w:pPr>
              <w:pStyle w:val="null3"/>
              <w:ind w:firstLine="420"/>
              <w:jc w:val="both"/>
            </w:pPr>
            <w:r>
              <w:rPr>
                <w:sz w:val="21"/>
              </w:rPr>
              <w:t>（</w:t>
            </w:r>
            <w:r>
              <w:rPr>
                <w:sz w:val="21"/>
              </w:rPr>
              <w:t>2）质保与二次防治</w:t>
            </w:r>
          </w:p>
          <w:p>
            <w:pPr>
              <w:pStyle w:val="null3"/>
              <w:ind w:firstLine="420"/>
              <w:jc w:val="both"/>
            </w:pPr>
            <w:r>
              <w:rPr>
                <w:sz w:val="21"/>
              </w:rPr>
              <w:t>质保期：自验收合格之日起</w:t>
            </w:r>
            <w:r>
              <w:rPr>
                <w:sz w:val="21"/>
              </w:rPr>
              <w:t>6个月。</w:t>
            </w:r>
          </w:p>
          <w:p>
            <w:pPr>
              <w:pStyle w:val="null3"/>
            </w:pPr>
            <w:r>
              <w:rPr>
                <w:sz w:val="21"/>
              </w:rPr>
              <w:t>检查时间：防治后</w:t>
            </w:r>
            <w:r>
              <w:rPr>
                <w:sz w:val="21"/>
              </w:rPr>
              <w:t>30天、90天、质保期满前15天进行二次防治；首次验收未达标，15天内无偿补防，直至合格。</w:t>
            </w:r>
          </w:p>
        </w:tc>
      </w:tr>
      <w:tr>
        <w:tc>
          <w:tcPr>
            <w:tcW w:type="dxa" w:w="2076"/>
          </w:tcPr>
          <w:p/>
        </w:tc>
        <w:tc>
          <w:tcPr>
            <w:tcW w:type="dxa" w:w="415"/>
          </w:tcPr>
          <w:p>
            <w:pPr>
              <w:pStyle w:val="null3"/>
            </w:pPr>
            <w:r>
              <w:rPr/>
              <w:t>3</w:t>
            </w:r>
          </w:p>
        </w:tc>
        <w:tc>
          <w:tcPr>
            <w:tcW w:type="dxa" w:w="5814"/>
          </w:tcPr>
          <w:p>
            <w:pPr>
              <w:pStyle w:val="null3"/>
              <w:ind w:firstLine="422"/>
            </w:pPr>
            <w:r>
              <w:rPr>
                <w:sz w:val="21"/>
                <w:b/>
              </w:rPr>
              <w:t>三</w:t>
            </w:r>
            <w:r>
              <w:rPr>
                <w:sz w:val="21"/>
                <w:b/>
              </w:rPr>
              <w:t>、防治</w:t>
            </w:r>
            <w:r>
              <w:rPr>
                <w:sz w:val="21"/>
                <w:b/>
              </w:rPr>
              <w:t>具体地点分布</w:t>
            </w:r>
          </w:p>
          <w:p>
            <w:pPr>
              <w:pStyle w:val="null3"/>
              <w:ind w:firstLine="394"/>
              <w:jc w:val="both"/>
            </w:pPr>
            <w:r>
              <w:rPr>
                <w:sz w:val="21"/>
                <w:b/>
              </w:rPr>
              <w:t>1、监测区全松林监测</w:t>
            </w:r>
          </w:p>
          <w:p>
            <w:pPr>
              <w:pStyle w:val="null3"/>
              <w:ind w:firstLine="420"/>
              <w:jc w:val="both"/>
            </w:pPr>
            <w:r>
              <w:rPr>
                <w:sz w:val="21"/>
              </w:rPr>
              <w:t>监测面积</w:t>
            </w:r>
            <w:r>
              <w:rPr>
                <w:sz w:val="21"/>
              </w:rPr>
              <w:t>60007亩次，监测地点位于市属国有大云雾林场、龙埇林场、飞马林场、同乐林场、水台林场、南山森林公园。监测区全松林监测地点分布见下表1。</w:t>
            </w:r>
          </w:p>
          <w:p>
            <w:pPr>
              <w:pStyle w:val="null3"/>
              <w:ind w:firstLine="420"/>
              <w:jc w:val="both"/>
            </w:pPr>
            <w:r>
              <w:rPr>
                <w:sz w:val="21"/>
              </w:rPr>
              <w:t>表</w:t>
            </w:r>
            <w:r>
              <w:rPr>
                <w:sz w:val="21"/>
              </w:rPr>
              <w:t>1监测区全松林监测地点分布表</w:t>
            </w:r>
          </w:p>
          <w:tbl>
            <w:tblPr>
              <w:tblInd w:type="dxa" w:w="120"/>
              <w:tblBorders>
                <w:top w:val="none" w:color="000000" w:sz="4"/>
                <w:left w:val="none" w:color="000000" w:sz="4"/>
                <w:bottom w:val="none" w:color="000000" w:sz="4"/>
                <w:right w:val="none" w:color="000000" w:sz="4"/>
                <w:insideH w:val="none"/>
                <w:insideV w:val="none"/>
              </w:tblBorders>
            </w:tblPr>
            <w:tblGrid>
              <w:gridCol w:w="1290"/>
              <w:gridCol w:w="1545"/>
              <w:gridCol w:w="2580"/>
            </w:tblGrid>
            <w:tr>
              <w:tc>
                <w:tcPr>
                  <w:tcW w:type="dxa" w:w="1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4"/>
                    <w:jc w:val="center"/>
                  </w:pPr>
                  <w:r>
                    <w:rPr>
                      <w:sz w:val="21"/>
                      <w:b/>
                    </w:rPr>
                    <w:t>序号</w:t>
                  </w:r>
                </w:p>
              </w:tc>
              <w:tc>
                <w:tcPr>
                  <w:tcW w:type="dxa" w:w="15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jc w:val="center"/>
                  </w:pPr>
                  <w:r>
                    <w:rPr>
                      <w:sz w:val="21"/>
                      <w:b/>
                    </w:rPr>
                    <w:t>林场</w:t>
                  </w:r>
                </w:p>
              </w:tc>
              <w:tc>
                <w:tcPr>
                  <w:tcW w:type="dxa" w:w="25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0"/>
                    <w:jc w:val="center"/>
                  </w:pPr>
                  <w:r>
                    <w:rPr>
                      <w:sz w:val="21"/>
                      <w:b/>
                    </w:rPr>
                    <w:t>监测区全松林监测（亩）</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1</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大云雾林场</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6"/>
                    <w:jc w:val="center"/>
                  </w:pPr>
                  <w:r>
                    <w:rPr>
                      <w:sz w:val="21"/>
                    </w:rPr>
                    <w:t>11297</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2</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龙埇林场</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sz w:val="21"/>
                    </w:rPr>
                    <w:t>20636</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3</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飞马林场</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6"/>
                    <w:jc w:val="center"/>
                  </w:pPr>
                  <w:r>
                    <w:rPr>
                      <w:sz w:val="21"/>
                    </w:rPr>
                    <w:t>14793</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4</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同乐林场</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4"/>
                    <w:jc w:val="center"/>
                  </w:pPr>
                  <w:r>
                    <w:rPr>
                      <w:sz w:val="21"/>
                    </w:rPr>
                    <w:t>5435</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5</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水台林场</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8"/>
                    <w:jc w:val="center"/>
                  </w:pPr>
                  <w:r>
                    <w:rPr>
                      <w:sz w:val="21"/>
                    </w:rPr>
                    <w:t>6047</w:t>
                  </w:r>
                </w:p>
              </w:tc>
            </w:tr>
            <w:tr>
              <w:tc>
                <w:tcPr>
                  <w:tcW w:type="dxa" w:w="1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6</w:t>
                  </w:r>
                </w:p>
              </w:tc>
              <w:tc>
                <w:tcPr>
                  <w:tcW w:type="dxa" w:w="15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南山森林公园</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2"/>
                    <w:jc w:val="center"/>
                  </w:pPr>
                  <w:r>
                    <w:rPr>
                      <w:sz w:val="21"/>
                    </w:rPr>
                    <w:t>1799</w:t>
                  </w:r>
                </w:p>
              </w:tc>
            </w:tr>
            <w:tr>
              <w:tc>
                <w:tcPr>
                  <w:tcW w:type="dxa" w:w="283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jc w:val="center"/>
                  </w:pPr>
                  <w:r>
                    <w:rPr>
                      <w:sz w:val="21"/>
                      <w:b/>
                    </w:rPr>
                    <w:t>合计</w:t>
                  </w:r>
                </w:p>
              </w:tc>
              <w:tc>
                <w:tcPr>
                  <w:tcW w:type="dxa" w:w="2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6"/>
                    <w:jc w:val="center"/>
                  </w:pPr>
                  <w:r>
                    <w:rPr>
                      <w:sz w:val="21"/>
                      <w:b/>
                    </w:rPr>
                    <w:t>60007</w:t>
                  </w:r>
                </w:p>
              </w:tc>
            </w:tr>
          </w:tbl>
          <w:p>
            <w:pPr>
              <w:pStyle w:val="null3"/>
              <w:ind w:firstLine="394"/>
              <w:jc w:val="both"/>
            </w:pPr>
            <w:r>
              <w:rPr>
                <w:sz w:val="21"/>
                <w:b/>
              </w:rPr>
              <w:t>2、选择清除</w:t>
            </w:r>
          </w:p>
          <w:p>
            <w:pPr>
              <w:pStyle w:val="null3"/>
              <w:ind w:firstLine="420"/>
              <w:jc w:val="both"/>
            </w:pPr>
            <w:r>
              <w:rPr>
                <w:sz w:val="21"/>
              </w:rPr>
              <w:t>本次松材线虫病防治主要通过清理枯死松树，清除疫源隐患。对南山森林公园的枯死松树和同乐林场的枯死松树、有感染疫情风险的松树进行选择清除，共计</w:t>
            </w:r>
            <w:r>
              <w:rPr>
                <w:sz w:val="21"/>
              </w:rPr>
              <w:t>370株。选择清除地点分布见下表2。</w:t>
            </w:r>
          </w:p>
          <w:p>
            <w:pPr>
              <w:pStyle w:val="null3"/>
              <w:ind w:firstLine="420"/>
              <w:jc w:val="both"/>
            </w:pPr>
            <w:r>
              <w:rPr>
                <w:sz w:val="21"/>
              </w:rPr>
              <w:t>表</w:t>
            </w:r>
            <w:r>
              <w:rPr>
                <w:sz w:val="21"/>
              </w:rPr>
              <w:t>2选择清除地点分布表</w:t>
            </w:r>
          </w:p>
          <w:tbl>
            <w:tblPr>
              <w:tblInd w:type="dxa" w:w="105"/>
              <w:tblBorders>
                <w:top w:val="none" w:color="000000" w:sz="4"/>
                <w:left w:val="none" w:color="000000" w:sz="4"/>
                <w:bottom w:val="none" w:color="000000" w:sz="4"/>
                <w:right w:val="none" w:color="000000" w:sz="4"/>
                <w:insideH w:val="none"/>
                <w:insideV w:val="none"/>
              </w:tblBorders>
            </w:tblPr>
            <w:tblGrid>
              <w:gridCol w:w="1335"/>
              <w:gridCol w:w="1725"/>
              <w:gridCol w:w="2490"/>
            </w:tblGrid>
            <w:tr>
              <w:tc>
                <w:tcPr>
                  <w:tcW w:type="dxa" w:w="1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4"/>
                  </w:pPr>
                  <w:r>
                    <w:rPr>
                      <w:sz w:val="21"/>
                      <w:b/>
                    </w:rPr>
                    <w:t>序号</w:t>
                  </w:r>
                </w:p>
              </w:tc>
              <w:tc>
                <w:tcPr>
                  <w:tcW w:type="dxa" w:w="17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pPr>
                  <w:r>
                    <w:rPr>
                      <w:sz w:val="21"/>
                      <w:b/>
                    </w:rPr>
                    <w:t>林场</w:t>
                  </w:r>
                </w:p>
              </w:tc>
              <w:tc>
                <w:tcPr>
                  <w:tcW w:type="dxa" w:w="2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4"/>
                  </w:pPr>
                  <w:r>
                    <w:rPr>
                      <w:sz w:val="21"/>
                      <w:b/>
                    </w:rPr>
                    <w:t>选择清除</w:t>
                  </w:r>
                  <w:r>
                    <w:rPr>
                      <w:sz w:val="21"/>
                    </w:rPr>
                    <w:t>（株）</w:t>
                  </w:r>
                </w:p>
              </w:tc>
            </w:tr>
            <w:tr>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1</w:t>
                  </w:r>
                </w:p>
              </w:tc>
              <w:tc>
                <w:tcPr>
                  <w:tcW w:type="dxa" w:w="1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8"/>
                  </w:pPr>
                  <w:r>
                    <w:rPr>
                      <w:sz w:val="21"/>
                    </w:rPr>
                    <w:t>南山森林公园</w:t>
                  </w:r>
                </w:p>
              </w:tc>
              <w:tc>
                <w:tcPr>
                  <w:tcW w:type="dxa" w:w="2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both"/>
                  </w:pPr>
                  <w:r>
                    <w:rPr>
                      <w:sz w:val="21"/>
                    </w:rPr>
                    <w:t>120</w:t>
                  </w:r>
                </w:p>
              </w:tc>
            </w:tr>
            <w:tr>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sz w:val="21"/>
                    </w:rPr>
                    <w:t>2</w:t>
                  </w:r>
                </w:p>
              </w:tc>
              <w:tc>
                <w:tcPr>
                  <w:tcW w:type="dxa" w:w="17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4"/>
                  </w:pPr>
                  <w:r>
                    <w:rPr>
                      <w:sz w:val="21"/>
                    </w:rPr>
                    <w:t>同乐林场</w:t>
                  </w:r>
                </w:p>
              </w:tc>
              <w:tc>
                <w:tcPr>
                  <w:tcW w:type="dxa" w:w="2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both"/>
                  </w:pPr>
                  <w:r>
                    <w:rPr>
                      <w:sz w:val="21"/>
                    </w:rPr>
                    <w:t>250</w:t>
                  </w:r>
                </w:p>
              </w:tc>
            </w:tr>
            <w:tr>
              <w:tc>
                <w:tcPr>
                  <w:tcW w:type="dxa" w:w="306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pPr>
                  <w:r>
                    <w:rPr>
                      <w:sz w:val="21"/>
                      <w:b/>
                    </w:rPr>
                    <w:t>合计</w:t>
                  </w:r>
                </w:p>
              </w:tc>
              <w:tc>
                <w:tcPr>
                  <w:tcW w:type="dxa" w:w="2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4"/>
                  </w:pPr>
                  <w:r>
                    <w:rPr>
                      <w:sz w:val="21"/>
                      <w:b/>
                    </w:rPr>
                    <w:t>370</w:t>
                  </w:r>
                </w:p>
              </w:tc>
            </w:tr>
          </w:tbl>
          <w:p>
            <w:pPr>
              <w:pStyle w:val="null3"/>
              <w:ind w:firstLine="394"/>
              <w:jc w:val="both"/>
            </w:pPr>
            <w:r>
              <w:rPr>
                <w:sz w:val="21"/>
                <w:b/>
              </w:rPr>
              <w:t>3、全面清除</w:t>
            </w:r>
          </w:p>
          <w:p>
            <w:pPr>
              <w:pStyle w:val="null3"/>
              <w:ind w:firstLine="420"/>
              <w:jc w:val="both"/>
            </w:pPr>
            <w:r>
              <w:rPr>
                <w:sz w:val="21"/>
              </w:rPr>
              <w:t>根据对有害生物普查和防治小班摸查的实际情况和结合航拍卫星影像图，位于同乐林场内个别小班已出现分布较广的松针枯黄、整株干枯死亡现象，为疑似松材线虫病传播高风险小班，为彻底切断疫情传播链，防止病害进一步蔓延，需对该小班中的松科寄主植物进行全面清除，并且小班内没有松科古树名木、珍稀保护物种，符合采用全面清除作业要求，全面清除面积</w:t>
            </w:r>
            <w:r>
              <w:rPr>
                <w:sz w:val="21"/>
              </w:rPr>
              <w:t>167</w:t>
            </w:r>
            <w:r>
              <w:rPr>
                <w:sz w:val="21"/>
              </w:rPr>
              <w:t>亩。全面清除地点分布见下表</w:t>
            </w:r>
            <w:r>
              <w:rPr>
                <w:sz w:val="21"/>
              </w:rPr>
              <w:t>3。</w:t>
            </w:r>
          </w:p>
          <w:p>
            <w:pPr>
              <w:pStyle w:val="null3"/>
              <w:ind w:firstLine="420"/>
              <w:jc w:val="both"/>
            </w:pPr>
            <w:r>
              <w:rPr>
                <w:sz w:val="21"/>
              </w:rPr>
              <w:t>表</w:t>
            </w:r>
            <w:r>
              <w:rPr>
                <w:sz w:val="21"/>
              </w:rPr>
              <w:t>3全面清除地点分布表</w:t>
            </w:r>
          </w:p>
          <w:tbl>
            <w:tblPr>
              <w:tblInd w:type="dxa" w:w="120"/>
              <w:tblBorders>
                <w:top w:val="none" w:color="000000" w:sz="4"/>
                <w:left w:val="none" w:color="000000" w:sz="4"/>
                <w:bottom w:val="none" w:color="000000" w:sz="4"/>
                <w:right w:val="none" w:color="000000" w:sz="4"/>
                <w:insideH w:val="none"/>
                <w:insideV w:val="none"/>
              </w:tblBorders>
            </w:tblPr>
            <w:tblGrid>
              <w:gridCol w:w="615"/>
              <w:gridCol w:w="570"/>
              <w:gridCol w:w="1020"/>
              <w:gridCol w:w="675"/>
              <w:gridCol w:w="1095"/>
              <w:gridCol w:w="1230"/>
            </w:tblGrid>
            <w:tr>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作业</w:t>
                  </w:r>
                </w:p>
                <w:p>
                  <w:pPr>
                    <w:pStyle w:val="null3"/>
                    <w:jc w:val="center"/>
                  </w:pPr>
                  <w:r>
                    <w:rPr>
                      <w:sz w:val="21"/>
                    </w:rPr>
                    <w:t>小班号</w:t>
                  </w:r>
                </w:p>
              </w:tc>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林场</w:t>
                  </w:r>
                </w:p>
              </w:tc>
              <w:tc>
                <w:tcPr>
                  <w:tcW w:type="dxa" w:w="10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管护站</w:t>
                  </w:r>
                </w:p>
              </w:tc>
              <w:tc>
                <w:tcPr>
                  <w:tcW w:type="dxa" w:w="6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面积（亩）</w:t>
                  </w:r>
                </w:p>
              </w:tc>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防治措施</w:t>
                  </w:r>
                </w:p>
              </w:tc>
              <w:tc>
                <w:tcPr>
                  <w:tcW w:type="dxa" w:w="1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同乐</w:t>
                  </w:r>
                </w:p>
              </w:tc>
              <w:tc>
                <w:tcPr>
                  <w:tcW w:type="dxa" w:w="10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同乐</w:t>
                  </w:r>
                </w:p>
              </w:tc>
              <w:tc>
                <w:tcPr>
                  <w:tcW w:type="dxa" w:w="675"/>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167</w:t>
                  </w:r>
                </w:p>
              </w:tc>
              <w:tc>
                <w:tcPr>
                  <w:tcW w:type="dxa" w:w="10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全面清除</w:t>
                  </w:r>
                </w:p>
              </w:tc>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6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167</w:t>
                  </w:r>
                </w:p>
              </w:tc>
              <w:tc>
                <w:tcPr>
                  <w:tcW w:type="dxa" w:w="1095"/>
                  <w:vMerge/>
                  <w:tcBorders>
                    <w:top w:val="none" w:color="000000" w:sz="4"/>
                    <w:left w:val="single" w:color="000000" w:sz="4"/>
                    <w:bottom w:val="single" w:color="000000" w:sz="4"/>
                    <w:right w:val="single" w:color="000000" w:sz="4"/>
                  </w:tcBorders>
                </w:tcPr>
                <w:p/>
              </w:tc>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sz w:val="21"/>
              </w:rPr>
              <w:t>4、薇甘菊防治总面积为5400亩，地点在市属大云雾林场、龙埇林场、同乐林场，水台林场、南山森林公园。薇甘菊防治地点分布见下表4</w:t>
            </w:r>
          </w:p>
          <w:p>
            <w:pPr>
              <w:pStyle w:val="null3"/>
              <w:ind w:firstLine="420"/>
            </w:pPr>
            <w:r>
              <w:rPr>
                <w:sz w:val="21"/>
              </w:rPr>
              <w:t>表</w:t>
            </w:r>
            <w:r>
              <w:rPr>
                <w:sz w:val="21"/>
              </w:rPr>
              <w:t>4薇甘菊防治地点分布</w:t>
            </w:r>
          </w:p>
          <w:tbl>
            <w:tblPr>
              <w:tblInd w:type="dxa" w:w="105"/>
              <w:tblBorders>
                <w:top w:val="none" w:color="000000" w:sz="4"/>
                <w:left w:val="none" w:color="000000" w:sz="4"/>
                <w:bottom w:val="none" w:color="000000" w:sz="4"/>
                <w:right w:val="none" w:color="000000" w:sz="4"/>
                <w:insideH w:val="none"/>
                <w:insideV w:val="none"/>
              </w:tblBorders>
            </w:tblPr>
            <w:tblGrid>
              <w:gridCol w:w="1230"/>
              <w:gridCol w:w="1500"/>
              <w:gridCol w:w="2475"/>
            </w:tblGrid>
            <w:tr>
              <w:tc>
                <w:tcPr>
                  <w:tcW w:type="dxa" w:w="1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4"/>
                    <w:jc w:val="center"/>
                  </w:pPr>
                  <w:r>
                    <w:rPr>
                      <w:sz w:val="21"/>
                      <w:b/>
                    </w:rPr>
                    <w:t>序号</w:t>
                  </w:r>
                </w:p>
              </w:tc>
              <w:tc>
                <w:tcPr>
                  <w:tcW w:type="dxa" w:w="15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jc w:val="center"/>
                  </w:pPr>
                  <w:r>
                    <w:rPr>
                      <w:sz w:val="21"/>
                      <w:b/>
                    </w:rPr>
                    <w:t>林场</w:t>
                  </w:r>
                </w:p>
              </w:tc>
              <w:tc>
                <w:tcPr>
                  <w:tcW w:type="dxa" w:w="24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4"/>
                    <w:jc w:val="center"/>
                  </w:pPr>
                  <w:r>
                    <w:rPr>
                      <w:sz w:val="21"/>
                      <w:b/>
                    </w:rPr>
                    <w:t>薇甘菊防治面积（亩）</w:t>
                  </w:r>
                </w:p>
              </w:tc>
            </w:tr>
            <w:tr>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1</w:t>
                  </w:r>
                </w:p>
              </w:tc>
              <w:tc>
                <w:tcPr>
                  <w:tcW w:type="dxa" w:w="1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大云雾林场</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center"/>
                  </w:pPr>
                  <w:r>
                    <w:rPr>
                      <w:sz w:val="21"/>
                    </w:rPr>
                    <w:t>1919</w:t>
                  </w:r>
                </w:p>
              </w:tc>
            </w:tr>
            <w:tr>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2</w:t>
                  </w:r>
                </w:p>
              </w:tc>
              <w:tc>
                <w:tcPr>
                  <w:tcW w:type="dxa" w:w="1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龙埇林场</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center"/>
                  </w:pPr>
                  <w:r>
                    <w:rPr>
                      <w:sz w:val="21"/>
                    </w:rPr>
                    <w:t>1890</w:t>
                  </w:r>
                </w:p>
              </w:tc>
            </w:tr>
            <w:tr>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3</w:t>
                  </w:r>
                </w:p>
              </w:tc>
              <w:tc>
                <w:tcPr>
                  <w:tcW w:type="dxa" w:w="1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同乐林场</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0"/>
                    <w:jc w:val="center"/>
                  </w:pPr>
                  <w:r>
                    <w:rPr>
                      <w:sz w:val="21"/>
                    </w:rPr>
                    <w:t>110</w:t>
                  </w:r>
                </w:p>
              </w:tc>
            </w:tr>
            <w:tr>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4</w:t>
                  </w:r>
                </w:p>
              </w:tc>
              <w:tc>
                <w:tcPr>
                  <w:tcW w:type="dxa" w:w="1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水台林场</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88"/>
                    <w:jc w:val="center"/>
                  </w:pPr>
                  <w:r>
                    <w:rPr>
                      <w:sz w:val="21"/>
                    </w:rPr>
                    <w:t>1231</w:t>
                  </w:r>
                </w:p>
              </w:tc>
            </w:tr>
            <w:tr>
              <w:tc>
                <w:tcPr>
                  <w:tcW w:type="dxa" w:w="12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center"/>
                  </w:pPr>
                  <w:r>
                    <w:rPr>
                      <w:sz w:val="21"/>
                    </w:rPr>
                    <w:t>5</w:t>
                  </w:r>
                </w:p>
              </w:tc>
              <w:tc>
                <w:tcPr>
                  <w:tcW w:type="dxa" w:w="1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南山森林公园</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12"/>
                    <w:jc w:val="center"/>
                  </w:pPr>
                  <w:r>
                    <w:rPr>
                      <w:sz w:val="21"/>
                    </w:rPr>
                    <w:t>250</w:t>
                  </w:r>
                </w:p>
              </w:tc>
            </w:tr>
            <w:tr>
              <w:tc>
                <w:tcPr>
                  <w:tcW w:type="dxa" w:w="273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0"/>
                    <w:jc w:val="center"/>
                  </w:pPr>
                  <w:r>
                    <w:rPr>
                      <w:sz w:val="21"/>
                      <w:b/>
                    </w:rPr>
                    <w:t>合计</w:t>
                  </w:r>
                </w:p>
              </w:tc>
              <w:tc>
                <w:tcPr>
                  <w:tcW w:type="dxa" w:w="2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jc w:val="center"/>
                  </w:pPr>
                  <w:r>
                    <w:rPr>
                      <w:sz w:val="21"/>
                      <w:b/>
                    </w:rPr>
                    <w:t>5400</w:t>
                  </w:r>
                </w:p>
              </w:tc>
            </w:tr>
          </w:tbl>
          <w:p/>
        </w:tc>
      </w:tr>
      <w:tr>
        <w:tc>
          <w:tcPr>
            <w:tcW w:type="dxa" w:w="2076"/>
          </w:tcPr>
          <w:p/>
        </w:tc>
        <w:tc>
          <w:tcPr>
            <w:tcW w:type="dxa" w:w="415"/>
          </w:tcPr>
          <w:p>
            <w:pPr>
              <w:pStyle w:val="null3"/>
            </w:pPr>
            <w:r>
              <w:rPr/>
              <w:t>4</w:t>
            </w:r>
          </w:p>
        </w:tc>
        <w:tc>
          <w:tcPr>
            <w:tcW w:type="dxa" w:w="5814"/>
          </w:tcPr>
          <w:p>
            <w:pPr>
              <w:pStyle w:val="null3"/>
              <w:ind w:firstLine="422"/>
            </w:pPr>
            <w:r>
              <w:rPr>
                <w:sz w:val="21"/>
                <w:b/>
              </w:rPr>
              <w:t>四</w:t>
            </w:r>
            <w:r>
              <w:rPr>
                <w:sz w:val="21"/>
                <w:b/>
              </w:rPr>
              <w:t>、防治技术措施</w:t>
            </w:r>
          </w:p>
          <w:p>
            <w:pPr>
              <w:pStyle w:val="null3"/>
              <w:ind w:firstLine="404"/>
              <w:jc w:val="both"/>
            </w:pPr>
            <w:r>
              <w:rPr>
                <w:sz w:val="21"/>
              </w:rPr>
              <w:t>根据国家林业和草原局文件国家林业和草原局关于印发《松材线</w:t>
            </w:r>
            <w:r>
              <w:rPr>
                <w:sz w:val="21"/>
              </w:rPr>
              <w:t>虫病防治技术方案（</w:t>
            </w:r>
            <w:r>
              <w:rPr>
                <w:sz w:val="21"/>
              </w:rPr>
              <w:t>2024年版）》的通知（林生发〔2024〕78号）、</w:t>
            </w:r>
            <w:r>
              <w:rPr>
                <w:sz w:val="21"/>
              </w:rPr>
              <w:t>《薇甘菊防治技术规程》（</w:t>
            </w:r>
            <w:r>
              <w:rPr>
                <w:sz w:val="21"/>
              </w:rPr>
              <w:t>LY</w:t>
            </w:r>
            <w:r>
              <w:rPr>
                <w:sz w:val="21"/>
              </w:rPr>
              <w:t>/T2422—2015）》、《广东省云浮市</w:t>
            </w:r>
            <w:r>
              <w:rPr>
                <w:sz w:val="21"/>
              </w:rPr>
              <w:t>2026年中央财政林草有害生物防治项目实施方案》等相关要求，结</w:t>
            </w:r>
            <w:r>
              <w:rPr>
                <w:sz w:val="21"/>
              </w:rPr>
              <w:t>合建设单位实际情况，坚持科学、精准、系统的治理理念，</w:t>
            </w:r>
            <w:r>
              <w:rPr>
                <w:sz w:val="21"/>
              </w:rPr>
              <w:t>中标供应商</w:t>
            </w:r>
            <w:r>
              <w:rPr>
                <w:sz w:val="21"/>
              </w:rPr>
              <w:t>负责项目的施工作业：实施对项目监测区全松林监测，以清理枯死松树为核心，以打孔注药保护南山森林公园大径级松树为辅助，同时对</w:t>
            </w:r>
            <w:r>
              <w:rPr>
                <w:sz w:val="21"/>
              </w:rPr>
              <w:t>薇甘菊进行防治的综合防治策略。</w:t>
            </w:r>
          </w:p>
          <w:p>
            <w:pPr>
              <w:pStyle w:val="null3"/>
              <w:ind w:firstLine="442"/>
              <w:jc w:val="both"/>
            </w:pPr>
            <w:r>
              <w:rPr>
                <w:sz w:val="21"/>
                <w:b/>
              </w:rPr>
              <w:t>（</w:t>
            </w:r>
            <w:r>
              <w:rPr>
                <w:sz w:val="21"/>
                <w:b/>
              </w:rPr>
              <w:t>一</w:t>
            </w:r>
            <w:r>
              <w:rPr>
                <w:sz w:val="21"/>
                <w:b/>
              </w:rPr>
              <w:t>）</w:t>
            </w:r>
            <w:r>
              <w:rPr>
                <w:sz w:val="21"/>
                <w:b/>
              </w:rPr>
              <w:t>监测区全松林监测</w:t>
            </w:r>
          </w:p>
          <w:p>
            <w:pPr>
              <w:pStyle w:val="null3"/>
              <w:ind w:firstLine="422"/>
              <w:jc w:val="both"/>
            </w:pPr>
            <w:r>
              <w:rPr>
                <w:sz w:val="21"/>
                <w:b/>
              </w:rPr>
              <w:t>1、监测范围</w:t>
            </w:r>
          </w:p>
          <w:p>
            <w:pPr>
              <w:pStyle w:val="null3"/>
              <w:ind w:firstLine="404"/>
              <w:jc w:val="both"/>
            </w:pPr>
            <w:r>
              <w:rPr>
                <w:sz w:val="21"/>
              </w:rPr>
              <w:t>对云浮市国有林场和森林公园管理总站</w:t>
            </w:r>
            <w:r>
              <w:rPr>
                <w:sz w:val="21"/>
              </w:rPr>
              <w:t>（</w:t>
            </w:r>
            <w:r>
              <w:rPr>
                <w:sz w:val="21"/>
              </w:rPr>
              <w:t>南山森林公园</w:t>
            </w:r>
            <w:r>
              <w:rPr>
                <w:sz w:val="21"/>
              </w:rPr>
              <w:t>）及分支机构市国有</w:t>
            </w:r>
            <w:r>
              <w:rPr>
                <w:sz w:val="21"/>
              </w:rPr>
              <w:t>大云雾林场、</w:t>
            </w:r>
            <w:r>
              <w:rPr>
                <w:sz w:val="21"/>
              </w:rPr>
              <w:t>市国有</w:t>
            </w:r>
            <w:r>
              <w:rPr>
                <w:sz w:val="21"/>
              </w:rPr>
              <w:t>龙埇林场、</w:t>
            </w:r>
            <w:r>
              <w:rPr>
                <w:sz w:val="21"/>
              </w:rPr>
              <w:t>市国有</w:t>
            </w:r>
            <w:r>
              <w:rPr>
                <w:sz w:val="21"/>
              </w:rPr>
              <w:t>飞马林场、</w:t>
            </w:r>
            <w:r>
              <w:rPr>
                <w:sz w:val="21"/>
              </w:rPr>
              <w:t>市国有</w:t>
            </w:r>
            <w:r>
              <w:rPr>
                <w:sz w:val="21"/>
              </w:rPr>
              <w:t>同乐林场、</w:t>
            </w:r>
            <w:r>
              <w:rPr>
                <w:sz w:val="21"/>
              </w:rPr>
              <w:t>市国有</w:t>
            </w:r>
            <w:r>
              <w:rPr>
                <w:sz w:val="21"/>
              </w:rPr>
              <w:t>水台林场的森林资源档案</w:t>
            </w:r>
            <w:r>
              <w:rPr>
                <w:sz w:val="21"/>
              </w:rPr>
              <w:t>数据库内纯松林、针叶混交林以及有散生松树的小班进行实地调查。</w:t>
            </w:r>
            <w:r>
              <w:rPr>
                <w:sz w:val="21"/>
              </w:rPr>
              <w:t>施工方在每季度首月内完成实地监测，监测时应填写《松林监测小班</w:t>
            </w:r>
            <w:r>
              <w:rPr>
                <w:sz w:val="21"/>
              </w:rPr>
              <w:t>记录表》，内容包括</w:t>
            </w:r>
            <w:r>
              <w:rPr>
                <w:sz w:val="21"/>
              </w:rPr>
              <w:t>：（</w:t>
            </w:r>
            <w:r>
              <w:rPr>
                <w:sz w:val="21"/>
              </w:rPr>
              <w:t>1）小班号、位置、面积、松树株数、监测</w:t>
            </w:r>
            <w:r>
              <w:rPr>
                <w:sz w:val="21"/>
              </w:rPr>
              <w:t>日期、监测人员、异常情况</w:t>
            </w:r>
            <w:r>
              <w:rPr>
                <w:sz w:val="21"/>
              </w:rPr>
              <w:t>；（</w:t>
            </w:r>
            <w:r>
              <w:rPr>
                <w:sz w:val="21"/>
              </w:rPr>
              <w:t>2）提交现场照片（每小班不少于3</w:t>
            </w:r>
            <w:r>
              <w:rPr>
                <w:sz w:val="21"/>
              </w:rPr>
              <w:t>张，含全景、症状特写</w:t>
            </w:r>
            <w:r>
              <w:rPr>
                <w:sz w:val="21"/>
              </w:rPr>
              <w:t>）；（</w:t>
            </w:r>
            <w:r>
              <w:rPr>
                <w:sz w:val="21"/>
              </w:rPr>
              <w:t>3）提交无人机航拍影像及异常松树点</w:t>
            </w:r>
            <w:r>
              <w:rPr>
                <w:sz w:val="21"/>
              </w:rPr>
              <w:t>位清单。</w:t>
            </w:r>
          </w:p>
          <w:p>
            <w:pPr>
              <w:pStyle w:val="null3"/>
              <w:ind w:firstLine="422"/>
              <w:jc w:val="both"/>
            </w:pPr>
            <w:r>
              <w:rPr>
                <w:sz w:val="21"/>
                <w:b/>
              </w:rPr>
              <w:t>2、监测内容</w:t>
            </w:r>
          </w:p>
          <w:p>
            <w:pPr>
              <w:pStyle w:val="null3"/>
              <w:ind w:firstLine="428"/>
              <w:jc w:val="both"/>
            </w:pPr>
            <w:r>
              <w:rPr>
                <w:sz w:val="21"/>
              </w:rPr>
              <w:t>调查项目目标区域内所有松树是否出现松树枯死、松针变色等异常情况。以小班为单元，统计发生面积（发病的混交林应折算成纯松林统计）及病死数量，并绘制疫情发生分布图，建立疫情数据档案。</w:t>
            </w:r>
          </w:p>
          <w:p>
            <w:pPr>
              <w:pStyle w:val="null3"/>
              <w:ind w:firstLine="270"/>
              <w:jc w:val="both"/>
            </w:pPr>
            <w:r>
              <w:rPr>
                <w:sz w:val="21"/>
                <w:b/>
              </w:rPr>
              <w:t>3</w:t>
            </w:r>
            <w:r>
              <w:rPr>
                <w:sz w:val="21"/>
                <w:b/>
              </w:rPr>
              <w:t>、监测频次</w:t>
            </w:r>
          </w:p>
          <w:p>
            <w:pPr>
              <w:pStyle w:val="null3"/>
              <w:ind w:firstLine="428"/>
              <w:jc w:val="both"/>
            </w:pPr>
            <w:r>
              <w:rPr>
                <w:sz w:val="21"/>
              </w:rPr>
              <w:t>全年监测</w:t>
            </w:r>
            <w:r>
              <w:rPr>
                <w:sz w:val="21"/>
              </w:rPr>
              <w:t>4次，每个季度1次，其中3次为日常监测，1次为秋季专普。</w:t>
            </w:r>
            <w:r>
              <w:rPr>
                <w:sz w:val="21"/>
              </w:rPr>
              <w:t>中标供应商</w:t>
            </w:r>
            <w:r>
              <w:rPr>
                <w:sz w:val="21"/>
              </w:rPr>
              <w:t>须在每季度每季度末月前完成覆盖项目监测目标区域内所有松树航拍监测，详细填写《松材线虫航拍日常监测记录表》，记录监测单元、航拍时间、天气条件、拍摄数量、异常点位数量，做到</w:t>
            </w:r>
            <w:r>
              <w:rPr>
                <w:sz w:val="21"/>
              </w:rPr>
              <w:t>“一单元一记录、一轮次一汇总”。</w:t>
            </w:r>
          </w:p>
          <w:p>
            <w:pPr>
              <w:pStyle w:val="null3"/>
              <w:ind w:firstLine="422"/>
              <w:jc w:val="both"/>
            </w:pPr>
            <w:r>
              <w:rPr>
                <w:sz w:val="21"/>
                <w:b/>
              </w:rPr>
              <w:t>4、监测方法</w:t>
            </w:r>
          </w:p>
          <w:p>
            <w:pPr>
              <w:pStyle w:val="null3"/>
              <w:ind w:firstLine="428"/>
              <w:jc w:val="both"/>
            </w:pPr>
            <w:r>
              <w:rPr>
                <w:sz w:val="21"/>
              </w:rPr>
              <w:t>（</w:t>
            </w:r>
            <w:r>
              <w:rPr>
                <w:sz w:val="21"/>
              </w:rPr>
              <w:t>1）通过森林资源档案数据库分析全区纯松林、针叶混交林以及有散生松树的小班的林地地籍小班分布位置，规划便于观察全部林分的踏查路线。</w:t>
            </w:r>
          </w:p>
          <w:p>
            <w:pPr>
              <w:pStyle w:val="null3"/>
              <w:ind w:firstLine="428"/>
              <w:jc w:val="both"/>
            </w:pPr>
            <w:r>
              <w:rPr>
                <w:sz w:val="21"/>
              </w:rPr>
              <w:t>（</w:t>
            </w:r>
            <w:r>
              <w:rPr>
                <w:sz w:val="21"/>
              </w:rPr>
              <w:t>2）地面巡查。由施工方组建专业的监测调查队伍，在生态护林员、林场工作人员等人员的配合下，配备必要的设施设备，开展以小班为单位进行网格化巡查，观察并记录松树异常情况。</w:t>
            </w:r>
          </w:p>
          <w:p>
            <w:pPr>
              <w:pStyle w:val="null3"/>
              <w:ind w:firstLine="428"/>
              <w:jc w:val="both"/>
            </w:pPr>
            <w:r>
              <w:rPr>
                <w:sz w:val="21"/>
              </w:rPr>
              <w:t>（</w:t>
            </w:r>
            <w:r>
              <w:rPr>
                <w:sz w:val="21"/>
              </w:rPr>
              <w:t>3）无人机航拍调查。应用无人机对项目目标区域进行航拍，判读遥感监测数据分析松树异常情况。如遥感监测发现松树异常后，应立即开展地面核实核查。</w:t>
            </w:r>
          </w:p>
          <w:p>
            <w:pPr>
              <w:pStyle w:val="null3"/>
              <w:ind w:firstLine="442"/>
              <w:jc w:val="both"/>
            </w:pPr>
            <w:r>
              <w:rPr>
                <w:sz w:val="21"/>
                <w:b/>
              </w:rPr>
              <w:t>（</w:t>
            </w:r>
            <w:r>
              <w:rPr>
                <w:sz w:val="21"/>
                <w:b/>
              </w:rPr>
              <w:t>二</w:t>
            </w:r>
            <w:r>
              <w:rPr>
                <w:sz w:val="21"/>
                <w:b/>
              </w:rPr>
              <w:t>）</w:t>
            </w:r>
            <w:r>
              <w:rPr>
                <w:sz w:val="21"/>
                <w:b/>
              </w:rPr>
              <w:t>选择清除</w:t>
            </w:r>
          </w:p>
          <w:p>
            <w:pPr>
              <w:pStyle w:val="null3"/>
              <w:ind w:firstLine="428"/>
              <w:jc w:val="both"/>
            </w:pPr>
            <w:r>
              <w:rPr>
                <w:sz w:val="21"/>
              </w:rPr>
              <w:t>对南山森林公园内的松树小班中</w:t>
            </w:r>
            <w:r>
              <w:rPr>
                <w:sz w:val="21"/>
              </w:rPr>
              <w:t>120株的枯死松树和同乐林场250株疑似松材线虫枯死松树、有感染疫情风险的松树进行选择清除。</w:t>
            </w:r>
          </w:p>
          <w:p>
            <w:pPr>
              <w:pStyle w:val="null3"/>
              <w:ind w:firstLine="428"/>
              <w:jc w:val="both"/>
            </w:pPr>
            <w:r>
              <w:rPr>
                <w:sz w:val="21"/>
              </w:rPr>
              <w:t>1、作业要求：集中对南山森林公园内的枯死松树和同乐林场松树小班中的枯死松树、濒死松树、感病松树和有感染疫情风险的松树实施选择清除，严格按照采伐、集材全流程闭环作业。</w:t>
            </w:r>
          </w:p>
          <w:p>
            <w:pPr>
              <w:pStyle w:val="null3"/>
              <w:ind w:firstLine="428"/>
              <w:jc w:val="both"/>
            </w:pPr>
            <w:r>
              <w:rPr>
                <w:sz w:val="21"/>
              </w:rPr>
              <w:t>2、采伐要求：严格执行择伐技术标准，南山森林公园仅采伐枯死松树，严禁错伐乱伐健康松树；同乐林场采伐枯死、濒死、感病松树和有感染疫情风险的松树。伐桩高度控制在5厘米以内，采伐作业规范安全，避免损伤周边保留林木及林下植被，做到采伐一株、规范一株。</w:t>
            </w:r>
          </w:p>
          <w:p>
            <w:pPr>
              <w:pStyle w:val="null3"/>
              <w:ind w:firstLine="428"/>
              <w:jc w:val="both"/>
            </w:pPr>
            <w:r>
              <w:rPr>
                <w:sz w:val="21"/>
              </w:rPr>
              <w:t>3、集材要求：采伐后的枯死松木、枝丫、梢头全部严格按标准进行就地归集，用0.1毫米以上厚度的塑料薄膜覆盖，绑紧后用土将塑料薄膜四周压实。集材点选择地势平缓、远离林缘、靠近道路便于清运的安全位置，做到归集整齐、不散落、不遗留。</w:t>
            </w:r>
          </w:p>
          <w:p>
            <w:pPr>
              <w:pStyle w:val="null3"/>
              <w:ind w:firstLine="442"/>
              <w:jc w:val="both"/>
            </w:pPr>
            <w:r>
              <w:rPr>
                <w:sz w:val="21"/>
                <w:b/>
              </w:rPr>
              <w:t>（</w:t>
            </w:r>
            <w:r>
              <w:rPr>
                <w:sz w:val="21"/>
                <w:b/>
              </w:rPr>
              <w:t>三</w:t>
            </w:r>
            <w:r>
              <w:rPr>
                <w:sz w:val="21"/>
                <w:b/>
              </w:rPr>
              <w:t>）</w:t>
            </w:r>
            <w:r>
              <w:rPr>
                <w:sz w:val="21"/>
                <w:b/>
              </w:rPr>
              <w:t>全面清除</w:t>
            </w:r>
          </w:p>
          <w:p>
            <w:pPr>
              <w:pStyle w:val="null3"/>
              <w:ind w:firstLine="428"/>
              <w:jc w:val="both"/>
            </w:pPr>
            <w:r>
              <w:rPr>
                <w:sz w:val="21"/>
              </w:rPr>
              <w:t>对同乐林场存在松材线虫病感染疫情风险的</w:t>
            </w:r>
            <w:r>
              <w:rPr>
                <w:sz w:val="21"/>
              </w:rPr>
              <w:t>167</w:t>
            </w:r>
            <w:r>
              <w:rPr>
                <w:sz w:val="21"/>
              </w:rPr>
              <w:t>亩的松树进行全面清除。</w:t>
            </w:r>
          </w:p>
          <w:p>
            <w:pPr>
              <w:pStyle w:val="null3"/>
              <w:ind w:firstLine="428"/>
              <w:jc w:val="both"/>
            </w:pPr>
            <w:r>
              <w:rPr>
                <w:sz w:val="21"/>
              </w:rPr>
              <w:t>适用范围：全面清除措施适用于首次发生疫情的县级行政区、轻型疫区、地理位置孤立的疫点小班，以及以彻底拔除疫情为核心目标的松科寄主植物分布区域。作业范围覆盖疫情发生小班及周边存在高感染风险的毗邻小班，对区域内所有松科寄主树木实施全域全面清除。</w:t>
            </w:r>
          </w:p>
          <w:p>
            <w:pPr>
              <w:pStyle w:val="null3"/>
              <w:ind w:firstLine="418"/>
              <w:jc w:val="both"/>
            </w:pPr>
            <w:r>
              <w:rPr>
                <w:sz w:val="21"/>
                <w:b/>
              </w:rPr>
              <w:t>1、作业要求</w:t>
            </w:r>
          </w:p>
          <w:p>
            <w:pPr>
              <w:pStyle w:val="null3"/>
              <w:ind w:firstLine="428"/>
              <w:jc w:val="both"/>
            </w:pPr>
            <w:r>
              <w:rPr>
                <w:sz w:val="21"/>
              </w:rPr>
              <w:t>（</w:t>
            </w:r>
            <w:r>
              <w:rPr>
                <w:sz w:val="21"/>
              </w:rPr>
              <w:t>1）全</w:t>
            </w:r>
            <w:r>
              <w:rPr>
                <w:sz w:val="21"/>
              </w:rPr>
              <w:t>面</w:t>
            </w:r>
            <w:r>
              <w:rPr>
                <w:sz w:val="21"/>
              </w:rPr>
              <w:t>清除要求：严格按照作业设计开展全面清除作业，对作业小班内所有病死、濒死、有感染疫情风险的松树和健康松树实行全覆盖采伐清理，彻底清除潜在疫源和带虫寄主树木，杜绝留存零星松树形成疫情复发隐患。</w:t>
            </w:r>
          </w:p>
          <w:p>
            <w:pPr>
              <w:pStyle w:val="null3"/>
              <w:ind w:firstLine="428"/>
              <w:jc w:val="both"/>
            </w:pPr>
            <w:r>
              <w:rPr>
                <w:sz w:val="21"/>
              </w:rPr>
              <w:t>（</w:t>
            </w:r>
            <w:r>
              <w:rPr>
                <w:sz w:val="21"/>
              </w:rPr>
              <w:t>2）伐桩规范控制：采伐后伐桩高度严格控制在5厘米以内。</w:t>
            </w:r>
          </w:p>
          <w:p>
            <w:pPr>
              <w:pStyle w:val="null3"/>
              <w:ind w:firstLine="428"/>
              <w:jc w:val="both"/>
            </w:pPr>
            <w:r>
              <w:rPr>
                <w:sz w:val="21"/>
              </w:rPr>
              <w:t>（</w:t>
            </w:r>
            <w:r>
              <w:rPr>
                <w:sz w:val="21"/>
              </w:rPr>
              <w:t>3）全域残枝清理：采伐作业同步清理迹地内所有枝条、梢头、残木进行全部按要求归集。</w:t>
            </w:r>
          </w:p>
          <w:p>
            <w:pPr>
              <w:pStyle w:val="null3"/>
              <w:ind w:firstLine="428"/>
              <w:jc w:val="both"/>
            </w:pPr>
            <w:r>
              <w:rPr>
                <w:sz w:val="21"/>
              </w:rPr>
              <w:t>（</w:t>
            </w:r>
            <w:r>
              <w:rPr>
                <w:sz w:val="21"/>
              </w:rPr>
              <w:t>4）作业时限要求：严格遵循冬春季媒介昆虫非羽化期（当年10月至次年4月）集中开展采伐作业，所有采伐、归集、处置工作必须在当年松褐天牛羽化期前全部完成，杜绝媒介昆虫羽化逃逸、疫情扩散。</w:t>
            </w:r>
          </w:p>
          <w:p>
            <w:pPr>
              <w:pStyle w:val="null3"/>
              <w:ind w:firstLine="418"/>
              <w:jc w:val="both"/>
            </w:pPr>
            <w:r>
              <w:rPr>
                <w:sz w:val="21"/>
                <w:b/>
              </w:rPr>
              <w:t>2、集材处理</w:t>
            </w:r>
          </w:p>
          <w:p>
            <w:pPr>
              <w:pStyle w:val="null3"/>
              <w:ind w:firstLine="428"/>
              <w:jc w:val="both"/>
            </w:pPr>
            <w:r>
              <w:rPr>
                <w:sz w:val="21"/>
              </w:rPr>
              <w:t>结合疫木安全利用与源头管控要求，本次全面清除采伐的松木</w:t>
            </w:r>
            <w:r>
              <w:rPr>
                <w:sz w:val="21"/>
                <w:b/>
              </w:rPr>
              <w:t>（归同乐林场所有）</w:t>
            </w:r>
            <w:r>
              <w:rPr>
                <w:sz w:val="21"/>
                <w:b/>
              </w:rPr>
              <w:t>，</w:t>
            </w:r>
            <w:r>
              <w:rPr>
                <w:sz w:val="21"/>
                <w:b/>
              </w:rPr>
              <w:t>按照同乐林场的规格要求进行制材，在</w:t>
            </w:r>
            <w:r>
              <w:rPr>
                <w:sz w:val="21"/>
                <w:b/>
              </w:rPr>
              <w:t>山场内集中归集、</w:t>
            </w:r>
            <w:r>
              <w:rPr>
                <w:sz w:val="21"/>
                <w:b/>
              </w:rPr>
              <w:t>并按照同乐林场要求</w:t>
            </w:r>
            <w:r>
              <w:rPr>
                <w:sz w:val="21"/>
                <w:b/>
              </w:rPr>
              <w:t>分类堆放</w:t>
            </w:r>
            <w:r>
              <w:rPr>
                <w:sz w:val="21"/>
                <w:b/>
              </w:rPr>
              <w:t>，</w:t>
            </w:r>
            <w:r>
              <w:rPr>
                <w:sz w:val="21"/>
              </w:rPr>
              <w:t>合格</w:t>
            </w:r>
            <w:r>
              <w:rPr>
                <w:sz w:val="21"/>
              </w:rPr>
              <w:t>商品</w:t>
            </w:r>
            <w:r>
              <w:rPr>
                <w:sz w:val="21"/>
              </w:rPr>
              <w:t>材为核心标准，实行分区、封闭、可控化堆放管理，兼顾除治合规性与木材资源化利用。</w:t>
            </w:r>
          </w:p>
          <w:p>
            <w:pPr>
              <w:pStyle w:val="null3"/>
              <w:ind w:firstLine="428"/>
              <w:jc w:val="both"/>
            </w:pPr>
            <w:r>
              <w:rPr>
                <w:sz w:val="21"/>
              </w:rPr>
              <w:t>（</w:t>
            </w:r>
            <w:r>
              <w:rPr>
                <w:sz w:val="21"/>
              </w:rPr>
              <w:t>1）堆放场地选址：优先选择作业小班内地势平整、通风干燥、远离林区边缘、无积水、无杂草的开阔山场地块，避开风口、低洼潮湿区域及松林毗邻地带，降低媒介昆虫聚集、繁殖风险，同时规避森林防火隐患。</w:t>
            </w:r>
          </w:p>
          <w:p>
            <w:pPr>
              <w:pStyle w:val="null3"/>
              <w:ind w:firstLine="428"/>
              <w:jc w:val="both"/>
            </w:pPr>
            <w:r>
              <w:rPr>
                <w:sz w:val="21"/>
              </w:rPr>
              <w:t>（</w:t>
            </w:r>
            <w:r>
              <w:rPr>
                <w:sz w:val="21"/>
              </w:rPr>
              <w:t>2）材种分类归集：采伐松木现场分类处理，树干通直、无蛀孔、无腐朽、符合用材标准的合格经济松木单独归堆、整齐码放；带虫蛀孔、腐朽变质、带病斑的疫木及小径残材、枝丫，单独分区堆放，严禁与合格经济材混堆，实现优劣分离、分类管控。</w:t>
            </w:r>
          </w:p>
          <w:p>
            <w:pPr>
              <w:pStyle w:val="null3"/>
              <w:ind w:firstLine="428"/>
              <w:jc w:val="both"/>
            </w:pPr>
            <w:r>
              <w:rPr>
                <w:sz w:val="21"/>
              </w:rPr>
              <w:t>（</w:t>
            </w:r>
            <w:r>
              <w:rPr>
                <w:sz w:val="21"/>
              </w:rPr>
              <w:t>3）标准化堆放要求：经济材堆码规整、分层压实，堆体稳固不坍塌，堆间预留通风间隙，同时做好场地清理，铲除堆放区周边杂草、枯枝，保持堆放区域干净整洁，杜绝杂物、残枝留存。所有山上归集的经济材全程固定点位堆放，严禁随意挪移、散落、流失。</w:t>
            </w:r>
          </w:p>
          <w:p>
            <w:pPr>
              <w:pStyle w:val="null3"/>
              <w:ind w:firstLine="428"/>
              <w:jc w:val="both"/>
            </w:pPr>
            <w:r>
              <w:rPr>
                <w:sz w:val="21"/>
              </w:rPr>
              <w:t>（</w:t>
            </w:r>
            <w:r>
              <w:rPr>
                <w:sz w:val="21"/>
              </w:rPr>
              <w:t>4）封闭管控防护：山场堆放的经济材全程实行闭环监管，堆放完成后及时覆盖防护，建立堆放台账，详细记录材积、数量、采伐时间、堆放点位、监管人员信息，做到全程可追溯、可核查。</w:t>
            </w:r>
          </w:p>
          <w:p>
            <w:pPr>
              <w:pStyle w:val="null3"/>
              <w:ind w:firstLine="430"/>
              <w:jc w:val="both"/>
            </w:pPr>
            <w:r>
              <w:rPr>
                <w:sz w:val="21"/>
                <w:b/>
              </w:rPr>
              <w:t>（</w:t>
            </w:r>
            <w:r>
              <w:rPr>
                <w:sz w:val="21"/>
                <w:b/>
              </w:rPr>
              <w:t>5</w:t>
            </w:r>
            <w:r>
              <w:rPr>
                <w:sz w:val="21"/>
                <w:b/>
              </w:rPr>
              <w:t>）</w:t>
            </w:r>
            <w:r>
              <w:rPr>
                <w:sz w:val="21"/>
                <w:b/>
                <w:color w:val="000000"/>
              </w:rPr>
              <w:t>集材道由</w:t>
            </w:r>
            <w:r>
              <w:rPr>
                <w:sz w:val="21"/>
                <w:b/>
                <w:color w:val="000000"/>
              </w:rPr>
              <w:t>成交供应商</w:t>
            </w:r>
            <w:r>
              <w:rPr>
                <w:sz w:val="21"/>
                <w:b/>
                <w:color w:val="000000"/>
              </w:rPr>
              <w:t>自行开挖，所需费用由供应商负责，开挖前</w:t>
            </w:r>
            <w:r>
              <w:rPr>
                <w:sz w:val="21"/>
                <w:b/>
                <w:color w:val="000000"/>
              </w:rPr>
              <w:t>需由</w:t>
            </w:r>
            <w:r>
              <w:rPr>
                <w:sz w:val="21"/>
                <w:b/>
                <w:color w:val="000000"/>
              </w:rPr>
              <w:t>成交供应商</w:t>
            </w:r>
            <w:r>
              <w:rPr>
                <w:sz w:val="21"/>
                <w:b/>
                <w:color w:val="000000"/>
              </w:rPr>
              <w:t>按林业主管部门要求提出申请，经批准后按批复要求开挖集材道。</w:t>
            </w:r>
          </w:p>
          <w:p>
            <w:pPr>
              <w:pStyle w:val="null3"/>
              <w:ind w:firstLine="442"/>
              <w:jc w:val="both"/>
            </w:pPr>
            <w:r>
              <w:rPr>
                <w:sz w:val="21"/>
                <w:b/>
              </w:rPr>
              <w:t>（</w:t>
            </w:r>
            <w:r>
              <w:rPr>
                <w:sz w:val="21"/>
                <w:b/>
              </w:rPr>
              <w:t>四</w:t>
            </w:r>
            <w:r>
              <w:rPr>
                <w:sz w:val="21"/>
                <w:b/>
              </w:rPr>
              <w:t>）</w:t>
            </w:r>
            <w:r>
              <w:rPr>
                <w:sz w:val="21"/>
                <w:b/>
              </w:rPr>
              <w:t>打孔注药</w:t>
            </w:r>
          </w:p>
          <w:p>
            <w:pPr>
              <w:pStyle w:val="null3"/>
              <w:ind w:firstLine="428"/>
              <w:jc w:val="both"/>
            </w:pPr>
            <w:r>
              <w:rPr>
                <w:sz w:val="21"/>
              </w:rPr>
              <w:t>本次注干防治作业，严格遵循</w:t>
            </w:r>
            <w:r>
              <w:rPr>
                <w:sz w:val="21"/>
              </w:rPr>
              <w:t>“精准选药、科学钻孔、规范注射、及时封孔”四大技术要领，在南山森林公园中心区步道沿线重点保护、风景价值高的大径级马尾松（胸径30厘米以上）实施打孔注药作业，作为主动预防措施，保护大径级马尾松的健康生长。</w:t>
            </w:r>
          </w:p>
          <w:p>
            <w:pPr>
              <w:pStyle w:val="null3"/>
              <w:ind w:firstLine="394"/>
              <w:jc w:val="both"/>
            </w:pPr>
            <w:r>
              <w:rPr>
                <w:sz w:val="21"/>
                <w:b/>
              </w:rPr>
              <w:t>1、作业对象与规模</w:t>
            </w:r>
          </w:p>
          <w:p>
            <w:pPr>
              <w:pStyle w:val="null3"/>
              <w:ind w:firstLine="428"/>
              <w:jc w:val="both"/>
            </w:pPr>
            <w:r>
              <w:rPr>
                <w:sz w:val="21"/>
              </w:rPr>
              <w:t>打孔注药防治对象为南山森林公园中心区绿野仙道、六祖大道</w:t>
            </w:r>
            <w:r>
              <w:rPr>
                <w:sz w:val="21"/>
              </w:rPr>
              <w:t>1、六祖大道2三条步道沿线两旁两排的胸径30厘米以上的大径级马尾松，作业覆盖长度共计888米，打孔注药总株数100株。</w:t>
            </w:r>
          </w:p>
          <w:p>
            <w:pPr>
              <w:pStyle w:val="null3"/>
              <w:ind w:firstLine="394"/>
              <w:jc w:val="both"/>
            </w:pPr>
            <w:r>
              <w:rPr>
                <w:sz w:val="21"/>
                <w:b/>
              </w:rPr>
              <w:t>2、关键技术要点</w:t>
            </w:r>
          </w:p>
          <w:p>
            <w:pPr>
              <w:pStyle w:val="null3"/>
              <w:ind w:firstLine="428"/>
              <w:jc w:val="both"/>
            </w:pPr>
            <w:r>
              <w:rPr>
                <w:sz w:val="21"/>
              </w:rPr>
              <w:t>（</w:t>
            </w:r>
            <w:r>
              <w:rPr>
                <w:sz w:val="21"/>
              </w:rPr>
              <w:t>1）科学钻孔：科学钻孔：在树干距离地面30厘米以上处，使用手电钻向下倾斜45°角打孔，孔深控制在10-15厘米；钻孔数量根据树干胸径动态调整，本次防治的大径级松树每株设置2个注药孔，孔位沿树干上下、周围均匀分布，避免集中于同一水平面。</w:t>
            </w:r>
          </w:p>
          <w:p>
            <w:pPr>
              <w:pStyle w:val="null3"/>
              <w:ind w:firstLine="428"/>
              <w:jc w:val="both"/>
            </w:pPr>
            <w:r>
              <w:rPr>
                <w:sz w:val="21"/>
              </w:rPr>
              <w:t>（</w:t>
            </w:r>
            <w:r>
              <w:rPr>
                <w:sz w:val="21"/>
              </w:rPr>
              <w:t>2）规范注药：采用5%阿维菌素乳油，单株用药量为2支（100mL），总用药量10000mL，用药剂量严格按照药剂使用说明操作；注射过程保持缓慢匀速，确保药液被树木充分吸收。</w:t>
            </w:r>
          </w:p>
          <w:p>
            <w:pPr>
              <w:pStyle w:val="null3"/>
              <w:ind w:firstLine="404"/>
              <w:jc w:val="both"/>
            </w:pPr>
            <w:r>
              <w:rPr>
                <w:sz w:val="21"/>
              </w:rPr>
              <w:t>具体作业分</w:t>
            </w:r>
            <w:r>
              <w:rPr>
                <w:sz w:val="21"/>
              </w:rPr>
              <w:t>布及用量详见下表</w:t>
            </w:r>
            <w:r>
              <w:rPr>
                <w:sz w:val="21"/>
              </w:rPr>
              <w:t>6。</w:t>
            </w:r>
          </w:p>
          <w:tbl>
            <w:tblPr>
              <w:tblInd w:type="dxa" w:w="135"/>
              <w:tblBorders>
                <w:top w:val="none" w:color="000000" w:sz="4"/>
                <w:left w:val="none" w:color="000000" w:sz="4"/>
                <w:bottom w:val="none" w:color="000000" w:sz="4"/>
                <w:right w:val="none" w:color="000000" w:sz="4"/>
                <w:insideH w:val="none"/>
                <w:insideV w:val="none"/>
              </w:tblBorders>
            </w:tblPr>
            <w:tblGrid>
              <w:gridCol w:w="421"/>
              <w:gridCol w:w="754"/>
              <w:gridCol w:w="587"/>
              <w:gridCol w:w="587"/>
              <w:gridCol w:w="524"/>
              <w:gridCol w:w="626"/>
              <w:gridCol w:w="779"/>
              <w:gridCol w:w="575"/>
              <w:gridCol w:w="715"/>
            </w:tblGrid>
            <w:tr>
              <w:tc>
                <w:tcPr>
                  <w:tcW w:type="dxa" w:w="4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作业</w:t>
                  </w:r>
                </w:p>
                <w:p>
                  <w:pPr>
                    <w:pStyle w:val="null3"/>
                    <w:jc w:val="center"/>
                  </w:pPr>
                  <w:r>
                    <w:rPr>
                      <w:sz w:val="21"/>
                    </w:rPr>
                    <w:t>小班号</w:t>
                  </w:r>
                </w:p>
              </w:tc>
              <w:tc>
                <w:tcPr>
                  <w:tcW w:type="dxa" w:w="7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林场</w:t>
                  </w:r>
                </w:p>
              </w:tc>
              <w:tc>
                <w:tcPr>
                  <w:tcW w:type="dxa" w:w="5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区域</w:t>
                  </w:r>
                </w:p>
              </w:tc>
              <w:tc>
                <w:tcPr>
                  <w:tcW w:type="dxa" w:w="5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步道</w:t>
                  </w:r>
                </w:p>
              </w:tc>
              <w:tc>
                <w:tcPr>
                  <w:tcW w:type="dxa" w:w="5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长度（米）</w:t>
                  </w:r>
                </w:p>
              </w:tc>
              <w:tc>
                <w:tcPr>
                  <w:tcW w:type="dxa" w:w="6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马尾松</w:t>
                  </w:r>
                </w:p>
                <w:p>
                  <w:pPr>
                    <w:pStyle w:val="null3"/>
                    <w:jc w:val="center"/>
                  </w:pPr>
                  <w:r>
                    <w:rPr>
                      <w:sz w:val="21"/>
                    </w:rPr>
                    <w:t>打孔注</w:t>
                  </w:r>
                </w:p>
                <w:p>
                  <w:pPr>
                    <w:pStyle w:val="null3"/>
                    <w:jc w:val="center"/>
                  </w:pPr>
                  <w:r>
                    <w:rPr>
                      <w:sz w:val="21"/>
                    </w:rPr>
                    <w:t>药株数</w:t>
                  </w:r>
                </w:p>
              </w:tc>
              <w:tc>
                <w:tcPr>
                  <w:tcW w:type="dxa" w:w="7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药剂规格（</w:t>
                  </w:r>
                  <w:r>
                    <w:rPr>
                      <w:sz w:val="21"/>
                    </w:rPr>
                    <w:t>ML/支）</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单株</w:t>
                  </w:r>
                </w:p>
                <w:p>
                  <w:pPr>
                    <w:pStyle w:val="null3"/>
                    <w:jc w:val="center"/>
                  </w:pPr>
                  <w:r>
                    <w:rPr>
                      <w:sz w:val="21"/>
                    </w:rPr>
                    <w:t>用（支）</w:t>
                  </w:r>
                </w:p>
              </w:tc>
              <w:tc>
                <w:tcPr>
                  <w:tcW w:type="dxa" w:w="7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药剂总用量（</w:t>
                  </w:r>
                  <w:r>
                    <w:rPr>
                      <w:sz w:val="21"/>
                    </w:rPr>
                    <w:t>ML）</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w:t>
                  </w:r>
                </w:p>
                <w:p>
                  <w:pPr>
                    <w:pStyle w:val="null3"/>
                    <w:jc w:val="center"/>
                  </w:pPr>
                  <w:r>
                    <w:rPr>
                      <w:sz w:val="21"/>
                    </w:rPr>
                    <w:t>公园</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中心区</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绿野仙道</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248</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4500</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w:t>
                  </w:r>
                </w:p>
                <w:p>
                  <w:pPr>
                    <w:pStyle w:val="null3"/>
                    <w:jc w:val="center"/>
                  </w:pPr>
                  <w:r>
                    <w:rPr>
                      <w:sz w:val="21"/>
                    </w:rPr>
                    <w:t>公园</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中心区</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六祖大道</w:t>
                  </w:r>
                  <w:r>
                    <w:rPr>
                      <w:sz w:val="21"/>
                    </w:rPr>
                    <w:t>1</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434</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3500</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w:t>
                  </w:r>
                </w:p>
                <w:p>
                  <w:pPr>
                    <w:pStyle w:val="null3"/>
                    <w:jc w:val="center"/>
                  </w:pPr>
                  <w:r>
                    <w:rPr>
                      <w:sz w:val="21"/>
                    </w:rPr>
                    <w:t>公园</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中心区</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六祖大道</w:t>
                  </w:r>
                  <w:r>
                    <w:rPr>
                      <w:sz w:val="21"/>
                    </w:rPr>
                    <w:t>2</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206</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2000</w:t>
                  </w:r>
                </w:p>
              </w:tc>
            </w:tr>
            <w:tr>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888</w:t>
                  </w:r>
                </w:p>
              </w:tc>
              <w:tc>
                <w:tcPr>
                  <w:tcW w:type="dxa" w:w="6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10000</w:t>
                  </w:r>
                </w:p>
              </w:tc>
            </w:tr>
          </w:tbl>
          <w:p>
            <w:pPr>
              <w:pStyle w:val="null3"/>
              <w:ind w:firstLine="428"/>
              <w:jc w:val="both"/>
            </w:pPr>
            <w:r>
              <w:rPr>
                <w:sz w:val="21"/>
              </w:rPr>
              <w:t>（</w:t>
            </w:r>
            <w:r>
              <w:rPr>
                <w:sz w:val="21"/>
              </w:rPr>
              <w:t>3）及时封孔：待药剂不再被树木吸收后，立即用封孔剂或石蜡封堵孔口，防止病菌侵入与药剂挥发，保障防治效果。</w:t>
            </w:r>
          </w:p>
          <w:p>
            <w:pPr>
              <w:pStyle w:val="null3"/>
              <w:ind w:firstLine="420"/>
              <w:jc w:val="both"/>
            </w:pPr>
            <w:r>
              <w:rPr>
                <w:sz w:val="21"/>
              </w:rPr>
              <w:t>★</w:t>
            </w:r>
            <w:r>
              <w:rPr>
                <w:sz w:val="21"/>
              </w:rPr>
              <w:t>（</w:t>
            </w:r>
            <w:r>
              <w:rPr>
                <w:sz w:val="21"/>
              </w:rPr>
              <w:t>4）药</w:t>
            </w:r>
            <w:r>
              <w:rPr>
                <w:sz w:val="21"/>
              </w:rPr>
              <w:t>剂要求：</w:t>
            </w:r>
            <w:r>
              <w:rPr>
                <w:sz w:val="21"/>
              </w:rPr>
              <w:t>所有拟投药剂均须获得农业部的正式登记，签订合同时须提供有效期内拟投药剂《农药登记证》、《农药生产许可证》及《农药产品标准证》复印件</w:t>
            </w:r>
            <w:r>
              <w:rPr>
                <w:sz w:val="21"/>
              </w:rPr>
              <w:t>及</w:t>
            </w:r>
            <w:r>
              <w:rPr>
                <w:sz w:val="21"/>
              </w:rPr>
              <w:t>批次检测报告，提供药剂送货单及正规发药剂须符合农业农村部登记标签、林生发〔</w:t>
            </w:r>
            <w:r>
              <w:rPr>
                <w:sz w:val="21"/>
              </w:rPr>
              <w:t>2024〕78号、LY/T2422-2015及广东省相关技术规程要求，严禁使用未登记、标签不合格、过期或假冒伪劣药剂。</w:t>
            </w:r>
            <w:r>
              <w:rPr>
                <w:sz w:val="21"/>
              </w:rPr>
              <w:t>（提供承诺函，格式自拟）</w:t>
            </w:r>
          </w:p>
          <w:p>
            <w:pPr>
              <w:pStyle w:val="null3"/>
              <w:ind w:firstLine="442"/>
              <w:jc w:val="both"/>
            </w:pPr>
            <w:r>
              <w:rPr>
                <w:sz w:val="21"/>
                <w:b/>
              </w:rPr>
              <w:t>（</w:t>
            </w:r>
            <w:r>
              <w:rPr>
                <w:sz w:val="21"/>
                <w:b/>
              </w:rPr>
              <w:t>五</w:t>
            </w:r>
            <w:r>
              <w:rPr>
                <w:sz w:val="21"/>
                <w:b/>
              </w:rPr>
              <w:t>）</w:t>
            </w:r>
            <w:r>
              <w:rPr>
                <w:sz w:val="21"/>
                <w:b/>
              </w:rPr>
              <w:t>薇甘菊化学防治</w:t>
            </w:r>
          </w:p>
          <w:p>
            <w:pPr>
              <w:pStyle w:val="null3"/>
              <w:ind w:firstLine="428"/>
              <w:jc w:val="both"/>
            </w:pPr>
            <w:r>
              <w:rPr>
                <w:sz w:val="21"/>
              </w:rPr>
              <w:t>1、防治药剂</w:t>
            </w:r>
          </w:p>
          <w:p>
            <w:pPr>
              <w:pStyle w:val="null3"/>
              <w:ind w:firstLine="428"/>
              <w:jc w:val="both"/>
            </w:pPr>
            <w:r>
              <w:rPr>
                <w:sz w:val="21"/>
              </w:rPr>
              <w:t>在薇甘菊连片生长的地方，使用进行防治。在使用化学除草剂必须注意用药安全和生态安全，防止发生药物危害和生态灾害。</w:t>
            </w:r>
          </w:p>
          <w:p>
            <w:pPr>
              <w:pStyle w:val="null3"/>
              <w:ind w:firstLine="428"/>
              <w:jc w:val="both"/>
            </w:pPr>
            <w:r>
              <w:rPr>
                <w:sz w:val="21"/>
              </w:rPr>
              <w:t>2、除治方法</w:t>
            </w:r>
          </w:p>
          <w:p>
            <w:pPr>
              <w:pStyle w:val="null3"/>
              <w:ind w:firstLine="428"/>
              <w:jc w:val="both"/>
            </w:pPr>
            <w:r>
              <w:rPr>
                <w:sz w:val="21"/>
              </w:rPr>
              <w:t>（</w:t>
            </w:r>
            <w:r>
              <w:rPr>
                <w:sz w:val="21"/>
              </w:rPr>
              <w:t>1）定向喷雾法</w:t>
            </w:r>
          </w:p>
          <w:p>
            <w:pPr>
              <w:pStyle w:val="null3"/>
              <w:ind w:firstLine="428"/>
              <w:jc w:val="both"/>
            </w:pPr>
            <w:r>
              <w:rPr>
                <w:sz w:val="21"/>
              </w:rPr>
              <w:t>在防治时使用薇甘菊专用化学药剂，按药剂使用说明的比例兑水稀释，对薇甘菊茎叶进行均匀定向喷雾，喷至茎叶湿透为止，以充分发挥其内吸传导作用。</w:t>
            </w:r>
          </w:p>
          <w:p>
            <w:pPr>
              <w:pStyle w:val="null3"/>
              <w:ind w:firstLine="428"/>
              <w:jc w:val="both"/>
            </w:pPr>
            <w:r>
              <w:rPr>
                <w:sz w:val="21"/>
              </w:rPr>
              <w:t>（</w:t>
            </w:r>
            <w:r>
              <w:rPr>
                <w:sz w:val="21"/>
              </w:rPr>
              <w:t>2）施药时间：最佳用药时间是在薇甘菊生长旺盛期及花期未结种子前，即每年的5—11月为最佳时期，力求做到“一喷、二查、三灭杀”全面控制的效果。施药前注意天气预报，应选择无风或微风无雨的天气施药，并避免中午时施药。如喷后4—6小时内遇雨须补喷。</w:t>
            </w:r>
          </w:p>
          <w:p>
            <w:pPr>
              <w:pStyle w:val="null3"/>
              <w:ind w:firstLine="428"/>
              <w:jc w:val="both"/>
            </w:pPr>
            <w:r>
              <w:rPr>
                <w:sz w:val="21"/>
              </w:rPr>
              <w:t>（</w:t>
            </w:r>
            <w:r>
              <w:rPr>
                <w:sz w:val="21"/>
              </w:rPr>
              <w:t>3）施药工具：要达到既防治薇甘菊又对生态环境影响最小，且工作高效，使用机器动力喷雾器结合背负式手动喷雾器。</w:t>
            </w:r>
          </w:p>
          <w:p>
            <w:pPr>
              <w:pStyle w:val="null3"/>
              <w:ind w:firstLine="428"/>
              <w:jc w:val="both"/>
            </w:pPr>
            <w:r>
              <w:rPr>
                <w:sz w:val="21"/>
              </w:rPr>
              <w:t>（</w:t>
            </w:r>
            <w:r>
              <w:rPr>
                <w:sz w:val="21"/>
              </w:rPr>
              <w:t>4）施药剂量：施药量标准为100毫升/亩，具体作业分布及用量详见下表7。</w:t>
            </w:r>
          </w:p>
          <w:p>
            <w:pPr>
              <w:pStyle w:val="null3"/>
              <w:ind w:firstLine="392"/>
              <w:jc w:val="both"/>
            </w:pPr>
            <w:r>
              <w:rPr>
                <w:sz w:val="21"/>
              </w:rPr>
              <w:t>表</w:t>
            </w:r>
            <w:r>
              <w:rPr>
                <w:sz w:val="21"/>
              </w:rPr>
              <w:t>7薇甘菊作业分布及药剂用量表</w:t>
            </w:r>
          </w:p>
          <w:tbl>
            <w:tblPr>
              <w:tblInd w:type="dxa" w:w="105"/>
              <w:tblBorders>
                <w:top w:val="none" w:color="000000" w:sz="4"/>
                <w:left w:val="none" w:color="000000" w:sz="4"/>
                <w:bottom w:val="none" w:color="000000" w:sz="4"/>
                <w:right w:val="none" w:color="000000" w:sz="4"/>
                <w:insideH w:val="none"/>
                <w:insideV w:val="none"/>
              </w:tblBorders>
            </w:tblPr>
            <w:tblGrid>
              <w:gridCol w:w="465"/>
              <w:gridCol w:w="1260"/>
              <w:gridCol w:w="1395"/>
              <w:gridCol w:w="1080"/>
              <w:gridCol w:w="1335"/>
            </w:tblGrid>
            <w:tr>
              <w:tc>
                <w:tcPr>
                  <w:tcW w:type="dxa" w:w="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12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林场</w:t>
                  </w:r>
                </w:p>
              </w:tc>
              <w:tc>
                <w:tcPr>
                  <w:tcW w:type="dxa" w:w="1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薇甘菊防治面积（亩）</w:t>
                  </w:r>
                </w:p>
              </w:tc>
              <w:tc>
                <w:tcPr>
                  <w:tcW w:type="dxa" w:w="10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亩均药用量（</w:t>
                  </w:r>
                  <w:r>
                    <w:rPr>
                      <w:sz w:val="21"/>
                    </w:rPr>
                    <w:t>ml/亩）</w:t>
                  </w:r>
                </w:p>
              </w:tc>
              <w:tc>
                <w:tcPr>
                  <w:tcW w:type="dxa" w:w="13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总用量（</w:t>
                  </w:r>
                  <w:r>
                    <w:rPr>
                      <w:sz w:val="21"/>
                    </w:rPr>
                    <w:t>ml）</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大云雾林场</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1919</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191900</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龙埇林场</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1890</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189000</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同乐林场</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11000</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水台林场</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1231</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123100</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南山森林公园</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25000</w:t>
                  </w:r>
                </w:p>
              </w:tc>
            </w:tr>
            <w:tr>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合计</w:t>
                  </w:r>
                </w:p>
              </w:tc>
              <w:tc>
                <w:tcPr>
                  <w:tcW w:type="dxa" w:w="1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5400</w:t>
                  </w:r>
                </w:p>
              </w:tc>
              <w:tc>
                <w:tcPr>
                  <w:tcW w:type="dxa" w:w="10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540000</w:t>
                  </w:r>
                </w:p>
              </w:tc>
            </w:tr>
          </w:tbl>
          <w:p>
            <w:pPr>
              <w:pStyle w:val="null3"/>
            </w:pPr>
            <w:r>
              <w:rPr>
                <w:sz w:val="21"/>
              </w:rPr>
              <w:t>★</w:t>
            </w:r>
            <w:r>
              <w:rPr>
                <w:sz w:val="21"/>
              </w:rPr>
              <w:t>（</w:t>
            </w:r>
            <w:r>
              <w:rPr>
                <w:sz w:val="21"/>
              </w:rPr>
              <w:t>5）药剂要求：</w:t>
            </w:r>
            <w:r>
              <w:rPr>
                <w:sz w:val="21"/>
              </w:rPr>
              <w:t>所有拟投药剂均须获得农业部的正式登记，签订合同时须提供有效期内拟投药剂《农药登记证》、《农药生产许可证》及《农药产品标准证》复印件</w:t>
            </w:r>
            <w:r>
              <w:rPr>
                <w:sz w:val="21"/>
              </w:rPr>
              <w:t>及</w:t>
            </w:r>
            <w:r>
              <w:rPr>
                <w:sz w:val="21"/>
              </w:rPr>
              <w:t>批次检测报告，提供药剂送货单及正规发药剂须符合农业农村部登记标签、林生发〔</w:t>
            </w:r>
            <w:r>
              <w:rPr>
                <w:sz w:val="21"/>
              </w:rPr>
              <w:t>2024〕78号、LY/T2422-2015及广东省相关技术规程要求，严禁使用未登记、标签不合格、过期或假冒伪劣药剂。</w:t>
            </w:r>
            <w:r>
              <w:rPr>
                <w:sz w:val="21"/>
              </w:rPr>
              <w:t>（提供承诺函，格式自拟）</w:t>
            </w:r>
          </w:p>
        </w:tc>
      </w:tr>
      <w:tr>
        <w:tc>
          <w:tcPr>
            <w:tcW w:type="dxa" w:w="2076"/>
          </w:tcPr>
          <w:p/>
        </w:tc>
        <w:tc>
          <w:tcPr>
            <w:tcW w:type="dxa" w:w="415"/>
          </w:tcPr>
          <w:p>
            <w:pPr>
              <w:pStyle w:val="null3"/>
            </w:pPr>
            <w:r>
              <w:rPr/>
              <w:t>5</w:t>
            </w:r>
          </w:p>
        </w:tc>
        <w:tc>
          <w:tcPr>
            <w:tcW w:type="dxa" w:w="5814"/>
          </w:tcPr>
          <w:p>
            <w:pPr>
              <w:pStyle w:val="null3"/>
              <w:ind w:firstLine="420"/>
            </w:pPr>
            <w:r>
              <w:rPr>
                <w:sz w:val="21"/>
              </w:rPr>
              <w:t>五</w:t>
            </w:r>
            <w:r>
              <w:rPr>
                <w:sz w:val="21"/>
              </w:rPr>
              <w:t>、项目实施期限</w:t>
            </w:r>
          </w:p>
          <w:p>
            <w:pPr>
              <w:pStyle w:val="null3"/>
              <w:ind w:firstLine="420"/>
            </w:pPr>
            <w:r>
              <w:rPr>
                <w:sz w:val="21"/>
              </w:rPr>
              <w:t>监测区全松林监测、选择清除、全面清除、打孔注药和薇甘菊防治，实行一年期限绩效承包制，防治施工时间于</w:t>
            </w:r>
            <w:r>
              <w:rPr>
                <w:sz w:val="21"/>
              </w:rPr>
              <w:t>自合同签订之日起至</w:t>
            </w:r>
            <w:r>
              <w:rPr>
                <w:sz w:val="21"/>
              </w:rPr>
              <w:t>2027</w:t>
            </w:r>
            <w:r>
              <w:rPr>
                <w:sz w:val="21"/>
              </w:rPr>
              <w:t>年</w:t>
            </w:r>
            <w:r>
              <w:rPr>
                <w:sz w:val="21"/>
              </w:rPr>
              <w:t>5</w:t>
            </w:r>
            <w:r>
              <w:rPr>
                <w:sz w:val="21"/>
              </w:rPr>
              <w:t>月期间全面完成。实际项目建设时间，以中标</w:t>
            </w:r>
            <w:r>
              <w:rPr>
                <w:sz w:val="21"/>
              </w:rPr>
              <w:t>后</w:t>
            </w:r>
            <w:r>
              <w:rPr>
                <w:sz w:val="21"/>
              </w:rPr>
              <w:t>签合同规定的时间为准。</w:t>
            </w:r>
          </w:p>
          <w:p>
            <w:pPr>
              <w:pStyle w:val="null3"/>
            </w:pPr>
            <w:r>
              <w:rPr>
                <w:sz w:val="21"/>
              </w:rPr>
              <w:t>薇甘菊防治质保期：自单次防治验收合格之日起</w:t>
            </w:r>
            <w:r>
              <w:rPr>
                <w:sz w:val="21"/>
              </w:rPr>
              <w:t>6</w:t>
            </w:r>
            <w:r>
              <w:rPr>
                <w:sz w:val="21"/>
              </w:rPr>
              <w:t>个月。检查时间：首次检查：防治完成后</w:t>
            </w:r>
            <w:r>
              <w:rPr>
                <w:sz w:val="21"/>
              </w:rPr>
              <w:t>30</w:t>
            </w:r>
            <w:r>
              <w:rPr>
                <w:sz w:val="21"/>
              </w:rPr>
              <w:t>天；中期检查：防治完成后</w:t>
            </w:r>
            <w:r>
              <w:rPr>
                <w:sz w:val="21"/>
              </w:rPr>
              <w:t>90</w:t>
            </w:r>
            <w:r>
              <w:rPr>
                <w:sz w:val="21"/>
              </w:rPr>
              <w:t>天；最终核查：质保期满前</w:t>
            </w:r>
            <w:r>
              <w:rPr>
                <w:sz w:val="21"/>
              </w:rPr>
              <w:t>15</w:t>
            </w:r>
            <w:r>
              <w:rPr>
                <w:sz w:val="21"/>
              </w:rPr>
              <w:t>天。检查未合格的，</w:t>
            </w:r>
            <w:r>
              <w:rPr>
                <w:sz w:val="21"/>
              </w:rPr>
              <w:t>15</w:t>
            </w:r>
            <w:r>
              <w:rPr>
                <w:sz w:val="21"/>
              </w:rPr>
              <w:t>天内进行二次补喷；二次防治所需药剂、人工费用全部由</w:t>
            </w:r>
            <w:r>
              <w:rPr>
                <w:sz w:val="21"/>
              </w:rPr>
              <w:t>中标供应商</w:t>
            </w:r>
            <w:r>
              <w:rPr>
                <w:sz w:val="21"/>
              </w:rPr>
              <w:t>承担，直至达标。</w:t>
            </w:r>
          </w:p>
        </w:tc>
      </w:tr>
      <w:tr>
        <w:tc>
          <w:tcPr>
            <w:tcW w:type="dxa" w:w="2076"/>
          </w:tcPr>
          <w:p/>
        </w:tc>
        <w:tc>
          <w:tcPr>
            <w:tcW w:type="dxa" w:w="415"/>
          </w:tcPr>
          <w:p>
            <w:pPr>
              <w:pStyle w:val="null3"/>
            </w:pPr>
            <w:r>
              <w:rPr/>
              <w:t>6</w:t>
            </w:r>
          </w:p>
        </w:tc>
        <w:tc>
          <w:tcPr>
            <w:tcW w:type="dxa" w:w="5814"/>
          </w:tcPr>
          <w:p>
            <w:pPr>
              <w:pStyle w:val="null3"/>
            </w:pPr>
            <w:r>
              <w:rPr>
                <w:sz w:val="21"/>
              </w:rPr>
              <w:t>六</w:t>
            </w:r>
            <w:r>
              <w:rPr>
                <w:sz w:val="21"/>
              </w:rPr>
              <w:t>、防治进度计划</w:t>
            </w:r>
          </w:p>
          <w:p>
            <w:pPr>
              <w:pStyle w:val="null3"/>
            </w:pPr>
            <w:r>
              <w:rPr>
                <w:sz w:val="21"/>
              </w:rPr>
              <w:t>项目防治进度详见下表。</w:t>
            </w:r>
          </w:p>
          <w:p>
            <w:pPr>
              <w:pStyle w:val="null3"/>
            </w:pPr>
            <w:r>
              <w:rPr>
                <w:sz w:val="21"/>
              </w:rPr>
              <w:t xml:space="preserve">                               防治进度计划</w:t>
            </w:r>
          </w:p>
          <w:tbl>
            <w:tblPr>
              <w:tblInd w:type="dxa" w:w="105"/>
              <w:tblBorders>
                <w:top w:val="none" w:color="000000" w:sz="4"/>
                <w:left w:val="none" w:color="000000" w:sz="4"/>
                <w:bottom w:val="none" w:color="000000" w:sz="4"/>
                <w:right w:val="none" w:color="000000" w:sz="4"/>
                <w:insideH w:val="none"/>
                <w:insideV w:val="none"/>
              </w:tblBorders>
            </w:tblPr>
            <w:tblGrid>
              <w:gridCol w:w="431"/>
              <w:gridCol w:w="997"/>
              <w:gridCol w:w="1533"/>
              <w:gridCol w:w="2605"/>
            </w:tblGrid>
            <w:tr>
              <w:tc>
                <w:tcPr>
                  <w:tcW w:type="dxa" w:w="4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9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阶段</w:t>
                  </w:r>
                </w:p>
              </w:tc>
              <w:tc>
                <w:tcPr>
                  <w:tcW w:type="dxa" w:w="15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时间</w:t>
                  </w:r>
                </w:p>
              </w:tc>
              <w:tc>
                <w:tcPr>
                  <w:tcW w:type="dxa" w:w="26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建设内容</w:t>
                  </w:r>
                </w:p>
              </w:tc>
            </w:tr>
            <w:tr>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w:t>
                  </w:r>
                </w:p>
                <w:p>
                  <w:pPr>
                    <w:pStyle w:val="null3"/>
                    <w:jc w:val="both"/>
                  </w:pPr>
                  <w:r>
                    <w:rPr>
                      <w:sz w:val="21"/>
                    </w:rPr>
                    <w:t>目实施</w:t>
                  </w: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2026年</w:t>
                  </w:r>
                  <w:r>
                    <w:rPr>
                      <w:sz w:val="21"/>
                    </w:rPr>
                    <w:t>7</w:t>
                  </w:r>
                  <w:r>
                    <w:rPr>
                      <w:sz w:val="21"/>
                    </w:rPr>
                    <w:t>月</w:t>
                  </w:r>
                  <w:r>
                    <w:rPr>
                      <w:sz w:val="21"/>
                    </w:rPr>
                    <w:t>—2027年5月</w:t>
                  </w:r>
                </w:p>
              </w:tc>
              <w:tc>
                <w:tcPr>
                  <w:tcW w:type="dxa" w:w="2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开展项目实施。</w:t>
                  </w:r>
                </w:p>
              </w:tc>
            </w:tr>
            <w:tr>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w:t>
                  </w:r>
                </w:p>
                <w:p>
                  <w:pPr>
                    <w:pStyle w:val="null3"/>
                    <w:jc w:val="both"/>
                  </w:pPr>
                  <w:r>
                    <w:rPr>
                      <w:sz w:val="21"/>
                    </w:rPr>
                    <w:t>目验收</w:t>
                  </w:r>
                </w:p>
              </w:tc>
              <w:tc>
                <w:tcPr>
                  <w:tcW w:type="dxa" w:w="1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2027年5月</w:t>
                  </w:r>
                </w:p>
              </w:tc>
              <w:tc>
                <w:tcPr>
                  <w:tcW w:type="dxa" w:w="26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开展竣工验收，整改发现问题，整理项目档案。</w:t>
                  </w:r>
                </w:p>
              </w:tc>
            </w:tr>
          </w:tbl>
          <w:p/>
        </w:tc>
      </w:tr>
      <w:tr>
        <w:tc>
          <w:tcPr>
            <w:tcW w:type="dxa" w:w="2076"/>
          </w:tcPr>
          <w:p>
            <w:pPr>
              <w:pStyle w:val="null3"/>
            </w:pPr>
            <w:r>
              <w:rPr/>
              <w:t>★</w:t>
            </w:r>
          </w:p>
        </w:tc>
        <w:tc>
          <w:tcPr>
            <w:tcW w:type="dxa" w:w="415"/>
          </w:tcPr>
          <w:p>
            <w:pPr>
              <w:pStyle w:val="null3"/>
            </w:pPr>
            <w:r>
              <w:rPr/>
              <w:t>7</w:t>
            </w:r>
          </w:p>
        </w:tc>
        <w:tc>
          <w:tcPr>
            <w:tcW w:type="dxa" w:w="5814"/>
          </w:tcPr>
          <w:p>
            <w:pPr>
              <w:pStyle w:val="null3"/>
              <w:ind w:firstLine="420"/>
            </w:pPr>
            <w:r>
              <w:rPr>
                <w:sz w:val="21"/>
              </w:rPr>
              <w:t>★</w:t>
            </w:r>
            <w:r>
              <w:rPr>
                <w:sz w:val="21"/>
              </w:rPr>
              <w:t>七、违约责任</w:t>
            </w:r>
            <w:r>
              <w:rPr>
                <w:sz w:val="21"/>
              </w:rPr>
              <w:t>（投标时需提供承诺函，格式自拟。）</w:t>
            </w:r>
          </w:p>
          <w:p>
            <w:pPr>
              <w:pStyle w:val="null3"/>
            </w:pPr>
            <w:r>
              <w:rPr>
                <w:sz w:val="21"/>
              </w:rPr>
              <w:t>因</w:t>
            </w:r>
            <w:r>
              <w:rPr>
                <w:sz w:val="21"/>
              </w:rPr>
              <w:t>中标</w:t>
            </w:r>
            <w:r>
              <w:rPr>
                <w:sz w:val="21"/>
              </w:rPr>
              <w:t>人原因不能按合同约定的日期竣工的，超过合同规定竣工日期，</w:t>
            </w:r>
            <w:r>
              <w:rPr>
                <w:sz w:val="21"/>
              </w:rPr>
              <w:t>中标</w:t>
            </w:r>
            <w:r>
              <w:rPr>
                <w:sz w:val="21"/>
              </w:rPr>
              <w:t>人</w:t>
            </w:r>
            <w:r>
              <w:rPr>
                <w:sz w:val="21"/>
              </w:rPr>
              <w:t>每日</w:t>
            </w:r>
            <w:r>
              <w:rPr>
                <w:sz w:val="21"/>
              </w:rPr>
              <w:t>按</w:t>
            </w:r>
            <w:r>
              <w:rPr>
                <w:sz w:val="21"/>
              </w:rPr>
              <w:t>合同总价</w:t>
            </w:r>
            <w:r>
              <w:rPr>
                <w:sz w:val="21"/>
              </w:rPr>
              <w:t>1</w:t>
            </w:r>
            <w:r>
              <w:rPr>
                <w:sz w:val="21"/>
              </w:rPr>
              <w:t>‰</w:t>
            </w:r>
            <w:r>
              <w:rPr>
                <w:sz w:val="21"/>
              </w:rPr>
              <w:t>支付违约金，直至竣工验收日止；最高赔偿金额不超过合同总价的</w:t>
            </w:r>
            <w:r>
              <w:rPr>
                <w:sz w:val="21"/>
              </w:rPr>
              <w:t>5</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1.采购代理机构：本项目是指云浮市泰宇招标采购有限公司，负责整个采购活动的组织，依法负责编制和发布磋商文件，对磋商文件拥有最终的解释权，不以任何身份出任磋商小组成员。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云浮市国有林场和森林公园管理总站</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中华人民共和国国家发展计划委员会颁发的计价格[2002]1980号文《招标代理服务收费管理暂行办法》及国家发改委[2003]857号及发改价格[2011]534号文件规定的“服务类”计费标准计费，且以中标（成交）供应商的成交金额作为计费基数。</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查，1.如供应商异常低价报价，评标委员会(评审小组)将启动异常低价投标(响应)审查，要求相关供应商在评审现场合理的时间内提供书面说明及必要的证明材料，对投标(响应)价格作出解释。供应商应在评标(审)现场合理的时间内提供书面说明。对完成该项目(包组)发生的全部报价进行分析，包括但不限于各种人工费、管理费、风险责任金、机械以及材料、税费等各项费用，并逐一提供佐证材料。佐证材料包括但不限于:1人员工资明细表;2相关管理费;3以往同类服务项目的合同及中标(成交)通知书(或交易发票)。注:上述罗列的费用，如实际并未发生，则无须提供对应的成本分析及证明材料，但供应商应提供说明。2.评审中出现下列情形之一的，评标委员会(评审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评审委员会基于专业判断，认为供应商报价过低，有可能影响产品质量或者不能诚信履约的其他情形。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云浮市泰宇招标采购有限公司</w:t>
      </w:r>
      <w:r>
        <w:rPr/>
        <w:t>代收。具体操作要求详见</w:t>
      </w:r>
      <w:r>
        <w:rPr/>
        <w:t>云浮市泰宇招标采购有限公司</w:t>
      </w:r>
      <w:r>
        <w:rPr/>
        <w:t>有关指引，递交事宜请自行咨询</w:t>
      </w:r>
      <w:r>
        <w:rPr/>
        <w:t>云浮市泰宇招标采购有限公司</w:t>
      </w:r>
      <w:r>
        <w:rPr/>
        <w:t>；请各供应商在响应文件递交截止时间前按须知前附表规定的金额递交至</w:t>
      </w:r>
      <w:r>
        <w:rPr/>
        <w:t>云浮市泰宇招标采购有限公司</w:t>
      </w:r>
      <w:r>
        <w:rPr/>
        <w:t>，到账情况以开启时</w:t>
      </w:r>
      <w:r>
        <w:rPr/>
        <w:t>云浮市泰宇招标采购有限公司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0766-8861989</w:t>
      </w:r>
    </w:p>
    <w:p>
      <w:pPr>
        <w:pStyle w:val="null3"/>
        <w:ind w:firstLine="480"/>
      </w:pPr>
      <w:r>
        <w:rPr/>
        <w:t>传真：</w:t>
      </w:r>
      <w:r>
        <w:rPr/>
        <w:t>/</w:t>
      </w:r>
    </w:p>
    <w:p>
      <w:pPr>
        <w:pStyle w:val="null3"/>
        <w:ind w:firstLine="480"/>
      </w:pPr>
      <w:r>
        <w:rPr/>
        <w:t>邮箱：</w:t>
      </w:r>
      <w:r>
        <w:rPr/>
        <w:t>yfty8861989@163.com</w:t>
      </w:r>
    </w:p>
    <w:p>
      <w:pPr>
        <w:pStyle w:val="null3"/>
        <w:ind w:firstLine="480"/>
      </w:pPr>
      <w:r>
        <w:rPr/>
        <w:t>地址：</w:t>
      </w:r>
      <w:r>
        <w:rPr/>
        <w:t>云浮市云城区金丰路8号8楼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云浮市市属国有林场2026年中央财政林草有害生物防治项目(二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云浮市泰宇招标采购有限公司</w:t>
      </w:r>
      <w:r>
        <w:rPr/>
        <w:t>统一对外发布。</w:t>
      </w:r>
    </w:p>
    <w:p>
      <w:pPr>
        <w:pStyle w:val="null3"/>
        <w:ind w:firstLine="480"/>
      </w:pPr>
      <w:r>
        <w:rPr/>
        <w:t>（2）对</w:t>
      </w:r>
      <w:r>
        <w:rPr/>
        <w:t>云浮市泰宇招标采购有限公司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采购包1（云浮市市属国有林场2026年中央财政林草有害生物防治项目(二次)）：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采购包1（云浮市市属国有林场2026年中央财政林草有害生物防治项目(二次)）：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（需提供承诺函或声明函，格式自拟）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（需提供承诺函或声明函，格式自拟）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（需提供承诺函或声明函，格式自拟）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需提供承诺函或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供应商资质要求</w:t>
            </w:r>
          </w:p>
        </w:tc>
        <w:tc>
          <w:tcPr>
            <w:tcW w:type="dxa" w:w="4238"/>
          </w:tcPr>
          <w:p>
            <w:pPr>
              <w:pStyle w:val="null3"/>
            </w:pPr>
            <w:r>
              <w:rPr/>
              <w:t>供应商需具有有效期内的林业有害生物防治组织丙级（或以上）资质证书。（需提供证书复印件并加盖公章）。</w:t>
            </w:r>
          </w:p>
        </w:tc>
      </w:tr>
      <w:tr>
        <w:tc>
          <w:tcPr>
            <w:tcW w:type="dxa" w:w="890"/>
          </w:tcPr>
          <w:p>
            <w:pPr>
              <w:pStyle w:val="null3"/>
            </w:pPr>
            <w:r>
              <w:rPr/>
              <w:t>9</w:t>
            </w:r>
          </w:p>
        </w:tc>
        <w:tc>
          <w:tcPr>
            <w:tcW w:type="dxa" w:w="3178"/>
          </w:tcPr>
          <w:p>
            <w:pPr>
              <w:pStyle w:val="null3"/>
            </w:pPr>
            <w:r>
              <w:rPr/>
              <w:t>投标要求</w:t>
            </w:r>
          </w:p>
        </w:tc>
        <w:tc>
          <w:tcPr>
            <w:tcW w:type="dxa" w:w="4238"/>
          </w:tcPr>
          <w:p>
            <w:pPr>
              <w:pStyle w:val="null3"/>
            </w:pPr>
            <w:r>
              <w:rPr/>
              <w:t>本项目不接受联合体投标，不允许对项目转包、分包。（需提供承诺函或声明函，格式自拟）。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本项目属于专门面向中小企业采购的项目。（提供中小企业声明函）；本项目采购标的对应的中小企业划分标准所属行业：“农、林、牧、渔业”。</w:t>
            </w:r>
          </w:p>
        </w:tc>
      </w:tr>
    </w:tbl>
    <w:p>
      <w:pPr>
        <w:pStyle w:val="null3"/>
        <w:ind w:firstLine="480"/>
      </w:pPr>
      <w:r>
        <w:rPr/>
        <w:t>表二符合性审查表：</w:t>
      </w:r>
    </w:p>
    <w:p>
      <w:pPr>
        <w:pStyle w:val="null3"/>
      </w:pPr>
      <w:r>
        <w:rPr/>
        <w:t>采购包1（云浮市市属国有林场2026年中央财政林草有害生物防治项目(二次)）：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投标报价是固定价且是唯一的，投标报价未超过本项目的预算金额。</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响应有效期满足竞争性磋商文件要求。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提交法定代表人证明书及法定代表人授权书，按对应格式文件签署、盖章。</w:t>
            </w:r>
          </w:p>
        </w:tc>
      </w:tr>
      <w:tr>
        <w:tc>
          <w:tcPr>
            <w:tcW w:type="dxa" w:w="890"/>
          </w:tcPr>
          <w:p>
            <w:pPr>
              <w:pStyle w:val="null3"/>
            </w:pPr>
            <w:r>
              <w:rPr/>
              <w:t>4</w:t>
            </w:r>
          </w:p>
        </w:tc>
        <w:tc>
          <w:tcPr>
            <w:tcW w:type="dxa" w:w="3178"/>
          </w:tcPr>
          <w:p>
            <w:pPr>
              <w:pStyle w:val="null3"/>
            </w:pPr>
            <w:r>
              <w:rPr/>
              <w:t>签署和盖章要求</w:t>
            </w:r>
          </w:p>
        </w:tc>
        <w:tc>
          <w:tcPr>
            <w:tcW w:type="dxa" w:w="4238"/>
          </w:tcPr>
          <w:p>
            <w:pPr>
              <w:pStyle w:val="null3"/>
            </w:pPr>
            <w:r>
              <w:rPr/>
              <w:t>响应文件符合竞争性磋商文件的签署和盖章要求。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响应文件满足采购需求带“★”号条款要求。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采购包1(云浮市市属国有林场2026年中央财政林草有害生物防治项目(二次)):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项目组织实施方案 (10.0分)</w:t>
            </w:r>
          </w:p>
        </w:tc>
        <w:tc>
          <w:tcPr>
            <w:tcW w:type="dxa" w:w="5076"/>
          </w:tcPr>
          <w:p>
            <w:pPr>
              <w:pStyle w:val="null3"/>
              <w:jc w:val="left"/>
            </w:pPr>
            <w:r>
              <w:rPr/>
              <w:t>根据投标人提供的项目组织实施方案进行评审(包括①工作目标、②预防实施方案等)： 1、项目组织实施方案涵盖上述2项内容且内容全面，内容详细，可行性强，完全满足且优于采购需求的，得10分； 2、项目组织实施方案涵盖上述2项内容且较全面，可行性较强，完全满足采购需求的，得6分； 3、项目组织实施方案涵盖上述2项内容但不全面，可行性一般，不完全满足采购需求的，得3分； 4、无或其他情形的不得分。</w:t>
            </w:r>
          </w:p>
        </w:tc>
      </w:tr>
      <w:tr>
        <w:tc>
          <w:tcPr>
            <w:tcW w:type="dxa" w:w="922"/>
            <w:gridSpan w:val="2"/>
            <w:vMerge/>
          </w:tcPr>
          <w:p/>
        </w:tc>
        <w:tc>
          <w:tcPr>
            <w:tcW w:type="dxa" w:w="2307"/>
          </w:tcPr>
          <w:p>
            <w:pPr>
              <w:pStyle w:val="null3"/>
              <w:jc w:val="left"/>
            </w:pPr>
            <w:r>
              <w:rPr/>
              <w:t>对项目的熟悉程度及重难点分析 (12.0分)</w:t>
            </w:r>
          </w:p>
        </w:tc>
        <w:tc>
          <w:tcPr>
            <w:tcW w:type="dxa" w:w="5076"/>
          </w:tcPr>
          <w:p>
            <w:pPr>
              <w:pStyle w:val="null3"/>
              <w:jc w:val="left"/>
            </w:pPr>
            <w:r>
              <w:rPr/>
              <w:t>根据投标人提供的对项目的熟悉程度及重难点分析(包括①对项目的熟悉程度；②对项目重难点分析；③应对措施)进行评审： 1、投标人对项目的熟悉程度及重难点分析详细，可行性高，得12分； 2、投标人对项目的熟悉程度及重难点分析较详细，可行性较高，得8分； 3、投标人对项目的熟悉程度及重难点分析不够详细，可行性较低，得4分； 4、投标人未提供上述相关内容或其他情形，不得分。</w:t>
            </w:r>
          </w:p>
        </w:tc>
      </w:tr>
      <w:tr>
        <w:tc>
          <w:tcPr>
            <w:tcW w:type="dxa" w:w="922"/>
            <w:gridSpan w:val="2"/>
            <w:vMerge/>
          </w:tcPr>
          <w:p/>
        </w:tc>
        <w:tc>
          <w:tcPr>
            <w:tcW w:type="dxa" w:w="2307"/>
          </w:tcPr>
          <w:p>
            <w:pPr>
              <w:pStyle w:val="null3"/>
              <w:jc w:val="left"/>
            </w:pPr>
            <w:r>
              <w:rPr/>
              <w:t>项目防治方案 (9.0分)</w:t>
            </w:r>
          </w:p>
        </w:tc>
        <w:tc>
          <w:tcPr>
            <w:tcW w:type="dxa" w:w="5076"/>
          </w:tcPr>
          <w:p>
            <w:pPr>
              <w:pStyle w:val="null3"/>
              <w:jc w:val="left"/>
            </w:pPr>
            <w:r>
              <w:rPr/>
              <w:t>根据供应商提供的项目防治方案进行评审(包括①使用的药物、②技术方法、③操作流程等3项内容)： 1、方案涵盖上述3项内容且描述严谨、详细完整、对防治措施针对性强，工作方法清晰科学可行、操作性强，完全满足且优于采购需求得9分； 2、方案涵盖上述3项内容且描述完整但不具严谨度、具有一定的合理性、对防治措施针对性较强，工作方法较清晰科学可行，操作性较强，完全满足采购需求得7分； 3、方案涵盖上述3项内容且描述清晰、但完整度不高、对防治措施合理性一般、具有一定的可操作性，部分满足采购需求得5分； 4、方案涵盖上述3项内容但描述不清晰，对防治措施合理性不高、操作性差，得2分； 5、无或其他情形的不得分。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根据用户需求书中“防治技术措施”的内容，供应商对该内容提供的质量保证措施进行评审(包括①质量目标管理、②质量监管措施、③质量控制方式等3项内容)： 1、质量保证措施涵盖上述3项内容且描述严谨、项目质量管理及保障措施方案详细完整、科学合理、操作性强，完全满足且优于采购需求得6分； 2、质量保证措施涵盖上述3项内容且描述完整但不具严谨度、项目质量管理及保障措施方案具有一定的合理性、操作性较强，完全满足采购需求得5分； 3、质量保证措施涵盖上述3项内容且描述清晰、但完整度不高、项目质量管理及保障措施合理性一般、具有一定的可操作性，部分满足采购需求得4分； 4、质量保证措施涵盖上述3项内容但描述不清晰，项目质量管理及保障措施合理性不高、操作性差，不完全满足采购需求得3分； 5、无或其他情形的不得分。</w:t>
            </w:r>
          </w:p>
        </w:tc>
      </w:tr>
      <w:tr>
        <w:tc>
          <w:tcPr>
            <w:tcW w:type="dxa" w:w="922"/>
            <w:gridSpan w:val="2"/>
            <w:vMerge/>
          </w:tcPr>
          <w:p/>
        </w:tc>
        <w:tc>
          <w:tcPr>
            <w:tcW w:type="dxa" w:w="2307"/>
          </w:tcPr>
          <w:p>
            <w:pPr>
              <w:pStyle w:val="null3"/>
              <w:jc w:val="left"/>
            </w:pPr>
            <w:r>
              <w:rPr/>
              <w:t>人员培训管理方案 (9.0分)</w:t>
            </w:r>
          </w:p>
        </w:tc>
        <w:tc>
          <w:tcPr>
            <w:tcW w:type="dxa" w:w="5076"/>
          </w:tcPr>
          <w:p>
            <w:pPr>
              <w:pStyle w:val="null3"/>
              <w:jc w:val="left"/>
            </w:pPr>
            <w:r>
              <w:rPr/>
              <w:t>根据供应商提供的人员培训管理方案进行评审(包括①在职培训内容、②实施培训方案、③内部培训编制情况等3项内容)： 1、人员培训管理方案涵盖上述3项内容且方案描述详细、科学，合理性高、符合采购需求，管理制度严谨可靠，可行性高，可操作性高，得9分； 2、人员培训管理方案涵盖上述3项内容且方案描述清晰、完整，具有一定的合理性、符合采购需求，管理制度清晰，具有一定的可行性，可操作性较高，得7分； 3、人员培训管理方案涵盖上述3项内容且方案描述清晰、但完整度不高，合理性一般、基本符合采购需求，管理制度清晰、可行性和可操作性一般，得5分； 4、人员培训管理方案涵盖上述3项内容但方案描述清晰度差，合理性一般、基本符合采购需求，管理制度不够清晰、可行性和可操作性较差，得3分； 5、无或其他情形的不得分。</w:t>
            </w:r>
          </w:p>
        </w:tc>
      </w:tr>
      <w:tr>
        <w:tc>
          <w:tcPr>
            <w:tcW w:type="dxa" w:w="922"/>
            <w:gridSpan w:val="2"/>
            <w:vMerge/>
          </w:tcPr>
          <w:p/>
        </w:tc>
        <w:tc>
          <w:tcPr>
            <w:tcW w:type="dxa" w:w="2307"/>
          </w:tcPr>
          <w:p>
            <w:pPr>
              <w:pStyle w:val="null3"/>
              <w:jc w:val="left"/>
            </w:pPr>
            <w:r>
              <w:rPr/>
              <w:t>机械设备、人力投入 (9.0分)</w:t>
            </w:r>
          </w:p>
        </w:tc>
        <w:tc>
          <w:tcPr>
            <w:tcW w:type="dxa" w:w="5076"/>
          </w:tcPr>
          <w:p>
            <w:pPr>
              <w:pStyle w:val="null3"/>
              <w:jc w:val="left"/>
            </w:pPr>
            <w:r>
              <w:rPr/>
              <w:t>根据供应商对本项目提出的机械设备、人力投入进行综合评分： 1、人力进退场时间、数量安排合理，工种配备完善，施工机械设备配置合理，性能优，得9分； 2、人力进退场时间、数量安排合理，工种配备较完善；施工机械设备配置较合理，性能良好，得7分； 3、人力进退场时间、数量安排合理，工种配备一般完善；施工机械设备配置一般合理，性能一般，得5分； 4、人力进退场时间、数量安排合理，工种配备不完善；施工机械设备配置不合理，性能差，得3分； （不提供方案的不得分）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2023年1月1日至今独立承接过的类似项目业绩(指有害生物防治类或与本项目采购需求有关的业绩),每提供一个得2分，最高得10分。备注：业绩时间以合同签订日期为准。需提供合同关键页(包括采购内容、签约日期、双方盖章)的复印件作为证明材料，无或未按要求提供证明材料的或提供资料不齐全的不得分。</w:t>
            </w:r>
          </w:p>
        </w:tc>
      </w:tr>
      <w:tr>
        <w:tc>
          <w:tcPr>
            <w:tcW w:type="dxa" w:w="922"/>
            <w:gridSpan w:val="2"/>
            <w:vMerge/>
          </w:tcPr>
          <w:p/>
        </w:tc>
        <w:tc>
          <w:tcPr>
            <w:tcW w:type="dxa" w:w="2307"/>
          </w:tcPr>
          <w:p>
            <w:pPr>
              <w:pStyle w:val="null3"/>
              <w:jc w:val="left"/>
            </w:pPr>
            <w:r>
              <w:rPr/>
              <w:t>项目负责人资历情况 (5.0分)</w:t>
            </w:r>
          </w:p>
        </w:tc>
        <w:tc>
          <w:tcPr>
            <w:tcW w:type="dxa" w:w="5076"/>
          </w:tcPr>
          <w:p>
            <w:pPr>
              <w:pStyle w:val="null3"/>
              <w:jc w:val="left"/>
            </w:pPr>
            <w:r>
              <w:rPr/>
              <w:t>拟投入本项目项目负责人(限1人)资历情况：1、具有林业工程师专业中级(或以上)职称的，得5分；最高得5分。注：需提供人员职称证书复印件和投标(响应)截止前3个月内任意1个月的社保证明文件，如退休人员须有退休证明。备注：1、须提供①职称证扫描件；②投标截止时间前三个月内任意一个月在投标单位购买社保证明；无或未按要求提供证明材料的或提供资料不齐全的不得分。</w:t>
            </w:r>
          </w:p>
        </w:tc>
      </w:tr>
      <w:tr>
        <w:tc>
          <w:tcPr>
            <w:tcW w:type="dxa" w:w="922"/>
            <w:gridSpan w:val="2"/>
            <w:vMerge/>
          </w:tcPr>
          <w:p/>
        </w:tc>
        <w:tc>
          <w:tcPr>
            <w:tcW w:type="dxa" w:w="2307"/>
          </w:tcPr>
          <w:p>
            <w:pPr>
              <w:pStyle w:val="null3"/>
              <w:jc w:val="left"/>
            </w:pPr>
            <w:r>
              <w:rPr/>
              <w:t>项目管理团队资历情况 (10.0分)</w:t>
            </w:r>
          </w:p>
        </w:tc>
        <w:tc>
          <w:tcPr>
            <w:tcW w:type="dxa" w:w="5076"/>
          </w:tcPr>
          <w:p>
            <w:pPr>
              <w:pStyle w:val="null3"/>
              <w:jc w:val="left"/>
            </w:pPr>
            <w:r>
              <w:rPr/>
              <w:t>拟投入本项目管理团队资历情况(项目负责人和项目技术负责人除外)：提供2名现场管理人员(提供员级（技术员）或以上证书)的得8分，在满足上述人员要求的基础上每增加一名（含员级或以上证书）的得2分，本项最高得10分。 备注：①上述人员不足2名不得分且不得兼任②须提供上述相关证书复印件、身份证、以及上述人员在投标截止前近三个月内任意一个月在本单位购买的社保证明。③上述证明材料均需加盖公章，不提供或不齐全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云浮市政府采购项目</w:t>
      </w:r>
    </w:p>
    <w:p>
      <w:pPr>
        <w:pStyle w:val="null3"/>
        <w:jc w:val="center"/>
      </w:pPr>
      <w:r>
        <w:rPr>
          <w:sz w:val="68"/>
        </w:rPr>
        <w:t>合</w:t>
      </w:r>
      <w:r>
        <w:rPr>
          <w:sz w:val="21"/>
        </w:rPr>
        <w:t xml:space="preserve"> </w:t>
      </w:r>
      <w:r>
        <w:rPr>
          <w:sz w:val="68"/>
        </w:rPr>
        <w:t>同</w:t>
      </w:r>
      <w:r>
        <w:rPr>
          <w:sz w:val="21"/>
        </w:rPr>
        <w:t xml:space="preserve"> </w:t>
      </w:r>
      <w:r>
        <w:rPr>
          <w:sz w:val="68"/>
        </w:rPr>
        <w:t>书</w:t>
      </w:r>
    </w:p>
    <w:p>
      <w:pPr>
        <w:pStyle w:val="null3"/>
        <w:spacing w:before="285"/>
        <w:ind w:firstLine="275"/>
        <w:jc w:val="center"/>
      </w:pPr>
      <w:r>
        <w:rPr>
          <w:sz w:val="32"/>
        </w:rPr>
        <w:t>（</w:t>
      </w:r>
      <w:r>
        <w:rPr>
          <w:sz w:val="32"/>
        </w:rPr>
        <w:t>服务类</w:t>
      </w:r>
      <w:r>
        <w:rPr>
          <w:sz w:val="32"/>
        </w:rPr>
        <w:t>）</w:t>
      </w:r>
    </w:p>
    <w:p>
      <w:pPr>
        <w:pStyle w:val="null3"/>
        <w:jc w:val="both"/>
      </w:pPr>
      <w:r>
        <w:rPr>
          <w:sz w:val="24"/>
          <w:b/>
        </w:rPr>
        <w:t>项目编号：</w:t>
      </w:r>
      <w:r>
        <w:rPr>
          <w:sz w:val="21"/>
          <w:b/>
          <w:u w:val="single"/>
        </w:rPr>
        <w:t xml:space="preserve">                      </w:t>
      </w:r>
    </w:p>
    <w:p>
      <w:pPr>
        <w:pStyle w:val="null3"/>
        <w:ind w:firstLine="2409"/>
        <w:jc w:val="both"/>
      </w:pPr>
      <w:r>
        <w:rPr>
          <w:sz w:val="24"/>
          <w:b/>
        </w:rPr>
        <w:t>项目名称：</w:t>
      </w:r>
      <w:r>
        <w:rPr>
          <w:sz w:val="21"/>
          <w:b/>
          <w:u w:val="single"/>
        </w:rPr>
        <w:t xml:space="preserve">                      </w:t>
      </w:r>
    </w:p>
    <w:p>
      <w:pPr>
        <w:pStyle w:val="null3"/>
        <w:jc w:val="center"/>
      </w:pPr>
      <w:r>
        <w:rPr>
          <w:sz w:val="28"/>
        </w:rPr>
        <w:t>甲</w:t>
      </w:r>
      <w:r>
        <w:rPr>
          <w:sz w:val="28"/>
        </w:rPr>
        <w:t xml:space="preserve">    </w:t>
      </w:r>
      <w:r>
        <w:rPr>
          <w:sz w:val="28"/>
        </w:rPr>
        <w:t>方：</w:t>
      </w:r>
      <w:r>
        <w:rPr>
          <w:sz w:val="21"/>
        </w:rPr>
        <w:t xml:space="preserve">  </w:t>
      </w:r>
      <w:r>
        <w:rPr>
          <w:sz w:val="28"/>
          <w:u w:val="single"/>
        </w:rPr>
        <w:t>采购人名称</w:t>
      </w:r>
      <w:r>
        <w:rPr>
          <w:sz w:val="21"/>
          <w:u w:val="single"/>
        </w:rPr>
        <w:t xml:space="preserve">        </w:t>
      </w:r>
    </w:p>
    <w:p>
      <w:pPr>
        <w:pStyle w:val="null3"/>
        <w:jc w:val="left"/>
      </w:pPr>
      <w:r>
        <w:rPr>
          <w:sz w:val="28"/>
        </w:rPr>
        <w:t>乙</w:t>
      </w:r>
      <w:r>
        <w:rPr>
          <w:sz w:val="28"/>
        </w:rPr>
        <w:t xml:space="preserve">    </w:t>
      </w:r>
      <w:r>
        <w:rPr>
          <w:sz w:val="28"/>
        </w:rPr>
        <w:t>方：</w:t>
      </w:r>
      <w:r>
        <w:rPr>
          <w:sz w:val="28"/>
          <w:u w:val="single"/>
        </w:rPr>
        <w:t>(中标/成交供应商名称)</w:t>
      </w:r>
    </w:p>
    <w:p>
      <w:pPr>
        <w:pStyle w:val="null3"/>
        <w:jc w:val="left"/>
      </w:pPr>
      <w:r>
        <w:rPr>
          <w:sz w:val="28"/>
        </w:rPr>
        <w:t>签订日期：</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1"/>
          <w:u w:val="single"/>
        </w:rPr>
        <w:t xml:space="preserve">       </w:t>
      </w:r>
    </w:p>
    <w:p>
      <w:pPr>
        <w:pStyle w:val="null3"/>
        <w:jc w:val="both"/>
      </w:pPr>
      <w:r>
        <w:rPr>
          <w:sz w:val="21"/>
          <w:i/>
        </w:rPr>
        <w:t>注：本合同仅为合同的参考文本，可根据项目的具体要求进行修订。</w:t>
      </w:r>
    </w:p>
    <w:p>
      <w:pPr>
        <w:pStyle w:val="null3"/>
      </w:pPr>
      <w:r>
        <w:rPr>
          <w:sz w:val="44"/>
        </w:rPr>
        <w:t>云浮市政府采购项目合同书</w:t>
      </w:r>
    </w:p>
    <w:p>
      <w:pPr>
        <w:pStyle w:val="null3"/>
        <w:jc w:val="both"/>
      </w:pPr>
      <w:r>
        <w:rPr>
          <w:sz w:val="21"/>
          <w:b/>
        </w:rPr>
        <w:t>项目名称：</w:t>
      </w:r>
      <w:r>
        <w:rPr>
          <w:sz w:val="21"/>
          <w:b/>
        </w:rPr>
        <w:t xml:space="preserve">    </w:t>
      </w:r>
      <w:r>
        <w:rPr>
          <w:sz w:val="21"/>
          <w:u w:val="single"/>
        </w:rPr>
        <w:t xml:space="preserve">                                                 </w:t>
      </w:r>
      <w:r>
        <w:rPr>
          <w:sz w:val="21"/>
          <w:b/>
        </w:rPr>
        <w:t xml:space="preserve">     </w:t>
      </w:r>
    </w:p>
    <w:p>
      <w:pPr>
        <w:pStyle w:val="null3"/>
        <w:jc w:val="left"/>
      </w:pPr>
      <w:r>
        <w:rPr>
          <w:sz w:val="21"/>
          <w:b/>
        </w:rPr>
        <w:t>项目编号：</w:t>
      </w:r>
      <w:r>
        <w:rPr>
          <w:sz w:val="21"/>
          <w:b/>
        </w:rPr>
        <w:t xml:space="preserve">    </w:t>
      </w:r>
      <w:r>
        <w:rPr>
          <w:sz w:val="21"/>
          <w:u w:val="single"/>
        </w:rPr>
        <w:t xml:space="preserve">                                                 </w:t>
      </w:r>
    </w:p>
    <w:p>
      <w:pPr>
        <w:pStyle w:val="null3"/>
        <w:jc w:val="left"/>
      </w:pPr>
      <w:r>
        <w:rPr>
          <w:sz w:val="21"/>
          <w:b/>
        </w:rPr>
        <w:t>甲</w:t>
      </w:r>
      <w:r>
        <w:rPr>
          <w:sz w:val="21"/>
          <w:b/>
        </w:rPr>
        <w:t xml:space="preserve">    </w:t>
      </w:r>
      <w:r>
        <w:rPr>
          <w:sz w:val="21"/>
          <w:b/>
        </w:rPr>
        <w:t>方：</w:t>
      </w:r>
      <w:r>
        <w:rPr>
          <w:sz w:val="21"/>
          <w:b/>
        </w:rPr>
        <w:t xml:space="preserve">    </w:t>
      </w:r>
      <w:r>
        <w:rPr>
          <w:sz w:val="21"/>
          <w:u w:val="single"/>
        </w:rPr>
        <w:t>（采购人名称）</w:t>
      </w:r>
      <w:r>
        <w:rPr>
          <w:sz w:val="21"/>
          <w:u w:val="single"/>
        </w:rPr>
        <w:t xml:space="preserve">                                   </w:t>
      </w:r>
    </w:p>
    <w:p>
      <w:pPr>
        <w:pStyle w:val="null3"/>
        <w:jc w:val="left"/>
      </w:pPr>
      <w:r>
        <w:rPr>
          <w:sz w:val="21"/>
          <w:b/>
        </w:rPr>
        <w:t>乙</w:t>
      </w:r>
      <w:r>
        <w:rPr>
          <w:sz w:val="21"/>
          <w:b/>
        </w:rPr>
        <w:t xml:space="preserve">    </w:t>
      </w:r>
      <w:r>
        <w:rPr>
          <w:sz w:val="21"/>
          <w:b/>
        </w:rPr>
        <w:t>方：</w:t>
      </w:r>
      <w:r>
        <w:rPr>
          <w:sz w:val="21"/>
          <w:b/>
        </w:rPr>
        <w:t xml:space="preserve">   </w:t>
      </w:r>
      <w:r>
        <w:rPr>
          <w:sz w:val="21"/>
          <w:u w:val="single"/>
        </w:rPr>
        <w:t xml:space="preserve"> </w:t>
      </w:r>
      <w:r>
        <w:rPr>
          <w:sz w:val="21"/>
          <w:u w:val="single"/>
        </w:rPr>
        <w:t>（中标</w:t>
      </w:r>
      <w:r>
        <w:rPr>
          <w:sz w:val="21"/>
          <w:u w:val="single"/>
        </w:rPr>
        <w:t xml:space="preserve">/成交供应商）                              </w:t>
      </w:r>
    </w:p>
    <w:p>
      <w:pPr>
        <w:pStyle w:val="null3"/>
        <w:jc w:val="both"/>
      </w:pPr>
      <w:r>
        <w:rPr>
          <w:sz w:val="21"/>
          <w:b/>
        </w:rPr>
        <w:t>合同性质：</w:t>
      </w:r>
      <w:r>
        <w:rPr>
          <w:sz w:val="21"/>
          <w:b/>
        </w:rPr>
        <w:t xml:space="preserve">   </w:t>
      </w:r>
      <w:r>
        <w:rPr>
          <w:sz w:val="21"/>
          <w:u w:val="single"/>
        </w:rPr>
        <w:t xml:space="preserve"> </w:t>
      </w:r>
      <w:r>
        <w:rPr>
          <w:sz w:val="21"/>
          <w:u w:val="single"/>
        </w:rPr>
        <w:t>本合同为中小企业预留合同</w:t>
      </w:r>
      <w:r>
        <w:rPr>
          <w:sz w:val="21"/>
          <w:u w:val="single"/>
          <w:shd w:fill="FFFF00" w:val="clear"/>
        </w:rPr>
        <w:t>（非专门面向中小企业采购的请删除此项）</w:t>
      </w:r>
    </w:p>
    <w:p>
      <w:pPr>
        <w:pStyle w:val="null3"/>
        <w:ind w:firstLine="420"/>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w:t>
      </w:r>
      <w:r>
        <w:rPr>
          <w:sz w:val="21"/>
          <w:b/>
        </w:rPr>
        <w:t>项目主要内容及实现功能目标：</w:t>
      </w:r>
    </w:p>
    <w:p>
      <w:pPr>
        <w:pStyle w:val="null3"/>
        <w:jc w:val="both"/>
      </w:pPr>
      <w:r>
        <w:rPr>
          <w:sz w:val="21"/>
        </w:rPr>
        <w:t>（按照采购文件和投标</w:t>
      </w:r>
      <w:r>
        <w:rPr>
          <w:sz w:val="21"/>
        </w:rPr>
        <w:t>/响应文件执行）</w:t>
      </w:r>
    </w:p>
    <w:p>
      <w:pPr>
        <w:pStyle w:val="null3"/>
        <w:jc w:val="both"/>
      </w:pPr>
      <w:r>
        <w:rPr>
          <w:sz w:val="21"/>
          <w:b/>
        </w:rPr>
        <w:t>二、</w:t>
      </w:r>
      <w:r>
        <w:rPr>
          <w:sz w:val="21"/>
          <w:b/>
        </w:rPr>
        <w:t>产品及服务供应清单：</w:t>
      </w:r>
      <w:r>
        <w:rPr>
          <w:sz w:val="21"/>
        </w:rPr>
        <w:t xml:space="preserve"> </w:t>
      </w:r>
      <w:r>
        <w:rPr>
          <w:sz w:val="21"/>
        </w:rPr>
        <w:t>见附件一</w:t>
      </w:r>
      <w:r>
        <w:rPr>
          <w:sz w:val="21"/>
        </w:rPr>
        <w:t>《报价清单明细表》。</w:t>
      </w:r>
    </w:p>
    <w:p>
      <w:pPr>
        <w:pStyle w:val="null3"/>
        <w:jc w:val="both"/>
      </w:pPr>
      <w:r>
        <w:rPr>
          <w:sz w:val="21"/>
          <w:b/>
        </w:rPr>
        <w:t>三、</w:t>
      </w:r>
      <w:r>
        <w:rPr>
          <w:sz w:val="21"/>
          <w:b/>
        </w:rPr>
        <w:t>基本合同条款一览表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688"/>
        <w:gridCol w:w="1450"/>
        <w:gridCol w:w="6166"/>
      </w:tblGrid>
      <w:tr>
        <w:tc>
          <w:tcPr>
            <w:tcW w:type="dxa" w:w="68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序号</w:t>
            </w:r>
          </w:p>
        </w:tc>
        <w:tc>
          <w:tcPr>
            <w:tcW w:type="dxa" w:w="145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合同条款</w:t>
            </w:r>
          </w:p>
        </w:tc>
        <w:tc>
          <w:tcPr>
            <w:tcW w:type="dxa" w:w="616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内</w:t>
            </w:r>
            <w:r>
              <w:rPr>
                <w:sz w:val="21"/>
              </w:rPr>
              <w:t xml:space="preserve">  </w:t>
            </w:r>
            <w:r>
              <w:rPr>
                <w:sz w:val="21"/>
              </w:rPr>
              <w:t>容</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1.</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合同总额</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114"/>
              <w:jc w:val="both"/>
            </w:pPr>
            <w:r>
              <w:rPr>
                <w:sz w:val="21"/>
              </w:rPr>
              <w:t>人民币</w:t>
            </w:r>
            <w:r>
              <w:rPr>
                <w:sz w:val="21"/>
              </w:rPr>
              <w:t xml:space="preserve">  </w:t>
            </w:r>
            <w:r>
              <w:rPr>
                <w:sz w:val="21"/>
              </w:rPr>
              <w:t>小写</w:t>
            </w:r>
            <w:r>
              <w:rPr>
                <w:sz w:val="21"/>
              </w:rPr>
              <w:t>：</w:t>
            </w:r>
            <w:r>
              <w:rPr>
                <w:sz w:val="21"/>
                <w:u w:val="single"/>
              </w:rPr>
              <w:t xml:space="preserve">              </w:t>
            </w:r>
            <w:r>
              <w:rPr>
                <w:sz w:val="21"/>
              </w:rPr>
              <w:t>元；</w:t>
            </w:r>
          </w:p>
          <w:p>
            <w:pPr>
              <w:pStyle w:val="null3"/>
              <w:ind w:firstLine="114"/>
              <w:jc w:val="both"/>
            </w:pPr>
            <w:r>
              <w:rPr>
                <w:sz w:val="21"/>
              </w:rPr>
              <w:t>大写：</w:t>
            </w:r>
            <w:r>
              <w:rPr>
                <w:sz w:val="21"/>
                <w:u w:val="single"/>
              </w:rPr>
              <w:t xml:space="preserve">              </w:t>
            </w:r>
            <w:r>
              <w:rPr>
                <w:sz w:val="21"/>
                <w:u w:val="single"/>
              </w:rPr>
              <w:t xml:space="preserve">           </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2.</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合同总额内容</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left="555"/>
              <w:jc w:val="both"/>
            </w:pPr>
            <w:r>
              <w:rPr>
                <w:sz w:val="21"/>
              </w:rPr>
              <w:t>（</w:t>
            </w:r>
            <w:r>
              <w:rPr>
                <w:sz w:val="21"/>
              </w:rPr>
              <w:t>1）合同总额包括</w:t>
            </w:r>
            <w:r>
              <w:rPr>
                <w:sz w:val="21"/>
              </w:rPr>
              <w:t>......</w:t>
            </w:r>
            <w:r>
              <w:rPr>
                <w:sz w:val="21"/>
              </w:rPr>
              <w:t>、税费、合理利润、风险费用及合同实施</w:t>
            </w:r>
            <w:r>
              <w:rPr>
                <w:sz w:val="21"/>
              </w:rPr>
              <w:t>过</w:t>
            </w:r>
            <w:r>
              <w:rPr>
                <w:sz w:val="21"/>
              </w:rPr>
              <w:t>程中的不可预见费用等。</w:t>
            </w:r>
          </w:p>
          <w:p>
            <w:pPr>
              <w:pStyle w:val="null3"/>
              <w:jc w:val="both"/>
            </w:pPr>
            <w:r>
              <w:rPr>
                <w:sz w:val="21"/>
              </w:rPr>
              <w:t>（</w:t>
            </w:r>
            <w:r>
              <w:rPr>
                <w:sz w:val="21"/>
              </w:rPr>
              <w:t>2）价格为固定不变价，天数为公历日。</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3.</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项目服务地点</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甲方（用户）指定地点。详细地址为：</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4.</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shd w:fill="FFFFFE" w:val="clear"/>
              </w:rPr>
              <w:t>服务期</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合同生效后提供</w:t>
            </w:r>
            <w:r>
              <w:rPr>
                <w:sz w:val="21"/>
                <w:u w:val="single"/>
              </w:rPr>
              <w:t xml:space="preserve">   </w:t>
            </w:r>
            <w:r>
              <w:rPr>
                <w:sz w:val="21"/>
              </w:rPr>
              <w:t>年服务，即从</w:t>
            </w:r>
            <w:r>
              <w:rPr>
                <w:sz w:val="21"/>
                <w:u w:val="single"/>
              </w:rPr>
              <w:t xml:space="preserve">    </w:t>
            </w:r>
            <w:r>
              <w:rPr>
                <w:sz w:val="21"/>
              </w:rPr>
              <w:t>年</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rPr>
              <w:t>日至</w:t>
            </w:r>
            <w:r>
              <w:rPr>
                <w:sz w:val="21"/>
                <w:u w:val="single"/>
              </w:rPr>
              <w:t xml:space="preserve"> </w:t>
            </w:r>
            <w:r>
              <w:rPr>
                <w:sz w:val="21"/>
                <w:u w:val="single"/>
              </w:rPr>
              <w:t xml:space="preserve">  </w:t>
            </w:r>
            <w:r>
              <w:rPr>
                <w:sz w:val="21"/>
              </w:rPr>
              <w:t>年</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rPr>
              <w:t>日。</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5.</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shd w:fill="FFFFFE" w:val="clear"/>
              </w:rPr>
              <w:t>合同签订</w:t>
            </w:r>
            <w:r>
              <w:rPr>
                <w:sz w:val="21"/>
              </w:rPr>
              <w:t>方式及情况</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ind w:firstLine="134"/>
              <w:jc w:val="both"/>
            </w:pPr>
            <w:r>
              <w:rPr>
                <w:sz w:val="21"/>
              </w:rPr>
              <w:t>□</w:t>
            </w:r>
            <w:r>
              <w:rPr>
                <w:sz w:val="21"/>
              </w:rPr>
              <w:t xml:space="preserve"> </w:t>
            </w:r>
            <w:r>
              <w:rPr>
                <w:sz w:val="21"/>
              </w:rPr>
              <w:t>一次性签订本项目采购合同。</w:t>
            </w:r>
          </w:p>
          <w:p>
            <w:pPr>
              <w:pStyle w:val="null3"/>
              <w:ind w:firstLine="134"/>
              <w:jc w:val="both"/>
            </w:pPr>
            <w:r>
              <w:rPr>
                <w:sz w:val="21"/>
              </w:rPr>
              <w:t>□</w:t>
            </w:r>
            <w:r>
              <w:rPr>
                <w:sz w:val="21"/>
              </w:rPr>
              <w:t xml:space="preserve"> </w:t>
            </w:r>
            <w:r>
              <w:rPr>
                <w:sz w:val="21"/>
              </w:rPr>
              <w:t>本项目分</w:t>
            </w:r>
            <w:r>
              <w:rPr>
                <w:sz w:val="21"/>
                <w:u w:val="single"/>
              </w:rPr>
              <w:t xml:space="preserve">    </w:t>
            </w:r>
            <w:r>
              <w:rPr>
                <w:sz w:val="21"/>
              </w:rPr>
              <w:t>次签订合同，每次合同服务期为一年。本次情况如下：</w:t>
            </w:r>
          </w:p>
          <w:p>
            <w:pPr>
              <w:pStyle w:val="null3"/>
              <w:ind w:firstLine="118"/>
              <w:jc w:val="both"/>
            </w:pPr>
            <w:r>
              <w:rPr>
                <w:sz w:val="21"/>
              </w:rPr>
              <w:t>（</w:t>
            </w:r>
            <w:r>
              <w:rPr>
                <w:sz w:val="21"/>
              </w:rPr>
              <w:t>1）本次签订为第</w:t>
            </w:r>
            <w:r>
              <w:rPr>
                <w:sz w:val="21"/>
                <w:u w:val="single"/>
              </w:rPr>
              <w:t xml:space="preserve">   </w:t>
            </w:r>
            <w:r>
              <w:rPr>
                <w:sz w:val="21"/>
              </w:rPr>
              <w:t>次；</w:t>
            </w:r>
          </w:p>
          <w:p>
            <w:pPr>
              <w:pStyle w:val="null3"/>
              <w:ind w:firstLine="118"/>
              <w:jc w:val="both"/>
            </w:pPr>
            <w:r>
              <w:rPr>
                <w:sz w:val="21"/>
              </w:rPr>
              <w:t>（</w:t>
            </w:r>
            <w:r>
              <w:rPr>
                <w:sz w:val="21"/>
              </w:rPr>
              <w:t>2）本次合同金额为（大写）：</w:t>
            </w:r>
            <w:r>
              <w:rPr>
                <w:sz w:val="21"/>
                <w:u w:val="single"/>
              </w:rPr>
              <w:t xml:space="preserve">     </w:t>
            </w:r>
            <w:r>
              <w:rPr>
                <w:sz w:val="21"/>
              </w:rPr>
              <w:t>元，</w:t>
            </w:r>
            <w:r>
              <w:rPr>
                <w:sz w:val="21"/>
              </w:rPr>
              <w:t>（￥</w:t>
            </w:r>
            <w:r>
              <w:rPr>
                <w:sz w:val="21"/>
                <w:u w:val="single"/>
              </w:rPr>
              <w:t xml:space="preserve">        </w:t>
            </w:r>
            <w:r>
              <w:rPr>
                <w:sz w:val="21"/>
              </w:rPr>
              <w:t>元）；</w:t>
            </w:r>
          </w:p>
          <w:p>
            <w:pPr>
              <w:pStyle w:val="null3"/>
              <w:ind w:firstLine="118"/>
              <w:jc w:val="both"/>
            </w:pPr>
            <w:r>
              <w:rPr>
                <w:sz w:val="21"/>
              </w:rPr>
              <w:t>（</w:t>
            </w:r>
            <w:r>
              <w:rPr>
                <w:sz w:val="21"/>
              </w:rPr>
              <w:t>3）本次服务期起止时间：</w:t>
            </w:r>
            <w:r>
              <w:rPr>
                <w:sz w:val="21"/>
                <w:u w:val="single"/>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6.</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付款方式</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1"/>
              </w:rPr>
              <w:t>1.</w:t>
            </w:r>
            <w:r>
              <w:rPr>
                <w:sz w:val="21"/>
              </w:rPr>
              <w:t>自签订施工合同后</w:t>
            </w:r>
            <w:r>
              <w:rPr>
                <w:sz w:val="21"/>
              </w:rPr>
              <w:t>5</w:t>
            </w:r>
            <w:r>
              <w:rPr>
                <w:sz w:val="21"/>
              </w:rPr>
              <w:t>个工作日内，成交供应商可向采购人书面申请支付项目合同价总额的</w:t>
            </w:r>
            <w:r>
              <w:rPr>
                <w:sz w:val="21"/>
              </w:rPr>
              <w:t>30%</w:t>
            </w:r>
            <w:r>
              <w:rPr>
                <w:sz w:val="21"/>
              </w:rPr>
              <w:t>作为项目预付款。</w:t>
            </w:r>
          </w:p>
          <w:p>
            <w:pPr>
              <w:pStyle w:val="null3"/>
            </w:pPr>
            <w:r>
              <w:rPr>
                <w:sz w:val="21"/>
              </w:rPr>
              <w:t>2.</w:t>
            </w:r>
            <w:r>
              <w:rPr>
                <w:sz w:val="21"/>
              </w:rPr>
              <w:t>完成项目工程量的</w:t>
            </w:r>
            <w:r>
              <w:rPr>
                <w:sz w:val="21"/>
              </w:rPr>
              <w:t>80%</w:t>
            </w:r>
            <w:r>
              <w:rPr>
                <w:sz w:val="21"/>
              </w:rPr>
              <w:t>，由成交供应商出具施工进度报告，经采购人审核同意后，成交供应商凭进度报告可向采购人书面申请支付项目合同价总额</w:t>
            </w:r>
            <w:r>
              <w:rPr>
                <w:sz w:val="21"/>
              </w:rPr>
              <w:t>50%</w:t>
            </w:r>
            <w:r>
              <w:rPr>
                <w:sz w:val="21"/>
              </w:rPr>
              <w:t>作为项目进度款。</w:t>
            </w:r>
          </w:p>
          <w:p>
            <w:pPr>
              <w:pStyle w:val="null3"/>
            </w:pPr>
            <w:r>
              <w:rPr>
                <w:sz w:val="21"/>
              </w:rPr>
              <w:t>3.</w:t>
            </w:r>
            <w:r>
              <w:rPr>
                <w:sz w:val="21"/>
              </w:rPr>
              <w:t>项目完工后，由成交供应商出具竣工报告，采购人出具自查验收报告，成交供应商凭竣工报告和自查验收报告可向采购人书面申请支付尾款项目合同价总额</w:t>
            </w:r>
            <w:r>
              <w:rPr>
                <w:sz w:val="21"/>
              </w:rPr>
              <w:t>20%</w:t>
            </w:r>
            <w:r>
              <w:rPr>
                <w:sz w:val="21"/>
              </w:rPr>
              <w:t>。</w:t>
            </w:r>
          </w:p>
          <w:p>
            <w:pPr>
              <w:pStyle w:val="null3"/>
            </w:pPr>
            <w:r>
              <w:rPr>
                <w:sz w:val="21"/>
              </w:rPr>
              <w:t>4.</w:t>
            </w:r>
            <w:r>
              <w:rPr>
                <w:sz w:val="21"/>
              </w:rPr>
              <w:t>成交供应商向采购人提出支付申请，经采购人审核同意后向财政局提出申请支付，采购人向市财政局提出支付申请视为履约，实际支出时间以财政局支付时间为准。</w:t>
            </w:r>
            <w:r>
              <w:rPr>
                <w:sz w:val="21"/>
              </w:rPr>
              <w:t>5.</w:t>
            </w:r>
            <w:r>
              <w:rPr>
                <w:sz w:val="21"/>
              </w:rPr>
              <w:t>若采购人延迟支付中标人合同款项的，应当支付逾期利息，约定利率不得低于合同订立时</w:t>
            </w:r>
            <w:r>
              <w:rPr>
                <w:sz w:val="21"/>
              </w:rPr>
              <w:t>1</w:t>
            </w:r>
            <w:r>
              <w:rPr>
                <w:sz w:val="21"/>
              </w:rPr>
              <w:t>年期贷款市场报价利率。</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7.</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付款要求</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 乙方须向甲方提供依法纳税的服务费发票。</w:t>
            </w:r>
          </w:p>
          <w:p>
            <w:pPr>
              <w:pStyle w:val="null3"/>
              <w:jc w:val="both"/>
            </w:pPr>
            <w:r>
              <w:rPr>
                <w:sz w:val="21"/>
              </w:rPr>
              <w:t>(2) 服务费以转账方式转入乙方的银行账户。</w:t>
            </w:r>
          </w:p>
          <w:p>
            <w:pPr>
              <w:pStyle w:val="null3"/>
              <w:jc w:val="both"/>
            </w:pPr>
            <w:r>
              <w:rPr>
                <w:sz w:val="21"/>
              </w:rPr>
              <w:t>(3)</w:t>
            </w:r>
            <w:r>
              <w:rPr>
                <w:sz w:val="21"/>
              </w:rPr>
              <w:t>收款方、出具发票方、合同乙方均必须与中标（成交）</w:t>
            </w:r>
            <w:r>
              <w:rPr>
                <w:sz w:val="21"/>
              </w:rPr>
              <w:t>供应商名称一致。</w:t>
            </w:r>
          </w:p>
        </w:tc>
      </w:tr>
      <w:tr>
        <w:tc>
          <w:tcPr>
            <w:tcW w:type="dxa" w:w="68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8.</w:t>
            </w:r>
          </w:p>
        </w:tc>
        <w:tc>
          <w:tcPr>
            <w:tcW w:type="dxa" w:w="145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履约保证金</w:t>
            </w:r>
          </w:p>
        </w:tc>
        <w:tc>
          <w:tcPr>
            <w:tcW w:type="dxa" w:w="616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交纳比例：</w:t>
            </w:r>
            <w:r>
              <w:rPr>
                <w:sz w:val="21"/>
              </w:rPr>
              <w:t>5%</w:t>
            </w:r>
          </w:p>
          <w:p>
            <w:pPr>
              <w:pStyle w:val="null3"/>
              <w:jc w:val="both"/>
            </w:pPr>
            <w:r>
              <w:rPr>
                <w:sz w:val="21"/>
              </w:rPr>
              <w:t>缴费渠道：电子保函（保险）、支票（本票、汇票）、其他</w:t>
            </w:r>
          </w:p>
          <w:p>
            <w:pPr>
              <w:pStyle w:val="null3"/>
              <w:jc w:val="both"/>
            </w:pPr>
            <w:r>
              <w:rPr>
                <w:sz w:val="21"/>
              </w:rPr>
              <w:t>说明：可采用银行履约保函的形式替代履约保证金，合同签订后</w:t>
            </w:r>
            <w:r>
              <w:rPr>
                <w:sz w:val="21"/>
              </w:rPr>
              <w:t>3</w:t>
            </w:r>
            <w:r>
              <w:rPr>
                <w:sz w:val="21"/>
              </w:rPr>
              <w:t>个工作日内，</w:t>
            </w:r>
            <w:r>
              <w:rPr>
                <w:sz w:val="21"/>
              </w:rPr>
              <w:t>成交供应商</w:t>
            </w:r>
            <w:r>
              <w:rPr>
                <w:sz w:val="21"/>
              </w:rPr>
              <w:t>须向采购人提交合同总额的</w:t>
            </w:r>
            <w:r>
              <w:rPr>
                <w:sz w:val="21"/>
              </w:rPr>
              <w:t>5%的履约保证金或银行履约保函，银行履约保函须见索即付，不得附加付款条件。</w:t>
            </w:r>
            <w:r>
              <w:rPr>
                <w:sz w:val="21"/>
              </w:rPr>
              <w:t>项目验收合格后由供应商提出书面申请后七个工作日内</w:t>
            </w:r>
            <w:r>
              <w:rPr>
                <w:sz w:val="21"/>
              </w:rPr>
              <w:t>，采购人无息退回履约保证金或退回履约保函。如果</w:t>
            </w:r>
            <w:r>
              <w:rPr>
                <w:sz w:val="21"/>
              </w:rPr>
              <w:t>中标人</w:t>
            </w:r>
            <w:r>
              <w:rPr>
                <w:sz w:val="21"/>
              </w:rPr>
              <w:t>拒绝提交履约保证金，采购人将有充分理由取消该</w:t>
            </w:r>
            <w:r>
              <w:rPr>
                <w:sz w:val="21"/>
              </w:rPr>
              <w:t>中标</w:t>
            </w:r>
            <w:r>
              <w:rPr>
                <w:sz w:val="21"/>
              </w:rPr>
              <w:t>资格，</w:t>
            </w:r>
            <w:r>
              <w:rPr>
                <w:sz w:val="21"/>
              </w:rPr>
              <w:t>中标人</w:t>
            </w:r>
            <w:r>
              <w:rPr>
                <w:sz w:val="21"/>
              </w:rPr>
              <w:t>应承担违约责任。</w:t>
            </w:r>
          </w:p>
          <w:p>
            <w:pPr>
              <w:pStyle w:val="null3"/>
              <w:jc w:val="both"/>
            </w:pPr>
            <w:r>
              <w:rPr>
                <w:sz w:val="21"/>
              </w:rPr>
              <w:t xml:space="preserve"> </w:t>
            </w:r>
            <w:r>
              <w:rPr>
                <w:sz w:val="21"/>
              </w:rPr>
              <w:t>履约保证金可以以履约保函（保险）形式提供，目前</w:t>
            </w:r>
            <w:r>
              <w:rPr>
                <w:sz w:val="21"/>
              </w:rPr>
              <w:t>"广东政府采购智慧云平台金融服务中心(https://gdgpo.czt.gd.gov.cn/zcdservice/zcd/guangdong/)已实现电子履约保函（保险）在线办理功能，有意愿供应商可自行办理提供。</w:t>
            </w:r>
          </w:p>
        </w:tc>
      </w:tr>
    </w:tbl>
    <w:p>
      <w:pPr>
        <w:pStyle w:val="null3"/>
        <w:jc w:val="both"/>
      </w:pPr>
      <w:r>
        <w:rPr>
          <w:sz w:val="21"/>
          <w:b/>
        </w:rPr>
        <w:t>四、</w:t>
      </w:r>
      <w:r>
        <w:rPr>
          <w:sz w:val="21"/>
          <w:b/>
        </w:rPr>
        <w:t>服务对照执行标准：</w:t>
      </w:r>
    </w:p>
    <w:p>
      <w:pPr>
        <w:pStyle w:val="null3"/>
        <w:ind w:left="420"/>
      </w:pPr>
      <w:r>
        <w:rPr>
          <w:sz w:val="21"/>
        </w:rPr>
        <w:t>1.</w:t>
      </w:r>
      <w:r>
        <w:rPr>
          <w:sz w:val="21"/>
        </w:rPr>
        <w:t>符合中华人民共和国国家和履约地相关安全质量标准、行业技术规范标准；</w:t>
      </w:r>
    </w:p>
    <w:p>
      <w:pPr>
        <w:pStyle w:val="null3"/>
        <w:ind w:left="420"/>
      </w:pPr>
      <w:r>
        <w:rPr>
          <w:sz w:val="21"/>
        </w:rPr>
        <w:t>2.</w:t>
      </w:r>
      <w:r>
        <w:rPr>
          <w:sz w:val="21"/>
        </w:rPr>
        <w:t>符合采购文件和响应承诺中各方共同认可的合理要求；</w:t>
      </w:r>
    </w:p>
    <w:p>
      <w:pPr>
        <w:pStyle w:val="null3"/>
        <w:ind w:firstLine="420"/>
        <w:jc w:val="both"/>
      </w:pPr>
      <w:r>
        <w:rPr>
          <w:sz w:val="21"/>
        </w:rPr>
        <w:t>上述各类标准与法规必须是有关官方机构最新发布的现行标准版本。</w:t>
      </w:r>
    </w:p>
    <w:p>
      <w:pPr>
        <w:pStyle w:val="null3"/>
        <w:jc w:val="both"/>
      </w:pPr>
      <w:r>
        <w:rPr>
          <w:sz w:val="21"/>
          <w:b/>
        </w:rPr>
        <w:t>五、</w:t>
      </w:r>
      <w:r>
        <w:rPr>
          <w:sz w:val="21"/>
          <w:b/>
        </w:rPr>
        <w:t>投诉跟踪服务要求：</w:t>
      </w:r>
    </w:p>
    <w:p>
      <w:pPr>
        <w:pStyle w:val="null3"/>
        <w:ind w:left="420"/>
      </w:pPr>
      <w:r>
        <w:rPr>
          <w:sz w:val="21"/>
        </w:rPr>
        <w:t>1.</w:t>
      </w:r>
      <w:r>
        <w:rPr>
          <w:sz w:val="21"/>
        </w:rPr>
        <w:t>乙方须提供常设的投诉热线服务</w:t>
      </w:r>
      <w:r>
        <w:rPr>
          <w:sz w:val="21"/>
        </w:rPr>
        <w:t>，</w:t>
      </w:r>
      <w:r>
        <w:rPr>
          <w:sz w:val="21"/>
        </w:rPr>
        <w:t>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420"/>
      </w:pPr>
      <w:r>
        <w:rPr>
          <w:sz w:val="21"/>
        </w:rPr>
        <w:t>2.</w:t>
      </w:r>
      <w:r>
        <w:rPr>
          <w:sz w:val="21"/>
        </w:rPr>
        <w:t>服务期内，甲方有权按本项目的管理要求对乙方进行不定期抽查检查，</w:t>
      </w:r>
      <w:r>
        <w:rPr>
          <w:sz w:val="21"/>
        </w:rPr>
        <w:t>若对不合格的管理服务提出警告后，仍未得到有效解决时，甲方有权终止管理合同。</w:t>
      </w:r>
    </w:p>
    <w:p>
      <w:pPr>
        <w:pStyle w:val="null3"/>
        <w:ind w:left="420"/>
      </w:pPr>
      <w:r>
        <w:rPr>
          <w:sz w:val="21"/>
        </w:rPr>
        <w:t>3.</w:t>
      </w:r>
      <w:r>
        <w:rPr>
          <w:sz w:val="21"/>
        </w:rPr>
        <w:t>乙方服务机构名称及地址：</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ind w:left="420"/>
      </w:pPr>
      <w:r>
        <w:rPr>
          <w:sz w:val="21"/>
        </w:rPr>
        <w:t>4.</w:t>
      </w:r>
      <w:r>
        <w:rPr>
          <w:sz w:val="21"/>
        </w:rPr>
        <w:t>其他服务要求：</w:t>
      </w:r>
      <w:r>
        <w:rPr>
          <w:sz w:val="21"/>
          <w:shd w:fill="FFFF00" w:val="clear"/>
        </w:rPr>
        <w:t>（补充内容不得对采购文件和投标</w:t>
      </w:r>
      <w:r>
        <w:rPr>
          <w:sz w:val="21"/>
          <w:shd w:fill="FFFF00" w:val="clear"/>
        </w:rPr>
        <w:t>/响应文件作实质性修改）</w:t>
      </w:r>
    </w:p>
    <w:p>
      <w:pPr>
        <w:pStyle w:val="null3"/>
      </w:pPr>
      <w:r>
        <w:rPr>
          <w:u w:val="single"/>
        </w:rPr>
        <w:t xml:space="preserve">                                                                </w:t>
      </w:r>
      <w:r>
        <w:rPr>
          <w:sz w:val="21"/>
        </w:rPr>
        <w:t>。</w:t>
      </w:r>
    </w:p>
    <w:p>
      <w:pPr>
        <w:pStyle w:val="null3"/>
        <w:jc w:val="both"/>
      </w:pPr>
      <w:r>
        <w:rPr>
          <w:sz w:val="21"/>
          <w:b/>
        </w:rPr>
        <w:t>六、</w:t>
      </w:r>
      <w:r>
        <w:rPr>
          <w:sz w:val="21"/>
          <w:b/>
        </w:rPr>
        <w:t>验收要求：</w:t>
      </w:r>
    </w:p>
    <w:p>
      <w:pPr>
        <w:pStyle w:val="null3"/>
        <w:ind w:left="420"/>
      </w:pPr>
      <w:r>
        <w:rPr>
          <w:sz w:val="21"/>
        </w:rPr>
        <w:t>1.</w:t>
      </w:r>
      <w:r>
        <w:rPr>
          <w:sz w:val="21"/>
        </w:rPr>
        <w:t>甲方在收到乙方项目验收建议之日起</w:t>
      </w:r>
      <w:r>
        <w:rPr>
          <w:sz w:val="21"/>
        </w:rPr>
        <w:t>7 个工作日内按照合同的约定对履约情况进行验收。乙方需为验收提供必需的一切条件及相关费用，并提供本项目的相关文档和验收所需资料，积极配合甲方完成验收工作。</w:t>
      </w:r>
    </w:p>
    <w:p>
      <w:pPr>
        <w:pStyle w:val="null3"/>
        <w:ind w:left="420"/>
      </w:pPr>
      <w:r>
        <w:rPr>
          <w:sz w:val="21"/>
        </w:rPr>
        <w:t>2.</w:t>
      </w:r>
      <w:r>
        <w:rPr>
          <w:sz w:val="21"/>
        </w:rPr>
        <w:t>其他验收要求：</w:t>
      </w:r>
      <w:r>
        <w:rPr>
          <w:sz w:val="21"/>
        </w:rPr>
        <w:t>（补充内容不得对采购文件和投标</w:t>
      </w:r>
      <w:r>
        <w:rPr>
          <w:sz w:val="21"/>
        </w:rPr>
        <w:t>/响应文件作实质性修</w:t>
      </w:r>
      <w:r>
        <w:rPr>
          <w:sz w:val="21"/>
        </w:rPr>
        <w:t>改）</w:t>
      </w:r>
    </w:p>
    <w:p>
      <w:pPr>
        <w:pStyle w:val="null3"/>
      </w:pPr>
      <w:r>
        <w:rPr>
          <w:u w:val="single"/>
        </w:rPr>
        <w:t xml:space="preserve">                                                                </w:t>
      </w:r>
      <w:r>
        <w:rPr>
          <w:sz w:val="21"/>
        </w:rPr>
        <w:t>。</w:t>
      </w:r>
    </w:p>
    <w:p>
      <w:pPr>
        <w:pStyle w:val="null3"/>
        <w:jc w:val="both"/>
      </w:pPr>
      <w:r>
        <w:rPr>
          <w:sz w:val="21"/>
          <w:b/>
        </w:rPr>
        <w:t>七</w:t>
      </w:r>
      <w:r>
        <w:rPr>
          <w:sz w:val="21"/>
          <w:b/>
        </w:rPr>
        <w:t>、</w:t>
      </w:r>
      <w:r>
        <w:rPr>
          <w:sz w:val="21"/>
          <w:b/>
        </w:rPr>
        <w:t>知识产权</w:t>
      </w:r>
      <w:r>
        <w:rPr>
          <w:sz w:val="21"/>
          <w:b/>
        </w:rPr>
        <w:t>和保密要</w:t>
      </w:r>
      <w:r>
        <w:rPr>
          <w:sz w:val="21"/>
          <w:b/>
        </w:rPr>
        <w:t>求：</w:t>
      </w:r>
    </w:p>
    <w:p>
      <w:pPr>
        <w:pStyle w:val="null3"/>
      </w:pPr>
      <w:r>
        <w:rPr>
          <w:u w:val="single"/>
        </w:rPr>
        <w:t xml:space="preserve">                                                                </w:t>
      </w:r>
      <w:r>
        <w:rPr>
          <w:sz w:val="21"/>
        </w:rPr>
        <w:t>。</w:t>
      </w:r>
    </w:p>
    <w:p>
      <w:pPr>
        <w:pStyle w:val="null3"/>
        <w:jc w:val="both"/>
      </w:pPr>
      <w:r>
        <w:rPr>
          <w:sz w:val="21"/>
          <w:b/>
        </w:rPr>
        <w:t>八、</w:t>
      </w:r>
      <w:r>
        <w:rPr>
          <w:sz w:val="21"/>
          <w:b/>
        </w:rPr>
        <w:t>违约责任：</w:t>
      </w:r>
    </w:p>
    <w:p>
      <w:pPr>
        <w:pStyle w:val="null3"/>
        <w:ind w:left="420"/>
      </w:pPr>
      <w:r>
        <w:rPr>
          <w:sz w:val="21"/>
        </w:rPr>
        <w:t>1.</w:t>
      </w:r>
      <w:r>
        <w:rPr>
          <w:sz w:val="21"/>
        </w:rPr>
        <w:t>乙方未按要求履行合同义务时，须从违约之日起每日按合同总额的</w:t>
      </w:r>
      <w:r>
        <w:rPr>
          <w:u w:val="single"/>
        </w:rPr>
        <w:t xml:space="preserve">    </w:t>
      </w:r>
      <w:r>
        <w:rPr>
          <w:sz w:val="21"/>
        </w:rPr>
        <w:t>比例向甲方支付违约金；逾期</w:t>
      </w:r>
      <w:r>
        <w:rPr>
          <w:u w:val="single"/>
        </w:rPr>
        <w:t xml:space="preserve">    </w:t>
      </w:r>
      <w:r>
        <w:rPr>
          <w:sz w:val="21"/>
        </w:rPr>
        <w:t>日以上时，甲方有权终止合同，由此造成甲方的经济损失由乙方承担。违约金不足以弥补损失的，乙方应按全额赔偿</w:t>
      </w:r>
      <w:r>
        <w:rPr>
          <w:sz w:val="21"/>
        </w:rPr>
        <w:t>。</w:t>
      </w:r>
    </w:p>
    <w:p>
      <w:pPr>
        <w:pStyle w:val="null3"/>
        <w:ind w:left="420"/>
      </w:pPr>
      <w:r>
        <w:rPr>
          <w:sz w:val="21"/>
        </w:rPr>
        <w:t>2.</w:t>
      </w:r>
      <w:r>
        <w:rPr>
          <w:sz w:val="21"/>
        </w:rPr>
        <w:t>甲方未按要求履行合同义务时，或无故拖延验收、付款时，甲方须向乙方支付滞纳金，标准为每日按逾期应付款总额的</w:t>
      </w:r>
      <w:r>
        <w:rPr>
          <w:u w:val="single"/>
        </w:rPr>
        <w:t xml:space="preserve">    </w:t>
      </w:r>
      <w:r>
        <w:rPr>
          <w:sz w:val="21"/>
        </w:rPr>
        <w:t>累计。</w:t>
      </w:r>
    </w:p>
    <w:p>
      <w:pPr>
        <w:pStyle w:val="null3"/>
        <w:jc w:val="both"/>
      </w:pPr>
      <w:r>
        <w:rPr>
          <w:sz w:val="21"/>
          <w:b/>
        </w:rPr>
        <w:t>九、</w:t>
      </w:r>
      <w:r>
        <w:rPr>
          <w:sz w:val="21"/>
          <w:b/>
        </w:rPr>
        <w:t>提出异议的时间和方法：</w:t>
      </w:r>
    </w:p>
    <w:p>
      <w:pPr>
        <w:pStyle w:val="null3"/>
        <w:ind w:left="420"/>
      </w:pPr>
      <w:r>
        <w:rPr>
          <w:sz w:val="21"/>
        </w:rPr>
        <w:t>1.</w:t>
      </w:r>
      <w:r>
        <w:rPr>
          <w:sz w:val="21"/>
        </w:rPr>
        <w:t>甲方有异议时，应</w:t>
      </w:r>
      <w:r>
        <w:rPr>
          <w:u w:val="single"/>
        </w:rPr>
        <w:t xml:space="preserve">     </w:t>
      </w:r>
      <w:r>
        <w:rPr>
          <w:sz w:val="21"/>
        </w:rPr>
        <w:t>天内向乙方提出书面异议。</w:t>
      </w:r>
    </w:p>
    <w:p>
      <w:pPr>
        <w:pStyle w:val="null3"/>
        <w:ind w:left="420"/>
      </w:pPr>
      <w:r>
        <w:rPr>
          <w:sz w:val="21"/>
        </w:rPr>
        <w:t>2.</w:t>
      </w:r>
      <w:r>
        <w:rPr>
          <w:sz w:val="21"/>
        </w:rPr>
        <w:t>乙方在接到甲方书面异议后，应在</w:t>
      </w:r>
      <w:r>
        <w:rPr>
          <w:sz w:val="21"/>
        </w:rPr>
        <w:t>3 天内负责处理并函复甲方处理情况，否则，即视为默认甲方提出的异议和处理意见。</w:t>
      </w:r>
    </w:p>
    <w:p>
      <w:pPr>
        <w:pStyle w:val="null3"/>
        <w:ind w:left="420"/>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numPr>
          <w:ilvl w:val="0"/>
          <w:numId w:val="1"/>
        </w:numPr>
        <w:jc w:val="both"/>
      </w:pPr>
      <w:r>
        <w:rPr>
          <w:sz w:val="21"/>
          <w:b/>
        </w:rPr>
        <w:t>争议的解决：</w:t>
      </w:r>
    </w:p>
    <w:p>
      <w:pPr>
        <w:pStyle w:val="null3"/>
        <w:ind w:left="420"/>
      </w:pPr>
      <w:r>
        <w:rPr>
          <w:sz w:val="21"/>
        </w:rPr>
        <w:t>1.</w:t>
      </w:r>
      <w:r>
        <w:rPr>
          <w:sz w:val="21"/>
        </w:rPr>
        <w:t>合同履行过程中发生的任何争议，如双方未能通过友好协商解决，应向云浮市有管辖权的人民法院提起诉讼。</w:t>
      </w:r>
    </w:p>
    <w:p>
      <w:pPr>
        <w:pStyle w:val="null3"/>
        <w:ind w:left="420"/>
      </w:pPr>
      <w:r>
        <w:rPr>
          <w:sz w:val="21"/>
        </w:rPr>
        <w:t>2.</w:t>
      </w:r>
      <w:r>
        <w:rPr>
          <w:sz w:val="21"/>
        </w:rPr>
        <w:t>法院审理期间，除提交法院审理的事项外，其它无争议的事项和条款仍应继续履行。</w:t>
      </w:r>
    </w:p>
    <w:p>
      <w:pPr>
        <w:pStyle w:val="null3"/>
        <w:jc w:val="both"/>
      </w:pPr>
      <w:r>
        <w:rPr>
          <w:sz w:val="21"/>
          <w:b/>
        </w:rPr>
        <w:t>十一、</w:t>
      </w:r>
      <w:r>
        <w:rPr>
          <w:sz w:val="21"/>
          <w:b/>
        </w:rPr>
        <w:t>不可抗力：</w:t>
      </w:r>
    </w:p>
    <w:p>
      <w:pPr>
        <w:pStyle w:val="null3"/>
        <w:ind w:firstLine="630"/>
        <w:jc w:val="both"/>
      </w:pPr>
      <w:r>
        <w:rPr>
          <w:sz w:val="21"/>
        </w:rPr>
        <w:t>任何一方由于不可抗力原因不能履行合同时，应在不可抗力事件结束后</w:t>
      </w:r>
      <w:r>
        <w:rPr>
          <w:sz w:val="21"/>
        </w:rPr>
        <w:t>48 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w:t>
      </w:r>
      <w:r>
        <w:rPr>
          <w:sz w:val="21"/>
          <w:b/>
        </w:rPr>
        <w:t>税费：</w:t>
      </w:r>
    </w:p>
    <w:p>
      <w:pPr>
        <w:pStyle w:val="null3"/>
        <w:numPr>
          <w:ilvl w:val="0"/>
          <w:numId w:val="1"/>
        </w:numPr>
      </w:pPr>
      <w:r>
        <w:rPr>
          <w:sz w:val="21"/>
        </w:rPr>
        <w:t>本合同实施过程中所发生的一切税费及不可预见费均由乙方承担。</w:t>
      </w:r>
    </w:p>
    <w:p>
      <w:pPr>
        <w:pStyle w:val="null3"/>
        <w:numPr>
          <w:ilvl w:val="0"/>
          <w:numId w:val="1"/>
        </w:numPr>
      </w:pPr>
      <w:r>
        <w:rPr>
          <w:sz w:val="21"/>
        </w:rPr>
        <w:t>乙方依照税务规章优先在合同履约地开具发票及纳税，咨询：</w:t>
      </w:r>
      <w:r>
        <w:rPr>
          <w:sz w:val="21"/>
        </w:rPr>
        <w:t>0766- 12366。</w:t>
      </w:r>
    </w:p>
    <w:p>
      <w:pPr>
        <w:pStyle w:val="null3"/>
        <w:jc w:val="both"/>
      </w:pPr>
      <w:r>
        <w:rPr>
          <w:sz w:val="21"/>
          <w:b/>
        </w:rPr>
        <w:t>十三、</w:t>
      </w:r>
      <w:r>
        <w:rPr>
          <w:sz w:val="21"/>
          <w:b/>
        </w:rPr>
        <w:t>合同生效与合同备案：</w:t>
      </w:r>
    </w:p>
    <w:p>
      <w:pPr>
        <w:pStyle w:val="null3"/>
        <w:ind w:left="420"/>
      </w:pPr>
      <w:r>
        <w:rPr>
          <w:sz w:val="21"/>
        </w:rPr>
        <w:t>1.</w:t>
      </w:r>
      <w:r>
        <w:rPr>
          <w:sz w:val="21"/>
        </w:rPr>
        <w:t>本合同在甲乙双方法人代表或其授权代表签字盖章后生效。</w:t>
      </w:r>
    </w:p>
    <w:p>
      <w:pPr>
        <w:pStyle w:val="null3"/>
        <w:ind w:left="420"/>
      </w:pPr>
      <w:r>
        <w:rPr>
          <w:sz w:val="21"/>
        </w:rPr>
        <w:t>2.</w:t>
      </w:r>
      <w:r>
        <w:rPr>
          <w:sz w:val="21"/>
        </w:rPr>
        <w:t>自采购合同签订之日起</w:t>
      </w:r>
      <w:r>
        <w:rPr>
          <w:sz w:val="21"/>
        </w:rPr>
        <w:t>7 个工作日内，由甲方按照有关规定将采购合同副本报</w:t>
      </w:r>
    </w:p>
    <w:p>
      <w:pPr>
        <w:pStyle w:val="null3"/>
        <w:ind w:left="420"/>
      </w:pPr>
      <w:r>
        <w:rPr>
          <w:sz w:val="21"/>
        </w:rPr>
        <w:t>3.</w:t>
      </w:r>
      <w:r>
        <w:rPr>
          <w:sz w:val="21"/>
        </w:rPr>
        <w:t>同级人民政府财政部门（政府采购管理部门）备案。</w:t>
      </w:r>
    </w:p>
    <w:p>
      <w:pPr>
        <w:pStyle w:val="null3"/>
        <w:jc w:val="both"/>
      </w:pPr>
      <w:r>
        <w:rPr>
          <w:sz w:val="21"/>
          <w:b/>
        </w:rPr>
        <w:t>十四、</w:t>
      </w:r>
      <w:r>
        <w:rPr>
          <w:sz w:val="21"/>
          <w:b/>
        </w:rPr>
        <w:t>乙方应提供的资料内容：</w:t>
      </w:r>
    </w:p>
    <w:p>
      <w:pPr>
        <w:pStyle w:val="null3"/>
        <w:jc w:val="both"/>
      </w:pPr>
      <w:r>
        <w:rPr>
          <w:sz w:val="21"/>
          <w:u w:val="single"/>
        </w:rPr>
        <w:t xml:space="preserve">                                                                </w:t>
      </w:r>
      <w:r>
        <w:rPr>
          <w:sz w:val="21"/>
        </w:rPr>
        <w:t>。</w:t>
      </w:r>
    </w:p>
    <w:p>
      <w:pPr>
        <w:pStyle w:val="null3"/>
        <w:jc w:val="both"/>
      </w:pPr>
      <w:r>
        <w:rPr>
          <w:sz w:val="21"/>
          <w:b/>
        </w:rPr>
        <w:t>十五、</w:t>
      </w:r>
      <w:r>
        <w:rPr>
          <w:sz w:val="21"/>
          <w:b/>
        </w:rPr>
        <w:t>关于政府采购合同融资</w:t>
      </w:r>
    </w:p>
    <w:p>
      <w:pPr>
        <w:pStyle w:val="null3"/>
        <w:ind w:left="420"/>
      </w:pPr>
      <w:r>
        <w:rPr>
          <w:sz w:val="21"/>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否</w:t>
      </w:r>
      <w:r>
        <w:rPr>
          <w:sz w:val="21"/>
        </w:rPr>
        <w:t xml:space="preserve"> </w:t>
      </w:r>
      <w:r>
        <w:rPr>
          <w:sz w:val="21"/>
        </w:rPr>
        <w:t>；</w:t>
      </w:r>
    </w:p>
    <w:p>
      <w:pPr>
        <w:pStyle w:val="null3"/>
        <w:ind w:left="420"/>
      </w:pPr>
      <w:r>
        <w:rPr>
          <w:sz w:val="21"/>
        </w:rPr>
        <w:t>2.</w:t>
      </w:r>
      <w:r>
        <w:rPr>
          <w:sz w:val="21"/>
        </w:rPr>
        <w:t>融资银行及联系方式：</w:t>
      </w:r>
      <w:r>
        <w:rPr>
          <w:u w:val="single"/>
        </w:rPr>
        <w:t xml:space="preserve">                                            </w:t>
      </w:r>
      <w:r>
        <w:rPr>
          <w:sz w:val="21"/>
        </w:rPr>
        <w:t>。</w:t>
      </w:r>
    </w:p>
    <w:p>
      <w:pPr>
        <w:pStyle w:val="null3"/>
        <w:ind w:left="420"/>
      </w:pPr>
      <w:r>
        <w:rPr>
          <w:sz w:val="21"/>
        </w:rPr>
        <w:t>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1"/>
          <w:b/>
        </w:rPr>
        <w:t>十六、</w:t>
      </w:r>
      <w:r>
        <w:rPr>
          <w:sz w:val="21"/>
          <w:b/>
        </w:rPr>
        <w:t>其它：</w:t>
      </w:r>
    </w:p>
    <w:p>
      <w:pPr>
        <w:pStyle w:val="null3"/>
        <w:ind w:left="420"/>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420"/>
      </w:pPr>
      <w:r>
        <w:rPr>
          <w:sz w:val="21"/>
        </w:rPr>
        <w:t>2.</w:t>
      </w:r>
      <w:r>
        <w:rPr>
          <w:sz w:val="21"/>
        </w:rPr>
        <w:t>如一方（包括联系人）地址、电话、传真号码有变更，应在变更后</w:t>
      </w:r>
      <w:r>
        <w:rPr>
          <w:sz w:val="21"/>
        </w:rPr>
        <w:t>3 个工作日内书面通知对方联系人或负责人，否则，因此造成的损失由未履行通知义务方承担相应责任。</w:t>
      </w:r>
    </w:p>
    <w:p>
      <w:pPr>
        <w:pStyle w:val="null3"/>
        <w:ind w:left="420"/>
      </w:pPr>
      <w:r>
        <w:rPr>
          <w:sz w:val="21"/>
        </w:rPr>
        <w:t>3.</w:t>
      </w:r>
      <w:r>
        <w:rPr>
          <w:sz w:val="21"/>
        </w:rPr>
        <w:t>未经甲方书面同意，乙方不得擅自向第三方转让其主体性和关键性合同义务。</w:t>
      </w:r>
    </w:p>
    <w:p>
      <w:pPr>
        <w:pStyle w:val="null3"/>
        <w:ind w:left="420"/>
      </w:pPr>
      <w:r>
        <w:rPr>
          <w:sz w:val="21"/>
        </w:rPr>
        <w:t>4.</w:t>
      </w: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ind w:left="420"/>
      </w:pPr>
      <w:r>
        <w:rPr>
          <w:sz w:val="21"/>
        </w:rPr>
        <w:t>5.</w:t>
      </w:r>
      <w:r>
        <w:rPr>
          <w:sz w:val="21"/>
        </w:rPr>
        <w:t>本合同（含附件）共计</w:t>
      </w:r>
      <w:r>
        <w:rPr>
          <w:u w:val="single"/>
        </w:rPr>
        <w:t xml:space="preserve">    </w:t>
      </w:r>
      <w:r>
        <w:rPr>
          <w:sz w:val="21"/>
        </w:rPr>
        <w:t>页，缺页之合同为无效合同。</w:t>
      </w:r>
    </w:p>
    <w:p>
      <w:pPr>
        <w:pStyle w:val="null3"/>
        <w:ind w:left="420"/>
      </w:pPr>
      <w:r>
        <w:rPr>
          <w:sz w:val="21"/>
        </w:rPr>
        <w:t>6.</w:t>
      </w:r>
      <w:r>
        <w:rPr>
          <w:sz w:val="21"/>
        </w:rPr>
        <w:t>本合同签约履约地点：广东省云浮市。</w:t>
      </w:r>
    </w:p>
    <w:p>
      <w:pPr>
        <w:pStyle w:val="null3"/>
        <w:ind w:left="420"/>
      </w:pPr>
      <w:r>
        <w:rPr>
          <w:sz w:val="21"/>
        </w:rPr>
        <w:t>7.</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jc w:val="both"/>
      </w:pPr>
      <w:r>
        <w:rPr>
          <w:sz w:val="21"/>
        </w:rPr>
        <w:t>双方均已对以上各条款及附件作充分了解，</w:t>
      </w:r>
      <w:r>
        <w:rPr>
          <w:sz w:val="21"/>
        </w:rPr>
        <w:t>并明确理解由此而产生的相关权责。</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乙方（盖章）：</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代表：</w:t>
            </w:r>
            <w:r>
              <w:rPr>
                <w:sz w:val="21"/>
                <w:u w:val="single"/>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代表：</w:t>
            </w:r>
            <w:r>
              <w:rPr>
                <w:sz w:val="21"/>
                <w:u w:val="single"/>
              </w:rPr>
              <w:t xml:space="preserve">                           </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收款方、开票方须与乙方一致，专户为：</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开户名称：</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银行账号：</w:t>
            </w:r>
          </w:p>
        </w:tc>
      </w:tr>
      <w:tr>
        <w:tc>
          <w:tcPr>
            <w:tcW w:type="dxa" w:w="415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开户行：</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445301-2026-01109</w:t>
      </w:r>
    </w:p>
    <w:p>
      <w:pPr>
        <w:pStyle w:val="null3"/>
        <w:jc w:val="center"/>
        <w:outlineLvl w:val="3"/>
      </w:pPr>
      <w:r>
        <w:rPr>
          <w:sz w:val="24"/>
          <w:b/>
        </w:rPr>
        <w:t>采购项目编号：</w:t>
      </w:r>
      <w:r>
        <w:rPr>
          <w:sz w:val="24"/>
          <w:b/>
        </w:rPr>
        <w:t>yftyzb2026-0019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云浮市泰宇招标采购有限公司</w:t>
      </w:r>
    </w:p>
    <w:p>
      <w:pPr>
        <w:pStyle w:val="null3"/>
        <w:ind w:firstLine="480"/>
      </w:pPr>
      <w:r>
        <w:rPr/>
        <w:t xml:space="preserve"> 你方组织的</w:t>
      </w:r>
      <w:r>
        <w:rPr>
          <w:u w:val="single"/>
        </w:rPr>
        <w:t>“</w:t>
      </w:r>
      <w:r>
        <w:rPr>
          <w:u w:val="single"/>
        </w:rPr>
        <w:t>云浮市市属国有林场2026年中央财政林草有害生物防治项目(二次)</w:t>
      </w:r>
      <w:r>
        <w:rPr>
          <w:u w:val="single"/>
        </w:rPr>
        <w:t>”</w:t>
      </w:r>
      <w:r>
        <w:rPr/>
        <w:t>项目的竞争性磋商[采购项目编号为：</w:t>
      </w:r>
      <w:r>
        <w:rPr>
          <w:u w:val="single"/>
        </w:rPr>
        <w:t>yftyzb2026-0019</w:t>
      </w:r>
      <w:r>
        <w:rPr/>
        <w:t>]，我方愿参与响应。</w:t>
      </w:r>
    </w:p>
    <w:p>
      <w:pPr>
        <w:pStyle w:val="null3"/>
        <w:ind w:firstLine="480"/>
      </w:pPr>
      <w:r>
        <w:rPr/>
        <w:t>我方确认收到贵方提供的</w:t>
      </w:r>
      <w:r>
        <w:rPr>
          <w:u w:val="single"/>
        </w:rPr>
        <w:t>“</w:t>
      </w:r>
      <w:r>
        <w:rPr>
          <w:u w:val="single"/>
        </w:rPr>
        <w:t>云浮市市属国有林场2026年中央财政林草有害生物防治项目(二次)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云浮市泰宇招标采购有限公司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云浮市市属国有林场2026年中央财政林草有害生物防治项目(二次)</w:t>
      </w:r>
      <w:r>
        <w:rPr/>
        <w:t>”项目采购[采购项目编号为</w:t>
      </w:r>
      <w:r>
        <w:rPr/>
        <w:t>yftyzb2026-0019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云浮市国有林场和森林公园管理总站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云浮市泰宇招标采购有限公司</w:t>
      </w:r>
    </w:p>
    <w:p>
      <w:pPr>
        <w:pStyle w:val="null3"/>
        <w:ind w:firstLine="480"/>
      </w:pPr>
      <w:r>
        <w:rPr/>
        <w:t>我单位参加贵公司组织的</w:t>
      </w:r>
      <w:r>
        <w:rPr/>
        <w:t>云浮市市属国有林场2026年中央财政林草有害生物防治项目(二次)</w:t>
      </w:r>
      <w:r>
        <w:rPr/>
        <w:t>（采购项目编号：</w:t>
      </w:r>
      <w:r>
        <w:rPr/>
        <w:t>yftyzb2026-0019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云浮市泰宇招标采购有限公司</w:t>
      </w:r>
    </w:p>
    <w:p>
      <w:pPr>
        <w:pStyle w:val="null3"/>
        <w:ind w:firstLine="480"/>
      </w:pPr>
      <w:r>
        <w:rPr/>
        <w:t>我单位已登记并准备参与“</w:t>
      </w:r>
      <w:r>
        <w:rPr/>
        <w:t>云浮市市属国有林场2026年中央财政林草有害生物防治项目(二次)</w:t>
      </w:r>
      <w:r>
        <w:rPr/>
        <w:t>”项目（采购项目编号：</w:t>
      </w:r>
      <w:r>
        <w:rPr/>
        <w:t>yftyzb2026-0019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