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三亚市教育局直属学校2026-2027年病媒生物防制服务项目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HNSHB-20260708-2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三亚市教育局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海南省实博招标代理有限公司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三亚市教育局</w:t>
      </w:r>
      <w:r>
        <w:rPr>
          <w:rFonts w:ascii="仿宋_GB2312" w:hAnsi="仿宋_GB2312" w:cs="仿宋_GB2312" w:eastAsia="仿宋_GB2312"/>
        </w:rPr>
        <w:t xml:space="preserve"> 的委托， </w:t>
      </w:r>
      <w:r>
        <w:rPr>
          <w:rFonts w:ascii="仿宋_GB2312" w:hAnsi="仿宋_GB2312" w:cs="仿宋_GB2312" w:eastAsia="仿宋_GB2312"/>
        </w:rPr>
        <w:t>海南省实博招标代理有限公司</w:t>
      </w:r>
      <w:r>
        <w:rPr>
          <w:rFonts w:ascii="仿宋_GB2312" w:hAnsi="仿宋_GB2312" w:cs="仿宋_GB2312" w:eastAsia="仿宋_GB2312"/>
        </w:rPr>
        <w:t xml:space="preserve"> 对 </w:t>
      </w:r>
      <w:r>
        <w:rPr>
          <w:rFonts w:ascii="仿宋_GB2312" w:hAnsi="仿宋_GB2312" w:cs="仿宋_GB2312" w:eastAsia="仿宋_GB2312"/>
        </w:rPr>
        <w:t>三亚市教育局直属学校2026-2027年病媒生物防制服务项目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HNSHB-20260708-2</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三亚市教育局直属学校2026-2027年病媒生物防制服务项目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1,641,024.00元</w:t>
      </w:r>
      <w:r>
        <w:rPr>
          <w:rFonts w:ascii="仿宋_GB2312" w:hAnsi="仿宋_GB2312" w:cs="仿宋_GB2312" w:eastAsia="仿宋_GB2312"/>
        </w:rPr>
        <w:t>壹佰陆拾肆万壹仟零贰拾肆元整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一年，具体签订起止时间以合同签订为准。</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属于专门面向小微企业采购，预留比例为100%。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1.上述申请人的资格要求中“满足《中华人民共和国政府采购法》第二十二条规定，（4）供应商无不良信用记录”，按“第四章 评审方法，初步评审标准，一般资格审查”的相应关联格式要求提供：其他资格条件承诺函。信用信息查询的截止时点：采购公告发布时间以后。信用信息查询记录以供应商提供的该承诺函为准，承诺函不实的，将依照有关法律法规追究法律责任。2.本项目为全流程电子化操作项目，具体操作流程可参考“海南省政府采购网-办事指南-供应商手册”：https://www.ccgp-hainan.gov.cn/help/gys/zc/zc.html。供应商使用系统遇到问题可致电技术支持：4001691288。3.本项目落实的政府采购政策 《政府采购促进中小企业发展管理办法》、《关于促进残疾人就业政府采购政策的通知》、《财政部司法部关于政府采购支持监狱企业发展有关问题的通知》、《财政部发展改革委生态环境部市场监管总局关于调整优化节能产品、环境标志产品政府采购执行机制的通知》、《海南省财政厅关于印发《海南省绿色产品政府采购实施意见（试行）》的通知》、《关于政府采购支持绿色建材促进建筑品质提升试点工作的通知》、《财政部国务院扶贫办关于运用政府采购政策支持脱贫攻坚的通知》、《海南省财政厅关于进一步加强政府采购支持中小企业发展的通知》、《海南省财政厅海南省工业和信息化厅关于落实超常规举措加大对中小企业政府采购支持的通知》、《国务院办公厅关于在政府采购中实施本国产品标准及相关政策的通知》。</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三亚市教育局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三亚市河东路60号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0898-88657712</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海南省实博招标代理有限公司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海南省海口市秀英区永万路22号二楼海南省实博招标代理有限公司</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0898-68602571</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采购包1：1,641,024.00元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从响应文件递交截止之日起计算的60天。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代理服务费收费标准：参照《招标代理服务收费管理暂行办法》（计价格〔2002〕1980号）的收费标准折后收取，根据采购人与采购代理机构签订的海南省政府采购委托协议，采购代理费用为10000.00元。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电子标须办理数字证书。供应商制作响应文件、签到、解密及磋商过程等需选择CA数字证书签章，未办理数字证书的请先进行办理并安装驱动。供应商应当自行办理纳入全国公共资源交易平台（海南省）数字证书互认范围的数字证书及签章（以下简称“互认的证书及签章”），用于智慧云平台的用户注册、身份信息维护、业务办理、在线开展或者参与采购活动、加盖电子签章等操作。具体可参考“海南省政府采购网-办事指南-CA手册”：https://www.ccgp-hainan.gov.cn/help/ca/ca.html内容。已注册备案通过并取得数字证书和电子签章的供应商不需要再重新办理。2.本项目为全程远程电子开标，供应商须进行不见面在线开标，无须到达开标现场。供应商还须远程按时在线解密响应文件。本项目以供应商成功加密后递交至海南省政府采购智慧云平台的电子响应文件为准。3.开标活动完成后，通过资格符合性审查的供应商将与磋商小组独立进行磋商并最后报价，请各供应商代表保持项目电子化操作界面，在“评审等候大厅”等待通知磋商和报价。 4.本次采购标的对应的中小企业划分标准所属行业为其他未列明行业（居民服务、修理和其他服务业），具体的参数供应商请查阅： 《关于印发中小企业划型标准规定的通知》（工信部联企业〔2011〕300号）。5.政府采购合同信用融资是银行机构以政府采购诚信考核和信用审查为基础，凭借中小企业取得并提供的政府采购合同，按优于—般中小企业贷款的利率直接向申请货款的中小企业发放货款的一种新融资方式。投标人在中标后需要融资时可以申请政府采购合同信用融资。</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联系人：林工</w:t>
      </w:r>
    </w:p>
    <w:p>
      <w:pPr>
        <w:pStyle w:val="null3"/>
        <w:jc w:val="left"/>
      </w:pPr>
      <w:r>
        <w:rPr>
          <w:rFonts w:ascii="仿宋_GB2312" w:hAnsi="仿宋_GB2312" w:cs="仿宋_GB2312" w:eastAsia="仿宋_GB2312"/>
        </w:rPr>
        <w:t>联系电话：0898-68602571</w:t>
      </w:r>
    </w:p>
    <w:p>
      <w:pPr>
        <w:pStyle w:val="null3"/>
        <w:jc w:val="left"/>
      </w:pPr>
      <w:r>
        <w:rPr>
          <w:rFonts w:ascii="仿宋_GB2312" w:hAnsi="仿宋_GB2312" w:cs="仿宋_GB2312" w:eastAsia="仿宋_GB2312"/>
        </w:rPr>
        <w:t>地址：海南省海口市秀英区永万路22号二楼海南省实博招标代理有限公司</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7"/>
          <w:color w:val="000000"/>
        </w:rPr>
        <w:t>三亚市教育局机关及所属事业单位30家(所)单位(学校)病媒生物防制。</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1,641,024.00</w:t>
      </w:r>
    </w:p>
    <w:p>
      <w:pPr>
        <w:pStyle w:val="null3"/>
        <w:jc w:val="left"/>
      </w:pPr>
      <w:r>
        <w:rPr>
          <w:rFonts w:ascii="仿宋_GB2312" w:hAnsi="仿宋_GB2312" w:cs="仿宋_GB2312" w:eastAsia="仿宋_GB2312"/>
        </w:rPr>
        <w:t>采购包最高限价（元）: 1,641,024.00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C99000000-其他服务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1,641,024.00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1,641,024.00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before="60"/>
              <w:ind w:firstLine="640"/>
              <w:jc w:val="both"/>
            </w:pPr>
            <w:r>
              <w:rPr>
                <w:rFonts w:ascii="仿宋_GB2312" w:hAnsi="仿宋_GB2312" w:cs="仿宋_GB2312" w:eastAsia="仿宋_GB2312"/>
                <w:sz w:val="27"/>
                <w:color w:val="000000"/>
                <w:shd w:fill="FFFFFF" w:val="clear"/>
              </w:rPr>
              <w:t>三亚市教育局机关及所属事业单位30家(所)单位(学校)病媒生物防制。包括：机关、中小学校，总占地面积约148万m²,建筑面积约98万m²,具体单位名称如下：</w:t>
            </w:r>
          </w:p>
          <w:p>
            <w:pPr>
              <w:pStyle w:val="null3"/>
              <w:spacing w:before="60"/>
              <w:ind w:firstLine="640"/>
              <w:jc w:val="both"/>
            </w:pPr>
            <w:r>
              <w:rPr>
                <w:rFonts w:ascii="仿宋_GB2312" w:hAnsi="仿宋_GB2312" w:cs="仿宋_GB2312" w:eastAsia="仿宋_GB2312"/>
                <w:sz w:val="27"/>
                <w:color w:val="000000"/>
                <w:shd w:fill="FFFFFF" w:val="clear"/>
              </w:rPr>
              <w:t>1.1 市教育局机关单位(2家)：市教育局机关大院、市教育研究培训院；</w:t>
            </w:r>
          </w:p>
          <w:p>
            <w:pPr>
              <w:pStyle w:val="null3"/>
              <w:spacing w:before="60"/>
              <w:ind w:firstLine="640"/>
              <w:jc w:val="both"/>
            </w:pPr>
            <w:r>
              <w:rPr>
                <w:rFonts w:ascii="仿宋_GB2312" w:hAnsi="仿宋_GB2312" w:cs="仿宋_GB2312" w:eastAsia="仿宋_GB2312"/>
                <w:sz w:val="27"/>
                <w:color w:val="000000"/>
                <w:shd w:fill="FFFFFF" w:val="clear"/>
              </w:rPr>
              <w:t>1.2 市教育局直属中小学（28所）：第一中学、第二中学、第四中学、实验中学、苏州中学附属三亚学校、西南大学三亚中学、民族中学、田家炳高级中学、人大附中三亚学校、上海外国语大学三亚附属中学、民大附中三亚学校、第一小学、迎宾小学、迎宾中学、第九小学（含三亚湾校区）、三亚特殊教育学校、八一中学、八一小学、博文中学（含巴哈马校区）、三亚丰和学校（迎宾校区、丹湖校区和育新校区）、三亚华侨学校（南新校区和丹湖校区）、三亚青林学校、三亚海亚外国语学校、三亚中学、三亚育苗学校、南开小学、南开中学、三亚学院附属小学。</w:t>
            </w:r>
          </w:p>
          <w:p>
            <w:pPr>
              <w:pStyle w:val="null3"/>
              <w:jc w:val="left"/>
            </w:pPr>
            <w:r>
              <w:rPr>
                <w:rFonts w:ascii="仿宋_GB2312" w:hAnsi="仿宋_GB2312" w:cs="仿宋_GB2312" w:eastAsia="仿宋_GB2312"/>
                <w:sz w:val="27"/>
                <w:color w:val="000000"/>
                <w:shd w:fill="FFFFFF" w:val="clear"/>
              </w:rPr>
              <w:t>市教育局机关单位(2单位)及市教育局直属中小学（28所）学校组织“消杀”工作，1、2、7、8月份每月至少消杀1次，3、4、5、6、9、10、11、12月份每月至少消杀2次。组织除“四害”消杀工作每月各一次等。</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2"/>
              <w:jc w:val="left"/>
            </w:pPr>
            <w:r>
              <w:rPr>
                <w:rFonts w:ascii="仿宋_GB2312" w:hAnsi="仿宋_GB2312" w:cs="仿宋_GB2312" w:eastAsia="仿宋_GB2312"/>
                <w:sz w:val="27"/>
                <w:b/>
              </w:rPr>
              <w:t>1.合同履行期限</w:t>
            </w:r>
          </w:p>
          <w:p>
            <w:pPr>
              <w:pStyle w:val="null3"/>
              <w:ind w:firstLine="480"/>
              <w:jc w:val="left"/>
            </w:pPr>
            <w:r>
              <w:rPr>
                <w:rFonts w:ascii="仿宋_GB2312" w:hAnsi="仿宋_GB2312" w:cs="仿宋_GB2312" w:eastAsia="仿宋_GB2312"/>
                <w:sz w:val="27"/>
                <w:color w:val="000000"/>
              </w:rPr>
              <w:t>一年，具体签订起止时间以合同签订为准。</w:t>
            </w:r>
          </w:p>
          <w:p>
            <w:pPr>
              <w:pStyle w:val="null3"/>
              <w:ind w:firstLine="482"/>
              <w:jc w:val="left"/>
            </w:pPr>
            <w:r>
              <w:rPr>
                <w:rFonts w:ascii="仿宋_GB2312" w:hAnsi="仿宋_GB2312" w:cs="仿宋_GB2312" w:eastAsia="仿宋_GB2312"/>
                <w:sz w:val="27"/>
                <w:b/>
              </w:rPr>
              <w:t>2.服务地点</w:t>
            </w:r>
          </w:p>
          <w:p>
            <w:pPr>
              <w:pStyle w:val="null3"/>
              <w:ind w:firstLine="480"/>
              <w:jc w:val="left"/>
            </w:pPr>
            <w:r>
              <w:rPr>
                <w:rFonts w:ascii="仿宋_GB2312" w:hAnsi="仿宋_GB2312" w:cs="仿宋_GB2312" w:eastAsia="仿宋_GB2312"/>
                <w:sz w:val="27"/>
              </w:rPr>
              <w:t>海南省三亚市，具体以采购人指定地点为准。</w:t>
            </w:r>
          </w:p>
          <w:p>
            <w:pPr>
              <w:pStyle w:val="null3"/>
              <w:ind w:firstLine="482"/>
              <w:jc w:val="left"/>
            </w:pPr>
            <w:r>
              <w:rPr>
                <w:rFonts w:ascii="仿宋_GB2312" w:hAnsi="仿宋_GB2312" w:cs="仿宋_GB2312" w:eastAsia="仿宋_GB2312"/>
                <w:sz w:val="27"/>
                <w:b/>
              </w:rPr>
              <w:t>3.付款时间、方式及条件</w:t>
            </w:r>
          </w:p>
          <w:p>
            <w:pPr>
              <w:pStyle w:val="null3"/>
              <w:ind w:firstLine="480"/>
              <w:jc w:val="left"/>
            </w:pPr>
            <w:r>
              <w:rPr>
                <w:rFonts w:ascii="仿宋_GB2312" w:hAnsi="仿宋_GB2312" w:cs="仿宋_GB2312" w:eastAsia="仿宋_GB2312"/>
                <w:sz w:val="27"/>
              </w:rPr>
              <w:t>成交供应商提供相应的合法、有效的发票并通过采购人的验收后，由采购人通过银行转账方式进行支付。具体按采购人与成交供应商签订的合同实施。</w:t>
            </w:r>
          </w:p>
          <w:p>
            <w:pPr>
              <w:pStyle w:val="null3"/>
              <w:ind w:firstLine="482"/>
              <w:jc w:val="left"/>
            </w:pPr>
            <w:r>
              <w:rPr>
                <w:rFonts w:ascii="仿宋_GB2312" w:hAnsi="仿宋_GB2312" w:cs="仿宋_GB2312" w:eastAsia="仿宋_GB2312"/>
                <w:sz w:val="27"/>
                <w:b/>
              </w:rPr>
              <w:t>4.项目验收方法及标准</w:t>
            </w:r>
          </w:p>
          <w:p>
            <w:pPr>
              <w:pStyle w:val="null3"/>
              <w:ind w:firstLine="482"/>
              <w:jc w:val="left"/>
            </w:pPr>
            <w:r>
              <w:rPr>
                <w:rFonts w:ascii="仿宋_GB2312" w:hAnsi="仿宋_GB2312" w:cs="仿宋_GB2312" w:eastAsia="仿宋_GB2312"/>
                <w:sz w:val="27"/>
              </w:rPr>
              <w:t>项目服务成果具体按双方签订合同、采购文件、成交供应商响应文件以及国家、地方和行业的相关规范标准、政策和规定实施，项目服务工作质量需经采购人认可，并经采购人对项目进行验收通过。</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响应文件格式</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响应文件格式</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响应文件格式 开标（报价）一览表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响应文件格式 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响应文件格式 开标（报价）一览表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响应文件格式</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防制技术方案</w:t>
            </w:r>
          </w:p>
        </w:tc>
        <w:tc>
          <w:tcPr>
            <w:tcW w:type="dxa" w:w="2492"/>
          </w:tcPr>
          <w:p>
            <w:pPr>
              <w:pStyle w:val="null3"/>
              <w:jc w:val="left"/>
            </w:pPr>
            <w:r>
              <w:rPr>
                <w:rFonts w:ascii="仿宋_GB2312" w:hAnsi="仿宋_GB2312" w:cs="仿宋_GB2312" w:eastAsia="仿宋_GB2312"/>
              </w:rPr>
              <w:t>供应商根据本项目的服务内容编制的该内容应至少包含：（1）防制对象密度监测方法；（2）防制对象种类监测方法；（3）本辖区内环境防制防治技术。评委对其进行综合评议，满分12分，每有一项缺项的扣4分；在供应商已提供的基础上，每项存在一处内容不完整或有缺陷的扣1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项目熟悉程度</w:t>
            </w:r>
          </w:p>
        </w:tc>
        <w:tc>
          <w:tcPr>
            <w:tcW w:type="dxa" w:w="2492"/>
          </w:tcPr>
          <w:p>
            <w:pPr>
              <w:pStyle w:val="null3"/>
              <w:jc w:val="left"/>
            </w:pPr>
            <w:r>
              <w:rPr>
                <w:rFonts w:ascii="仿宋_GB2312" w:hAnsi="仿宋_GB2312" w:cs="仿宋_GB2312" w:eastAsia="仿宋_GB2312"/>
              </w:rPr>
              <w:t>供应商根据本项目的服务内容编制的该内容应至少包含：（1）区域内环境特点描述以及分析；（2）防制对象的掌握情况；（3）害虫的防治周期方案；（4）服务关键步骤的思路及服务流程。评委对其进行综合评议，满分12分，每有一项缺项的扣3分；在供应商已提供的基础上，每项存在一处内容不完整或有缺陷的扣1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管理实施方案</w:t>
            </w:r>
          </w:p>
        </w:tc>
        <w:tc>
          <w:tcPr>
            <w:tcW w:type="dxa" w:w="2492"/>
          </w:tcPr>
          <w:p>
            <w:pPr>
              <w:pStyle w:val="null3"/>
              <w:jc w:val="left"/>
            </w:pPr>
            <w:r>
              <w:rPr>
                <w:rFonts w:ascii="仿宋_GB2312" w:hAnsi="仿宋_GB2312" w:cs="仿宋_GB2312" w:eastAsia="仿宋_GB2312"/>
              </w:rPr>
              <w:t>供应商根据本项目的服务内容编制的该内容应至少包含：（1）人员培训；（2）质量管理；（3）密度监测。（4）设备安排、（5）人员时间安排。评委对其进行综合评议，满分15分，每有一项缺项的扣3分；在供应商已提供的基础上，每项存在一处内容不完整或有缺陷的扣1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药品选择及用药方案</w:t>
            </w:r>
          </w:p>
        </w:tc>
        <w:tc>
          <w:tcPr>
            <w:tcW w:type="dxa" w:w="2492"/>
          </w:tcPr>
          <w:p>
            <w:pPr>
              <w:pStyle w:val="null3"/>
              <w:jc w:val="left"/>
            </w:pPr>
            <w:r>
              <w:rPr>
                <w:rFonts w:ascii="仿宋_GB2312" w:hAnsi="仿宋_GB2312" w:cs="仿宋_GB2312" w:eastAsia="仿宋_GB2312"/>
              </w:rPr>
              <w:t>供应商根据本项目的服务内容编制的该内容应至少包含：（1）药品选择方案；（2）施药作业流程；（3）用药培训方案。评委对其进行综合评议，满分9分，每有一项缺项的扣3分；在供应商已提供的基础上，每项存在一处内容不完整或有缺陷的扣1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492"/>
          </w:tcPr>
          <w:p>
            <w:pPr>
              <w:pStyle w:val="null3"/>
              <w:jc w:val="left"/>
            </w:pPr>
            <w:r>
              <w:rPr>
                <w:rFonts w:ascii="仿宋_GB2312" w:hAnsi="仿宋_GB2312" w:cs="仿宋_GB2312" w:eastAsia="仿宋_GB2312"/>
              </w:rPr>
              <w:t>供应商根据本项目的服务内容编制的该内容应至少包含：（1）突发卫生事件；（2）卫生中毒事件；（3）迎检措施等方案。（4）紧急灭杀具有传染性的病媒生物。评委对其进行综合评议，满分12分，每有一项缺项的扣3分；在供应商已提供的基础上，每项存在一处内容不完整或有缺陷的扣1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2023年1月1日至今，供应商承接过类似病媒生物防制项目业绩，每提供一个得5分，最高得10分。证明材料：提供合同复印件并加盖供应商公章（以合同签订时间为准）。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专业资质</w:t>
            </w:r>
          </w:p>
        </w:tc>
        <w:tc>
          <w:tcPr>
            <w:tcW w:type="dxa" w:w="2492"/>
          </w:tcPr>
          <w:p>
            <w:pPr>
              <w:pStyle w:val="null3"/>
              <w:jc w:val="left"/>
            </w:pPr>
            <w:r>
              <w:rPr>
                <w:rFonts w:ascii="仿宋_GB2312" w:hAnsi="仿宋_GB2312" w:cs="仿宋_GB2312" w:eastAsia="仿宋_GB2312"/>
              </w:rPr>
              <w:t>供应商具备有害生物防制（或防治）服务机构资质证书，A级（或甲级）得5分，B级（或乙级）得4分，C级（或丙级）得2分，其他得0分。 证明材料：须提供证书复印件并加盖供应商公章。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人员</w:t>
            </w:r>
          </w:p>
        </w:tc>
        <w:tc>
          <w:tcPr>
            <w:tcW w:type="dxa" w:w="2492"/>
          </w:tcPr>
          <w:p>
            <w:pPr>
              <w:pStyle w:val="null3"/>
              <w:jc w:val="left"/>
            </w:pPr>
            <w:r>
              <w:rPr>
                <w:rFonts w:ascii="仿宋_GB2312" w:hAnsi="仿宋_GB2312" w:cs="仿宋_GB2312" w:eastAsia="仿宋_GB2312"/>
              </w:rPr>
              <w:t>供应商拟投入本项目人员具有有害生物防制（或防治）员职业资格证书或岗位证书： 1.具有高级职业资格（三级）证书或以上的，每提供一人得5分，最高得15分； 2.具有中级职业资格（四级）证书及以上的，每提供一人得3分，最高得9分； 3.具有初级职业资格（五级）证书及以上的， 每提供一人得2分，最高得6分。 证明材料：供应商须提供人员证书和劳动合同复印件（或者2025年1月1日至投标截止时间止任意一个月社保证明）并加盖公章，同一人员持有多个证书不重复计分、按最高等级计分。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详见附件：2合同协议书-上传.docx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HNSHB-20260708-2</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三亚市教育局直属学校2026-2027年病媒生物防制服务项目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1</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(三亚市教育局直属学校2026-2027年病媒生物防制服务项目)</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 xml:space="preserve"> 序号</w:t>
            </w:r>
          </w:p>
        </w:tc>
        <w:tc>
          <w:tcPr>
            <w:tcW w:type="dxa" w:w="923"/>
          </w:tcPr>
          <w:p>
            <w:pPr>
              <w:pStyle w:val="null3"/>
              <w:jc w:val="left"/>
            </w:pPr>
            <w:r>
              <w:rPr>
                <w:rFonts w:ascii="仿宋_GB2312" w:hAnsi="仿宋_GB2312" w:cs="仿宋_GB2312" w:eastAsia="仿宋_GB2312"/>
              </w:rPr>
              <w:t xml:space="preserve"> 报价内容</w:t>
            </w:r>
          </w:p>
        </w:tc>
        <w:tc>
          <w:tcPr>
            <w:tcW w:type="dxa" w:w="923"/>
          </w:tcPr>
          <w:p>
            <w:pPr>
              <w:pStyle w:val="null3"/>
              <w:jc w:val="left"/>
            </w:pPr>
            <w:r>
              <w:rPr>
                <w:rFonts w:ascii="仿宋_GB2312" w:hAnsi="仿宋_GB2312" w:cs="仿宋_GB2312" w:eastAsia="仿宋_GB2312"/>
              </w:rPr>
              <w:t xml:space="preserve"> 数量（计量单位）</w:t>
            </w:r>
          </w:p>
        </w:tc>
        <w:tc>
          <w:tcPr>
            <w:tcW w:type="dxa" w:w="923"/>
          </w:tcPr>
          <w:p>
            <w:pPr>
              <w:pStyle w:val="null3"/>
              <w:jc w:val="left"/>
            </w:pPr>
            <w:r>
              <w:rPr>
                <w:rFonts w:ascii="仿宋_GB2312" w:hAnsi="仿宋_GB2312" w:cs="仿宋_GB2312" w:eastAsia="仿宋_GB2312"/>
              </w:rPr>
              <w:t xml:space="preserve"> 最高限价</w:t>
            </w:r>
          </w:p>
        </w:tc>
        <w:tc>
          <w:tcPr>
            <w:tcW w:type="dxa" w:w="923"/>
          </w:tcPr>
          <w:p>
            <w:pPr>
              <w:pStyle w:val="null3"/>
              <w:jc w:val="left"/>
            </w:pPr>
            <w:r>
              <w:rPr>
                <w:rFonts w:ascii="仿宋_GB2312" w:hAnsi="仿宋_GB2312" w:cs="仿宋_GB2312" w:eastAsia="仿宋_GB2312"/>
              </w:rPr>
              <w:t xml:space="preserve"> 响应报价</w:t>
            </w:r>
          </w:p>
        </w:tc>
        <w:tc>
          <w:tcPr>
            <w:tcW w:type="dxa" w:w="923"/>
          </w:tcPr>
          <w:p>
            <w:pPr>
              <w:pStyle w:val="null3"/>
              <w:jc w:val="left"/>
            </w:pPr>
            <w:r>
              <w:rPr>
                <w:rFonts w:ascii="仿宋_GB2312" w:hAnsi="仿宋_GB2312" w:cs="仿宋_GB2312" w:eastAsia="仿宋_GB2312"/>
              </w:rPr>
              <w:t xml:space="preserve"> 价款形式</w:t>
            </w:r>
          </w:p>
        </w:tc>
        <w:tc>
          <w:tcPr>
            <w:tcW w:type="dxa" w:w="923"/>
          </w:tcPr>
          <w:p>
            <w:pPr>
              <w:pStyle w:val="null3"/>
              <w:jc w:val="left"/>
            </w:pPr>
            <w:r>
              <w:rPr>
                <w:rFonts w:ascii="仿宋_GB2312" w:hAnsi="仿宋_GB2312" w:cs="仿宋_GB2312" w:eastAsia="仿宋_GB2312"/>
              </w:rPr>
              <w:t xml:space="preserve"> 服务范围</w:t>
            </w:r>
          </w:p>
        </w:tc>
        <w:tc>
          <w:tcPr>
            <w:tcW w:type="dxa" w:w="923"/>
          </w:tcPr>
          <w:p>
            <w:pPr>
              <w:pStyle w:val="null3"/>
              <w:jc w:val="left"/>
            </w:pPr>
            <w:r>
              <w:rPr>
                <w:rFonts w:ascii="仿宋_GB2312" w:hAnsi="仿宋_GB2312" w:cs="仿宋_GB2312" w:eastAsia="仿宋_GB2312"/>
              </w:rPr>
              <w:t xml:space="preserve"> 服务期限</w:t>
            </w:r>
          </w:p>
        </w:tc>
        <w:tc>
          <w:tcPr>
            <w:tcW w:type="dxa" w:w="923"/>
          </w:tcPr>
          <w:p>
            <w:pPr>
              <w:pStyle w:val="null3"/>
              <w:jc w:val="left"/>
            </w:pPr>
            <w:r>
              <w:rPr>
                <w:rFonts w:ascii="仿宋_GB2312" w:hAnsi="仿宋_GB2312" w:cs="仿宋_GB2312" w:eastAsia="仿宋_GB2312"/>
              </w:rPr>
              <w:t xml:space="preserve"> 交付（服务）地点</w:t>
            </w:r>
          </w:p>
        </w:tc>
      </w:tr>
      <w:tr>
        <w:tc>
          <w:tcPr>
            <w:tcW w:type="dxa" w:w="923"/>
          </w:tcPr>
          <w:p>
            <w:pPr>
              <w:pStyle w:val="null3"/>
              <w:jc w:val="left"/>
            </w:pPr>
            <w:r>
              <w:rPr>
                <w:rFonts w:ascii="仿宋_GB2312" w:hAnsi="仿宋_GB2312" w:cs="仿宋_GB2312" w:eastAsia="仿宋_GB2312"/>
              </w:rPr>
              <w:t xml:space="preserve"> 1</w:t>
            </w:r>
          </w:p>
        </w:tc>
        <w:tc>
          <w:tcPr>
            <w:tcW w:type="dxa" w:w="923"/>
          </w:tcPr>
          <w:p>
            <w:pPr>
              <w:pStyle w:val="null3"/>
              <w:jc w:val="left"/>
            </w:pPr>
            <w:r>
              <w:rPr>
                <w:rFonts w:ascii="仿宋_GB2312" w:hAnsi="仿宋_GB2312" w:cs="仿宋_GB2312" w:eastAsia="仿宋_GB2312"/>
              </w:rPr>
              <w:t xml:space="preserve"> C99000000-其他服务</w:t>
            </w:r>
          </w:p>
        </w:tc>
        <w:tc>
          <w:tcPr>
            <w:tcW w:type="dxa" w:w="923"/>
          </w:tcPr>
          <w:p>
            <w:pPr>
              <w:pStyle w:val="null3"/>
              <w:jc w:val="left"/>
            </w:pPr>
            <w:r>
              <w:rPr>
                <w:rFonts w:ascii="仿宋_GB2312" w:hAnsi="仿宋_GB2312" w:cs="仿宋_GB2312" w:eastAsia="仿宋_GB2312"/>
              </w:rPr>
              <w:t xml:space="preserve"> 1.00项</w:t>
            </w:r>
          </w:p>
        </w:tc>
        <w:tc>
          <w:tcPr>
            <w:tcW w:type="dxa" w:w="923"/>
          </w:tcPr>
          <w:p>
            <w:pPr>
              <w:pStyle w:val="null3"/>
              <w:jc w:val="left"/>
            </w:pPr>
            <w:r>
              <w:rPr>
                <w:rFonts w:ascii="仿宋_GB2312" w:hAnsi="仿宋_GB2312" w:cs="仿宋_GB2312" w:eastAsia="仿宋_GB2312"/>
              </w:rPr>
              <w:t xml:space="preserve"> 1641024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总价</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海南省三亚市，具体以采购人指定地点为准。</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详见附件：响应文件格式</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