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E7114">
      <w:pPr>
        <w:spacing w:line="240" w:lineRule="auto"/>
        <w:ind w:right="-61"/>
        <w:jc w:val="center"/>
        <w:rPr>
          <w:b/>
          <w:sz w:val="36"/>
          <w:szCs w:val="36"/>
          <w:lang w:eastAsia="zh-CN"/>
        </w:rPr>
      </w:pPr>
      <w:r>
        <w:rPr>
          <w:b/>
          <w:sz w:val="36"/>
          <w:szCs w:val="36"/>
          <w:lang w:eastAsia="zh-CN"/>
        </w:rPr>
        <w:t>服务合同</w:t>
      </w:r>
    </w:p>
    <w:p w14:paraId="30D02C0B">
      <w:pPr>
        <w:spacing w:line="240" w:lineRule="auto"/>
        <w:ind w:right="-61"/>
        <w:jc w:val="center"/>
        <w:rPr>
          <w:b/>
          <w:sz w:val="36"/>
          <w:szCs w:val="36"/>
          <w:lang w:eastAsia="zh-CN"/>
        </w:rPr>
      </w:pPr>
    </w:p>
    <w:p w14:paraId="56246D25">
      <w:pPr>
        <w:spacing w:line="240" w:lineRule="auto"/>
        <w:ind w:right="-61"/>
        <w:jc w:val="center"/>
        <w:rPr>
          <w:b/>
          <w:sz w:val="36"/>
          <w:szCs w:val="36"/>
          <w:lang w:eastAsia="zh-CN"/>
        </w:rPr>
      </w:pPr>
    </w:p>
    <w:p w14:paraId="08B0087A">
      <w:pPr>
        <w:spacing w:line="240" w:lineRule="auto"/>
        <w:ind w:left="567" w:hanging="567"/>
        <w:rPr>
          <w:b/>
          <w:sz w:val="36"/>
          <w:szCs w:val="36"/>
          <w:lang w:eastAsia="zh-CN"/>
        </w:rPr>
      </w:pPr>
    </w:p>
    <w:p w14:paraId="71F10306">
      <w:pPr>
        <w:spacing w:line="240" w:lineRule="auto"/>
        <w:ind w:left="567" w:hanging="567"/>
        <w:jc w:val="center"/>
        <w:rPr>
          <w:b/>
          <w:sz w:val="36"/>
          <w:szCs w:val="36"/>
          <w:u w:val="single"/>
          <w:lang w:eastAsia="zh-CN"/>
        </w:rPr>
      </w:pPr>
      <w:r>
        <w:rPr>
          <w:b/>
          <w:sz w:val="36"/>
          <w:szCs w:val="36"/>
          <w:lang w:eastAsia="zh-CN"/>
        </w:rPr>
        <w:t>合同编号：</w:t>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p>
    <w:p w14:paraId="13C9623E">
      <w:pPr>
        <w:spacing w:line="240" w:lineRule="auto"/>
        <w:ind w:right="29"/>
        <w:jc w:val="center"/>
        <w:rPr>
          <w:b/>
          <w:sz w:val="36"/>
          <w:szCs w:val="36"/>
          <w:lang w:eastAsia="zh-CN"/>
        </w:rPr>
      </w:pPr>
    </w:p>
    <w:p w14:paraId="5A6967E7">
      <w:pPr>
        <w:spacing w:line="240" w:lineRule="auto"/>
        <w:ind w:left="567" w:hanging="567"/>
        <w:jc w:val="center"/>
        <w:rPr>
          <w:b/>
          <w:sz w:val="36"/>
          <w:szCs w:val="36"/>
          <w:lang w:eastAsia="zh-CN"/>
        </w:rPr>
      </w:pPr>
      <w:r>
        <w:rPr>
          <w:b/>
          <w:sz w:val="36"/>
          <w:szCs w:val="36"/>
          <w:lang w:eastAsia="zh-CN"/>
        </w:rPr>
        <w:t>由</w:t>
      </w:r>
    </w:p>
    <w:p w14:paraId="02165642">
      <w:pPr>
        <w:spacing w:line="240" w:lineRule="auto"/>
        <w:ind w:left="567" w:hanging="567"/>
        <w:jc w:val="center"/>
        <w:rPr>
          <w:b/>
          <w:sz w:val="36"/>
          <w:szCs w:val="36"/>
          <w:lang w:eastAsia="zh-CN"/>
        </w:rPr>
      </w:pPr>
    </w:p>
    <w:p w14:paraId="3D39B03D">
      <w:pPr>
        <w:spacing w:line="240" w:lineRule="auto"/>
        <w:ind w:left="567" w:hanging="567"/>
        <w:jc w:val="center"/>
        <w:rPr>
          <w:b/>
          <w:sz w:val="36"/>
          <w:szCs w:val="36"/>
          <w:lang w:eastAsia="zh-CN"/>
        </w:rPr>
      </w:pPr>
    </w:p>
    <w:p w14:paraId="76DE7110">
      <w:pPr>
        <w:spacing w:line="240" w:lineRule="auto"/>
        <w:ind w:left="567" w:hanging="567"/>
        <w:jc w:val="center"/>
        <w:rPr>
          <w:b/>
          <w:sz w:val="36"/>
          <w:szCs w:val="36"/>
          <w:u w:val="single"/>
          <w:lang w:eastAsia="zh-CN"/>
        </w:rPr>
      </w:pPr>
      <w:r>
        <w:rPr>
          <w:b/>
          <w:sz w:val="36"/>
          <w:szCs w:val="36"/>
          <w:u w:val="single"/>
          <w:lang w:eastAsia="zh-CN"/>
        </w:rPr>
        <w:t>福建联合石油化工有限公司</w:t>
      </w:r>
    </w:p>
    <w:p w14:paraId="597EFC90">
      <w:pPr>
        <w:spacing w:line="240" w:lineRule="auto"/>
        <w:ind w:left="567" w:hanging="567"/>
        <w:jc w:val="center"/>
        <w:rPr>
          <w:b/>
          <w:sz w:val="36"/>
          <w:szCs w:val="36"/>
          <w:u w:val="single"/>
          <w:lang w:eastAsia="zh-CN"/>
        </w:rPr>
      </w:pPr>
    </w:p>
    <w:p w14:paraId="69408F2B">
      <w:pPr>
        <w:spacing w:line="240" w:lineRule="auto"/>
        <w:ind w:left="567" w:hanging="567"/>
        <w:jc w:val="center"/>
        <w:rPr>
          <w:b/>
          <w:sz w:val="36"/>
          <w:szCs w:val="36"/>
          <w:lang w:eastAsia="zh-CN"/>
        </w:rPr>
      </w:pPr>
      <w:r>
        <w:rPr>
          <w:b/>
          <w:sz w:val="36"/>
          <w:szCs w:val="36"/>
          <w:lang w:eastAsia="zh-CN"/>
        </w:rPr>
        <w:t>与</w:t>
      </w:r>
    </w:p>
    <w:p w14:paraId="58BA73A5">
      <w:pPr>
        <w:spacing w:line="240" w:lineRule="auto"/>
        <w:ind w:left="567" w:hanging="567"/>
        <w:jc w:val="center"/>
        <w:rPr>
          <w:b/>
          <w:sz w:val="36"/>
          <w:szCs w:val="36"/>
          <w:lang w:eastAsia="zh-CN"/>
        </w:rPr>
      </w:pPr>
    </w:p>
    <w:p w14:paraId="242DA86D">
      <w:pPr>
        <w:spacing w:line="240" w:lineRule="auto"/>
        <w:ind w:left="567" w:hanging="567"/>
        <w:jc w:val="center"/>
        <w:rPr>
          <w:b/>
          <w:sz w:val="36"/>
          <w:szCs w:val="36"/>
          <w:u w:val="single"/>
          <w:lang w:eastAsia="zh-CN"/>
        </w:rPr>
      </w:pP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r>
        <w:rPr>
          <w:b/>
          <w:sz w:val="36"/>
          <w:szCs w:val="36"/>
          <w:u w:val="single"/>
          <w:lang w:eastAsia="zh-CN"/>
        </w:rPr>
        <w:tab/>
      </w:r>
    </w:p>
    <w:p w14:paraId="3298D885">
      <w:pPr>
        <w:spacing w:line="240" w:lineRule="auto"/>
        <w:ind w:left="567" w:hanging="567"/>
        <w:jc w:val="center"/>
        <w:rPr>
          <w:b/>
          <w:sz w:val="36"/>
          <w:szCs w:val="36"/>
          <w:lang w:eastAsia="zh-CN"/>
        </w:rPr>
      </w:pPr>
      <w:r>
        <w:rPr>
          <w:b/>
          <w:sz w:val="36"/>
          <w:szCs w:val="36"/>
          <w:lang w:eastAsia="zh-CN"/>
        </w:rPr>
        <w:t>乙方名称</w:t>
      </w:r>
    </w:p>
    <w:p w14:paraId="5C5623C5">
      <w:pPr>
        <w:spacing w:line="240" w:lineRule="auto"/>
        <w:ind w:left="567" w:hanging="567"/>
        <w:rPr>
          <w:b/>
          <w:sz w:val="36"/>
          <w:szCs w:val="36"/>
          <w:u w:val="single"/>
          <w:lang w:eastAsia="zh-CN"/>
        </w:rPr>
      </w:pPr>
    </w:p>
    <w:p w14:paraId="39C1722D">
      <w:pPr>
        <w:spacing w:line="240" w:lineRule="auto"/>
        <w:ind w:left="567" w:hanging="567"/>
        <w:jc w:val="center"/>
        <w:rPr>
          <w:b/>
          <w:sz w:val="36"/>
          <w:szCs w:val="36"/>
          <w:lang w:eastAsia="zh-CN"/>
        </w:rPr>
      </w:pPr>
    </w:p>
    <w:p w14:paraId="732FEF9D">
      <w:pPr>
        <w:spacing w:line="240" w:lineRule="auto"/>
        <w:ind w:left="567" w:hanging="567"/>
        <w:jc w:val="center"/>
        <w:rPr>
          <w:b/>
          <w:sz w:val="36"/>
          <w:szCs w:val="36"/>
          <w:lang w:eastAsia="zh-CN"/>
        </w:rPr>
      </w:pPr>
      <w:r>
        <w:rPr>
          <w:b/>
          <w:sz w:val="36"/>
          <w:szCs w:val="36"/>
          <w:lang w:eastAsia="zh-CN"/>
        </w:rPr>
        <w:t>就</w:t>
      </w:r>
    </w:p>
    <w:p w14:paraId="183DB25F">
      <w:pPr>
        <w:spacing w:line="240" w:lineRule="auto"/>
        <w:ind w:left="567" w:hanging="567"/>
        <w:jc w:val="center"/>
        <w:rPr>
          <w:b/>
          <w:sz w:val="36"/>
          <w:szCs w:val="36"/>
          <w:lang w:eastAsia="zh-CN"/>
        </w:rPr>
      </w:pPr>
    </w:p>
    <w:p w14:paraId="42385CE8">
      <w:pPr>
        <w:spacing w:line="240" w:lineRule="auto"/>
        <w:ind w:left="567" w:hanging="567"/>
        <w:jc w:val="center"/>
        <w:rPr>
          <w:b/>
          <w:sz w:val="36"/>
          <w:szCs w:val="36"/>
          <w:lang w:eastAsia="zh-CN"/>
        </w:rPr>
      </w:pPr>
      <w:r>
        <w:rPr>
          <w:rFonts w:hint="eastAsia"/>
          <w:b/>
          <w:sz w:val="36"/>
          <w:szCs w:val="36"/>
          <w:u w:val="single"/>
          <w:lang w:eastAsia="zh-CN"/>
        </w:rPr>
        <w:t>白蚁红火蚁防治及灭鼠服务</w:t>
      </w:r>
    </w:p>
    <w:p w14:paraId="250CBCD4">
      <w:pPr>
        <w:spacing w:line="240" w:lineRule="auto"/>
        <w:ind w:left="567" w:hanging="567"/>
        <w:jc w:val="center"/>
        <w:rPr>
          <w:b/>
          <w:sz w:val="36"/>
          <w:szCs w:val="36"/>
          <w:lang w:eastAsia="zh-CN"/>
        </w:rPr>
      </w:pPr>
    </w:p>
    <w:p w14:paraId="2F49AF35">
      <w:pPr>
        <w:spacing w:line="240" w:lineRule="auto"/>
        <w:ind w:left="567" w:hanging="567"/>
        <w:jc w:val="center"/>
        <w:rPr>
          <w:b/>
          <w:sz w:val="36"/>
          <w:szCs w:val="36"/>
          <w:lang w:eastAsia="zh-CN"/>
        </w:rPr>
      </w:pPr>
    </w:p>
    <w:p w14:paraId="4CC76705">
      <w:pPr>
        <w:spacing w:line="240" w:lineRule="auto"/>
        <w:ind w:left="567" w:hanging="567"/>
        <w:jc w:val="center"/>
        <w:rPr>
          <w:b/>
          <w:sz w:val="36"/>
          <w:szCs w:val="36"/>
          <w:lang w:eastAsia="zh-CN"/>
        </w:rPr>
      </w:pPr>
      <w:r>
        <w:rPr>
          <w:b/>
          <w:sz w:val="36"/>
          <w:szCs w:val="36"/>
          <w:lang w:eastAsia="zh-CN"/>
        </w:rPr>
        <w:t>于</w:t>
      </w:r>
    </w:p>
    <w:p w14:paraId="48DA62B1">
      <w:pPr>
        <w:spacing w:line="240" w:lineRule="auto"/>
        <w:ind w:left="567" w:hanging="567"/>
        <w:jc w:val="center"/>
        <w:rPr>
          <w:b/>
          <w:sz w:val="36"/>
          <w:szCs w:val="36"/>
          <w:lang w:eastAsia="zh-CN"/>
        </w:rPr>
      </w:pPr>
    </w:p>
    <w:p w14:paraId="687F7A23">
      <w:pPr>
        <w:spacing w:line="240" w:lineRule="auto"/>
        <w:ind w:left="567" w:hanging="567"/>
        <w:jc w:val="center"/>
        <w:rPr>
          <w:b/>
          <w:sz w:val="36"/>
          <w:szCs w:val="36"/>
          <w:lang w:eastAsia="zh-CN"/>
        </w:rPr>
      </w:pPr>
      <w:r>
        <w:rPr>
          <w:rFonts w:hint="eastAsia"/>
          <w:b/>
          <w:sz w:val="36"/>
          <w:szCs w:val="36"/>
          <w:u w:val="single"/>
          <w:lang w:val="en-US" w:eastAsia="zh-CN"/>
        </w:rPr>
        <w:t>泉州</w:t>
      </w:r>
    </w:p>
    <w:p w14:paraId="20216D1E">
      <w:pPr>
        <w:spacing w:line="240" w:lineRule="auto"/>
        <w:ind w:left="567" w:hanging="567"/>
        <w:jc w:val="center"/>
        <w:rPr>
          <w:b/>
          <w:sz w:val="36"/>
          <w:szCs w:val="36"/>
          <w:lang w:eastAsia="zh-CN"/>
        </w:rPr>
      </w:pPr>
    </w:p>
    <w:p w14:paraId="5DE87D76">
      <w:pPr>
        <w:spacing w:line="240" w:lineRule="auto"/>
        <w:ind w:left="567" w:hanging="567"/>
        <w:jc w:val="center"/>
        <w:rPr>
          <w:b/>
          <w:sz w:val="36"/>
          <w:szCs w:val="36"/>
          <w:lang w:eastAsia="zh-CN"/>
        </w:rPr>
      </w:pPr>
      <w:r>
        <w:rPr>
          <w:rFonts w:hint="eastAsia"/>
          <w:b/>
          <w:sz w:val="36"/>
          <w:szCs w:val="36"/>
          <w:lang w:eastAsia="zh-CN"/>
        </w:rPr>
        <w:t xml:space="preserve"> 签订</w:t>
      </w:r>
    </w:p>
    <w:p w14:paraId="122B7120">
      <w:pPr>
        <w:spacing w:line="240" w:lineRule="auto"/>
        <w:jc w:val="center"/>
        <w:rPr>
          <w:b/>
          <w:sz w:val="36"/>
          <w:szCs w:val="36"/>
          <w:lang w:eastAsia="zh-CN"/>
        </w:rPr>
      </w:pPr>
    </w:p>
    <w:p w14:paraId="54320713">
      <w:pPr>
        <w:spacing w:line="240" w:lineRule="auto"/>
        <w:ind w:left="567" w:hanging="567"/>
        <w:jc w:val="center"/>
        <w:rPr>
          <w:sz w:val="36"/>
          <w:szCs w:val="36"/>
          <w:lang w:eastAsia="zh-CN"/>
        </w:rPr>
        <w:sectPr>
          <w:headerReference r:id="rId7" w:type="first"/>
          <w:footerReference r:id="rId10" w:type="first"/>
          <w:headerReference r:id="rId5" w:type="default"/>
          <w:footerReference r:id="rId8" w:type="default"/>
          <w:headerReference r:id="rId6" w:type="even"/>
          <w:footerReference r:id="rId9" w:type="even"/>
          <w:pgSz w:w="12242" w:h="15842"/>
          <w:pgMar w:top="1440" w:right="1080" w:bottom="1440" w:left="1080" w:header="680" w:footer="454" w:gutter="0"/>
          <w:pgNumType w:start="1"/>
          <w:cols w:space="567" w:num="1"/>
          <w:titlePg/>
          <w:docGrid w:linePitch="326" w:charSpace="0"/>
        </w:sectPr>
      </w:pPr>
    </w:p>
    <w:p w14:paraId="37B8156A">
      <w:pPr>
        <w:spacing w:line="400" w:lineRule="exact"/>
        <w:jc w:val="center"/>
        <w:rPr>
          <w:rFonts w:ascii="Times New Roman" w:hAnsi="Times New Roman" w:eastAsia="宋体" w:cs="Times New Roman"/>
          <w:sz w:val="24"/>
          <w:szCs w:val="24"/>
          <w:lang w:val="en-US" w:eastAsia="zh-CN" w:bidi="ar-SA"/>
        </w:rPr>
      </w:pPr>
      <w:bookmarkStart w:id="0" w:name="_Toc83734736"/>
      <w:bookmarkStart w:id="1" w:name="_Toc225931851"/>
      <w:bookmarkStart w:id="2" w:name="_Toc200722727"/>
      <w:r>
        <w:rPr>
          <w:lang w:eastAsia="zh-CN"/>
        </w:rPr>
        <w:t>目录</w:t>
      </w:r>
      <w:bookmarkEnd w:id="0"/>
      <w:bookmarkEnd w:id="1"/>
      <w:bookmarkEnd w:id="2"/>
      <w:r>
        <w:rPr>
          <w:b w:val="0"/>
          <w:kern w:val="2"/>
          <w:sz w:val="24"/>
          <w:szCs w:val="24"/>
        </w:rPr>
        <w:fldChar w:fldCharType="begin"/>
      </w:r>
      <w:r>
        <w:rPr>
          <w:b w:val="0"/>
          <w:sz w:val="24"/>
          <w:szCs w:val="24"/>
          <w:lang w:eastAsia="zh-CN"/>
        </w:rPr>
        <w:instrText xml:space="preserve"> TOC \o "1-3" \h \z \u </w:instrText>
      </w:r>
      <w:r>
        <w:rPr>
          <w:b w:val="0"/>
          <w:kern w:val="2"/>
          <w:sz w:val="24"/>
          <w:szCs w:val="24"/>
        </w:rPr>
        <w:fldChar w:fldCharType="separate"/>
      </w:r>
    </w:p>
    <w:p w14:paraId="3C9846E9">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_Toc12908 </w:instrText>
      </w:r>
      <w:r>
        <w:rPr>
          <w:szCs w:val="24"/>
          <w:lang w:eastAsia="zh-CN"/>
        </w:rPr>
        <w:fldChar w:fldCharType="separate"/>
      </w:r>
      <w:r>
        <w:rPr>
          <w:rFonts w:hint="eastAsia"/>
        </w:rPr>
        <w:t xml:space="preserve">1 </w:t>
      </w:r>
      <w:r>
        <w:t>定义</w:t>
      </w:r>
      <w:r>
        <w:tab/>
      </w:r>
      <w:r>
        <w:fldChar w:fldCharType="begin"/>
      </w:r>
      <w:r>
        <w:instrText xml:space="preserve"> PAGEREF _Toc12908 \h </w:instrText>
      </w:r>
      <w:r>
        <w:fldChar w:fldCharType="separate"/>
      </w:r>
      <w:r>
        <w:t>2</w:t>
      </w:r>
      <w:r>
        <w:fldChar w:fldCharType="end"/>
      </w:r>
      <w:r>
        <w:rPr>
          <w:szCs w:val="24"/>
          <w:lang w:eastAsia="zh-CN"/>
        </w:rPr>
        <w:fldChar w:fldCharType="end"/>
      </w:r>
    </w:p>
    <w:p w14:paraId="27D0F315">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_Toc28073 </w:instrText>
      </w:r>
      <w:r>
        <w:rPr>
          <w:szCs w:val="24"/>
          <w:lang w:eastAsia="zh-CN"/>
        </w:rPr>
        <w:fldChar w:fldCharType="separate"/>
      </w:r>
      <w:r>
        <w:rPr>
          <w:rFonts w:hint="default" w:ascii="Times New Roman" w:hAnsi="Times New Roman" w:cs="Times New Roman"/>
          <w:szCs w:val="28"/>
          <w:lang w:eastAsia="zh-CN"/>
        </w:rPr>
        <w:t xml:space="preserve">2 </w:t>
      </w:r>
      <w:r>
        <w:rPr>
          <w:szCs w:val="28"/>
        </w:rPr>
        <w:t>合同范围</w:t>
      </w:r>
      <w:r>
        <w:tab/>
      </w:r>
      <w:r>
        <w:fldChar w:fldCharType="begin"/>
      </w:r>
      <w:r>
        <w:instrText xml:space="preserve"> PAGEREF _Toc28073 \h </w:instrText>
      </w:r>
      <w:r>
        <w:fldChar w:fldCharType="separate"/>
      </w:r>
      <w:r>
        <w:t>3</w:t>
      </w:r>
      <w:r>
        <w:fldChar w:fldCharType="end"/>
      </w:r>
      <w:r>
        <w:rPr>
          <w:szCs w:val="24"/>
          <w:lang w:eastAsia="zh-CN"/>
        </w:rPr>
        <w:fldChar w:fldCharType="end"/>
      </w:r>
    </w:p>
    <w:p w14:paraId="0C1D1EEA">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_Toc17064 </w:instrText>
      </w:r>
      <w:r>
        <w:rPr>
          <w:szCs w:val="24"/>
          <w:lang w:eastAsia="zh-CN"/>
        </w:rPr>
        <w:fldChar w:fldCharType="separate"/>
      </w:r>
      <w:r>
        <w:rPr>
          <w:rFonts w:hint="default" w:ascii="Times New Roman" w:hAnsi="Times New Roman" w:cs="Times New Roman"/>
          <w:szCs w:val="28"/>
        </w:rPr>
        <w:t xml:space="preserve">3 </w:t>
      </w:r>
      <w:r>
        <w:t>合同</w:t>
      </w:r>
      <w:r>
        <w:rPr>
          <w:rFonts w:hint="eastAsia"/>
        </w:rPr>
        <w:t>履行</w:t>
      </w:r>
      <w:r>
        <w:t>期限</w:t>
      </w:r>
      <w:r>
        <w:tab/>
      </w:r>
      <w:r>
        <w:fldChar w:fldCharType="begin"/>
      </w:r>
      <w:r>
        <w:instrText xml:space="preserve"> PAGEREF _Toc17064 \h </w:instrText>
      </w:r>
      <w:r>
        <w:fldChar w:fldCharType="separate"/>
      </w:r>
      <w:r>
        <w:t>3</w:t>
      </w:r>
      <w:r>
        <w:fldChar w:fldCharType="end"/>
      </w:r>
      <w:r>
        <w:rPr>
          <w:szCs w:val="24"/>
          <w:lang w:eastAsia="zh-CN"/>
        </w:rPr>
        <w:fldChar w:fldCharType="end"/>
      </w:r>
    </w:p>
    <w:p w14:paraId="1A9E88AD">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_Toc11317 </w:instrText>
      </w:r>
      <w:r>
        <w:rPr>
          <w:szCs w:val="24"/>
          <w:lang w:eastAsia="zh-CN"/>
        </w:rPr>
        <w:fldChar w:fldCharType="separate"/>
      </w:r>
      <w:r>
        <w:rPr>
          <w:rFonts w:hint="default" w:ascii="Times New Roman" w:hAnsi="Times New Roman" w:cs="Times New Roman"/>
          <w:szCs w:val="28"/>
          <w:lang w:eastAsia="zh-CN"/>
        </w:rPr>
        <w:t xml:space="preserve">4 </w:t>
      </w:r>
      <w:r>
        <w:rPr>
          <w:szCs w:val="28"/>
          <w:lang w:eastAsia="zh-CN"/>
        </w:rPr>
        <w:t>甲方权利义务</w:t>
      </w:r>
      <w:r>
        <w:tab/>
      </w:r>
      <w:r>
        <w:fldChar w:fldCharType="begin"/>
      </w:r>
      <w:r>
        <w:instrText xml:space="preserve"> PAGEREF _Toc11317 \h </w:instrText>
      </w:r>
      <w:r>
        <w:fldChar w:fldCharType="separate"/>
      </w:r>
      <w:r>
        <w:t>3</w:t>
      </w:r>
      <w:r>
        <w:fldChar w:fldCharType="end"/>
      </w:r>
      <w:r>
        <w:rPr>
          <w:szCs w:val="24"/>
          <w:lang w:eastAsia="zh-CN"/>
        </w:rPr>
        <w:fldChar w:fldCharType="end"/>
      </w:r>
    </w:p>
    <w:p w14:paraId="234574A7">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_Toc32736 </w:instrText>
      </w:r>
      <w:r>
        <w:rPr>
          <w:szCs w:val="24"/>
          <w:lang w:eastAsia="zh-CN"/>
        </w:rPr>
        <w:fldChar w:fldCharType="separate"/>
      </w:r>
      <w:r>
        <w:rPr>
          <w:rFonts w:hint="default" w:ascii="Times New Roman" w:hAnsi="Times New Roman" w:cs="Times New Roman"/>
          <w:szCs w:val="28"/>
          <w:lang w:eastAsia="zh-CN"/>
        </w:rPr>
        <w:t xml:space="preserve">5 </w:t>
      </w:r>
      <w:r>
        <w:t>乙方权利义务</w:t>
      </w:r>
      <w:r>
        <w:tab/>
      </w:r>
      <w:r>
        <w:fldChar w:fldCharType="begin"/>
      </w:r>
      <w:r>
        <w:instrText xml:space="preserve"> PAGEREF _Toc32736 \h </w:instrText>
      </w:r>
      <w:r>
        <w:fldChar w:fldCharType="separate"/>
      </w:r>
      <w:r>
        <w:t>3</w:t>
      </w:r>
      <w:r>
        <w:fldChar w:fldCharType="end"/>
      </w:r>
      <w:r>
        <w:rPr>
          <w:szCs w:val="24"/>
          <w:lang w:eastAsia="zh-CN"/>
        </w:rPr>
        <w:fldChar w:fldCharType="end"/>
      </w:r>
    </w:p>
    <w:p w14:paraId="6DC301A8">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_Toc13848 </w:instrText>
      </w:r>
      <w:r>
        <w:rPr>
          <w:szCs w:val="24"/>
          <w:lang w:eastAsia="zh-CN"/>
        </w:rPr>
        <w:fldChar w:fldCharType="separate"/>
      </w:r>
      <w:r>
        <w:rPr>
          <w:rFonts w:hint="default" w:ascii="Times New Roman" w:hAnsi="Times New Roman" w:cs="Times New Roman"/>
          <w:szCs w:val="28"/>
        </w:rPr>
        <w:t xml:space="preserve">6 </w:t>
      </w:r>
      <w:r>
        <w:t>变更</w:t>
      </w:r>
      <w:r>
        <w:tab/>
      </w:r>
      <w:r>
        <w:fldChar w:fldCharType="begin"/>
      </w:r>
      <w:r>
        <w:instrText xml:space="preserve"> PAGEREF _Toc13848 \h </w:instrText>
      </w:r>
      <w:r>
        <w:fldChar w:fldCharType="separate"/>
      </w:r>
      <w:r>
        <w:t>4</w:t>
      </w:r>
      <w:r>
        <w:fldChar w:fldCharType="end"/>
      </w:r>
      <w:r>
        <w:rPr>
          <w:szCs w:val="24"/>
          <w:lang w:eastAsia="zh-CN"/>
        </w:rPr>
        <w:fldChar w:fldCharType="end"/>
      </w:r>
    </w:p>
    <w:p w14:paraId="3872A574">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_Toc6456 </w:instrText>
      </w:r>
      <w:r>
        <w:rPr>
          <w:szCs w:val="24"/>
          <w:lang w:eastAsia="zh-CN"/>
        </w:rPr>
        <w:fldChar w:fldCharType="separate"/>
      </w:r>
      <w:r>
        <w:rPr>
          <w:rFonts w:hint="default" w:ascii="Times New Roman" w:hAnsi="Times New Roman" w:cs="Times New Roman"/>
          <w:szCs w:val="28"/>
        </w:rPr>
        <w:t xml:space="preserve">7 </w:t>
      </w:r>
      <w:r>
        <w:t>付款、</w:t>
      </w:r>
      <w:r>
        <w:rPr>
          <w:rFonts w:hint="eastAsia"/>
        </w:rPr>
        <w:t>税费和</w:t>
      </w:r>
      <w:r>
        <w:t>发票</w:t>
      </w:r>
      <w:r>
        <w:tab/>
      </w:r>
      <w:r>
        <w:fldChar w:fldCharType="begin"/>
      </w:r>
      <w:r>
        <w:instrText xml:space="preserve"> PAGEREF _Toc6456 \h </w:instrText>
      </w:r>
      <w:r>
        <w:fldChar w:fldCharType="separate"/>
      </w:r>
      <w:r>
        <w:t>5</w:t>
      </w:r>
      <w:r>
        <w:fldChar w:fldCharType="end"/>
      </w:r>
      <w:r>
        <w:rPr>
          <w:szCs w:val="24"/>
          <w:lang w:eastAsia="zh-CN"/>
        </w:rPr>
        <w:fldChar w:fldCharType="end"/>
      </w:r>
    </w:p>
    <w:p w14:paraId="442F1980">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_Toc21038 </w:instrText>
      </w:r>
      <w:r>
        <w:rPr>
          <w:szCs w:val="24"/>
          <w:lang w:eastAsia="zh-CN"/>
        </w:rPr>
        <w:fldChar w:fldCharType="separate"/>
      </w:r>
      <w:r>
        <w:rPr>
          <w:rFonts w:hint="default" w:ascii="Times New Roman" w:hAnsi="Times New Roman" w:cs="Times New Roman"/>
          <w:szCs w:val="28"/>
        </w:rPr>
        <w:t xml:space="preserve">8 </w:t>
      </w:r>
      <w:r>
        <w:t>违约</w:t>
      </w:r>
      <w:r>
        <w:tab/>
      </w:r>
      <w:r>
        <w:fldChar w:fldCharType="begin"/>
      </w:r>
      <w:r>
        <w:instrText xml:space="preserve"> PAGEREF _Toc21038 \h </w:instrText>
      </w:r>
      <w:r>
        <w:fldChar w:fldCharType="separate"/>
      </w:r>
      <w:r>
        <w:t>8</w:t>
      </w:r>
      <w:r>
        <w:fldChar w:fldCharType="end"/>
      </w:r>
      <w:r>
        <w:rPr>
          <w:szCs w:val="24"/>
          <w:lang w:eastAsia="zh-CN"/>
        </w:rPr>
        <w:fldChar w:fldCharType="end"/>
      </w:r>
    </w:p>
    <w:p w14:paraId="73ABA329">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_Toc25916 </w:instrText>
      </w:r>
      <w:r>
        <w:rPr>
          <w:szCs w:val="24"/>
          <w:lang w:eastAsia="zh-CN"/>
        </w:rPr>
        <w:fldChar w:fldCharType="separate"/>
      </w:r>
      <w:r>
        <w:rPr>
          <w:rFonts w:hint="default" w:ascii="Times New Roman" w:hAnsi="Times New Roman" w:cs="Times New Roman"/>
          <w:szCs w:val="28"/>
          <w:lang w:eastAsia="zh-CN"/>
        </w:rPr>
        <w:t xml:space="preserve">9 </w:t>
      </w:r>
      <w:r>
        <w:rPr>
          <w:szCs w:val="28"/>
          <w:lang w:eastAsia="zh-CN"/>
        </w:rPr>
        <w:t>终止</w:t>
      </w:r>
      <w:r>
        <w:tab/>
      </w:r>
      <w:r>
        <w:fldChar w:fldCharType="begin"/>
      </w:r>
      <w:r>
        <w:instrText xml:space="preserve"> PAGEREF _Toc25916 \h </w:instrText>
      </w:r>
      <w:r>
        <w:fldChar w:fldCharType="separate"/>
      </w:r>
      <w:r>
        <w:t>8</w:t>
      </w:r>
      <w:r>
        <w:fldChar w:fldCharType="end"/>
      </w:r>
      <w:r>
        <w:rPr>
          <w:szCs w:val="24"/>
          <w:lang w:eastAsia="zh-CN"/>
        </w:rPr>
        <w:fldChar w:fldCharType="end"/>
      </w:r>
    </w:p>
    <w:p w14:paraId="1AAAEE53">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_Toc875 </w:instrText>
      </w:r>
      <w:r>
        <w:rPr>
          <w:szCs w:val="24"/>
          <w:lang w:eastAsia="zh-CN"/>
        </w:rPr>
        <w:fldChar w:fldCharType="separate"/>
      </w:r>
      <w:r>
        <w:rPr>
          <w:rFonts w:hint="default" w:ascii="Times New Roman" w:hAnsi="Times New Roman" w:cs="Times New Roman"/>
          <w:szCs w:val="28"/>
        </w:rPr>
        <w:t xml:space="preserve">10 </w:t>
      </w:r>
      <w:r>
        <w:rPr>
          <w:szCs w:val="28"/>
        </w:rPr>
        <w:t>责任</w:t>
      </w:r>
      <w:r>
        <w:tab/>
      </w:r>
      <w:r>
        <w:fldChar w:fldCharType="begin"/>
      </w:r>
      <w:r>
        <w:instrText xml:space="preserve"> PAGEREF _Toc875 \h </w:instrText>
      </w:r>
      <w:r>
        <w:fldChar w:fldCharType="separate"/>
      </w:r>
      <w:r>
        <w:t>9</w:t>
      </w:r>
      <w:r>
        <w:fldChar w:fldCharType="end"/>
      </w:r>
      <w:r>
        <w:rPr>
          <w:szCs w:val="24"/>
          <w:lang w:eastAsia="zh-CN"/>
        </w:rPr>
        <w:fldChar w:fldCharType="end"/>
      </w:r>
    </w:p>
    <w:p w14:paraId="19D76A97">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_Toc12102 </w:instrText>
      </w:r>
      <w:r>
        <w:rPr>
          <w:szCs w:val="24"/>
          <w:lang w:eastAsia="zh-CN"/>
        </w:rPr>
        <w:fldChar w:fldCharType="separate"/>
      </w:r>
      <w:r>
        <w:rPr>
          <w:rFonts w:hint="default" w:ascii="Times New Roman" w:hAnsi="Times New Roman" w:cs="Times New Roman"/>
          <w:szCs w:val="28"/>
        </w:rPr>
        <w:t xml:space="preserve">11 </w:t>
      </w:r>
      <w:r>
        <w:t>文件和发明的所有权</w:t>
      </w:r>
      <w:r>
        <w:tab/>
      </w:r>
      <w:r>
        <w:fldChar w:fldCharType="begin"/>
      </w:r>
      <w:r>
        <w:instrText xml:space="preserve"> PAGEREF _Toc12102 \h </w:instrText>
      </w:r>
      <w:r>
        <w:fldChar w:fldCharType="separate"/>
      </w:r>
      <w:r>
        <w:t>9</w:t>
      </w:r>
      <w:r>
        <w:fldChar w:fldCharType="end"/>
      </w:r>
      <w:r>
        <w:rPr>
          <w:szCs w:val="24"/>
          <w:lang w:eastAsia="zh-CN"/>
        </w:rPr>
        <w:fldChar w:fldCharType="end"/>
      </w:r>
    </w:p>
    <w:p w14:paraId="063E154A">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_Toc13105 </w:instrText>
      </w:r>
      <w:r>
        <w:rPr>
          <w:szCs w:val="24"/>
          <w:lang w:eastAsia="zh-CN"/>
        </w:rPr>
        <w:fldChar w:fldCharType="separate"/>
      </w:r>
      <w:r>
        <w:rPr>
          <w:rFonts w:hint="default" w:ascii="Times New Roman" w:hAnsi="Times New Roman" w:cs="Times New Roman"/>
          <w:szCs w:val="28"/>
        </w:rPr>
        <w:t xml:space="preserve">12 </w:t>
      </w:r>
      <w:r>
        <w:rPr>
          <w:szCs w:val="28"/>
        </w:rPr>
        <w:t>司法管辖和争议解决</w:t>
      </w:r>
      <w:r>
        <w:tab/>
      </w:r>
      <w:r>
        <w:fldChar w:fldCharType="begin"/>
      </w:r>
      <w:r>
        <w:instrText xml:space="preserve"> PAGEREF _Toc13105 \h </w:instrText>
      </w:r>
      <w:r>
        <w:fldChar w:fldCharType="separate"/>
      </w:r>
      <w:r>
        <w:t>10</w:t>
      </w:r>
      <w:r>
        <w:fldChar w:fldCharType="end"/>
      </w:r>
      <w:r>
        <w:rPr>
          <w:szCs w:val="24"/>
          <w:lang w:eastAsia="zh-CN"/>
        </w:rPr>
        <w:fldChar w:fldCharType="end"/>
      </w:r>
    </w:p>
    <w:p w14:paraId="1D4FABE5">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_Toc239 </w:instrText>
      </w:r>
      <w:r>
        <w:rPr>
          <w:szCs w:val="24"/>
          <w:lang w:eastAsia="zh-CN"/>
        </w:rPr>
        <w:fldChar w:fldCharType="separate"/>
      </w:r>
      <w:r>
        <w:rPr>
          <w:rFonts w:hint="default" w:ascii="Times New Roman" w:hAnsi="Times New Roman" w:cs="Times New Roman"/>
          <w:szCs w:val="28"/>
          <w:lang w:eastAsia="zh-CN"/>
        </w:rPr>
        <w:t xml:space="preserve">13 </w:t>
      </w:r>
      <w:r>
        <w:rPr>
          <w:szCs w:val="28"/>
          <w:lang w:eastAsia="zh-CN"/>
        </w:rPr>
        <w:t>独立乙方</w:t>
      </w:r>
      <w:r>
        <w:tab/>
      </w:r>
      <w:r>
        <w:fldChar w:fldCharType="begin"/>
      </w:r>
      <w:r>
        <w:instrText xml:space="preserve"> PAGEREF _Toc239 \h </w:instrText>
      </w:r>
      <w:r>
        <w:fldChar w:fldCharType="separate"/>
      </w:r>
      <w:r>
        <w:t>10</w:t>
      </w:r>
      <w:r>
        <w:fldChar w:fldCharType="end"/>
      </w:r>
      <w:r>
        <w:rPr>
          <w:szCs w:val="24"/>
          <w:lang w:eastAsia="zh-CN"/>
        </w:rPr>
        <w:fldChar w:fldCharType="end"/>
      </w:r>
    </w:p>
    <w:p w14:paraId="160CBF7E">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_Toc31594 </w:instrText>
      </w:r>
      <w:r>
        <w:rPr>
          <w:szCs w:val="24"/>
          <w:lang w:eastAsia="zh-CN"/>
        </w:rPr>
        <w:fldChar w:fldCharType="separate"/>
      </w:r>
      <w:r>
        <w:rPr>
          <w:rFonts w:hint="default" w:ascii="Times New Roman" w:hAnsi="Times New Roman" w:cs="Times New Roman"/>
          <w:szCs w:val="28"/>
        </w:rPr>
        <w:t xml:space="preserve">14 </w:t>
      </w:r>
      <w:r>
        <w:t>资料保密</w:t>
      </w:r>
      <w:r>
        <w:tab/>
      </w:r>
      <w:r>
        <w:fldChar w:fldCharType="begin"/>
      </w:r>
      <w:r>
        <w:instrText xml:space="preserve"> PAGEREF _Toc31594 \h </w:instrText>
      </w:r>
      <w:r>
        <w:fldChar w:fldCharType="separate"/>
      </w:r>
      <w:r>
        <w:t>11</w:t>
      </w:r>
      <w:r>
        <w:fldChar w:fldCharType="end"/>
      </w:r>
      <w:r>
        <w:rPr>
          <w:szCs w:val="24"/>
          <w:lang w:eastAsia="zh-CN"/>
        </w:rPr>
        <w:fldChar w:fldCharType="end"/>
      </w:r>
    </w:p>
    <w:p w14:paraId="7C8E83F5">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_Toc20552 </w:instrText>
      </w:r>
      <w:r>
        <w:rPr>
          <w:szCs w:val="24"/>
          <w:lang w:eastAsia="zh-CN"/>
        </w:rPr>
        <w:fldChar w:fldCharType="separate"/>
      </w:r>
      <w:r>
        <w:rPr>
          <w:rFonts w:hint="default" w:ascii="Times New Roman" w:hAnsi="Times New Roman" w:cs="Times New Roman"/>
          <w:szCs w:val="28"/>
        </w:rPr>
        <w:t xml:space="preserve">15 </w:t>
      </w:r>
      <w:r>
        <w:t>保险</w:t>
      </w:r>
      <w:r>
        <w:tab/>
      </w:r>
      <w:r>
        <w:fldChar w:fldCharType="begin"/>
      </w:r>
      <w:r>
        <w:instrText xml:space="preserve"> PAGEREF _Toc20552 \h </w:instrText>
      </w:r>
      <w:r>
        <w:fldChar w:fldCharType="separate"/>
      </w:r>
      <w:r>
        <w:t>11</w:t>
      </w:r>
      <w:r>
        <w:fldChar w:fldCharType="end"/>
      </w:r>
      <w:r>
        <w:rPr>
          <w:szCs w:val="24"/>
          <w:lang w:eastAsia="zh-CN"/>
        </w:rPr>
        <w:fldChar w:fldCharType="end"/>
      </w:r>
    </w:p>
    <w:p w14:paraId="4DC65132">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_Toc30317 </w:instrText>
      </w:r>
      <w:r>
        <w:rPr>
          <w:szCs w:val="24"/>
          <w:lang w:eastAsia="zh-CN"/>
        </w:rPr>
        <w:fldChar w:fldCharType="separate"/>
      </w:r>
      <w:r>
        <w:rPr>
          <w:rFonts w:hint="default" w:ascii="Times New Roman" w:hAnsi="Times New Roman" w:cs="Times New Roman"/>
          <w:szCs w:val="28"/>
          <w:lang w:eastAsia="zh-CN"/>
        </w:rPr>
        <w:t xml:space="preserve">16 </w:t>
      </w:r>
      <w:r>
        <w:rPr>
          <w:szCs w:val="28"/>
          <w:lang w:eastAsia="zh-CN"/>
        </w:rPr>
        <w:t>商业操守</w:t>
      </w:r>
      <w:r>
        <w:tab/>
      </w:r>
      <w:r>
        <w:fldChar w:fldCharType="begin"/>
      </w:r>
      <w:r>
        <w:instrText xml:space="preserve"> PAGEREF _Toc30317 \h </w:instrText>
      </w:r>
      <w:r>
        <w:fldChar w:fldCharType="separate"/>
      </w:r>
      <w:r>
        <w:t>13</w:t>
      </w:r>
      <w:r>
        <w:fldChar w:fldCharType="end"/>
      </w:r>
      <w:r>
        <w:rPr>
          <w:szCs w:val="24"/>
          <w:lang w:eastAsia="zh-CN"/>
        </w:rPr>
        <w:fldChar w:fldCharType="end"/>
      </w:r>
    </w:p>
    <w:p w14:paraId="4486F2B6">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_Toc180 </w:instrText>
      </w:r>
      <w:r>
        <w:rPr>
          <w:szCs w:val="24"/>
          <w:lang w:eastAsia="zh-CN"/>
        </w:rPr>
        <w:fldChar w:fldCharType="separate"/>
      </w:r>
      <w:r>
        <w:rPr>
          <w:rFonts w:hint="default" w:ascii="Times New Roman" w:hAnsi="Times New Roman" w:cs="Times New Roman"/>
          <w:szCs w:val="28"/>
          <w:lang w:eastAsia="zh-CN"/>
        </w:rPr>
        <w:t xml:space="preserve">17 </w:t>
      </w:r>
      <w:r>
        <w:rPr>
          <w:szCs w:val="28"/>
          <w:lang w:eastAsia="zh-CN"/>
        </w:rPr>
        <w:t>合同的转让、分包</w:t>
      </w:r>
      <w:r>
        <w:tab/>
      </w:r>
      <w:r>
        <w:fldChar w:fldCharType="begin"/>
      </w:r>
      <w:r>
        <w:instrText xml:space="preserve"> PAGEREF _Toc180 \h </w:instrText>
      </w:r>
      <w:r>
        <w:fldChar w:fldCharType="separate"/>
      </w:r>
      <w:r>
        <w:t>13</w:t>
      </w:r>
      <w:r>
        <w:fldChar w:fldCharType="end"/>
      </w:r>
      <w:r>
        <w:rPr>
          <w:szCs w:val="24"/>
          <w:lang w:eastAsia="zh-CN"/>
        </w:rPr>
        <w:fldChar w:fldCharType="end"/>
      </w:r>
    </w:p>
    <w:p w14:paraId="3CACAB02">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_Toc27371 </w:instrText>
      </w:r>
      <w:r>
        <w:rPr>
          <w:szCs w:val="24"/>
          <w:lang w:eastAsia="zh-CN"/>
        </w:rPr>
        <w:fldChar w:fldCharType="separate"/>
      </w:r>
      <w:r>
        <w:rPr>
          <w:rFonts w:hint="default" w:ascii="Times New Roman" w:hAnsi="Times New Roman" w:cs="Times New Roman"/>
          <w:szCs w:val="28"/>
          <w:lang w:eastAsia="zh-CN"/>
        </w:rPr>
        <w:t xml:space="preserve">18 </w:t>
      </w:r>
      <w:r>
        <w:rPr>
          <w:szCs w:val="28"/>
          <w:lang w:eastAsia="zh-CN"/>
        </w:rPr>
        <w:t>通知</w:t>
      </w:r>
      <w:r>
        <w:tab/>
      </w:r>
      <w:r>
        <w:fldChar w:fldCharType="begin"/>
      </w:r>
      <w:r>
        <w:instrText xml:space="preserve"> PAGEREF _Toc27371 \h </w:instrText>
      </w:r>
      <w:r>
        <w:fldChar w:fldCharType="separate"/>
      </w:r>
      <w:r>
        <w:t>14</w:t>
      </w:r>
      <w:r>
        <w:fldChar w:fldCharType="end"/>
      </w:r>
      <w:r>
        <w:rPr>
          <w:szCs w:val="24"/>
          <w:lang w:eastAsia="zh-CN"/>
        </w:rPr>
        <w:fldChar w:fldCharType="end"/>
      </w:r>
    </w:p>
    <w:p w14:paraId="115A9CCE">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_Toc21390 </w:instrText>
      </w:r>
      <w:r>
        <w:rPr>
          <w:szCs w:val="24"/>
          <w:lang w:eastAsia="zh-CN"/>
        </w:rPr>
        <w:fldChar w:fldCharType="separate"/>
      </w:r>
      <w:r>
        <w:rPr>
          <w:rFonts w:hint="default" w:ascii="Times New Roman" w:hAnsi="Times New Roman" w:cs="Times New Roman"/>
          <w:szCs w:val="28"/>
          <w:lang w:eastAsia="zh-CN"/>
        </w:rPr>
        <w:t xml:space="preserve">19 </w:t>
      </w:r>
      <w:r>
        <w:rPr>
          <w:szCs w:val="28"/>
          <w:lang w:eastAsia="zh-CN"/>
        </w:rPr>
        <w:t>酒精和违禁药物的禁止（适用于服务是在甲方的场地内提供）</w:t>
      </w:r>
      <w:r>
        <w:tab/>
      </w:r>
      <w:r>
        <w:fldChar w:fldCharType="begin"/>
      </w:r>
      <w:r>
        <w:instrText xml:space="preserve"> PAGEREF _Toc21390 \h </w:instrText>
      </w:r>
      <w:r>
        <w:fldChar w:fldCharType="separate"/>
      </w:r>
      <w:r>
        <w:t>14</w:t>
      </w:r>
      <w:r>
        <w:fldChar w:fldCharType="end"/>
      </w:r>
      <w:r>
        <w:rPr>
          <w:szCs w:val="24"/>
          <w:lang w:eastAsia="zh-CN"/>
        </w:rPr>
        <w:fldChar w:fldCharType="end"/>
      </w:r>
    </w:p>
    <w:p w14:paraId="0DBBDC22">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_Toc7297 </w:instrText>
      </w:r>
      <w:r>
        <w:rPr>
          <w:szCs w:val="24"/>
          <w:lang w:eastAsia="zh-CN"/>
        </w:rPr>
        <w:fldChar w:fldCharType="separate"/>
      </w:r>
      <w:r>
        <w:rPr>
          <w:rFonts w:hint="default" w:ascii="Times New Roman" w:hAnsi="Times New Roman" w:cs="Times New Roman"/>
          <w:szCs w:val="28"/>
          <w:lang w:eastAsia="zh-CN"/>
        </w:rPr>
        <w:t xml:space="preserve">20 </w:t>
      </w:r>
      <w:r>
        <w:rPr>
          <w:szCs w:val="28"/>
          <w:lang w:eastAsia="zh-CN"/>
        </w:rPr>
        <w:t>健康和安全（适用于服务在甲方的场地提供）</w:t>
      </w:r>
      <w:r>
        <w:tab/>
      </w:r>
      <w:r>
        <w:fldChar w:fldCharType="begin"/>
      </w:r>
      <w:r>
        <w:instrText xml:space="preserve"> PAGEREF _Toc7297 \h </w:instrText>
      </w:r>
      <w:r>
        <w:fldChar w:fldCharType="separate"/>
      </w:r>
      <w:r>
        <w:t>15</w:t>
      </w:r>
      <w:r>
        <w:fldChar w:fldCharType="end"/>
      </w:r>
      <w:r>
        <w:rPr>
          <w:szCs w:val="24"/>
          <w:lang w:eastAsia="zh-CN"/>
        </w:rPr>
        <w:fldChar w:fldCharType="end"/>
      </w:r>
    </w:p>
    <w:p w14:paraId="57F48273">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_Toc3842 </w:instrText>
      </w:r>
      <w:r>
        <w:rPr>
          <w:szCs w:val="24"/>
          <w:lang w:eastAsia="zh-CN"/>
        </w:rPr>
        <w:fldChar w:fldCharType="separate"/>
      </w:r>
      <w:r>
        <w:rPr>
          <w:rFonts w:hint="default" w:ascii="Times New Roman" w:hAnsi="Times New Roman" w:cs="Times New Roman"/>
          <w:szCs w:val="28"/>
          <w:lang w:eastAsia="zh-CN"/>
        </w:rPr>
        <w:t xml:space="preserve">21 </w:t>
      </w:r>
      <w:r>
        <w:rPr>
          <w:szCs w:val="28"/>
          <w:lang w:eastAsia="zh-CN"/>
        </w:rPr>
        <w:t>不可抗力</w:t>
      </w:r>
      <w:r>
        <w:tab/>
      </w:r>
      <w:r>
        <w:fldChar w:fldCharType="begin"/>
      </w:r>
      <w:r>
        <w:instrText xml:space="preserve"> PAGEREF _Toc3842 \h </w:instrText>
      </w:r>
      <w:r>
        <w:fldChar w:fldCharType="separate"/>
      </w:r>
      <w:r>
        <w:t>16</w:t>
      </w:r>
      <w:r>
        <w:fldChar w:fldCharType="end"/>
      </w:r>
      <w:r>
        <w:rPr>
          <w:szCs w:val="24"/>
          <w:lang w:eastAsia="zh-CN"/>
        </w:rPr>
        <w:fldChar w:fldCharType="end"/>
      </w:r>
    </w:p>
    <w:p w14:paraId="6965E5B6">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_Toc3491 </w:instrText>
      </w:r>
      <w:r>
        <w:rPr>
          <w:szCs w:val="24"/>
          <w:lang w:eastAsia="zh-CN"/>
        </w:rPr>
        <w:fldChar w:fldCharType="separate"/>
      </w:r>
      <w:r>
        <w:rPr>
          <w:rFonts w:hint="default" w:ascii="Times New Roman" w:hAnsi="Times New Roman" w:cs="Times New Roman"/>
          <w:szCs w:val="28"/>
        </w:rPr>
        <w:t xml:space="preserve">22 </w:t>
      </w:r>
      <w:r>
        <w:rPr>
          <w:rFonts w:hint="eastAsia"/>
        </w:rPr>
        <w:t>履约保证金</w:t>
      </w:r>
      <w:r>
        <w:t>/</w:t>
      </w:r>
      <w:r>
        <w:rPr>
          <w:rFonts w:hint="eastAsia"/>
        </w:rPr>
        <w:t>保函</w:t>
      </w:r>
      <w:r>
        <w:tab/>
      </w:r>
      <w:r>
        <w:fldChar w:fldCharType="begin"/>
      </w:r>
      <w:r>
        <w:instrText xml:space="preserve"> PAGEREF _Toc3491 \h </w:instrText>
      </w:r>
      <w:r>
        <w:fldChar w:fldCharType="separate"/>
      </w:r>
      <w:r>
        <w:t>16</w:t>
      </w:r>
      <w:r>
        <w:fldChar w:fldCharType="end"/>
      </w:r>
      <w:r>
        <w:rPr>
          <w:szCs w:val="24"/>
          <w:lang w:eastAsia="zh-CN"/>
        </w:rPr>
        <w:fldChar w:fldCharType="end"/>
      </w:r>
    </w:p>
    <w:p w14:paraId="7798EC7F">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_Toc5320 </w:instrText>
      </w:r>
      <w:r>
        <w:rPr>
          <w:szCs w:val="24"/>
          <w:lang w:eastAsia="zh-CN"/>
        </w:rPr>
        <w:fldChar w:fldCharType="separate"/>
      </w:r>
      <w:r>
        <w:rPr>
          <w:rFonts w:hint="default" w:ascii="Times New Roman" w:hAnsi="Times New Roman" w:cs="Times New Roman"/>
          <w:szCs w:val="28"/>
          <w:lang w:eastAsia="zh-CN"/>
        </w:rPr>
        <w:t xml:space="preserve">23 </w:t>
      </w:r>
      <w:r>
        <w:rPr>
          <w:szCs w:val="28"/>
          <w:lang w:eastAsia="zh-CN"/>
        </w:rPr>
        <w:t>其它</w:t>
      </w:r>
      <w:r>
        <w:tab/>
      </w:r>
      <w:r>
        <w:fldChar w:fldCharType="begin"/>
      </w:r>
      <w:r>
        <w:instrText xml:space="preserve"> PAGEREF _Toc5320 \h </w:instrText>
      </w:r>
      <w:r>
        <w:fldChar w:fldCharType="separate"/>
      </w:r>
      <w:r>
        <w:t>17</w:t>
      </w:r>
      <w:r>
        <w:fldChar w:fldCharType="end"/>
      </w:r>
      <w:r>
        <w:rPr>
          <w:szCs w:val="24"/>
          <w:lang w:eastAsia="zh-CN"/>
        </w:rPr>
        <w:fldChar w:fldCharType="end"/>
      </w:r>
    </w:p>
    <w:p w14:paraId="5620405F">
      <w:pPr>
        <w:pStyle w:val="13"/>
        <w:keepNext w:val="0"/>
        <w:keepLines w:val="0"/>
        <w:pageBreakBefore w:val="0"/>
        <w:widowControl/>
        <w:tabs>
          <w:tab w:val="right" w:pos="2400"/>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_Toc9711 </w:instrText>
      </w:r>
      <w:r>
        <w:rPr>
          <w:szCs w:val="24"/>
          <w:lang w:eastAsia="zh-CN"/>
        </w:rPr>
        <w:fldChar w:fldCharType="separate"/>
      </w:r>
      <w:r>
        <w:rPr>
          <w:szCs w:val="28"/>
          <w:lang w:eastAsia="zh-CN"/>
        </w:rPr>
        <w:t>附件</w:t>
      </w:r>
      <w:r>
        <w:rPr>
          <w:rFonts w:hint="eastAsia"/>
          <w:szCs w:val="28"/>
          <w:lang w:eastAsia="zh-CN"/>
        </w:rPr>
        <w:t>A</w:t>
      </w:r>
      <w:r>
        <w:rPr>
          <w:szCs w:val="28"/>
          <w:lang w:eastAsia="zh-CN"/>
        </w:rPr>
        <w:tab/>
      </w:r>
      <w:r>
        <w:rPr>
          <w:rFonts w:hint="eastAsia"/>
          <w:szCs w:val="28"/>
          <w:lang w:eastAsia="zh-CN"/>
        </w:rPr>
        <w:t xml:space="preserve">  </w:t>
      </w:r>
      <w:r>
        <w:rPr>
          <w:szCs w:val="28"/>
          <w:lang w:eastAsia="zh-CN"/>
        </w:rPr>
        <w:t>服务的描述和交付进度</w:t>
      </w:r>
      <w:r>
        <w:rPr>
          <w:rFonts w:hint="eastAsia"/>
          <w:szCs w:val="28"/>
          <w:lang w:eastAsia="zh-CN"/>
        </w:rPr>
        <w:t xml:space="preserve"> </w:t>
      </w:r>
      <w:r>
        <w:tab/>
      </w:r>
      <w:r>
        <w:fldChar w:fldCharType="begin"/>
      </w:r>
      <w:r>
        <w:instrText xml:space="preserve"> PAGEREF _Toc9711 \h </w:instrText>
      </w:r>
      <w:r>
        <w:fldChar w:fldCharType="separate"/>
      </w:r>
      <w:r>
        <w:t>19</w:t>
      </w:r>
      <w:r>
        <w:fldChar w:fldCharType="end"/>
      </w:r>
      <w:r>
        <w:rPr>
          <w:szCs w:val="24"/>
          <w:lang w:eastAsia="zh-CN"/>
        </w:rPr>
        <w:fldChar w:fldCharType="end"/>
      </w:r>
    </w:p>
    <w:p w14:paraId="4F1FED11">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_Toc32206 </w:instrText>
      </w:r>
      <w:r>
        <w:rPr>
          <w:szCs w:val="24"/>
          <w:lang w:eastAsia="zh-CN"/>
        </w:rPr>
        <w:fldChar w:fldCharType="separate"/>
      </w:r>
      <w:r>
        <w:t xml:space="preserve">附件B  服务费 </w:t>
      </w:r>
      <w:r>
        <w:tab/>
      </w:r>
      <w:r>
        <w:fldChar w:fldCharType="begin"/>
      </w:r>
      <w:r>
        <w:instrText xml:space="preserve"> PAGEREF _Toc32206 \h </w:instrText>
      </w:r>
      <w:r>
        <w:fldChar w:fldCharType="separate"/>
      </w:r>
      <w:r>
        <w:t>22</w:t>
      </w:r>
      <w:r>
        <w:fldChar w:fldCharType="end"/>
      </w:r>
      <w:r>
        <w:rPr>
          <w:szCs w:val="24"/>
          <w:lang w:eastAsia="zh-CN"/>
        </w:rPr>
        <w:fldChar w:fldCharType="end"/>
      </w:r>
    </w:p>
    <w:p w14:paraId="73AF64B3">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_Toc3179 </w:instrText>
      </w:r>
      <w:r>
        <w:rPr>
          <w:szCs w:val="24"/>
          <w:lang w:eastAsia="zh-CN"/>
        </w:rPr>
        <w:fldChar w:fldCharType="separate"/>
      </w:r>
      <w:r>
        <w:rPr>
          <w:rFonts w:hint="eastAsia"/>
          <w:lang w:eastAsia="zh-CN"/>
        </w:rPr>
        <w:t>附件C</w:t>
      </w:r>
      <w:r>
        <w:rPr>
          <w:lang w:eastAsia="zh-CN"/>
        </w:rPr>
        <w:t xml:space="preserve"> </w:t>
      </w:r>
      <w:r>
        <w:rPr>
          <w:rFonts w:hint="eastAsia"/>
          <w:lang w:val="en-US" w:eastAsia="zh-CN"/>
        </w:rPr>
        <w:t xml:space="preserve"> </w:t>
      </w:r>
      <w:r>
        <w:rPr>
          <w:rFonts w:hint="eastAsia"/>
          <w:lang w:eastAsia="zh-CN"/>
        </w:rPr>
        <w:t>承包商管理</w:t>
      </w:r>
      <w:r>
        <w:tab/>
      </w:r>
      <w:r>
        <w:fldChar w:fldCharType="begin"/>
      </w:r>
      <w:r>
        <w:instrText xml:space="preserve"> PAGEREF _Toc3179 \h </w:instrText>
      </w:r>
      <w:r>
        <w:fldChar w:fldCharType="separate"/>
      </w:r>
      <w:r>
        <w:t>23</w:t>
      </w:r>
      <w:r>
        <w:fldChar w:fldCharType="end"/>
      </w:r>
      <w:r>
        <w:rPr>
          <w:szCs w:val="24"/>
          <w:lang w:eastAsia="zh-CN"/>
        </w:rPr>
        <w:fldChar w:fldCharType="end"/>
      </w:r>
    </w:p>
    <w:p w14:paraId="647AD40F">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_Toc16563 </w:instrText>
      </w:r>
      <w:r>
        <w:rPr>
          <w:szCs w:val="24"/>
          <w:lang w:eastAsia="zh-CN"/>
        </w:rPr>
        <w:fldChar w:fldCharType="separate"/>
      </w:r>
      <w:r>
        <w:rPr>
          <w:rFonts w:hint="eastAsia"/>
          <w:lang w:eastAsia="zh-CN"/>
        </w:rPr>
        <w:t>附件D</w:t>
      </w:r>
      <w:r>
        <w:rPr>
          <w:rFonts w:hint="eastAsia"/>
          <w:lang w:val="en-US" w:eastAsia="zh-CN"/>
        </w:rPr>
        <w:t xml:space="preserve">  </w:t>
      </w:r>
      <w:r>
        <w:rPr>
          <w:rFonts w:hint="eastAsia"/>
          <w:lang w:eastAsia="zh-CN"/>
        </w:rPr>
        <w:t>考核表</w:t>
      </w:r>
      <w:r>
        <w:tab/>
      </w:r>
      <w:r>
        <w:fldChar w:fldCharType="begin"/>
      </w:r>
      <w:r>
        <w:instrText xml:space="preserve"> PAGEREF _Toc16563 \h </w:instrText>
      </w:r>
      <w:r>
        <w:fldChar w:fldCharType="separate"/>
      </w:r>
      <w:r>
        <w:t>24</w:t>
      </w:r>
      <w:r>
        <w:fldChar w:fldCharType="end"/>
      </w:r>
      <w:r>
        <w:rPr>
          <w:szCs w:val="24"/>
          <w:lang w:eastAsia="zh-CN"/>
        </w:rPr>
        <w:fldChar w:fldCharType="end"/>
      </w:r>
    </w:p>
    <w:p w14:paraId="35F610D8">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_Toc26738 </w:instrText>
      </w:r>
      <w:r>
        <w:rPr>
          <w:szCs w:val="24"/>
          <w:lang w:eastAsia="zh-CN"/>
        </w:rPr>
        <w:fldChar w:fldCharType="separate"/>
      </w:r>
      <w:r>
        <w:rPr>
          <w:rFonts w:hint="eastAsia"/>
          <w:lang w:val="en-US" w:eastAsia="zh-CN"/>
        </w:rPr>
        <w:t>附件E  服务验收结算表</w:t>
      </w:r>
      <w:r>
        <w:tab/>
      </w:r>
      <w:r>
        <w:fldChar w:fldCharType="begin"/>
      </w:r>
      <w:r>
        <w:instrText xml:space="preserve"> PAGEREF _Toc26738 \h </w:instrText>
      </w:r>
      <w:r>
        <w:fldChar w:fldCharType="separate"/>
      </w:r>
      <w:r>
        <w:t>26</w:t>
      </w:r>
      <w:r>
        <w:fldChar w:fldCharType="end"/>
      </w:r>
      <w:r>
        <w:rPr>
          <w:szCs w:val="24"/>
          <w:lang w:eastAsia="zh-CN"/>
        </w:rPr>
        <w:fldChar w:fldCharType="end"/>
      </w:r>
    </w:p>
    <w:p w14:paraId="3D7706D9">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_Toc6180 </w:instrText>
      </w:r>
      <w:r>
        <w:rPr>
          <w:szCs w:val="24"/>
          <w:lang w:eastAsia="zh-CN"/>
        </w:rPr>
        <w:fldChar w:fldCharType="separate"/>
      </w:r>
      <w:r>
        <w:rPr>
          <w:rFonts w:hint="eastAsia"/>
          <w:lang w:val="en-US" w:eastAsia="zh-CN"/>
        </w:rPr>
        <w:t>附件F  安全健康环境消保管理协议</w:t>
      </w:r>
      <w:r>
        <w:tab/>
      </w:r>
      <w:r>
        <w:fldChar w:fldCharType="begin"/>
      </w:r>
      <w:r>
        <w:instrText xml:space="preserve"> PAGEREF _Toc6180 \h </w:instrText>
      </w:r>
      <w:r>
        <w:fldChar w:fldCharType="separate"/>
      </w:r>
      <w:r>
        <w:t>27</w:t>
      </w:r>
      <w:r>
        <w:fldChar w:fldCharType="end"/>
      </w:r>
      <w:r>
        <w:rPr>
          <w:szCs w:val="24"/>
          <w:lang w:eastAsia="zh-CN"/>
        </w:rPr>
        <w:fldChar w:fldCharType="end"/>
      </w:r>
    </w:p>
    <w:p w14:paraId="69BDB531">
      <w:pPr>
        <w:pStyle w:val="13"/>
        <w:keepNext w:val="0"/>
        <w:keepLines w:val="0"/>
        <w:pageBreakBefore w:val="0"/>
        <w:widowControl/>
        <w:tabs>
          <w:tab w:val="right" w:leader="dot" w:pos="10082"/>
          <w:tab w:val="clear" w:pos="360"/>
          <w:tab w:val="clear" w:pos="10078"/>
        </w:tabs>
        <w:kinsoku/>
        <w:wordWrap/>
        <w:overflowPunct/>
        <w:topLinePunct w:val="0"/>
        <w:autoSpaceDE/>
        <w:autoSpaceDN/>
        <w:bidi w:val="0"/>
        <w:adjustRightInd/>
        <w:snapToGrid/>
        <w:spacing w:line="240" w:lineRule="auto"/>
        <w:textAlignment w:val="auto"/>
      </w:pPr>
      <w:r>
        <w:rPr>
          <w:szCs w:val="24"/>
          <w:lang w:eastAsia="zh-CN"/>
        </w:rPr>
        <w:fldChar w:fldCharType="begin"/>
      </w:r>
      <w:r>
        <w:rPr>
          <w:szCs w:val="24"/>
          <w:lang w:eastAsia="zh-CN"/>
        </w:rPr>
        <w:instrText xml:space="preserve"> HYPERLINK \l _Toc30254 </w:instrText>
      </w:r>
      <w:r>
        <w:rPr>
          <w:szCs w:val="24"/>
          <w:lang w:eastAsia="zh-CN"/>
        </w:rPr>
        <w:fldChar w:fldCharType="separate"/>
      </w:r>
      <w:r>
        <w:rPr>
          <w:rFonts w:hint="eastAsia"/>
          <w:szCs w:val="28"/>
          <w:lang w:eastAsia="zh-CN"/>
        </w:rPr>
        <w:t>附件D  诚信与合规声明</w:t>
      </w:r>
      <w:r>
        <w:tab/>
      </w:r>
      <w:r>
        <w:fldChar w:fldCharType="begin"/>
      </w:r>
      <w:r>
        <w:instrText xml:space="preserve"> PAGEREF _Toc30254 \h </w:instrText>
      </w:r>
      <w:r>
        <w:fldChar w:fldCharType="separate"/>
      </w:r>
      <w:r>
        <w:t>34</w:t>
      </w:r>
      <w:r>
        <w:fldChar w:fldCharType="end"/>
      </w:r>
      <w:r>
        <w:rPr>
          <w:szCs w:val="24"/>
          <w:lang w:eastAsia="zh-CN"/>
        </w:rPr>
        <w:fldChar w:fldCharType="end"/>
      </w:r>
    </w:p>
    <w:p w14:paraId="52ABEAC8">
      <w:pPr>
        <w:pStyle w:val="2"/>
        <w:spacing w:before="120" w:after="120" w:line="400" w:lineRule="exact"/>
        <w:jc w:val="center"/>
      </w:pPr>
      <w:r>
        <w:rPr>
          <w:szCs w:val="24"/>
          <w:lang w:eastAsia="zh-CN"/>
        </w:rPr>
        <w:fldChar w:fldCharType="end"/>
      </w:r>
      <w:bookmarkStart w:id="3" w:name="_Toc32079"/>
      <w:r>
        <w:rPr>
          <w:szCs w:val="24"/>
          <w:lang w:eastAsia="zh-CN"/>
        </w:rPr>
        <w:br w:type="page"/>
      </w:r>
      <w:bookmarkEnd w:id="3"/>
    </w:p>
    <w:p w14:paraId="0FB0DA9F">
      <w:pPr>
        <w:ind w:firstLine="480" w:firstLineChars="200"/>
        <w:rPr>
          <w:lang w:eastAsia="zh-CN"/>
        </w:rPr>
        <w:sectPr>
          <w:footerReference r:id="rId11" w:type="default"/>
          <w:pgSz w:w="12242" w:h="15842"/>
          <w:pgMar w:top="1440" w:right="1080" w:bottom="1440" w:left="1080" w:header="851" w:footer="851" w:gutter="0"/>
          <w:pgNumType w:fmt="upperRoman" w:start="1"/>
          <w:cols w:space="567" w:num="1"/>
          <w:docGrid w:linePitch="326" w:charSpace="0"/>
        </w:sectPr>
      </w:pPr>
    </w:p>
    <w:p w14:paraId="0C47C2D8">
      <w:pPr>
        <w:ind w:firstLine="480" w:firstLineChars="200"/>
        <w:rPr>
          <w:lang w:eastAsia="zh-CN"/>
        </w:rPr>
      </w:pPr>
    </w:p>
    <w:p w14:paraId="336AB2D8">
      <w:pPr>
        <w:ind w:firstLine="480" w:firstLineChars="200"/>
        <w:rPr>
          <w:lang w:eastAsia="zh-CN"/>
        </w:rPr>
      </w:pPr>
      <w:r>
        <w:rPr>
          <w:lang w:eastAsia="zh-CN"/>
        </w:rPr>
        <w:t>本合同由下述</w:t>
      </w:r>
      <w:r>
        <w:rPr>
          <w:rFonts w:hint="eastAsia"/>
          <w:lang w:eastAsia="zh-CN"/>
        </w:rPr>
        <w:t>双方</w:t>
      </w:r>
      <w:r>
        <w:rPr>
          <w:lang w:eastAsia="zh-CN"/>
        </w:rPr>
        <w:t>于</w:t>
      </w:r>
      <w:r>
        <w:rPr>
          <w:u w:val="single"/>
          <w:lang w:eastAsia="zh-CN"/>
        </w:rPr>
        <w:t xml:space="preserve">     </w:t>
      </w:r>
      <w:r>
        <w:rPr>
          <w:lang w:eastAsia="zh-CN"/>
        </w:rPr>
        <w:t>年</w:t>
      </w:r>
      <w:r>
        <w:rPr>
          <w:u w:val="single"/>
          <w:lang w:eastAsia="zh-CN"/>
        </w:rPr>
        <w:t xml:space="preserve">      </w:t>
      </w:r>
      <w:r>
        <w:rPr>
          <w:lang w:eastAsia="zh-CN"/>
        </w:rPr>
        <w:t>月</w:t>
      </w:r>
      <w:r>
        <w:rPr>
          <w:u w:val="single"/>
          <w:lang w:eastAsia="zh-CN"/>
        </w:rPr>
        <w:t xml:space="preserve">    </w:t>
      </w:r>
      <w:r>
        <w:rPr>
          <w:lang w:eastAsia="zh-CN"/>
        </w:rPr>
        <w:t>日</w:t>
      </w:r>
      <w:r>
        <w:rPr>
          <w:rFonts w:hint="eastAsia"/>
          <w:lang w:eastAsia="zh-CN"/>
        </w:rPr>
        <w:t>共同</w:t>
      </w:r>
      <w:r>
        <w:rPr>
          <w:lang w:eastAsia="zh-CN"/>
        </w:rPr>
        <w:t>签订。</w:t>
      </w:r>
    </w:p>
    <w:p w14:paraId="39B08617">
      <w:pPr>
        <w:ind w:firstLine="480" w:firstLineChars="200"/>
        <w:rPr>
          <w:szCs w:val="24"/>
          <w:lang w:eastAsia="zh-CN"/>
        </w:rPr>
      </w:pPr>
    </w:p>
    <w:p w14:paraId="087ECA85">
      <w:pPr>
        <w:ind w:firstLine="480" w:firstLineChars="200"/>
        <w:rPr>
          <w:szCs w:val="24"/>
          <w:lang w:eastAsia="zh-CN"/>
        </w:rPr>
      </w:pPr>
      <w:r>
        <w:rPr>
          <w:szCs w:val="24"/>
          <w:lang w:eastAsia="zh-CN"/>
        </w:rPr>
        <w:t>福建联合石油化工有限公司（</w:t>
      </w:r>
      <w:r>
        <w:rPr>
          <w:rFonts w:hint="eastAsia"/>
          <w:szCs w:val="24"/>
          <w:lang w:eastAsia="zh-CN"/>
        </w:rPr>
        <w:t>统一社会信用代码：</w:t>
      </w:r>
      <w:r>
        <w:rPr>
          <w:szCs w:val="24"/>
          <w:lang w:eastAsia="zh-CN"/>
        </w:rPr>
        <w:t>913500007178684212），注册于中国福建省</w:t>
      </w:r>
      <w:r>
        <w:rPr>
          <w:rFonts w:hint="eastAsia"/>
          <w:szCs w:val="24"/>
          <w:lang w:eastAsia="zh-CN"/>
        </w:rPr>
        <w:t>泉州市市场监督管理局</w:t>
      </w:r>
      <w:r>
        <w:rPr>
          <w:szCs w:val="24"/>
          <w:lang w:eastAsia="zh-CN"/>
        </w:rPr>
        <w:t>，其法定地址位于福建省泉州市泉港区福建联合石化有限公司厂区办公大楼（以下简称</w:t>
      </w:r>
      <w:r>
        <w:rPr>
          <w:rFonts w:asciiTheme="minorEastAsia" w:hAnsiTheme="minorEastAsia" w:eastAsiaTheme="minorEastAsia"/>
          <w:szCs w:val="24"/>
          <w:lang w:eastAsia="zh-CN"/>
        </w:rPr>
        <w:t>“甲方”</w:t>
      </w:r>
      <w:r>
        <w:rPr>
          <w:szCs w:val="24"/>
          <w:lang w:eastAsia="zh-CN"/>
        </w:rPr>
        <w:t>）。</w:t>
      </w:r>
    </w:p>
    <w:p w14:paraId="3FFD8087">
      <w:pPr>
        <w:ind w:right="42"/>
        <w:jc w:val="center"/>
        <w:rPr>
          <w:lang w:eastAsia="zh-CN"/>
        </w:rPr>
      </w:pPr>
      <w:r>
        <w:rPr>
          <w:lang w:eastAsia="zh-CN"/>
        </w:rPr>
        <w:t>和</w:t>
      </w:r>
    </w:p>
    <w:p w14:paraId="6B3D483E">
      <w:pPr>
        <w:spacing w:afterLines="100"/>
        <w:rPr>
          <w:szCs w:val="24"/>
          <w:lang w:eastAsia="zh-CN"/>
        </w:rPr>
      </w:pPr>
      <w:r>
        <w:rPr>
          <w:szCs w:val="24"/>
          <w:u w:val="single"/>
          <w:lang w:eastAsia="zh-CN"/>
        </w:rPr>
        <w:tab/>
      </w:r>
      <w:r>
        <w:rPr>
          <w:szCs w:val="24"/>
          <w:u w:val="single"/>
          <w:lang w:eastAsia="zh-CN"/>
        </w:rPr>
        <w:tab/>
      </w:r>
      <w:r>
        <w:rPr>
          <w:szCs w:val="24"/>
          <w:u w:val="single"/>
          <w:lang w:eastAsia="zh-CN"/>
        </w:rPr>
        <w:t xml:space="preserve"> </w:t>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w:t>
      </w:r>
      <w:r>
        <w:rPr>
          <w:rFonts w:hint="eastAsia"/>
          <w:szCs w:val="24"/>
          <w:lang w:eastAsia="zh-CN"/>
        </w:rPr>
        <w:t>统一社会信用代码：</w:t>
      </w:r>
      <w:r>
        <w:rPr>
          <w:rFonts w:hint="eastAsia"/>
          <w:szCs w:val="24"/>
          <w:u w:val="single"/>
          <w:lang w:eastAsia="zh-CN"/>
        </w:rPr>
        <w:t xml:space="preserve">               </w:t>
      </w:r>
      <w:r>
        <w:rPr>
          <w:szCs w:val="24"/>
          <w:lang w:eastAsia="zh-CN"/>
        </w:rPr>
        <w:t>），注册于</w:t>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w:t>
      </w:r>
      <w:r>
        <w:rPr>
          <w:szCs w:val="24"/>
          <w:lang w:eastAsia="zh-CN"/>
        </w:rPr>
        <w:t>请输入省、自治区、直辖市，或市，或区、县的名称）市场监督管理局，其法定地址位于</w:t>
      </w:r>
      <w:r>
        <w:rPr>
          <w:szCs w:val="24"/>
          <w:u w:val="single"/>
          <w:lang w:eastAsia="zh-CN"/>
        </w:rPr>
        <w:t xml:space="preserve"> </w:t>
      </w:r>
      <w:r>
        <w:rPr>
          <w:szCs w:val="24"/>
          <w:u w:val="single"/>
          <w:lang w:eastAsia="zh-CN"/>
        </w:rPr>
        <w:tab/>
      </w:r>
      <w:r>
        <w:rPr>
          <w:szCs w:val="24"/>
          <w:u w:val="single"/>
          <w:lang w:eastAsia="zh-CN"/>
        </w:rPr>
        <w:t xml:space="preserve">  </w:t>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 xml:space="preserve"> </w:t>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ab/>
      </w:r>
      <w:r>
        <w:rPr>
          <w:szCs w:val="24"/>
          <w:u w:val="single"/>
          <w:lang w:eastAsia="zh-CN"/>
        </w:rPr>
        <w:t xml:space="preserve"> </w:t>
      </w:r>
      <w:r>
        <w:rPr>
          <w:szCs w:val="24"/>
          <w:lang w:eastAsia="zh-CN"/>
        </w:rPr>
        <w:t>请输入地址（以下简称</w:t>
      </w:r>
      <w:r>
        <w:rPr>
          <w:rFonts w:asciiTheme="minorEastAsia" w:hAnsiTheme="minorEastAsia" w:eastAsiaTheme="minorEastAsia"/>
          <w:szCs w:val="24"/>
          <w:lang w:eastAsia="zh-CN"/>
        </w:rPr>
        <w:t>“乙方”</w:t>
      </w:r>
      <w:r>
        <w:rPr>
          <w:szCs w:val="24"/>
          <w:lang w:eastAsia="zh-CN"/>
        </w:rPr>
        <w:t>）。</w:t>
      </w:r>
    </w:p>
    <w:p w14:paraId="65FDA586">
      <w:pPr>
        <w:rPr>
          <w:b/>
          <w:lang w:eastAsia="zh-CN"/>
        </w:rPr>
      </w:pPr>
    </w:p>
    <w:p w14:paraId="63F452A6">
      <w:pPr>
        <w:rPr>
          <w:b/>
          <w:lang w:eastAsia="zh-CN"/>
        </w:rPr>
      </w:pPr>
      <w:r>
        <w:rPr>
          <w:b/>
          <w:lang w:eastAsia="zh-CN"/>
        </w:rPr>
        <w:t>鉴于：</w:t>
      </w:r>
    </w:p>
    <w:p w14:paraId="630FD12D">
      <w:pPr>
        <w:rPr>
          <w:lang w:eastAsia="zh-CN"/>
        </w:rPr>
      </w:pPr>
      <w:r>
        <w:rPr>
          <w:lang w:eastAsia="zh-CN"/>
        </w:rPr>
        <w:t>甲方有意委托乙方提供本合同项下的服务，</w:t>
      </w:r>
    </w:p>
    <w:p w14:paraId="76D2BBEA">
      <w:pPr>
        <w:rPr>
          <w:lang w:eastAsia="zh-CN"/>
        </w:rPr>
      </w:pPr>
      <w:r>
        <w:rPr>
          <w:lang w:eastAsia="zh-CN"/>
        </w:rPr>
        <w:t>乙方有意按照约定完成本合同项下的服务。</w:t>
      </w:r>
    </w:p>
    <w:p w14:paraId="1D98B520">
      <w:pPr>
        <w:rPr>
          <w:lang w:eastAsia="zh-CN"/>
        </w:rPr>
      </w:pPr>
      <w:r>
        <w:rPr>
          <w:rFonts w:hint="eastAsia"/>
          <w:lang w:eastAsia="zh-CN"/>
        </w:rPr>
        <w:t xml:space="preserve">甲方和乙方特此约定如下：  </w:t>
      </w:r>
    </w:p>
    <w:p w14:paraId="4FDA9FA0">
      <w:pPr>
        <w:rPr>
          <w:lang w:eastAsia="zh-CN"/>
        </w:rPr>
      </w:pPr>
    </w:p>
    <w:p w14:paraId="3874B79F">
      <w:pPr>
        <w:rPr>
          <w:lang w:eastAsia="zh-CN"/>
        </w:rPr>
      </w:pPr>
    </w:p>
    <w:p w14:paraId="4DE033C6">
      <w:pPr>
        <w:pStyle w:val="2"/>
        <w:numPr>
          <w:ilvl w:val="0"/>
          <w:numId w:val="2"/>
        </w:numPr>
        <w:spacing w:before="120" w:after="120"/>
      </w:pPr>
      <w:bookmarkStart w:id="4" w:name="_Toc13292864"/>
      <w:bookmarkStart w:id="5" w:name="_Toc442859427"/>
      <w:bookmarkStart w:id="6" w:name="_Toc12908"/>
      <w:bookmarkStart w:id="7" w:name="_Toc13292862"/>
      <w:bookmarkStart w:id="8" w:name="_Toc442859425"/>
      <w:r>
        <w:t>定义</w:t>
      </w:r>
      <w:bookmarkEnd w:id="4"/>
      <w:bookmarkEnd w:id="5"/>
      <w:bookmarkEnd w:id="6"/>
    </w:p>
    <w:p w14:paraId="4F115C04">
      <w:pPr>
        <w:spacing w:afterLines="50"/>
        <w:rPr>
          <w:szCs w:val="24"/>
          <w:lang w:eastAsia="zh-CN"/>
        </w:rPr>
      </w:pPr>
      <w:r>
        <w:rPr>
          <w:szCs w:val="24"/>
          <w:lang w:eastAsia="zh-CN"/>
        </w:rPr>
        <w:t>就本合同而言，下列名词具有如下含义：</w:t>
      </w:r>
    </w:p>
    <w:p w14:paraId="4DB64C2A">
      <w:pPr>
        <w:pStyle w:val="7"/>
        <w:rPr>
          <w:b/>
        </w:rPr>
      </w:pPr>
      <w:r>
        <w:rPr>
          <w:b/>
        </w:rPr>
        <w:t>合同</w:t>
      </w:r>
      <w:r>
        <w:t>是指合同正文和所有附件。</w:t>
      </w:r>
    </w:p>
    <w:p w14:paraId="58C6FB56">
      <w:pPr>
        <w:pStyle w:val="7"/>
      </w:pPr>
      <w:r>
        <w:rPr>
          <w:b/>
        </w:rPr>
        <w:t>甲方</w:t>
      </w:r>
      <w:r>
        <w:t>指福建联合石油化工有限公司及其合法的继任者和许可的受让方。</w:t>
      </w:r>
    </w:p>
    <w:p w14:paraId="27F815A7">
      <w:pPr>
        <w:pStyle w:val="7"/>
        <w:rPr>
          <w:b/>
        </w:rPr>
      </w:pPr>
      <w:r>
        <w:rPr>
          <w:b/>
        </w:rPr>
        <w:t>乙方</w:t>
      </w:r>
      <w:r>
        <w:t>应指本合同前言部分定义的乙方及经甲方认可的合法继任者和受让人。</w:t>
      </w:r>
    </w:p>
    <w:p w14:paraId="397F744C">
      <w:pPr>
        <w:pStyle w:val="7"/>
      </w:pPr>
      <w:r>
        <w:rPr>
          <w:b/>
        </w:rPr>
        <w:t>第三方</w:t>
      </w:r>
      <w:r>
        <w:t>是指除甲方、乙方以外的任何个人或实体。</w:t>
      </w:r>
    </w:p>
    <w:p w14:paraId="09AB8BAB">
      <w:pPr>
        <w:pStyle w:val="7"/>
        <w:rPr>
          <w:b/>
        </w:rPr>
      </w:pPr>
      <w:r>
        <w:rPr>
          <w:b/>
        </w:rPr>
        <w:t>一方是</w:t>
      </w:r>
      <w:r>
        <w:t>指甲方或乙方，以上各方在本合同中合</w:t>
      </w:r>
      <w:r>
        <w:rPr>
          <w:b/>
        </w:rPr>
        <w:t>称甲乙双方。另一方是</w:t>
      </w:r>
      <w:r>
        <w:t>指一方以外的其它一方。</w:t>
      </w:r>
    </w:p>
    <w:p w14:paraId="16CB420A">
      <w:pPr>
        <w:pStyle w:val="7"/>
        <w:rPr>
          <w:b/>
        </w:rPr>
      </w:pPr>
      <w:r>
        <w:rPr>
          <w:b/>
        </w:rPr>
        <w:t>服务</w:t>
      </w:r>
      <w:r>
        <w:t>是指乙方为甲方提供的</w:t>
      </w:r>
      <w:r>
        <w:rPr>
          <w:rFonts w:hint="eastAsia"/>
          <w:u w:val="single"/>
        </w:rPr>
        <w:t>白蚁红火蚁防治及灭鼠服务</w:t>
      </w:r>
      <w:r>
        <w:t>，附件中有更加详细描述的服务内容，包括但不限于提供必要的劳动力、设备、材料、技术等其它附带的服务。</w:t>
      </w:r>
    </w:p>
    <w:p w14:paraId="517F94EF">
      <w:pPr>
        <w:pStyle w:val="7"/>
        <w:rPr>
          <w:b/>
        </w:rPr>
      </w:pPr>
      <w:r>
        <w:rPr>
          <w:b/>
        </w:rPr>
        <w:t>服务费</w:t>
      </w:r>
      <w:r>
        <w:rPr>
          <w:rFonts w:hint="eastAsia"/>
          <w:b/>
        </w:rPr>
        <w:t>，</w:t>
      </w:r>
      <w:r>
        <w:rPr>
          <w:rFonts w:hint="eastAsia"/>
        </w:rPr>
        <w:t>又称合同总价，</w:t>
      </w:r>
      <w:r>
        <w:t>指由甲方支付给乙方为完成本合同约定的服务所得的全部费用及报酬，包括但不限于乙方为履行本合同而产生的所有有关经常费用、支出、复印、通讯、翻译、咨询及计算机服务费用、差旅费和其他支出。</w:t>
      </w:r>
    </w:p>
    <w:p w14:paraId="350C85A3">
      <w:pPr>
        <w:pStyle w:val="7"/>
        <w:rPr>
          <w:b/>
        </w:rPr>
      </w:pPr>
      <w:r>
        <w:rPr>
          <w:b/>
        </w:rPr>
        <w:t>税费</w:t>
      </w:r>
      <w:r>
        <w:t>是指任何政府或有权机构所征收的任何性质的税收、费用。</w:t>
      </w:r>
    </w:p>
    <w:p w14:paraId="3832A8E4">
      <w:pPr>
        <w:pStyle w:val="7"/>
      </w:pPr>
      <w:r>
        <w:rPr>
          <w:b/>
        </w:rPr>
        <w:t>法律</w:t>
      </w:r>
      <w:r>
        <w:t>是指中华人民共和国颁布的法律、法规、规章等规范性法律文件。</w:t>
      </w:r>
    </w:p>
    <w:p w14:paraId="64F47A26">
      <w:pPr>
        <w:pStyle w:val="2"/>
        <w:numPr>
          <w:ilvl w:val="0"/>
          <w:numId w:val="1"/>
        </w:numPr>
        <w:spacing w:before="120" w:after="120"/>
        <w:rPr>
          <w:szCs w:val="28"/>
        </w:rPr>
      </w:pPr>
      <w:bookmarkStart w:id="9" w:name="_Toc28073"/>
      <w:r>
        <w:rPr>
          <w:szCs w:val="28"/>
        </w:rPr>
        <w:t>合同</w:t>
      </w:r>
      <w:bookmarkEnd w:id="7"/>
      <w:bookmarkEnd w:id="8"/>
      <w:r>
        <w:rPr>
          <w:szCs w:val="28"/>
        </w:rPr>
        <w:t>范围</w:t>
      </w:r>
      <w:bookmarkEnd w:id="9"/>
      <w:r>
        <w:rPr>
          <w:rFonts w:hint="eastAsia"/>
          <w:szCs w:val="28"/>
          <w:lang w:eastAsia="zh-CN"/>
        </w:rPr>
        <w:t xml:space="preserve"> </w:t>
      </w:r>
    </w:p>
    <w:p w14:paraId="779FC9EF">
      <w:pPr>
        <w:ind w:left="567"/>
        <w:rPr>
          <w:rFonts w:hint="eastAsia" w:eastAsia="宋体"/>
          <w:u w:val="single"/>
          <w:lang w:eastAsia="zh-CN"/>
        </w:rPr>
      </w:pPr>
      <w:r>
        <w:rPr>
          <w:u w:val="single"/>
        </w:rPr>
        <w:t>乙方为甲方提供</w:t>
      </w:r>
      <w:r>
        <w:rPr>
          <w:rFonts w:hint="eastAsia"/>
          <w:u w:val="single"/>
        </w:rPr>
        <w:t>白蚁红火蚁防治及灭鼠服务</w:t>
      </w:r>
      <w:r>
        <w:rPr>
          <w:rFonts w:hint="eastAsia"/>
          <w:u w:val="single"/>
          <w:lang w:eastAsia="zh-CN"/>
        </w:rPr>
        <w:t>，</w:t>
      </w:r>
      <w:r>
        <w:rPr>
          <w:rFonts w:hint="eastAsia"/>
          <w:u w:val="single"/>
          <w:lang w:val="en-US" w:eastAsia="zh-CN"/>
        </w:rPr>
        <w:t>具体详见附件</w:t>
      </w:r>
      <w:r>
        <w:rPr>
          <w:rFonts w:hint="eastAsia"/>
          <w:u w:val="single"/>
          <w:lang w:eastAsia="zh-CN"/>
        </w:rPr>
        <w:t>。</w:t>
      </w:r>
    </w:p>
    <w:p w14:paraId="7E3FD3FB">
      <w:pPr>
        <w:pStyle w:val="2"/>
        <w:numPr>
          <w:ilvl w:val="0"/>
          <w:numId w:val="1"/>
        </w:numPr>
        <w:spacing w:before="120" w:after="120"/>
      </w:pPr>
      <w:bookmarkStart w:id="10" w:name="_Toc13292863"/>
      <w:bookmarkStart w:id="11" w:name="_Toc442859426"/>
      <w:bookmarkStart w:id="12" w:name="_Toc17064"/>
      <w:r>
        <w:t>合同</w:t>
      </w:r>
      <w:r>
        <w:rPr>
          <w:rFonts w:hint="eastAsia"/>
        </w:rPr>
        <w:t>履行</w:t>
      </w:r>
      <w:r>
        <w:t>期限</w:t>
      </w:r>
      <w:bookmarkEnd w:id="10"/>
      <w:bookmarkEnd w:id="11"/>
      <w:bookmarkEnd w:id="12"/>
    </w:p>
    <w:p w14:paraId="141D7CF2">
      <w:pPr>
        <w:pStyle w:val="27"/>
        <w:numPr>
          <w:ilvl w:val="0"/>
          <w:numId w:val="3"/>
        </w:numPr>
        <w:tabs>
          <w:tab w:val="left" w:pos="0"/>
          <w:tab w:val="left" w:pos="720"/>
          <w:tab w:val="left" w:pos="1440"/>
        </w:tabs>
        <w:ind w:left="-420" w:leftChars="-175" w:firstLineChars="0"/>
        <w:rPr>
          <w:lang w:eastAsia="zh-CN"/>
        </w:rPr>
      </w:pPr>
      <w:r>
        <w:rPr>
          <w:lang w:eastAsia="zh-CN"/>
        </w:rPr>
        <w:t>本合同</w:t>
      </w:r>
      <w:r>
        <w:rPr>
          <w:rFonts w:hint="eastAsia"/>
          <w:lang w:eastAsia="zh-CN"/>
        </w:rPr>
        <w:t>履行</w:t>
      </w:r>
      <w:r>
        <w:rPr>
          <w:lang w:eastAsia="zh-CN"/>
        </w:rPr>
        <w:t>期限</w:t>
      </w:r>
      <w:r>
        <w:rPr>
          <w:rFonts w:hint="eastAsia"/>
          <w:lang w:eastAsia="zh-CN"/>
        </w:rPr>
        <w:t>自</w:t>
      </w:r>
      <w:r>
        <w:rPr>
          <w:rFonts w:hint="eastAsia"/>
          <w:lang w:val="en-US" w:eastAsia="zh-CN"/>
        </w:rPr>
        <w:t>2026</w:t>
      </w:r>
      <w:r>
        <w:rPr>
          <w:lang w:eastAsia="zh-CN"/>
        </w:rPr>
        <w:t>年</w:t>
      </w:r>
      <w:r>
        <w:rPr>
          <w:rFonts w:hint="eastAsia"/>
          <w:lang w:val="en-US" w:eastAsia="zh-CN"/>
        </w:rPr>
        <w:t>10</w:t>
      </w:r>
      <w:r>
        <w:rPr>
          <w:lang w:eastAsia="zh-CN"/>
        </w:rPr>
        <w:t>月</w:t>
      </w:r>
      <w:r>
        <w:rPr>
          <w:rFonts w:hint="eastAsia"/>
          <w:lang w:val="en-US" w:eastAsia="zh-CN"/>
        </w:rPr>
        <w:t>1</w:t>
      </w:r>
      <w:r>
        <w:rPr>
          <w:lang w:eastAsia="zh-CN"/>
        </w:rPr>
        <w:t>日</w:t>
      </w:r>
      <w:r>
        <w:rPr>
          <w:rFonts w:hint="eastAsia"/>
          <w:lang w:eastAsia="zh-CN"/>
        </w:rPr>
        <w:t>起</w:t>
      </w:r>
      <w:r>
        <w:rPr>
          <w:lang w:eastAsia="zh-CN"/>
        </w:rPr>
        <w:t>，至</w:t>
      </w:r>
      <w:r>
        <w:rPr>
          <w:rFonts w:hint="eastAsia"/>
          <w:lang w:val="en-US" w:eastAsia="zh-CN"/>
        </w:rPr>
        <w:t>2028</w:t>
      </w:r>
      <w:r>
        <w:rPr>
          <w:lang w:eastAsia="zh-CN"/>
        </w:rPr>
        <w:t>年</w:t>
      </w:r>
      <w:r>
        <w:rPr>
          <w:rFonts w:hint="eastAsia"/>
          <w:lang w:val="en-US" w:eastAsia="zh-CN"/>
        </w:rPr>
        <w:t>9</w:t>
      </w:r>
      <w:r>
        <w:rPr>
          <w:lang w:eastAsia="zh-CN"/>
        </w:rPr>
        <w:t>月</w:t>
      </w:r>
      <w:r>
        <w:rPr>
          <w:rFonts w:hint="eastAsia"/>
          <w:lang w:val="en-US" w:eastAsia="zh-CN"/>
        </w:rPr>
        <w:t>30</w:t>
      </w:r>
      <w:r>
        <w:rPr>
          <w:lang w:eastAsia="zh-CN"/>
        </w:rPr>
        <w:t>日终止。</w:t>
      </w:r>
    </w:p>
    <w:p w14:paraId="3DE19415">
      <w:pPr>
        <w:pStyle w:val="2"/>
        <w:numPr>
          <w:ilvl w:val="0"/>
          <w:numId w:val="1"/>
        </w:numPr>
        <w:spacing w:before="120" w:after="120"/>
        <w:rPr>
          <w:szCs w:val="28"/>
          <w:lang w:eastAsia="zh-CN"/>
        </w:rPr>
      </w:pPr>
      <w:bookmarkStart w:id="13" w:name="_Toc11317"/>
      <w:r>
        <w:rPr>
          <w:szCs w:val="28"/>
          <w:lang w:eastAsia="zh-CN"/>
        </w:rPr>
        <w:t>甲方权利义务</w:t>
      </w:r>
      <w:bookmarkEnd w:id="13"/>
    </w:p>
    <w:p w14:paraId="527FB1FE">
      <w:pPr>
        <w:pStyle w:val="7"/>
      </w:pPr>
      <w:r>
        <w:t>甲方应保证有权签署本合同，且有相应的能力</w:t>
      </w:r>
      <w:r>
        <w:rPr>
          <w:rFonts w:hint="eastAsia"/>
        </w:rPr>
        <w:t>、</w:t>
      </w:r>
      <w:r>
        <w:t>资质履行本合同。</w:t>
      </w:r>
    </w:p>
    <w:p w14:paraId="5994A3CF">
      <w:pPr>
        <w:pStyle w:val="7"/>
      </w:pPr>
      <w:r>
        <w:t>甲方应按照合同约定如期支付服务费。</w:t>
      </w:r>
    </w:p>
    <w:p w14:paraId="5D4C12D3">
      <w:pPr>
        <w:pStyle w:val="7"/>
      </w:pPr>
      <w:r>
        <w:t>甲方应为乙方履行本合同提供必要的协助。</w:t>
      </w:r>
    </w:p>
    <w:p w14:paraId="5FC8E3B9">
      <w:pPr>
        <w:pStyle w:val="7"/>
      </w:pPr>
      <w:r>
        <w:t>甲方可以为乙方提供履行合同所需的材料。</w:t>
      </w:r>
    </w:p>
    <w:p w14:paraId="3A34563E">
      <w:pPr>
        <w:pStyle w:val="7"/>
      </w:pPr>
      <w:r>
        <w:t>甲方有权对乙方履行本合同的情况进行监督检查，若发现乙方的履行不符合合同约定的，可以发出书面通知（补救通知）要求乙方补救，乙方应按甲方补救通知中的要求、期限就其服务的缺陷采取补救、重做等措施。</w:t>
      </w:r>
    </w:p>
    <w:p w14:paraId="269E1E13">
      <w:pPr>
        <w:pStyle w:val="2"/>
        <w:numPr>
          <w:ilvl w:val="0"/>
          <w:numId w:val="1"/>
        </w:numPr>
        <w:spacing w:before="120" w:after="120"/>
      </w:pPr>
      <w:bookmarkStart w:id="14" w:name="_Toc442859428"/>
      <w:bookmarkStart w:id="15" w:name="_Toc13292865"/>
      <w:bookmarkStart w:id="16" w:name="_Toc32736"/>
      <w:r>
        <w:t>乙方</w:t>
      </w:r>
      <w:bookmarkEnd w:id="14"/>
      <w:bookmarkEnd w:id="15"/>
      <w:r>
        <w:t>权利义务</w:t>
      </w:r>
      <w:bookmarkEnd w:id="16"/>
      <w:r>
        <w:rPr>
          <w:rFonts w:hint="eastAsia"/>
          <w:lang w:eastAsia="zh-CN"/>
        </w:rPr>
        <w:t xml:space="preserve"> </w:t>
      </w:r>
    </w:p>
    <w:p w14:paraId="3D87452E">
      <w:pPr>
        <w:pStyle w:val="7"/>
      </w:pPr>
      <w:r>
        <w:t>乙方应保证有权签署本合同，其授权代表已获得乙方有效的授权签订本合同。</w:t>
      </w:r>
    </w:p>
    <w:p w14:paraId="732B3F82">
      <w:pPr>
        <w:pStyle w:val="7"/>
      </w:pPr>
      <w:r>
        <w:t>乙方应保证已具备履行合同的合法资质、经验和能力，包括有足够的合格专业人员，以谨慎、称职和专业的态度完成本合同项下的义务，并保证完成本合同项下的工作人员的相对稳定。</w:t>
      </w:r>
      <w:r>
        <w:rPr>
          <w:rFonts w:hint="eastAsia"/>
        </w:rPr>
        <w:t>若上述条件发生变化，乙方应及时书面通知甲方。</w:t>
      </w:r>
    </w:p>
    <w:p w14:paraId="080E374D">
      <w:pPr>
        <w:pStyle w:val="7"/>
      </w:pPr>
      <w:r>
        <w:t>乙方应按照合同有关约定如期完成服务。如果可能或已经发生了工作进度延迟，乙方应立即书面通知甲方，并采取有效措施进行补救或弥补，并及时报告甲方。</w:t>
      </w:r>
    </w:p>
    <w:p w14:paraId="2DCA633E">
      <w:pPr>
        <w:pStyle w:val="7"/>
      </w:pPr>
      <w:r>
        <w:t>乙方的服务应符合有关的</w:t>
      </w:r>
      <w:r>
        <w:rPr>
          <w:rFonts w:hint="eastAsia"/>
        </w:rPr>
        <w:t>国际、</w:t>
      </w:r>
      <w:r>
        <w:t>国家、地方、行业技术规范和/或合同约定标准，并对服务质量及交付物的质量负责。如果乙方提供的服务存在任何缺陷，一经甲方通知，乙方应立即采取一切有效措施，免费提供必要的附加服务在最短时间内进行补救。</w:t>
      </w:r>
    </w:p>
    <w:p w14:paraId="1E172C4E">
      <w:pPr>
        <w:pStyle w:val="7"/>
      </w:pPr>
      <w:bookmarkStart w:id="17" w:name="保证期"/>
      <w:bookmarkEnd w:id="17"/>
      <w:r>
        <w:t>除法律另有规定和合同另有约定外，乙方保证自甲方接受服务之日起，</w:t>
      </w:r>
      <w:r>
        <w:rPr>
          <w:u w:val="single"/>
        </w:rPr>
        <w:t>一（1）年内</w:t>
      </w:r>
      <w:r>
        <w:t>所有服务及与提供的服务有关的物料、设备必须无任何缺陷或不足。若甲方在此保证期内发现任何缺陷，且在保证期内通知了乙方，乙方则须按甲方要求立即优先为甲方补救这些缺陷或不足，费用乙方自理（包括因改正这些缺陷、不足而发生的人力、物料和其它附带服务所发生的费用)。在此条款下提供的改正任何缺陷或不足的任何服务应按同样的基础予以保证，保证期为：剩余的</w:t>
      </w:r>
      <w:r>
        <w:rPr>
          <w:u w:val="single"/>
        </w:rPr>
        <w:t>一年保证期</w:t>
      </w:r>
      <w:r>
        <w:t>；或自</w:t>
      </w:r>
      <w:r>
        <w:rPr>
          <w:rFonts w:hint="eastAsia"/>
        </w:rPr>
        <w:t>补救</w:t>
      </w:r>
      <w:r>
        <w:t>完成之日起计</w:t>
      </w:r>
      <w:r>
        <w:rPr>
          <w:u w:val="single"/>
        </w:rPr>
        <w:t>6个月</w:t>
      </w:r>
      <w:r>
        <w:t>，取其中时间较长者。</w:t>
      </w:r>
    </w:p>
    <w:p w14:paraId="5CA15217">
      <w:pPr>
        <w:pStyle w:val="7"/>
      </w:pPr>
      <w:r>
        <w:t>如对本合同有疑问，乙方应咨询甲方，与甲方商讨并与甲方及其授权代表充分合作且不收取任何额外费用。</w:t>
      </w:r>
    </w:p>
    <w:p w14:paraId="02173B8F">
      <w:pPr>
        <w:pStyle w:val="7"/>
      </w:pPr>
      <w:r>
        <w:t>若甲方提供文件资料、材料的，乙方应以其专业判断，检验、审查并了解甲方的资料、材料，并在发现甲方少交、迟交、或有任何错误、遗漏后立即以书面形式向甲方报告。乙方应当对提供的材料及时检验。若发现上述资料、材料不符合约定的，应当在收到材料后</w:t>
      </w:r>
      <w:r>
        <w:rPr>
          <w:rFonts w:hint="eastAsia"/>
          <w:u w:val="single"/>
          <w:lang w:val="en-US" w:eastAsia="zh-CN"/>
        </w:rPr>
        <w:t>3</w:t>
      </w:r>
      <w:r>
        <w:t>天内书面通知甲方。若逾期未提出异议的，视作甲方的资料、材料符合合同约定。</w:t>
      </w:r>
    </w:p>
    <w:p w14:paraId="425DCBA6">
      <w:pPr>
        <w:pStyle w:val="2"/>
        <w:numPr>
          <w:ilvl w:val="0"/>
          <w:numId w:val="1"/>
        </w:numPr>
        <w:spacing w:before="120" w:after="120"/>
      </w:pPr>
      <w:bookmarkStart w:id="18" w:name="_Toc13292868"/>
      <w:bookmarkStart w:id="19" w:name="_Toc442859431"/>
      <w:bookmarkStart w:id="20" w:name="_Toc13848"/>
      <w:r>
        <w:t>变更</w:t>
      </w:r>
      <w:bookmarkEnd w:id="18"/>
      <w:bookmarkEnd w:id="19"/>
      <w:bookmarkEnd w:id="20"/>
    </w:p>
    <w:p w14:paraId="475DE960">
      <w:pPr>
        <w:pStyle w:val="7"/>
      </w:pPr>
      <w:r>
        <w:t>本合同所指的</w:t>
      </w:r>
      <w:r>
        <w:rPr>
          <w:rFonts w:asciiTheme="minorEastAsia" w:hAnsiTheme="minorEastAsia" w:eastAsiaTheme="minorEastAsia"/>
        </w:rPr>
        <w:t>“变更”</w:t>
      </w:r>
      <w:r>
        <w:t>是指对服务内容、完成服务的方法或进度表的</w:t>
      </w:r>
      <w:r>
        <w:rPr>
          <w:rFonts w:hint="eastAsia"/>
        </w:rPr>
        <w:t>修改</w:t>
      </w:r>
      <w:r>
        <w:t>、修订，或者其他对本合同的实质性修改。</w:t>
      </w:r>
    </w:p>
    <w:p w14:paraId="10BEBE31">
      <w:pPr>
        <w:pStyle w:val="7"/>
      </w:pPr>
      <w:r>
        <w:t>甲方有权不经乙方同意，变更合同约定的服务，包括但不限于：</w:t>
      </w:r>
    </w:p>
    <w:p w14:paraId="57E378FA">
      <w:pPr>
        <w:pStyle w:val="7"/>
        <w:numPr>
          <w:ilvl w:val="0"/>
          <w:numId w:val="4"/>
        </w:numPr>
      </w:pPr>
      <w:r>
        <w:t xml:space="preserve">要求乙方增加服务项目或减少原先已约定服务项目； </w:t>
      </w:r>
    </w:p>
    <w:p w14:paraId="73B1761B">
      <w:pPr>
        <w:pStyle w:val="7"/>
        <w:numPr>
          <w:ilvl w:val="0"/>
          <w:numId w:val="4"/>
        </w:numPr>
      </w:pPr>
      <w:r>
        <w:t>对包含在附件</w:t>
      </w:r>
      <w:r>
        <w:rPr>
          <w:rFonts w:hint="eastAsia"/>
        </w:rPr>
        <w:t>A</w:t>
      </w:r>
      <w:r>
        <w:t>服务的描述和交付进度中的或除此之外甲方提供给乙方的有关资料解释作最终确定，以及对该等资料中不够明确的地方作最终确定。当收到这样的变更通知时，乙方应立即变更有关的服务。</w:t>
      </w:r>
    </w:p>
    <w:p w14:paraId="6E77765D">
      <w:pPr>
        <w:pStyle w:val="7"/>
        <w:rPr>
          <w:sz w:val="20"/>
        </w:rPr>
      </w:pPr>
      <w:r>
        <w:t>因甲方要求的变更，导致乙方被要求完全重做工作时，双方应通过友好的协商讨论因上述变更而引起的额外费用，由甲方签发变更单。</w:t>
      </w:r>
    </w:p>
    <w:p w14:paraId="0B71A6C8">
      <w:pPr>
        <w:pStyle w:val="7"/>
        <w:rPr>
          <w:sz w:val="20"/>
        </w:rPr>
      </w:pPr>
      <w:r>
        <w:t>无须签发变更单的情形</w:t>
      </w:r>
      <w:r>
        <w:rPr>
          <w:sz w:val="20"/>
        </w:rPr>
        <w:t>：</w:t>
      </w:r>
    </w:p>
    <w:p w14:paraId="37A58F31">
      <w:pPr>
        <w:pStyle w:val="7"/>
        <w:numPr>
          <w:ilvl w:val="0"/>
          <w:numId w:val="5"/>
        </w:numPr>
      </w:pPr>
      <w:r>
        <w:rPr>
          <w:sz w:val="20"/>
        </w:rPr>
        <w:t>当</w:t>
      </w:r>
      <w:r>
        <w:t>乙方已完成的服务是为了达到合同约定服务要求所必须，或为了更改服务中的缺陷；</w:t>
      </w:r>
    </w:p>
    <w:p w14:paraId="615F5E35">
      <w:pPr>
        <w:pStyle w:val="7"/>
        <w:numPr>
          <w:ilvl w:val="0"/>
          <w:numId w:val="5"/>
        </w:numPr>
      </w:pPr>
      <w:r>
        <w:t>乙方违反合同要求；</w:t>
      </w:r>
    </w:p>
    <w:p w14:paraId="2EDBA900">
      <w:pPr>
        <w:pStyle w:val="7"/>
        <w:numPr>
          <w:ilvl w:val="0"/>
          <w:numId w:val="5"/>
        </w:numPr>
      </w:pPr>
      <w:r>
        <w:rPr>
          <w:rFonts w:hint="eastAsia"/>
        </w:rPr>
        <w:t>乙方的履行受到其他影响，包括乙方的错误或疏忽</w:t>
      </w:r>
      <w:r>
        <w:t>。</w:t>
      </w:r>
    </w:p>
    <w:p w14:paraId="1F138644">
      <w:pPr>
        <w:pStyle w:val="2"/>
        <w:numPr>
          <w:ilvl w:val="0"/>
          <w:numId w:val="1"/>
        </w:numPr>
        <w:spacing w:before="120" w:after="120"/>
      </w:pPr>
      <w:bookmarkStart w:id="21" w:name="_Toc6456"/>
      <w:r>
        <w:t>付款、</w:t>
      </w:r>
      <w:r>
        <w:rPr>
          <w:rFonts w:hint="eastAsia"/>
        </w:rPr>
        <w:t>税费和</w:t>
      </w:r>
      <w:r>
        <w:t>发票</w:t>
      </w:r>
      <w:bookmarkEnd w:id="21"/>
    </w:p>
    <w:p w14:paraId="105BDE69">
      <w:pPr>
        <w:pStyle w:val="7"/>
      </w:pPr>
      <w:r>
        <w:t>本合同服务费具体约定详见附件</w:t>
      </w:r>
      <w:r>
        <w:rPr>
          <w:rFonts w:hint="eastAsia"/>
        </w:rPr>
        <w:t>B</w:t>
      </w:r>
      <w:r>
        <w:t>，此价格包含了甲方给乙方的报酬、乙方为履行本合同而产生的所有费用以及依法应由乙方承担的税费。</w:t>
      </w:r>
    </w:p>
    <w:p w14:paraId="71F1A92A">
      <w:pPr>
        <w:pStyle w:val="7"/>
        <w:numPr>
          <w:ilvl w:val="0"/>
          <w:numId w:val="0"/>
        </w:numPr>
        <w:ind w:left="240"/>
      </w:pPr>
      <w:r>
        <w:rPr>
          <w:rFonts w:hint="eastAsia"/>
        </w:rPr>
        <w:t>在合同期内如遇增值税政策调整，税款相应变更，不含税合同价款不变。</w:t>
      </w:r>
    </w:p>
    <w:p w14:paraId="53187012">
      <w:pPr>
        <w:pStyle w:val="7"/>
      </w:pPr>
      <w:r>
        <w:rPr>
          <w:b/>
        </w:rPr>
        <w:t>付款</w:t>
      </w:r>
      <w:r>
        <w:t>。乙方要求甲方支付任何款项前，应当向甲方发出书面付款通知及付款金额，在收到甲方接受或认可乙方服务的书面通知后，乙方须在</w:t>
      </w:r>
      <w:r>
        <w:rPr>
          <w:rFonts w:hint="eastAsia"/>
          <w:u w:val="single"/>
          <w:lang w:val="en-US" w:eastAsia="zh-CN"/>
        </w:rPr>
        <w:t>10</w:t>
      </w:r>
      <w:r>
        <w:t>个中国工作日内按照本合同项下载明的服务费金额及付款进度的规定开具正规税务发票</w:t>
      </w:r>
      <w:r>
        <w:rPr>
          <w:rFonts w:hint="eastAsia"/>
        </w:rPr>
        <w:t>（增值税专用发票优先）</w:t>
      </w:r>
      <w:r>
        <w:t xml:space="preserve">给甲方，同时提交一份甲方书面通知的副本。 </w:t>
      </w:r>
    </w:p>
    <w:p w14:paraId="392A6CB4">
      <w:pPr>
        <w:pStyle w:val="7"/>
        <w:rPr>
          <w:rFonts w:ascii="宋体" w:hAnsi="宋体"/>
        </w:rPr>
      </w:pPr>
      <w:r>
        <w:t>所有的付款通知和发票以及任何本合同要求的随附文件须送至：</w:t>
      </w:r>
    </w:p>
    <w:p w14:paraId="79DD2A43">
      <w:pPr>
        <w:pStyle w:val="7"/>
        <w:numPr>
          <w:ilvl w:val="0"/>
          <w:numId w:val="0"/>
        </w:numPr>
        <w:ind w:left="240"/>
      </w:pPr>
      <w:r>
        <w:t>地址：</w:t>
      </w:r>
      <w:r>
        <w:rPr>
          <w:rFonts w:hint="eastAsia"/>
        </w:rPr>
        <w:t>福建省泉州市丰泽区安吉路福炼大厦14楼</w:t>
      </w:r>
    </w:p>
    <w:p w14:paraId="596070EF">
      <w:pPr>
        <w:pStyle w:val="7"/>
        <w:numPr>
          <w:ilvl w:val="0"/>
          <w:numId w:val="0"/>
        </w:numPr>
        <w:ind w:left="240"/>
      </w:pPr>
      <w:r>
        <w:t>邮编：　</w:t>
      </w:r>
    </w:p>
    <w:p w14:paraId="0ACA0D5D">
      <w:pPr>
        <w:pStyle w:val="7"/>
        <w:numPr>
          <w:ilvl w:val="0"/>
          <w:numId w:val="0"/>
        </w:numPr>
        <w:ind w:left="240"/>
        <w:rPr>
          <w:rFonts w:hint="eastAsia" w:eastAsia="宋体"/>
          <w:lang w:val="en-US" w:eastAsia="zh-CN"/>
        </w:rPr>
      </w:pPr>
      <w:r>
        <w:t>收件人：</w:t>
      </w:r>
      <w:r>
        <w:rPr>
          <w:rFonts w:hint="eastAsia"/>
          <w:lang w:val="en-US" w:eastAsia="zh-CN"/>
        </w:rPr>
        <w:t>黄东梅</w:t>
      </w:r>
    </w:p>
    <w:p w14:paraId="64421E70">
      <w:pPr>
        <w:pStyle w:val="7"/>
        <w:numPr>
          <w:ilvl w:val="0"/>
          <w:numId w:val="0"/>
        </w:numPr>
        <w:ind w:left="240"/>
      </w:pPr>
      <w:r>
        <w:rPr>
          <w:rFonts w:hint="eastAsia"/>
        </w:rPr>
        <w:t>在收到发票后的</w:t>
      </w:r>
      <w:r>
        <w:rPr>
          <w:rFonts w:hint="eastAsia"/>
          <w:u w:val="single"/>
          <w:lang w:val="en-US" w:eastAsia="zh-CN"/>
        </w:rPr>
        <w:t>10</w:t>
      </w:r>
      <w:r>
        <w:rPr>
          <w:rFonts w:hint="eastAsia"/>
          <w:u w:val="single"/>
        </w:rPr>
        <w:t>中</w:t>
      </w:r>
      <w:r>
        <w:rPr>
          <w:rFonts w:hint="eastAsia"/>
        </w:rPr>
        <w:t>国工作日内，甲方在扣除留置款和代扣代缴税金（如根据税法适用的话）之后，须电汇至乙方下述银行账户：</w:t>
      </w:r>
    </w:p>
    <w:p w14:paraId="73110ABC">
      <w:pPr>
        <w:ind w:right="58" w:rightChars="24" w:firstLine="240" w:firstLineChars="100"/>
        <w:rPr>
          <w:rFonts w:ascii="宋体" w:hAnsi="宋体"/>
          <w:lang w:eastAsia="zh-CN"/>
        </w:rPr>
      </w:pPr>
      <w:r>
        <w:rPr>
          <w:rFonts w:hint="eastAsia" w:ascii="宋体" w:hAnsi="宋体"/>
          <w:lang w:eastAsia="zh-CN"/>
        </w:rPr>
        <w:t xml:space="preserve">开户银行： </w:t>
      </w:r>
    </w:p>
    <w:p w14:paraId="5E9F7AA3">
      <w:pPr>
        <w:ind w:right="58" w:rightChars="24" w:firstLine="240" w:firstLineChars="100"/>
        <w:rPr>
          <w:rFonts w:ascii="宋体" w:hAnsi="宋体"/>
          <w:lang w:eastAsia="zh-CN"/>
        </w:rPr>
      </w:pPr>
      <w:r>
        <w:rPr>
          <w:rFonts w:hint="eastAsia" w:ascii="宋体" w:hAnsi="宋体"/>
          <w:lang w:eastAsia="zh-CN"/>
        </w:rPr>
        <w:t>账号：</w:t>
      </w:r>
    </w:p>
    <w:p w14:paraId="3290CD4C">
      <w:pPr>
        <w:ind w:right="58" w:rightChars="24" w:firstLine="240" w:firstLineChars="100"/>
        <w:rPr>
          <w:rFonts w:ascii="宋体" w:hAnsi="宋体"/>
          <w:u w:val="single"/>
          <w:lang w:eastAsia="zh-CN"/>
        </w:rPr>
      </w:pPr>
      <w:r>
        <w:rPr>
          <w:rFonts w:hint="eastAsia" w:ascii="宋体" w:hAnsi="宋体"/>
          <w:lang w:eastAsia="zh-CN"/>
        </w:rPr>
        <w:t>收款人：</w:t>
      </w:r>
    </w:p>
    <w:p w14:paraId="303F0559">
      <w:pPr>
        <w:pStyle w:val="7"/>
      </w:pPr>
      <w:r>
        <w:t>甲方所有的付款，乙方均需提供法定的税务发票。如果乙方未遵守合同约定的发票开具程序，甲方可不承担相应付款的义务。</w:t>
      </w:r>
    </w:p>
    <w:p w14:paraId="36EC8590">
      <w:pPr>
        <w:pStyle w:val="7"/>
      </w:pPr>
      <w:r>
        <w:t>发票开具程序下列第</w:t>
      </w:r>
      <w:r>
        <w:rPr>
          <w:rFonts w:hint="eastAsia"/>
          <w:u w:val="single"/>
          <w:lang w:val="en-US" w:eastAsia="zh-CN"/>
        </w:rPr>
        <w:t>A、B</w:t>
      </w:r>
      <w:r>
        <w:t>种</w:t>
      </w:r>
    </w:p>
    <w:p w14:paraId="39DEFC69">
      <w:pPr>
        <w:pStyle w:val="27"/>
        <w:numPr>
          <w:ilvl w:val="0"/>
          <w:numId w:val="6"/>
        </w:numPr>
        <w:ind w:left="175" w:leftChars="73" w:right="62" w:rightChars="26" w:firstLineChars="0"/>
        <w:rPr>
          <w:lang w:eastAsia="zh-CN"/>
        </w:rPr>
      </w:pPr>
      <w:r>
        <w:rPr>
          <w:b/>
          <w:szCs w:val="24"/>
          <w:lang w:eastAsia="zh-CN"/>
        </w:rPr>
        <w:t>适用于固定总价合同</w:t>
      </w:r>
      <w:r>
        <w:rPr>
          <w:b/>
          <w:szCs w:val="24"/>
          <w:lang w:eastAsia="zh-CN"/>
        </w:rPr>
        <w:br w:type="textWrapping"/>
      </w:r>
      <w:r>
        <w:rPr>
          <w:szCs w:val="24"/>
          <w:lang w:eastAsia="zh-CN"/>
        </w:rPr>
        <w:t>在收到甲方接受乙方服务的书面通知的</w:t>
      </w:r>
      <w:r>
        <w:rPr>
          <w:rFonts w:hint="eastAsia"/>
          <w:szCs w:val="24"/>
          <w:lang w:val="en-US" w:eastAsia="zh-CN"/>
        </w:rPr>
        <w:t>10</w:t>
      </w:r>
      <w:r>
        <w:rPr>
          <w:szCs w:val="24"/>
          <w:lang w:eastAsia="zh-CN"/>
        </w:rPr>
        <w:t>个工作日之内，乙方须按</w:t>
      </w:r>
      <w:r>
        <w:rPr>
          <w:lang w:eastAsia="zh-CN"/>
        </w:rPr>
        <w:t>照</w:t>
      </w:r>
      <w:r>
        <w:rPr>
          <w:rFonts w:hint="eastAsia"/>
          <w:lang w:eastAsia="zh-CN"/>
        </w:rPr>
        <w:t>合同约定的</w:t>
      </w:r>
      <w:r>
        <w:rPr>
          <w:lang w:eastAsia="zh-CN"/>
        </w:rPr>
        <w:t>付款进度和</w:t>
      </w:r>
      <w:r>
        <w:rPr>
          <w:rFonts w:hint="eastAsia"/>
          <w:lang w:eastAsia="zh-CN"/>
        </w:rPr>
        <w:t>要求</w:t>
      </w:r>
      <w:r>
        <w:rPr>
          <w:lang w:eastAsia="zh-CN"/>
        </w:rPr>
        <w:t>开具发票给甲方，同时提交一份该书面通知的副本。在收到乙方发票的</w:t>
      </w:r>
      <w:r>
        <w:rPr>
          <w:rFonts w:hint="eastAsia"/>
          <w:lang w:val="en-US" w:eastAsia="zh-CN"/>
        </w:rPr>
        <w:t>10</w:t>
      </w:r>
      <w:r>
        <w:rPr>
          <w:lang w:eastAsia="zh-CN"/>
        </w:rPr>
        <w:t>个工作日之内，甲方向乙方付款。</w:t>
      </w:r>
    </w:p>
    <w:p w14:paraId="72A167FC">
      <w:pPr>
        <w:pStyle w:val="27"/>
        <w:numPr>
          <w:ilvl w:val="0"/>
          <w:numId w:val="6"/>
        </w:numPr>
        <w:ind w:left="175" w:leftChars="73" w:right="62" w:rightChars="26" w:firstLineChars="0"/>
        <w:rPr>
          <w:b/>
          <w:szCs w:val="24"/>
          <w:lang w:eastAsia="zh-CN"/>
        </w:rPr>
      </w:pPr>
      <w:r>
        <w:rPr>
          <w:b/>
          <w:szCs w:val="24"/>
          <w:lang w:eastAsia="zh-CN"/>
        </w:rPr>
        <w:t>适用于</w:t>
      </w:r>
      <w:r>
        <w:rPr>
          <w:rFonts w:hint="eastAsia"/>
          <w:b/>
          <w:szCs w:val="24"/>
          <w:lang w:eastAsia="zh-CN"/>
        </w:rPr>
        <w:t>固定单价或</w:t>
      </w:r>
      <w:r>
        <w:rPr>
          <w:b/>
          <w:szCs w:val="24"/>
          <w:lang w:eastAsia="zh-CN"/>
        </w:rPr>
        <w:t>单位费率</w:t>
      </w:r>
      <w:r>
        <w:rPr>
          <w:rFonts w:hint="eastAsia"/>
          <w:b/>
          <w:szCs w:val="24"/>
          <w:lang w:eastAsia="zh-CN"/>
        </w:rPr>
        <w:t>合同</w:t>
      </w:r>
    </w:p>
    <w:p w14:paraId="5BFC2633">
      <w:pPr>
        <w:pStyle w:val="27"/>
        <w:ind w:left="595" w:leftChars="248" w:right="62" w:rightChars="26" w:firstLine="0" w:firstLineChars="0"/>
        <w:rPr>
          <w:rFonts w:ascii="宋体" w:hAnsi="宋体"/>
          <w:szCs w:val="24"/>
          <w:lang w:eastAsia="zh-CN"/>
        </w:rPr>
      </w:pPr>
      <w:r>
        <w:rPr>
          <w:rFonts w:hint="eastAsia" w:ascii="宋体" w:hAnsi="宋体"/>
          <w:szCs w:val="24"/>
          <w:lang w:eastAsia="zh-CN"/>
        </w:rPr>
        <w:t>在收到甲方接受乙方服务的书面通知</w:t>
      </w:r>
      <w:r>
        <w:rPr>
          <w:rFonts w:hint="eastAsia"/>
          <w:szCs w:val="24"/>
          <w:lang w:val="en-US" w:eastAsia="zh-CN"/>
        </w:rPr>
        <w:t>10</w:t>
      </w:r>
      <w:r>
        <w:rPr>
          <w:rFonts w:hint="eastAsia"/>
          <w:szCs w:val="24"/>
          <w:lang w:eastAsia="zh-CN"/>
        </w:rPr>
        <w:t>个工作日之内，乙方须按照附件B规定的服务</w:t>
      </w:r>
      <w:r>
        <w:rPr>
          <w:rFonts w:hint="eastAsia" w:ascii="宋体" w:hAnsi="宋体"/>
          <w:szCs w:val="24"/>
          <w:lang w:eastAsia="zh-CN"/>
        </w:rPr>
        <w:t>费用结算办法向甲方提交相应的费用结算报告，该费用结算报告的内容包括但不限于：服务内容描述及其明细、经双方代表确认后的实际数量、固定单价或单位费率、服务费总价等。</w:t>
      </w:r>
    </w:p>
    <w:p w14:paraId="3971E216">
      <w:pPr>
        <w:pStyle w:val="27"/>
        <w:numPr>
          <w:ilvl w:val="0"/>
          <w:numId w:val="6"/>
        </w:numPr>
        <w:ind w:left="175" w:leftChars="73" w:right="62" w:rightChars="26" w:firstLineChars="0"/>
        <w:rPr>
          <w:lang w:eastAsia="zh-CN"/>
        </w:rPr>
      </w:pPr>
      <w:r>
        <w:rPr>
          <w:rFonts w:hint="eastAsia"/>
          <w:b/>
          <w:szCs w:val="24"/>
          <w:lang w:eastAsia="zh-CN"/>
        </w:rPr>
        <w:t>适用于</w:t>
      </w:r>
      <w:r>
        <w:rPr>
          <w:b/>
          <w:szCs w:val="24"/>
          <w:lang w:eastAsia="zh-CN"/>
        </w:rPr>
        <w:t>实报实销合同</w:t>
      </w:r>
      <w:r>
        <w:rPr>
          <w:b/>
          <w:szCs w:val="24"/>
          <w:lang w:eastAsia="zh-CN"/>
        </w:rPr>
        <w:br w:type="textWrapping"/>
      </w:r>
      <w:r>
        <w:rPr>
          <w:lang w:eastAsia="zh-CN"/>
        </w:rPr>
        <w:t>乙方指派的任何为甲方提供本合同项下服务的人员，均应取得甲方书面的事前批准。甲方的批准在《人员审批表》中阐明。未获得甲方在《人员审批表》中的批准之前，乙方雇员不被授权提供本合同项下的任何服务。</w:t>
      </w:r>
      <w:r>
        <w:rPr>
          <w:rFonts w:hint="eastAsia"/>
          <w:lang w:eastAsia="zh-CN"/>
        </w:rPr>
        <w:t>若乙方雇员在《人员审批表》中未被批准提供此服务</w:t>
      </w:r>
      <w:r>
        <w:rPr>
          <w:rFonts w:hint="eastAsia" w:asciiTheme="minorEastAsia" w:hAnsiTheme="minorEastAsia" w:eastAsiaTheme="minorEastAsia"/>
          <w:lang w:eastAsia="zh-CN"/>
        </w:rPr>
        <w:t>，</w:t>
      </w:r>
      <w:r>
        <w:rPr>
          <w:lang w:eastAsia="zh-CN"/>
        </w:rPr>
        <w:t>甲方可以</w:t>
      </w:r>
      <w:r>
        <w:rPr>
          <w:rFonts w:hint="eastAsia"/>
          <w:lang w:eastAsia="zh-CN"/>
        </w:rPr>
        <w:t>拒绝</w:t>
      </w:r>
      <w:r>
        <w:rPr>
          <w:lang w:eastAsia="zh-CN"/>
        </w:rPr>
        <w:t>为该乙方雇员所提供的服务付款。</w:t>
      </w:r>
    </w:p>
    <w:p w14:paraId="2513385F">
      <w:pPr>
        <w:pStyle w:val="27"/>
        <w:ind w:left="595" w:right="62" w:rightChars="26" w:firstLine="0" w:firstLineChars="0"/>
        <w:rPr>
          <w:lang w:eastAsia="zh-CN"/>
        </w:rPr>
      </w:pPr>
      <w:r>
        <w:rPr>
          <w:lang w:eastAsia="zh-CN"/>
        </w:rPr>
        <w:t>若乙方人员为提供服务必须出差，且需甲方报销差旅费用，须获得甲方事前的书面批准，并在《出差审批表》上阐明。未获甲方事前的书面批准，甲方不予支付乙方雇员的差旅费用。</w:t>
      </w:r>
      <w:r>
        <w:rPr>
          <w:lang w:eastAsia="zh-CN"/>
        </w:rPr>
        <w:br w:type="textWrapping"/>
      </w:r>
      <w:r>
        <w:rPr>
          <w:lang w:eastAsia="zh-CN"/>
        </w:rPr>
        <w:t>乙方应向甲方提交费用支出于服务上的人工时报表，供甲方审核。乙方的人工时报表应提供关于乙方雇员姓名、相应级别、该雇员实施的服务的描述，正常工时或工作周或工作月数、加班工时数、和旅行工时数等细节。在收到人工时报表后，甲方书面确认乙方的人工时报表，或就人工时报表中的异议反馈给乙方。在收到甲方的反馈后，乙方应在______</w:t>
      </w:r>
      <w:r>
        <w:rPr>
          <w:rFonts w:hint="eastAsia"/>
          <w:lang w:eastAsia="zh-CN"/>
        </w:rPr>
        <w:t>个</w:t>
      </w:r>
      <w:r>
        <w:rPr>
          <w:lang w:eastAsia="zh-CN"/>
        </w:rPr>
        <w:t>工作日内与甲方商谈，并按达成的一致意见修改人工时报表。</w:t>
      </w:r>
    </w:p>
    <w:p w14:paraId="4839F606">
      <w:pPr>
        <w:pStyle w:val="27"/>
        <w:ind w:left="595" w:right="62" w:rightChars="26" w:firstLine="0" w:firstLineChars="0"/>
        <w:rPr>
          <w:lang w:eastAsia="zh-CN"/>
        </w:rPr>
      </w:pPr>
      <w:r>
        <w:rPr>
          <w:lang w:eastAsia="zh-CN"/>
        </w:rPr>
        <w:t>乙方应获得甲方对乙方人工时报告的书面确认，并使用该确认证明作为开具发票的依据。</w:t>
      </w:r>
    </w:p>
    <w:p w14:paraId="5B298221">
      <w:pPr>
        <w:pStyle w:val="27"/>
        <w:numPr>
          <w:ilvl w:val="0"/>
          <w:numId w:val="6"/>
        </w:numPr>
        <w:ind w:left="175" w:leftChars="73" w:firstLineChars="0"/>
        <w:rPr>
          <w:rFonts w:hAnsi="宋体" w:cs="Arial"/>
          <w:b/>
          <w:szCs w:val="22"/>
          <w:lang w:eastAsia="zh-CN"/>
        </w:rPr>
      </w:pPr>
      <w:r>
        <w:rPr>
          <w:rFonts w:hAnsi="宋体" w:cs="Arial"/>
          <w:b/>
          <w:szCs w:val="22"/>
          <w:lang w:eastAsia="zh-CN"/>
        </w:rPr>
        <w:t>适用于</w:t>
      </w:r>
      <w:r>
        <w:rPr>
          <w:rFonts w:hint="eastAsia" w:hAnsi="宋体" w:cs="Arial"/>
          <w:b/>
          <w:szCs w:val="22"/>
          <w:lang w:eastAsia="zh-CN"/>
        </w:rPr>
        <w:t>包工包预算定额用料</w:t>
      </w:r>
      <w:r>
        <w:rPr>
          <w:rFonts w:hAnsi="宋体" w:cs="Arial"/>
          <w:b/>
          <w:szCs w:val="22"/>
          <w:lang w:eastAsia="zh-CN"/>
        </w:rPr>
        <w:t>合同</w:t>
      </w:r>
    </w:p>
    <w:p w14:paraId="01A87D30">
      <w:pPr>
        <w:pStyle w:val="27"/>
        <w:ind w:left="595" w:leftChars="248" w:right="58" w:rightChars="24" w:firstLine="0" w:firstLineChars="0"/>
        <w:rPr>
          <w:szCs w:val="24"/>
          <w:lang w:eastAsia="zh-CN"/>
        </w:rPr>
      </w:pPr>
      <w:r>
        <w:rPr>
          <w:szCs w:val="24"/>
          <w:lang w:eastAsia="zh-CN"/>
        </w:rPr>
        <w:t>乙方应</w:t>
      </w:r>
      <w:r>
        <w:rPr>
          <w:rFonts w:hint="eastAsia"/>
          <w:szCs w:val="24"/>
          <w:lang w:eastAsia="zh-CN"/>
        </w:rPr>
        <w:t>依据甲方审查签发后的维修工单编制工程预结算书。预结算书中应列示每项检维修工程所耗费的人工时、机具以及辅助材料的消耗定额，包括但不限于工序内容、物料描述以及数量、单位等信息。</w:t>
      </w:r>
    </w:p>
    <w:p w14:paraId="4FFF1632">
      <w:pPr>
        <w:pStyle w:val="7"/>
        <w:rPr>
          <w:b/>
        </w:rPr>
      </w:pPr>
      <w:r>
        <w:rPr>
          <w:b/>
        </w:rPr>
        <w:t>税项。</w:t>
      </w:r>
      <w:r>
        <w:t>乙方负责向中国税务机构（包括但不限于省、市、当地税务机构）支付所有源自或与履行本合同相关的中国税金、规费和费用。</w:t>
      </w:r>
    </w:p>
    <w:p w14:paraId="30FB8806">
      <w:pPr>
        <w:pStyle w:val="7"/>
        <w:rPr>
          <w:b/>
        </w:rPr>
      </w:pPr>
      <w:r>
        <w:rPr>
          <w:b/>
        </w:rPr>
        <w:t>代扣代缴税金。</w:t>
      </w:r>
      <w:r>
        <w:t>若法律规定甲方需为乙方代扣代缴税费，甲方有权从应偿付给乙方的款项中扣除代扣代缴的所得税、和其它税费，而无须对乙方承担责任。甲方向有关政府机构支付的代扣代缴的钱款应视为代表乙方付款，等同于甲方已将该笔款项支付给了乙方，解除甲方对乙方的就代扣缴金额的任何责任</w:t>
      </w:r>
      <w:r>
        <w:rPr>
          <w:b/>
        </w:rPr>
        <w:t>。</w:t>
      </w:r>
    </w:p>
    <w:p w14:paraId="0E9CFC9F">
      <w:pPr>
        <w:pStyle w:val="7"/>
        <w:rPr>
          <w:b/>
        </w:rPr>
      </w:pPr>
      <w:r>
        <w:rPr>
          <w:b/>
        </w:rPr>
        <w:t>质保金。</w:t>
      </w:r>
      <w:r>
        <w:t>本合同服务费的</w:t>
      </w:r>
      <w:r>
        <w:rPr>
          <w:rFonts w:hint="eastAsia"/>
          <w:u w:val="single"/>
          <w:lang w:val="en-US" w:eastAsia="zh-CN"/>
        </w:rPr>
        <w:t>/</w:t>
      </w:r>
      <w:r>
        <w:t>%，作为乙方的质量保证金，待第5.5条款规定的保证期结束后且乙方没有违反任何保证的情形下，甲方再予以支付。</w:t>
      </w:r>
    </w:p>
    <w:p w14:paraId="16CF23A5">
      <w:pPr>
        <w:pStyle w:val="7"/>
        <w:rPr>
          <w:b/>
        </w:rPr>
      </w:pPr>
      <w:r>
        <w:rPr>
          <w:b/>
        </w:rPr>
        <w:t>记录和</w:t>
      </w:r>
      <w:r>
        <w:rPr>
          <w:rFonts w:hint="eastAsia"/>
          <w:b/>
        </w:rPr>
        <w:t>查阅。</w:t>
      </w:r>
      <w:r>
        <w:t>双方均应按照公认的会计准则和会计实务精确入账，保留准确的账簿记录。在本合同履行期间和合同终止后的三（3）年之内保留所有的文件、记录、收据以及其他必要的文件。为证实本合同项下向甲方开具的发票金额和甲方支付的款项，双方均同意允许对方及其指定的代表有权在上班时间为此证实之目的审查上述与本合同有关的账簿、记录、收据等文件，询问有关的人员、进入记录所在的设施和办公场所。</w:t>
      </w:r>
    </w:p>
    <w:p w14:paraId="7D012D2F">
      <w:pPr>
        <w:pStyle w:val="7"/>
      </w:pPr>
      <w:r>
        <w:rPr>
          <w:b/>
        </w:rPr>
        <w:t>债务。</w:t>
      </w:r>
      <w:r>
        <w:t>对非因甲方</w:t>
      </w:r>
      <w:r>
        <w:rPr>
          <w:rFonts w:hint="eastAsia"/>
        </w:rPr>
        <w:t>过错</w:t>
      </w:r>
      <w:r>
        <w:t>终止</w:t>
      </w:r>
      <w:r>
        <w:rPr>
          <w:rFonts w:hint="eastAsia"/>
        </w:rPr>
        <w:t>或解除合同</w:t>
      </w:r>
      <w:r>
        <w:t>，甲方都无须向乙方支付任何由此引起的任何费用、索赔、损坏或债务，包括，但不限于：重大损失、惩罚或损毁。</w:t>
      </w:r>
    </w:p>
    <w:p w14:paraId="5F4B89C2">
      <w:pPr>
        <w:pStyle w:val="7"/>
      </w:pPr>
      <w:r>
        <w:rPr>
          <w:rFonts w:hint="eastAsia"/>
        </w:rPr>
        <w:t>甲方有权从应付乙方的款项中直接抵扣/抵销甲方按本合同应支付给乙方的费用，包括但不限于逾期违约金、违约金、乙方对甲方造成的一切损失、债务，无需通过反诉或反请求的方式主张。</w:t>
      </w:r>
    </w:p>
    <w:p w14:paraId="5F8D7CE5">
      <w:pPr>
        <w:pStyle w:val="7"/>
      </w:pPr>
      <w:r>
        <w:t>甲方的付款并不限制甲方在随后时间对已开具发票的费用提出争议或对合同中不满意的服务进行索赔的权利，且付款亦不构成甲方对服务的接受。</w:t>
      </w:r>
    </w:p>
    <w:p w14:paraId="5CFFEFD2">
      <w:pPr>
        <w:pStyle w:val="7"/>
      </w:pPr>
      <w:r>
        <w:rPr>
          <w:rFonts w:hint="eastAsia"/>
        </w:rPr>
        <w:t>针对乙方的任何到期应收账款，如果在其应收款项到期日（若分期付款的以最晚一期付款日为准，质保金以保证期满之日为准）后3个月之内未收到乙方的付款申请及其支持性文件，甲方将会发出一份“提示函”给乙方，自该“提示函”发出之日起3个月之内甲方仍未收到乙方的付款申请及其支持性文件，可视为乙方自动放弃收取该等款项的权利，并自此解除该等付款针对甲方的任何责任。</w:t>
      </w:r>
    </w:p>
    <w:p w14:paraId="426EE0AF">
      <w:pPr>
        <w:pStyle w:val="2"/>
        <w:numPr>
          <w:ilvl w:val="0"/>
          <w:numId w:val="1"/>
        </w:numPr>
        <w:spacing w:before="120" w:after="120"/>
      </w:pPr>
      <w:bookmarkStart w:id="22" w:name="SavedCursorPosition"/>
      <w:bookmarkEnd w:id="22"/>
      <w:bookmarkStart w:id="23" w:name="_Toc21038"/>
      <w:r>
        <w:t>违约</w:t>
      </w:r>
      <w:bookmarkEnd w:id="23"/>
    </w:p>
    <w:p w14:paraId="69EB6ED0">
      <w:pPr>
        <w:pStyle w:val="7"/>
        <w:ind w:left="240" w:right="240"/>
      </w:pPr>
      <w:r>
        <w:t>乙方</w:t>
      </w:r>
      <w:r>
        <w:rPr>
          <w:rFonts w:hint="eastAsia"/>
        </w:rPr>
        <w:t>一般</w:t>
      </w:r>
      <w:r>
        <w:t>违约</w:t>
      </w:r>
      <w:r>
        <w:rPr>
          <w:rFonts w:hint="eastAsia"/>
        </w:rPr>
        <w:t>按合同附件执行</w:t>
      </w:r>
      <w:r>
        <w:t>。</w:t>
      </w:r>
    </w:p>
    <w:p w14:paraId="00A74490">
      <w:pPr>
        <w:pStyle w:val="7"/>
        <w:ind w:left="240" w:right="240"/>
      </w:pPr>
      <w:r>
        <w:t>其他违约行为的，乙方应向甲方承担违约金。违约金按</w:t>
      </w:r>
      <w:r>
        <w:rPr>
          <w:rFonts w:hint="eastAsia"/>
        </w:rPr>
        <w:t>当期结算</w:t>
      </w:r>
      <w:r>
        <w:t>金额的</w:t>
      </w:r>
      <w:r>
        <w:rPr>
          <w:rFonts w:hint="eastAsia"/>
          <w:u w:val="single"/>
        </w:rPr>
        <w:t>1</w:t>
      </w:r>
      <w:r>
        <w:rPr>
          <w:u w:val="single"/>
        </w:rPr>
        <w:t>%</w:t>
      </w:r>
      <w:r>
        <w:t>计算。</w:t>
      </w:r>
    </w:p>
    <w:p w14:paraId="759EAA50">
      <w:pPr>
        <w:pStyle w:val="7"/>
        <w:ind w:left="240" w:right="240"/>
      </w:pPr>
      <w:r>
        <w:t>若甲方因乙方违约而解除本合同，乙方应当全部返还甲方已付的预付款并赔偿甲方因此而遭受的全部损失。</w:t>
      </w:r>
    </w:p>
    <w:p w14:paraId="1B487F58">
      <w:pPr>
        <w:pStyle w:val="2"/>
        <w:numPr>
          <w:ilvl w:val="0"/>
          <w:numId w:val="1"/>
        </w:numPr>
        <w:spacing w:before="120" w:after="120"/>
        <w:rPr>
          <w:szCs w:val="28"/>
          <w:lang w:eastAsia="zh-CN"/>
        </w:rPr>
      </w:pPr>
      <w:bookmarkStart w:id="24" w:name="_Toc25916"/>
      <w:r>
        <w:rPr>
          <w:szCs w:val="28"/>
          <w:lang w:eastAsia="zh-CN"/>
        </w:rPr>
        <w:t>终止</w:t>
      </w:r>
      <w:bookmarkEnd w:id="24"/>
      <w:r>
        <w:rPr>
          <w:rFonts w:hint="eastAsia"/>
          <w:szCs w:val="28"/>
          <w:lang w:eastAsia="zh-CN"/>
        </w:rPr>
        <w:t xml:space="preserve"> </w:t>
      </w:r>
    </w:p>
    <w:p w14:paraId="504AA911">
      <w:pPr>
        <w:pStyle w:val="7"/>
      </w:pPr>
      <w:r>
        <w:t>终止。甲方可提前</w:t>
      </w:r>
      <w:r>
        <w:rPr>
          <w:rFonts w:hint="eastAsia"/>
          <w:lang w:val="en-US" w:eastAsia="zh-CN"/>
        </w:rPr>
        <w:t>30</w:t>
      </w:r>
      <w:r>
        <w:t>个日历日通过向乙方发出书面通知来完全或部分终止本合同。</w:t>
      </w:r>
    </w:p>
    <w:p w14:paraId="02791005">
      <w:pPr>
        <w:pStyle w:val="7"/>
      </w:pPr>
      <w:r>
        <w:t>补偿。如甲方要求终止合同且乙方无过错的，甲方应支付相应的服务费给乙方，但仅限于终止生效日之前乙方已依约实际完成的服务项目的费用，和与乙方为终止服务所作的工作（前提是这些工作事前经甲方批准）直接有关的附加费用：</w:t>
      </w:r>
    </w:p>
    <w:p w14:paraId="61A02B70">
      <w:pPr>
        <w:pStyle w:val="7"/>
        <w:numPr>
          <w:ilvl w:val="0"/>
          <w:numId w:val="7"/>
        </w:numPr>
      </w:pPr>
      <w:r>
        <w:t>对于固定总价合同，体现乙方服务完成比例的固定总价金额比例， 或；</w:t>
      </w:r>
    </w:p>
    <w:p w14:paraId="38EE1E40">
      <w:pPr>
        <w:pStyle w:val="7"/>
        <w:numPr>
          <w:ilvl w:val="0"/>
          <w:numId w:val="7"/>
        </w:numPr>
      </w:pPr>
      <w:r>
        <w:t>对于单位费率和实报实销合同，按乙方在合同终止生效日之前实际发生的正常工时、旅行工时和实报实销费用支付，前提是这些工时和实报实销费用</w:t>
      </w:r>
      <w:r>
        <w:rPr>
          <w:rFonts w:hint="eastAsia"/>
        </w:rPr>
        <w:t>已按约定</w:t>
      </w:r>
      <w:r>
        <w:t>经过甲方确认，和；</w:t>
      </w:r>
    </w:p>
    <w:p w14:paraId="092363CB">
      <w:pPr>
        <w:pStyle w:val="7"/>
        <w:numPr>
          <w:ilvl w:val="0"/>
          <w:numId w:val="7"/>
        </w:numPr>
      </w:pPr>
      <w:r>
        <w:t>对于终止本合同项下服务发生的附加费用，前提是此等费用已获甲方事前批准的、需有工时表、发票或类似文件作依据。</w:t>
      </w:r>
    </w:p>
    <w:p w14:paraId="7D870E25">
      <w:pPr>
        <w:pStyle w:val="7"/>
      </w:pPr>
      <w:r>
        <w:t>甲方有权审计，检验在终止服务情形时乙方已完成工作的实际费用。</w:t>
      </w:r>
    </w:p>
    <w:p w14:paraId="2235721B">
      <w:pPr>
        <w:pStyle w:val="7"/>
      </w:pPr>
      <w:r>
        <w:t>若乙方违约或有其他侵害甲方合同项下权益的行为的，甲方有权发出补救通知，若乙方未执行补救通知或不符合补救要求、期限的，甲方可随时向乙方发出书面通知，完全或部分终止本合同。乙方须在终止服务日期生效时停止该部分服务的工作，同时继续提供未被终止的那部分服务。上述补救通知不是甲方终止合同的必经程序。</w:t>
      </w:r>
    </w:p>
    <w:p w14:paraId="2B386C45">
      <w:pPr>
        <w:pStyle w:val="7"/>
      </w:pPr>
      <w:r>
        <w:rPr>
          <w:rFonts w:hint="eastAsia"/>
        </w:rPr>
        <w:t>若乙方以欺诈等不诚信手段订立合同，甲方有权解除合同且无需支付任何补偿费用，解除合同书面通知自送达乙方之日生效，乙方应返还甲方已支付但乙方尚未履行合同义务的款项并赔偿甲方因此而遭受的实际损失（如乙方缴纳履约保证金/保函，则按第22条款的规定处理）。</w:t>
      </w:r>
    </w:p>
    <w:p w14:paraId="038FA400">
      <w:pPr>
        <w:pStyle w:val="2"/>
        <w:numPr>
          <w:ilvl w:val="0"/>
          <w:numId w:val="1"/>
        </w:numPr>
        <w:spacing w:before="120" w:after="120"/>
        <w:rPr>
          <w:szCs w:val="28"/>
        </w:rPr>
      </w:pPr>
      <w:bookmarkStart w:id="25" w:name="_Toc875"/>
      <w:bookmarkStart w:id="26" w:name="_Toc197087985"/>
      <w:r>
        <w:rPr>
          <w:szCs w:val="28"/>
        </w:rPr>
        <w:t>责任</w:t>
      </w:r>
      <w:bookmarkEnd w:id="25"/>
      <w:bookmarkEnd w:id="26"/>
    </w:p>
    <w:p w14:paraId="7BF9990B">
      <w:pPr>
        <w:pStyle w:val="7"/>
      </w:pPr>
      <w:r>
        <w:t>乙方应保证其雇员本合同有效期间发生的、或与履行本合同相关的任何人身伤害、财产损失等，与甲方无关，所有费用和责任由乙方自行承担。</w:t>
      </w:r>
    </w:p>
    <w:p w14:paraId="7176A74B">
      <w:pPr>
        <w:pStyle w:val="7"/>
      </w:pPr>
      <w:r>
        <w:t>任何一方因违反法律等规定而遭受的任何处罚或其他损失应自行承担，若因此给另一方造成损失的，应当承担赔偿责任。</w:t>
      </w:r>
    </w:p>
    <w:p w14:paraId="666150B4">
      <w:pPr>
        <w:pStyle w:val="7"/>
      </w:pPr>
      <w:r>
        <w:t>在合同有效期间，任何一方的过错造成另一方或第三方人身伤害或财产损失的，该过错方应自行承担法律责任。</w:t>
      </w:r>
    </w:p>
    <w:p w14:paraId="4885FC05">
      <w:pPr>
        <w:pStyle w:val="7"/>
      </w:pPr>
      <w:r>
        <w:rPr>
          <w:rFonts w:hint="eastAsia"/>
        </w:rPr>
        <w:t>对于需要移送至甲方所属区域外进行维修、维护、预制等甲方的设备、设施、配件、材料（具体以甲方批准的出门单为准）等，自交付乙方起至服务完成后交付甲方过程中（包括但不限于运输、维修、保管等）的一切责任（包括但不限于安全责任、保全责任、对其他方损害的赔偿责任等）均由乙方完全承担。若发生损坏、灭失等情况，乙方应赔偿因此给甲方造成的所有损失，若因上述情况，致使甲方受到政府的处罚或向第三方进行赔偿，该损失应由乙方承担。</w:t>
      </w:r>
    </w:p>
    <w:p w14:paraId="7200292A">
      <w:pPr>
        <w:pStyle w:val="2"/>
        <w:numPr>
          <w:ilvl w:val="0"/>
          <w:numId w:val="1"/>
        </w:numPr>
        <w:spacing w:before="120" w:after="120"/>
      </w:pPr>
      <w:bookmarkStart w:id="27" w:name="_Hlt109810320"/>
      <w:bookmarkEnd w:id="27"/>
      <w:bookmarkStart w:id="28" w:name="_Toc13292878"/>
      <w:bookmarkStart w:id="29" w:name="_Toc12102"/>
      <w:bookmarkStart w:id="30" w:name="_Toc442859445"/>
      <w:r>
        <w:t>文件和发明的所有权</w:t>
      </w:r>
      <w:bookmarkEnd w:id="28"/>
      <w:bookmarkEnd w:id="29"/>
      <w:bookmarkEnd w:id="30"/>
    </w:p>
    <w:p w14:paraId="045AE40C">
      <w:pPr>
        <w:pStyle w:val="7"/>
        <w:rPr>
          <w:b/>
        </w:rPr>
      </w:pPr>
      <w:r>
        <w:rPr>
          <w:b/>
        </w:rPr>
        <w:t>文件所有权。</w:t>
      </w:r>
      <w:r>
        <w:t>乙方同意在履行本合同过程中或与本合同有关的所有草图、设计、图纸、现场记录、申请、采购合同、规范、电脑程序任何形式的数据文件和其它软件，以及其它文件或记录</w:t>
      </w:r>
      <w:r>
        <w:rPr>
          <w:rFonts w:hint="eastAsia"/>
        </w:rPr>
        <w:t>（</w:t>
      </w:r>
      <w:r>
        <w:t>统称文件</w:t>
      </w:r>
      <w:r>
        <w:rPr>
          <w:rFonts w:hint="eastAsia"/>
        </w:rPr>
        <w:t>）</w:t>
      </w:r>
      <w:r>
        <w:t>将只属于甲方所有。乙方须在完成服务时或之前应甲方书面要求提交所有文件的原件及复制件。事前已获甲方书面批准时，乙方可保留一份文件存档副本，乙方应对所有批准存档的文件保密，且保证未经甲方事先书面许可不会直接或间接将上述文件提供给任何其它个人或实体，也不会用作任何其他目的。在此，乙方及其雇员同意转让所有文件的版权给甲方。</w:t>
      </w:r>
    </w:p>
    <w:p w14:paraId="71999EDD">
      <w:pPr>
        <w:pStyle w:val="7"/>
        <w:rPr>
          <w:b/>
        </w:rPr>
      </w:pPr>
      <w:r>
        <w:rPr>
          <w:b/>
        </w:rPr>
        <w:t>发明的所有权。</w:t>
      </w:r>
      <w:r>
        <w:t>乙方及其雇员或乙方分包商的人员，在为甲方服务中作出的或构想出的所有的发明、发现和改进，不论是否拥有专利，以及所有专利权、著作权、包括境内和境外的，应属于甲方所有，并须由上述人员转让给甲方。乙方应使其雇员和分包商及有关人员依据本条款，立即、完全地向甲方交付上述发明、发现和改进，并须与甲方进行必要的配合，以获得专利权和</w:t>
      </w:r>
      <w:r>
        <w:rPr>
          <w:rFonts w:hint="eastAsia"/>
        </w:rPr>
        <w:t>/</w:t>
      </w:r>
      <w:r>
        <w:t>或著作权保护，包括签署发明和专利权转让和签署任何必要的宣誓、声明、专利应用或著作权登记等文件。</w:t>
      </w:r>
    </w:p>
    <w:p w14:paraId="0D5492B9">
      <w:pPr>
        <w:pStyle w:val="2"/>
        <w:numPr>
          <w:ilvl w:val="0"/>
          <w:numId w:val="1"/>
        </w:numPr>
        <w:spacing w:before="120" w:after="120"/>
        <w:jc w:val="left"/>
        <w:rPr>
          <w:szCs w:val="28"/>
        </w:rPr>
      </w:pPr>
      <w:bookmarkStart w:id="31" w:name="_Toc13105"/>
      <w:r>
        <w:rPr>
          <w:szCs w:val="28"/>
        </w:rPr>
        <w:t>司法管辖和争议解决</w:t>
      </w:r>
      <w:bookmarkEnd w:id="31"/>
    </w:p>
    <w:p w14:paraId="579A8C26">
      <w:pPr>
        <w:pStyle w:val="7"/>
        <w:rPr>
          <w:b/>
        </w:rPr>
      </w:pPr>
      <w:r>
        <w:rPr>
          <w:b/>
        </w:rPr>
        <w:t>司法管辖。</w:t>
      </w:r>
      <w:r>
        <w:t>本合同应受中华人民共和国法律管辖，并根据中华人民共和国法律法规进行解释。</w:t>
      </w:r>
    </w:p>
    <w:p w14:paraId="0079BD8C">
      <w:pPr>
        <w:pStyle w:val="7"/>
      </w:pPr>
      <w:r>
        <w:rPr>
          <w:rFonts w:hint="eastAsia"/>
          <w:b/>
        </w:rPr>
        <w:t>争议解决。</w:t>
      </w:r>
      <w:r>
        <w:rPr>
          <w:rFonts w:hint="eastAsia"/>
        </w:rPr>
        <w:t>任何由本合同引起的或与本合同有关的争议，应在可能情况下由双方通过友好协商解决。如未能通过协商解决争议，本合同之任何一方可把该争议提交位</w:t>
      </w:r>
      <w:r>
        <w:rPr>
          <w:rFonts w:hint="eastAsia"/>
          <w:u w:val="single"/>
        </w:rPr>
        <w:t>于厦门市的厦门</w:t>
      </w:r>
      <w:r>
        <w:rPr>
          <w:rFonts w:hint="eastAsia"/>
        </w:rPr>
        <w:t>仲裁委员会，根据该会当时有效的规则进行仲裁。仲裁裁决为终局决定并对甲乙双方均具有约束力，各方同意接受仲裁裁决约束并按裁决行事。仲裁的合理费用（包括但不限于仲裁费、律师费、保全申请费、保全保险费等）按照仲裁的裁决内容办理。</w:t>
      </w:r>
    </w:p>
    <w:p w14:paraId="4A768DED">
      <w:pPr>
        <w:pStyle w:val="7"/>
      </w:pPr>
      <w:r>
        <w:rPr>
          <w:rFonts w:hint="eastAsia"/>
        </w:rPr>
        <w:t>提交仲裁的争议不应影响双方履行本合同项下的与争议无关的权利和义务。</w:t>
      </w:r>
    </w:p>
    <w:p w14:paraId="728C9DB2">
      <w:pPr>
        <w:pStyle w:val="2"/>
        <w:numPr>
          <w:ilvl w:val="0"/>
          <w:numId w:val="1"/>
        </w:numPr>
        <w:spacing w:before="120" w:after="120"/>
        <w:jc w:val="left"/>
        <w:rPr>
          <w:szCs w:val="28"/>
          <w:lang w:eastAsia="zh-CN"/>
        </w:rPr>
      </w:pPr>
      <w:bookmarkStart w:id="32" w:name="_Toc239"/>
      <w:r>
        <w:rPr>
          <w:szCs w:val="28"/>
          <w:lang w:eastAsia="zh-CN"/>
        </w:rPr>
        <w:t>独立乙方</w:t>
      </w:r>
      <w:bookmarkEnd w:id="32"/>
      <w:r>
        <w:rPr>
          <w:rFonts w:hint="eastAsia"/>
          <w:szCs w:val="28"/>
          <w:lang w:eastAsia="zh-CN"/>
        </w:rPr>
        <w:t xml:space="preserve"> </w:t>
      </w:r>
    </w:p>
    <w:p w14:paraId="564CD5FD">
      <w:pPr>
        <w:pStyle w:val="7"/>
      </w:pPr>
      <w:r>
        <w:rPr>
          <w:rFonts w:hint="eastAsia"/>
        </w:rPr>
        <w:t>乙方在此声明乙方系独立乙方，本合同包含的任何事项均不应被解释为与甲方构成任何其它关系，也不应被解释为在甲方与乙方的雇员之间建立任何关系。</w:t>
      </w:r>
    </w:p>
    <w:p w14:paraId="4F3AE6FB">
      <w:pPr>
        <w:pStyle w:val="7"/>
      </w:pPr>
      <w:r>
        <w:rPr>
          <w:rFonts w:hint="eastAsia"/>
        </w:rPr>
        <w:t>乙方拥有独立的权利和义务雇佣、解雇或控制其雇员，乙方及其任何雇员均不是或均不应被视为是甲方的雇员。</w:t>
      </w:r>
      <w:r>
        <w:t>乙方同意作为其代理人、顾问和分包商的委托人接受全部责任。</w:t>
      </w:r>
    </w:p>
    <w:p w14:paraId="57B16448">
      <w:pPr>
        <w:pStyle w:val="2"/>
        <w:numPr>
          <w:ilvl w:val="0"/>
          <w:numId w:val="1"/>
        </w:numPr>
        <w:spacing w:before="120" w:after="120"/>
      </w:pPr>
      <w:bookmarkStart w:id="33" w:name="_Toc13292877"/>
      <w:bookmarkStart w:id="34" w:name="_Toc442859446"/>
      <w:bookmarkStart w:id="35" w:name="_Toc31594"/>
      <w:r>
        <w:t>资料保密</w:t>
      </w:r>
      <w:bookmarkEnd w:id="33"/>
      <w:bookmarkEnd w:id="34"/>
      <w:bookmarkEnd w:id="35"/>
    </w:p>
    <w:p w14:paraId="0E9636A6">
      <w:pPr>
        <w:pStyle w:val="7"/>
      </w:pPr>
      <w:r>
        <w:rPr>
          <w:rFonts w:hint="eastAsia"/>
          <w:b/>
        </w:rPr>
        <w:t>乙方的保密义务。</w:t>
      </w:r>
      <w:r>
        <w:rPr>
          <w:rFonts w:hint="eastAsia"/>
        </w:rPr>
        <w:t>乙方应对甲方直接或间接提供给乙方、或由乙方基于合同进行服务而从甲方获取的所有商业和技术资料均应作为保密资料，乙方应承担保密责任，不得对外披露、使用于除履行本合同之外的目的。</w:t>
      </w:r>
    </w:p>
    <w:p w14:paraId="5696EEED">
      <w:pPr>
        <w:pStyle w:val="7"/>
      </w:pPr>
      <w:r>
        <w:rPr>
          <w:rFonts w:hint="eastAsia"/>
          <w:b/>
        </w:rPr>
        <w:t>资料返还。</w:t>
      </w:r>
      <w:r>
        <w:rPr>
          <w:rFonts w:hint="eastAsia"/>
        </w:rPr>
        <w:t>合同终止或解除后，乙方应立即内向甲方返还或者销毁所有上述含甲方保密信息的资料。乙方应在合同终止或解除后</w:t>
      </w:r>
      <w:r>
        <w:rPr>
          <w:rFonts w:hint="eastAsia"/>
          <w:u w:val="single"/>
          <w:lang w:val="en-US" w:eastAsia="zh-CN"/>
        </w:rPr>
        <w:t>7</w:t>
      </w:r>
      <w:r>
        <w:rPr>
          <w:rFonts w:hint="eastAsia"/>
        </w:rPr>
        <w:t>日内向甲方书面确认已销毁或返还所有含甲方保密信息的资料。</w:t>
      </w:r>
    </w:p>
    <w:p w14:paraId="48CC0FDB">
      <w:pPr>
        <w:pStyle w:val="2"/>
        <w:numPr>
          <w:ilvl w:val="0"/>
          <w:numId w:val="1"/>
        </w:numPr>
        <w:spacing w:before="120" w:after="120"/>
      </w:pPr>
      <w:bookmarkStart w:id="36" w:name="_Toc20552"/>
      <w:r>
        <w:t>保险</w:t>
      </w:r>
      <w:bookmarkEnd w:id="36"/>
    </w:p>
    <w:p w14:paraId="54D4904C">
      <w:pPr>
        <w:pStyle w:val="7"/>
      </w:pPr>
      <w:r>
        <w:t>乙方应根据相关法律、规范及本合同的要求，在本合同期间及任何展延期内，</w:t>
      </w:r>
      <w:r>
        <w:rPr>
          <w:rFonts w:hint="eastAsia"/>
        </w:rPr>
        <w:t>按A购买并保持保险：</w:t>
      </w:r>
    </w:p>
    <w:p w14:paraId="6A98CDA6">
      <w:pPr>
        <w:pStyle w:val="27"/>
        <w:numPr>
          <w:ilvl w:val="0"/>
          <w:numId w:val="8"/>
        </w:numPr>
        <w:ind w:left="480" w:leftChars="200" w:firstLineChars="0"/>
        <w:rPr>
          <w:rFonts w:ascii="Arial" w:hAnsi="Arial" w:cs="Arial"/>
          <w:i/>
          <w:szCs w:val="24"/>
          <w:lang w:eastAsia="zh-CN"/>
        </w:rPr>
      </w:pPr>
      <w:r>
        <w:rPr>
          <w:rFonts w:ascii="Arial" w:hAnsi="Arial" w:cs="Arial"/>
          <w:szCs w:val="24"/>
          <w:lang w:eastAsia="zh-CN"/>
        </w:rPr>
        <w:t>适用于</w:t>
      </w:r>
      <w:r>
        <w:rPr>
          <w:rFonts w:hint="eastAsia" w:cs="Arial" w:asciiTheme="minorEastAsia" w:hAnsiTheme="minorEastAsia" w:eastAsiaTheme="minorEastAsia"/>
          <w:szCs w:val="24"/>
          <w:lang w:eastAsia="zh-CN"/>
        </w:rPr>
        <w:t>“</w:t>
      </w:r>
      <w:r>
        <w:rPr>
          <w:rFonts w:cs="Arial" w:asciiTheme="minorEastAsia" w:hAnsiTheme="minorEastAsia" w:eastAsiaTheme="minorEastAsia"/>
          <w:szCs w:val="24"/>
          <w:lang w:eastAsia="zh-CN"/>
        </w:rPr>
        <w:t>工程建设、现场维保和设备检测及所有现场作业”</w:t>
      </w:r>
      <w:r>
        <w:rPr>
          <w:rFonts w:ascii="Arial" w:hAnsi="宋体" w:cs="Arial"/>
          <w:szCs w:val="24"/>
          <w:lang w:eastAsia="zh-CN"/>
        </w:rPr>
        <w:t>的服务</w:t>
      </w:r>
      <w:r>
        <w:rPr>
          <w:rFonts w:hint="eastAsia" w:ascii="Arial" w:hAnsi="宋体" w:cs="Arial"/>
          <w:szCs w:val="24"/>
          <w:lang w:eastAsia="zh-CN"/>
        </w:rPr>
        <w:t>合同，该保险应包括但不限于以下最低要求：</w:t>
      </w:r>
      <w:r>
        <w:rPr>
          <w:rFonts w:ascii="Arial" w:hAnsi="Arial" w:cs="Arial"/>
          <w:i/>
          <w:szCs w:val="24"/>
          <w:lang w:eastAsia="zh-CN"/>
        </w:rPr>
        <w:tab/>
      </w:r>
    </w:p>
    <w:p w14:paraId="4EC50A26">
      <w:pPr>
        <w:pStyle w:val="27"/>
        <w:numPr>
          <w:ilvl w:val="0"/>
          <w:numId w:val="9"/>
        </w:numPr>
        <w:ind w:firstLineChars="0"/>
        <w:rPr>
          <w:rFonts w:ascii="Arial" w:hAnsi="Arial" w:cs="Arial"/>
          <w:szCs w:val="24"/>
          <w:lang w:eastAsia="zh-CN"/>
        </w:rPr>
      </w:pPr>
      <w:r>
        <w:rPr>
          <w:lang w:eastAsia="zh-CN"/>
        </w:rPr>
        <w:t>财产一切险：在乙方提供服务时需使用自身或租用财产时，应针对乙方拥有或租用的财产购买，按重置价值投保；</w:t>
      </w:r>
    </w:p>
    <w:p w14:paraId="372E365F">
      <w:pPr>
        <w:pStyle w:val="27"/>
        <w:numPr>
          <w:ilvl w:val="0"/>
          <w:numId w:val="9"/>
        </w:numPr>
        <w:ind w:firstLineChars="0"/>
        <w:rPr>
          <w:rFonts w:ascii="Arial" w:hAnsi="Arial" w:cs="Arial"/>
          <w:szCs w:val="24"/>
          <w:lang w:eastAsia="zh-CN"/>
        </w:rPr>
      </w:pPr>
      <w:r>
        <w:rPr>
          <w:rFonts w:hint="eastAsia" w:ascii="Arial" w:hAnsi="Arial" w:cs="Arial"/>
          <w:szCs w:val="24"/>
          <w:lang w:eastAsia="zh-CN"/>
        </w:rPr>
        <w:t>安全生产责任险（扩展责任形式）：</w:t>
      </w:r>
    </w:p>
    <w:p w14:paraId="1B66FA85">
      <w:pPr>
        <w:pStyle w:val="27"/>
        <w:numPr>
          <w:ilvl w:val="0"/>
          <w:numId w:val="10"/>
        </w:numPr>
        <w:ind w:firstLineChars="0"/>
        <w:rPr>
          <w:rFonts w:ascii="Arial" w:hAnsi="Arial" w:cs="Arial"/>
          <w:szCs w:val="24"/>
          <w:lang w:eastAsia="zh-CN"/>
        </w:rPr>
      </w:pPr>
      <w:r>
        <w:rPr>
          <w:rFonts w:hint="eastAsia" w:ascii="Arial" w:hAnsi="Arial" w:cs="Arial"/>
          <w:szCs w:val="24"/>
          <w:lang w:eastAsia="zh-CN"/>
        </w:rPr>
        <w:t>保险责任应包含：①为甲方服务的现场从业人员（含劳务派遣人员）人身伤残和死亡赔偿；②第三者人身伤残、死亡及财产损失赔偿；③补充雇主责任赔偿；④事故抢险救援、医疗救护、事故鉴定、法律诉讼等费用赔偿。</w:t>
      </w:r>
    </w:p>
    <w:p w14:paraId="4C5DB720">
      <w:pPr>
        <w:pStyle w:val="27"/>
        <w:numPr>
          <w:ilvl w:val="0"/>
          <w:numId w:val="10"/>
        </w:numPr>
        <w:ind w:firstLineChars="0"/>
        <w:rPr>
          <w:rFonts w:ascii="Arial" w:hAnsi="Arial" w:cs="Arial"/>
          <w:szCs w:val="24"/>
          <w:lang w:eastAsia="zh-CN"/>
        </w:rPr>
      </w:pPr>
      <w:r>
        <w:rPr>
          <w:rFonts w:hint="eastAsia" w:ascii="Arial" w:hAnsi="Arial" w:cs="Arial"/>
          <w:szCs w:val="24"/>
          <w:lang w:eastAsia="zh-CN"/>
        </w:rPr>
        <w:t>赔偿限额：</w:t>
      </w:r>
    </w:p>
    <w:p w14:paraId="2417AA5B">
      <w:pPr>
        <w:pStyle w:val="27"/>
        <w:numPr>
          <w:ilvl w:val="0"/>
          <w:numId w:val="11"/>
        </w:numPr>
        <w:ind w:firstLineChars="0"/>
        <w:rPr>
          <w:szCs w:val="24"/>
          <w:lang w:eastAsia="zh-CN"/>
        </w:rPr>
      </w:pPr>
      <w:r>
        <w:rPr>
          <w:rFonts w:hint="eastAsia" w:ascii="Arial" w:hAnsi="Arial" w:cs="Arial"/>
          <w:szCs w:val="24"/>
          <w:lang w:eastAsia="zh-CN"/>
        </w:rPr>
        <w:t>从业人员（含劳务派遣人员）及第三者人身的伤残和死亡：每人每次事故赔偿限额不低于</w:t>
      </w:r>
      <w:r>
        <w:rPr>
          <w:szCs w:val="24"/>
          <w:lang w:eastAsia="zh-CN"/>
        </w:rPr>
        <w:t>50</w:t>
      </w:r>
      <w:r>
        <w:rPr>
          <w:rFonts w:hint="eastAsia" w:ascii="Arial" w:hAnsi="Arial" w:cs="Arial"/>
          <w:szCs w:val="24"/>
          <w:lang w:eastAsia="zh-CN"/>
        </w:rPr>
        <w:t>万元且每次事故赔偿限额不低于</w:t>
      </w:r>
      <w:r>
        <w:rPr>
          <w:szCs w:val="24"/>
          <w:lang w:eastAsia="zh-CN"/>
        </w:rPr>
        <w:t>700</w:t>
      </w:r>
      <w:r>
        <w:rPr>
          <w:rFonts w:hint="eastAsia" w:ascii="Arial" w:hAnsi="Arial" w:cs="Arial"/>
          <w:szCs w:val="24"/>
          <w:lang w:eastAsia="zh-CN"/>
        </w:rPr>
        <w:t>万元；</w:t>
      </w:r>
    </w:p>
    <w:p w14:paraId="2AC024F6">
      <w:pPr>
        <w:pStyle w:val="27"/>
        <w:numPr>
          <w:ilvl w:val="0"/>
          <w:numId w:val="11"/>
        </w:numPr>
        <w:ind w:firstLineChars="0"/>
        <w:rPr>
          <w:rFonts w:ascii="Arial" w:hAnsi="Arial" w:cs="Arial"/>
          <w:szCs w:val="24"/>
          <w:lang w:eastAsia="zh-CN"/>
        </w:rPr>
      </w:pPr>
      <w:r>
        <w:rPr>
          <w:rFonts w:hint="eastAsia" w:ascii="Arial" w:hAnsi="Arial" w:cs="Arial"/>
          <w:szCs w:val="24"/>
          <w:lang w:eastAsia="zh-CN"/>
        </w:rPr>
        <w:t>第三者财产损失按①执行：①每次事故赔偿限额不低于100万元；②每次事故赔偿限额不低于700万元；</w:t>
      </w:r>
    </w:p>
    <w:p w14:paraId="351B65A9">
      <w:pPr>
        <w:pStyle w:val="27"/>
        <w:numPr>
          <w:ilvl w:val="0"/>
          <w:numId w:val="11"/>
        </w:numPr>
        <w:ind w:firstLineChars="0"/>
        <w:rPr>
          <w:rFonts w:ascii="Arial" w:hAnsi="Arial" w:cs="Arial"/>
          <w:szCs w:val="24"/>
          <w:lang w:eastAsia="zh-CN"/>
        </w:rPr>
      </w:pPr>
      <w:r>
        <w:rPr>
          <w:rFonts w:hint="eastAsia" w:ascii="Arial" w:hAnsi="Arial" w:cs="Arial"/>
          <w:szCs w:val="24"/>
          <w:lang w:eastAsia="zh-CN"/>
        </w:rPr>
        <w:t>事故抢险救援、医疗救护、鉴定、法律诉讼等责任限额参照服务所在地法规要求投保。</w:t>
      </w:r>
    </w:p>
    <w:p w14:paraId="1883DDF8">
      <w:pPr>
        <w:pStyle w:val="27"/>
        <w:numPr>
          <w:ilvl w:val="0"/>
          <w:numId w:val="12"/>
        </w:numPr>
        <w:ind w:firstLineChars="0"/>
        <w:rPr>
          <w:lang w:eastAsia="zh-CN"/>
        </w:rPr>
      </w:pPr>
      <w:r>
        <w:rPr>
          <w:rFonts w:hint="eastAsia" w:ascii="Arial" w:hAnsi="Arial" w:cs="Arial"/>
          <w:szCs w:val="24"/>
          <w:lang w:eastAsia="zh-CN"/>
        </w:rPr>
        <w:t>将甲方加为附加被保人，增加交叉责任、火灾和爆炸责任扩展条款；</w:t>
      </w:r>
      <w:r>
        <w:rPr>
          <w:rFonts w:hint="eastAsia"/>
          <w:lang w:eastAsia="zh-CN"/>
        </w:rPr>
        <w:t>保险区域范围应覆盖服务范围。</w:t>
      </w:r>
    </w:p>
    <w:p w14:paraId="65D9006B">
      <w:pPr>
        <w:pStyle w:val="27"/>
        <w:numPr>
          <w:ilvl w:val="0"/>
          <w:numId w:val="12"/>
        </w:numPr>
        <w:ind w:firstLineChars="0"/>
        <w:rPr>
          <w:lang w:eastAsia="zh-CN"/>
        </w:rPr>
      </w:pPr>
      <w:r>
        <w:rPr>
          <w:rFonts w:hint="eastAsia"/>
          <w:lang w:eastAsia="zh-CN"/>
        </w:rPr>
        <w:t>保单需约定不以“</w:t>
      </w:r>
      <w:r>
        <w:rPr>
          <w:rFonts w:hint="eastAsia"/>
          <w:spacing w:val="-2"/>
          <w:szCs w:val="21"/>
          <w:lang w:eastAsia="zh-CN"/>
        </w:rPr>
        <w:t>提供安全生产监督管理部门出具的事故证明”</w:t>
      </w:r>
      <w:r>
        <w:rPr>
          <w:rFonts w:hint="eastAsia"/>
          <w:lang w:eastAsia="zh-CN"/>
        </w:rPr>
        <w:t>为赔偿前提条件，若不能满足该条件，需在满足服务所在地监管部门要求投保的安全生产责任险基础上，补充投保独立的雇主责任险和公众责任险，对应保险责任和赔偿限额不低于上述条款约定，公众责任险同时满足上一条款的要求。</w:t>
      </w:r>
    </w:p>
    <w:p w14:paraId="43F067C9">
      <w:pPr>
        <w:pStyle w:val="27"/>
        <w:numPr>
          <w:ilvl w:val="0"/>
          <w:numId w:val="8"/>
        </w:numPr>
        <w:ind w:firstLineChars="0"/>
        <w:rPr>
          <w:rFonts w:ascii="Arial" w:hAnsi="Arial" w:cs="Arial"/>
          <w:szCs w:val="24"/>
          <w:lang w:eastAsia="zh-CN"/>
        </w:rPr>
      </w:pPr>
      <w:r>
        <w:rPr>
          <w:rFonts w:hint="eastAsia" w:ascii="Arial" w:hAnsi="Arial" w:cs="Arial"/>
          <w:szCs w:val="24"/>
          <w:lang w:eastAsia="zh-CN"/>
        </w:rPr>
        <w:t>适用于其他专业技术服务合同（无现场作业），该保险应包括但不限于以下最低要求：</w:t>
      </w:r>
    </w:p>
    <w:p w14:paraId="09BC0FB3">
      <w:pPr>
        <w:pStyle w:val="27"/>
        <w:numPr>
          <w:ilvl w:val="0"/>
          <w:numId w:val="13"/>
        </w:numPr>
        <w:ind w:firstLineChars="0"/>
        <w:rPr>
          <w:szCs w:val="24"/>
          <w:lang w:eastAsia="zh-CN"/>
        </w:rPr>
      </w:pPr>
      <w:r>
        <w:rPr>
          <w:rFonts w:hint="eastAsia"/>
          <w:szCs w:val="24"/>
          <w:lang w:eastAsia="zh-CN"/>
        </w:rPr>
        <w:t>人身意外保险或雇主责任险：针对乙方员工在服务过程中遭受的人身意外伤害，每人每次事故责任限额不低于人民币30万元。</w:t>
      </w:r>
    </w:p>
    <w:p w14:paraId="28C20F49">
      <w:pPr>
        <w:pStyle w:val="27"/>
        <w:numPr>
          <w:ilvl w:val="0"/>
          <w:numId w:val="13"/>
        </w:numPr>
        <w:ind w:firstLineChars="0"/>
        <w:rPr>
          <w:szCs w:val="24"/>
          <w:lang w:eastAsia="zh-CN"/>
        </w:rPr>
      </w:pPr>
      <w:r>
        <w:rPr>
          <w:rFonts w:hint="eastAsia"/>
          <w:szCs w:val="24"/>
          <w:lang w:eastAsia="zh-CN"/>
        </w:rPr>
        <w:t>职业责任保险：保单每次事故赔偿责任不低于700万，针对第三方人身伤亡每人每次事故不低于人民币50万元。</w:t>
      </w:r>
    </w:p>
    <w:p w14:paraId="25121192">
      <w:pPr>
        <w:pStyle w:val="7"/>
      </w:pPr>
      <w:r>
        <w:rPr>
          <w:rFonts w:hint="eastAsia"/>
        </w:rPr>
        <w:t>其他依照中国法律和规定应投保的保险，包括但不仅限于工伤保险、机动车辆强制险（如有）等。</w:t>
      </w:r>
    </w:p>
    <w:p w14:paraId="5C532763">
      <w:pPr>
        <w:pStyle w:val="7"/>
      </w:pPr>
      <w:r>
        <w:rPr>
          <w:rFonts w:hint="eastAsia"/>
        </w:rPr>
        <w:t>乙方购买的上述保险，不应理解为可减少、影响或替代承包商在本合同项下的责任。</w:t>
      </w:r>
    </w:p>
    <w:p w14:paraId="62062F27">
      <w:pPr>
        <w:pStyle w:val="7"/>
      </w:pPr>
      <w:r>
        <w:rPr>
          <w:rFonts w:hint="eastAsia"/>
        </w:rPr>
        <w:t>乙方应投保的所有保险应作为底层保险，并不得向甲方购买的保险分摊责任。</w:t>
      </w:r>
    </w:p>
    <w:p w14:paraId="12780FCC">
      <w:pPr>
        <w:pStyle w:val="7"/>
      </w:pPr>
      <w:r>
        <w:rPr>
          <w:rFonts w:hint="eastAsia"/>
        </w:rPr>
        <w:t>在甲方要求时，乙方应允许甲方检查乙方按照本合同要求投保的保单原件。如果乙方由于疏忽或其它原因未能或拒绝购买和保持上述保险；或如果保险被撤销或终止；或保险责任范围实质上减小，其造成的一切损失和后果由乙方承担。</w:t>
      </w:r>
    </w:p>
    <w:p w14:paraId="38F28CD3">
      <w:pPr>
        <w:pStyle w:val="7"/>
      </w:pPr>
      <w:r>
        <w:rPr>
          <w:rFonts w:hint="eastAsia"/>
        </w:rPr>
        <w:t>乙方应确认上述约定保险的保险人放弃对甲方（包括其关联公司、代理、董事和员工）的代位追偿权。</w:t>
      </w:r>
    </w:p>
    <w:p w14:paraId="68417695">
      <w:pPr>
        <w:pStyle w:val="2"/>
        <w:numPr>
          <w:ilvl w:val="0"/>
          <w:numId w:val="1"/>
        </w:numPr>
        <w:spacing w:before="120" w:after="120"/>
        <w:rPr>
          <w:szCs w:val="28"/>
          <w:lang w:eastAsia="zh-CN"/>
        </w:rPr>
      </w:pPr>
      <w:bookmarkStart w:id="37" w:name="_Toc30317"/>
      <w:r>
        <w:rPr>
          <w:szCs w:val="28"/>
          <w:lang w:eastAsia="zh-CN"/>
        </w:rPr>
        <w:t>商业操守</w:t>
      </w:r>
      <w:bookmarkEnd w:id="37"/>
    </w:p>
    <w:p w14:paraId="2607A186">
      <w:pPr>
        <w:pStyle w:val="7"/>
        <w:rPr>
          <w:b/>
        </w:rPr>
      </w:pPr>
      <w:r>
        <w:rPr>
          <w:b/>
        </w:rPr>
        <w:t>利益冲突政策。</w:t>
      </w:r>
      <w:r>
        <w:t>双方在本合同期限内，应尽合理的谨慎和努力，以防止任何会造成与另一方的利益发生冲突的行动或情况。这项义务应适用于一方的雇员和代理人与另一方的雇员和其家人、另一方的代表和第三方之间的关系的活动。双方遵守这项规定应包括，但不限于，防止双方的雇员为了影响个人作出违反另一方利益的行为之目的而作出、接受、提供或给予实质性的礼物、娱乐、款项、贷款以及其它报酬。</w:t>
      </w:r>
    </w:p>
    <w:p w14:paraId="0FEC5A69">
      <w:pPr>
        <w:pStyle w:val="7"/>
        <w:rPr>
          <w:b/>
        </w:rPr>
      </w:pPr>
      <w:r>
        <w:rPr>
          <w:b/>
        </w:rPr>
        <w:t>记录的准确性。</w:t>
      </w:r>
      <w:r>
        <w:t>乙方保证所有提供给甲方及其代表的财务结算、账单和报告都合适地反映了所有与为甲方处理的交易和活动有关的事实，其数据可以被甲方及其代表视为完整和准确</w:t>
      </w:r>
      <w:r>
        <w:rPr>
          <w:rFonts w:hint="eastAsia"/>
        </w:rPr>
        <w:t>且可以</w:t>
      </w:r>
      <w:r>
        <w:t>在任何进一步的记录和报告中引用。</w:t>
      </w:r>
    </w:p>
    <w:p w14:paraId="003DB8C4">
      <w:pPr>
        <w:pStyle w:val="7"/>
        <w:rPr>
          <w:b/>
        </w:rPr>
      </w:pPr>
      <w:r>
        <w:rPr>
          <w:b/>
        </w:rPr>
        <w:t>遵守法律。</w:t>
      </w:r>
      <w:r>
        <w:t>不论本合同有否</w:t>
      </w:r>
      <w:r>
        <w:rPr>
          <w:rFonts w:hint="eastAsia"/>
        </w:rPr>
        <w:t>相反约定</w:t>
      </w:r>
      <w:r>
        <w:t>，乙方应遵守一切现行的法律和政府规定。甲方并无授权或期待乙方采取任何以甲方名义或代表甲方进行的、会触犯现行的法律和政府规定的行动。</w:t>
      </w:r>
    </w:p>
    <w:p w14:paraId="2B498CFB">
      <w:pPr>
        <w:pStyle w:val="7"/>
        <w:rPr>
          <w:b/>
        </w:rPr>
      </w:pPr>
      <w:r>
        <w:rPr>
          <w:b/>
        </w:rPr>
        <w:t>通告及改正。</w:t>
      </w:r>
      <w:r>
        <w:t>乙方同意，一旦发现任何它未能遵守本条款的情况会立即通知甲方。若乙方发现或被指出它开出的发票有错误或差异，乙方应与甲方一起审阅这些错误或差异的性质，双方取得共识后，乙方应立即采取行动改正及调整有关的发票或退回多收的款项。</w:t>
      </w:r>
    </w:p>
    <w:p w14:paraId="0F81FA2A">
      <w:pPr>
        <w:pStyle w:val="7"/>
      </w:pPr>
      <w:r>
        <w:rPr>
          <w:b/>
        </w:rPr>
        <w:t>无非法支付</w:t>
      </w:r>
      <w:r>
        <w:t>。乙方不得直接或间接地向与本合同有关系的政府官员支付金钱或提供有价值的物品。所有甲方向乙方的付款均由乙方收归自己，不允许乙方，直接或间接地向任何政府官员、政党或该政党官员、政治机构的候选人、或任何政府或其机构的任何官员、负责人、雇员或其他代理人或代表，提供、给予、或承诺此等支付。</w:t>
      </w:r>
    </w:p>
    <w:p w14:paraId="1E60707E">
      <w:pPr>
        <w:pStyle w:val="2"/>
        <w:numPr>
          <w:ilvl w:val="0"/>
          <w:numId w:val="1"/>
        </w:numPr>
        <w:spacing w:before="120" w:after="120"/>
        <w:rPr>
          <w:szCs w:val="28"/>
          <w:lang w:eastAsia="zh-CN"/>
        </w:rPr>
      </w:pPr>
      <w:bookmarkStart w:id="38" w:name="_Toc180"/>
      <w:r>
        <w:rPr>
          <w:szCs w:val="28"/>
          <w:lang w:eastAsia="zh-CN"/>
        </w:rPr>
        <w:t>合同的转让、分包</w:t>
      </w:r>
      <w:bookmarkEnd w:id="38"/>
    </w:p>
    <w:p w14:paraId="62E38BCF">
      <w:pPr>
        <w:pStyle w:val="7"/>
      </w:pPr>
      <w:r>
        <w:rPr>
          <w:b/>
        </w:rPr>
        <w:t>转让。</w:t>
      </w:r>
      <w:r>
        <w:t>未经甲方事前书面批准，乙方不能转让本合同的整体或任何部分，而且甲方的批准并无解除乙方对本合同承担的责任；乙方未按照本条款所作的任何转让均是无效的。</w:t>
      </w:r>
    </w:p>
    <w:p w14:paraId="068A6560">
      <w:pPr>
        <w:pStyle w:val="7"/>
      </w:pPr>
      <w:r>
        <w:rPr>
          <w:b/>
        </w:rPr>
        <w:t>分包。</w:t>
      </w:r>
      <w:r>
        <w:t>未经甲方事先书面批准，乙方不应将其在本合同中的义务整体分解分包或部分分包。</w:t>
      </w:r>
      <w:r>
        <w:rPr>
          <w:rFonts w:hint="eastAsia"/>
        </w:rPr>
        <w:t>若甲方同意分包的，</w:t>
      </w:r>
      <w:r>
        <w:t>乙方应以本合同的条款来约束它的每一个分包商，并就分包商的行为对甲方负责，承担连带责任。</w:t>
      </w:r>
    </w:p>
    <w:p w14:paraId="6C901962">
      <w:pPr>
        <w:pStyle w:val="2"/>
        <w:numPr>
          <w:ilvl w:val="0"/>
          <w:numId w:val="1"/>
        </w:numPr>
        <w:spacing w:before="120" w:after="120"/>
        <w:rPr>
          <w:szCs w:val="28"/>
          <w:lang w:eastAsia="zh-CN"/>
        </w:rPr>
      </w:pPr>
      <w:bookmarkStart w:id="39" w:name="_Toc27371"/>
      <w:r>
        <w:rPr>
          <w:szCs w:val="28"/>
          <w:lang w:eastAsia="zh-CN"/>
        </w:rPr>
        <w:t>通知</w:t>
      </w:r>
      <w:bookmarkEnd w:id="39"/>
      <w:r>
        <w:rPr>
          <w:szCs w:val="28"/>
          <w:lang w:eastAsia="zh-CN"/>
        </w:rPr>
        <w:t xml:space="preserve">  </w:t>
      </w:r>
    </w:p>
    <w:p w14:paraId="4625652E">
      <w:pPr>
        <w:pStyle w:val="7"/>
      </w:pPr>
      <w:r>
        <w:t>有关合同的所有通知均应以书面形式作出，或亲自交付，或通过邮局挂号信或特快专递、或通过传真、电子邮件交付。</w:t>
      </w:r>
    </w:p>
    <w:p w14:paraId="08A3F7ED">
      <w:pPr>
        <w:pStyle w:val="7"/>
      </w:pPr>
      <w:r>
        <w:t>若亲自交付，通知一被接收即视为送达；若以邮局挂号信或特快专递送出，以回执上注明的收件日期为送达日期；通知以传真方式送出的，自传真送出的第二个工作日为送达日期，传真送出日期以发送传真的传真机的报告单显示为准；若以电子邮件发送的，以电子邮件进入收件人指定的电子邮件</w:t>
      </w:r>
      <w:r>
        <w:rPr>
          <w:rFonts w:hint="eastAsia"/>
        </w:rPr>
        <w:t>邮箱系统</w:t>
      </w:r>
      <w:r>
        <w:t>视为送达。</w:t>
      </w:r>
    </w:p>
    <w:p w14:paraId="68E81482">
      <w:pPr>
        <w:pStyle w:val="7"/>
      </w:pPr>
      <w:r>
        <w:t>甲方的通知地址为：</w:t>
      </w:r>
      <w:r>
        <w:rPr>
          <w:rFonts w:hint="eastAsia"/>
        </w:rPr>
        <w:t>福建省泉州市泉港区福建联合石油化工有限公司人力资源与行政部</w:t>
      </w:r>
    </w:p>
    <w:p w14:paraId="146A9BAE">
      <w:pPr>
        <w:pStyle w:val="7"/>
        <w:numPr>
          <w:ilvl w:val="0"/>
          <w:numId w:val="0"/>
        </w:numPr>
        <w:ind w:left="240"/>
        <w:rPr>
          <w:rFonts w:hint="default" w:eastAsia="宋体"/>
          <w:lang w:val="en-US" w:eastAsia="zh-CN"/>
        </w:rPr>
      </w:pPr>
      <w:r>
        <w:t>邮编</w:t>
      </w:r>
      <w:r>
        <w:rPr>
          <w:rFonts w:hint="eastAsia"/>
        </w:rPr>
        <w:t>：</w:t>
      </w:r>
    </w:p>
    <w:p w14:paraId="2D95E92B">
      <w:pPr>
        <w:pStyle w:val="7"/>
        <w:numPr>
          <w:ilvl w:val="0"/>
          <w:numId w:val="0"/>
        </w:numPr>
        <w:ind w:left="240"/>
      </w:pPr>
      <w:r>
        <w:t>传真：</w:t>
      </w:r>
    </w:p>
    <w:p w14:paraId="10B32575">
      <w:pPr>
        <w:pStyle w:val="7"/>
        <w:numPr>
          <w:ilvl w:val="0"/>
          <w:numId w:val="0"/>
        </w:numPr>
        <w:ind w:left="240"/>
      </w:pPr>
      <w:r>
        <w:t>电子邮箱：</w:t>
      </w:r>
      <w:r>
        <w:rPr>
          <w:rFonts w:hint="eastAsia"/>
        </w:rPr>
        <w:t>chenchaopeng</w:t>
      </w:r>
      <w:r>
        <w:t>@fjrep.com</w:t>
      </w:r>
      <w:r>
        <w:rPr>
          <w:rFonts w:hint="eastAsia"/>
        </w:rPr>
        <w:br w:type="textWrapping"/>
      </w:r>
      <w:r>
        <w:t>联系人：陈超鹏</w:t>
      </w:r>
      <w:r>
        <w:rPr>
          <w:rFonts w:hint="eastAsia"/>
        </w:rPr>
        <w:t>0595-87023796</w:t>
      </w:r>
      <w:r>
        <w:t xml:space="preserve"> </w:t>
      </w:r>
    </w:p>
    <w:p w14:paraId="51DCC92D">
      <w:pPr>
        <w:pStyle w:val="7"/>
      </w:pPr>
      <w:r>
        <w:t>乙方的通知地址为：</w:t>
      </w:r>
      <w:r>
        <w:br w:type="textWrapping"/>
      </w:r>
      <w:r>
        <w:t>邮编：</w:t>
      </w:r>
      <w:r>
        <w:br w:type="textWrapping"/>
      </w:r>
      <w:r>
        <w:t>传真：</w:t>
      </w:r>
      <w:r>
        <w:br w:type="textWrapping"/>
      </w:r>
      <w:r>
        <w:t>电子邮箱：</w:t>
      </w:r>
      <w:r>
        <w:rPr>
          <w:rFonts w:hint="eastAsia"/>
        </w:rPr>
        <w:br w:type="textWrapping"/>
      </w:r>
      <w:r>
        <w:t>联系人：</w:t>
      </w:r>
    </w:p>
    <w:p w14:paraId="050985BE">
      <w:pPr>
        <w:pStyle w:val="2"/>
        <w:numPr>
          <w:ilvl w:val="0"/>
          <w:numId w:val="1"/>
        </w:numPr>
        <w:spacing w:before="120" w:after="120"/>
        <w:rPr>
          <w:szCs w:val="28"/>
          <w:lang w:eastAsia="zh-CN"/>
        </w:rPr>
      </w:pPr>
      <w:bookmarkStart w:id="40" w:name="_Toc21390"/>
      <w:r>
        <w:rPr>
          <w:szCs w:val="28"/>
          <w:lang w:eastAsia="zh-CN"/>
        </w:rPr>
        <w:t>酒精和违禁药物的禁止（适用于服务是在甲方的场地内提供）</w:t>
      </w:r>
      <w:bookmarkEnd w:id="40"/>
    </w:p>
    <w:p w14:paraId="7390DCAF">
      <w:pPr>
        <w:pStyle w:val="7"/>
      </w:pPr>
      <w:r>
        <w:t>乙方的雇员、代理人不应在受到酒精或任何受管制药物影响时为甲方进行服务。为甲方进行服务时或在甲方的场地内，乙方及其雇员、代理人不应使用、拥有、分派和销售含酒精饮料、违禁的药物、或管制的非处方药物、毒品用具或滥用合法处方药物。</w:t>
      </w:r>
    </w:p>
    <w:p w14:paraId="7F85D69F">
      <w:pPr>
        <w:pStyle w:val="7"/>
      </w:pPr>
      <w:r>
        <w:t>为甲方进行服务时</w:t>
      </w:r>
      <w:r>
        <w:rPr>
          <w:rFonts w:hint="eastAsia"/>
        </w:rPr>
        <w:t>，</w:t>
      </w:r>
      <w:r>
        <w:t>乙方</w:t>
      </w:r>
      <w:r>
        <w:rPr>
          <w:rFonts w:hint="eastAsia"/>
        </w:rPr>
        <w:t>已</w:t>
      </w:r>
      <w:r>
        <w:t>经采取或要采取它自己的政策确保工作地点无酒精或药物。甲方有权要求乙方提供资料，以确保乙方的政策和程序符合甲方要求。</w:t>
      </w:r>
    </w:p>
    <w:p w14:paraId="2D5E13B5">
      <w:pPr>
        <w:pStyle w:val="7"/>
      </w:pPr>
      <w:r>
        <w:t>乙方一旦怀疑它的雇员为甲方进行服务时使用、拥有酒精和药物，或任何时候发生事故，而使用酒精和药物是事故的一个诱因，应撤回有关的雇员，不得再为甲方提供服务。甲方在任何时间内有理由怀疑乙方雇员使用、拥有酒精和药物时，有权要求乙方撤回有关的雇员，不得为甲方提供服务。在此情形下，只有当乙方出示撤出后即刻进行的酒精和药物测试结果，证明有关的雇员符合本合同要求后，乙方的雇员才会被考虑返回原先的工作；乙方不应使用那些拒不接受任何酒精和药物测试或在酒精和药物测试中呈阳性的雇员为甲方服务。</w:t>
      </w:r>
    </w:p>
    <w:p w14:paraId="58863915">
      <w:pPr>
        <w:pStyle w:val="7"/>
      </w:pPr>
      <w:bookmarkStart w:id="41" w:name="OLE_LINK2"/>
      <w:bookmarkStart w:id="42" w:name="OLE_LINK3"/>
      <w:r>
        <w:rPr>
          <w:rFonts w:hint="eastAsia"/>
        </w:rPr>
        <w:t>甲方有权对在甲方场地提供服务的乙方人员进行酒精和药物测试。本合同生效后</w:t>
      </w:r>
      <w:r>
        <w:rPr>
          <w:rFonts w:hint="eastAsia"/>
          <w:u w:val="single"/>
          <w:lang w:val="en-US" w:eastAsia="zh-CN"/>
        </w:rPr>
        <w:t>3</w:t>
      </w:r>
      <w:r>
        <w:rPr>
          <w:rFonts w:hint="eastAsia"/>
        </w:rPr>
        <w:t>日内，乙方应将提供服务所有人员名单向甲方人力资源与行政部报备，若人员有调整，乙方应在3日内向甲方报告。甲方可随时进行抽查，乙方人员应按甲方要求在指定的时间和地点接受测试。对于</w:t>
      </w:r>
      <w:r>
        <w:t>那些拒不接受</w:t>
      </w:r>
      <w:r>
        <w:rPr>
          <w:rFonts w:hint="eastAsia"/>
        </w:rPr>
        <w:t>甲方</w:t>
      </w:r>
      <w:r>
        <w:t>酒精和药物测试或在</w:t>
      </w:r>
      <w:r>
        <w:rPr>
          <w:rFonts w:hint="eastAsia"/>
        </w:rPr>
        <w:t>甲方进行的</w:t>
      </w:r>
      <w:r>
        <w:t>酒精和药物测试</w:t>
      </w:r>
      <w:r>
        <w:rPr>
          <w:rFonts w:hint="eastAsia"/>
        </w:rPr>
        <w:t>抽查</w:t>
      </w:r>
      <w:r>
        <w:t>中呈阳性的雇员</w:t>
      </w:r>
      <w:r>
        <w:rPr>
          <w:rFonts w:hint="eastAsia"/>
        </w:rPr>
        <w:t>，乙方应立即撤回该雇员，不得让其为</w:t>
      </w:r>
      <w:r>
        <w:t>甲方</w:t>
      </w:r>
      <w:r>
        <w:rPr>
          <w:rFonts w:hint="eastAsia"/>
        </w:rPr>
        <w:t>提供</w:t>
      </w:r>
      <w:r>
        <w:t>服务</w:t>
      </w:r>
      <w:r>
        <w:rPr>
          <w:rFonts w:hint="eastAsia"/>
        </w:rPr>
        <w:t>。</w:t>
      </w:r>
      <w:bookmarkEnd w:id="41"/>
      <w:bookmarkEnd w:id="42"/>
    </w:p>
    <w:p w14:paraId="474D1C6C">
      <w:pPr>
        <w:pStyle w:val="2"/>
        <w:numPr>
          <w:ilvl w:val="0"/>
          <w:numId w:val="1"/>
        </w:numPr>
        <w:spacing w:before="120" w:after="120"/>
        <w:rPr>
          <w:szCs w:val="28"/>
          <w:lang w:eastAsia="zh-CN"/>
        </w:rPr>
      </w:pPr>
      <w:bookmarkStart w:id="43" w:name="_Toc7297"/>
      <w:r>
        <w:rPr>
          <w:szCs w:val="28"/>
          <w:lang w:eastAsia="zh-CN"/>
        </w:rPr>
        <w:t>健康和安全（适用于服务在甲方的场地提供）</w:t>
      </w:r>
      <w:bookmarkEnd w:id="43"/>
      <w:r>
        <w:rPr>
          <w:szCs w:val="28"/>
          <w:lang w:eastAsia="zh-CN"/>
        </w:rPr>
        <w:t xml:space="preserve"> </w:t>
      </w:r>
    </w:p>
    <w:p w14:paraId="2BCB041D">
      <w:pPr>
        <w:pStyle w:val="7"/>
      </w:pPr>
      <w:r>
        <w:t>乙方为甲方进行服务时应在甲方的地盘上为它的雇员、分包商提供一个健康与安全的工作场所和环境。乙方应保护甲方和乙方的雇员、公众及其它第三方，使他们免受进行服务时带来的任何危险。乙方及其雇用的技工所使用的一切工具、设备、设施等均认为是工作环境的一部分。作为健康与安全最低限度的要求，乙方须负责及确保为甲方进行服务时符合甲方的健康与安全政策和现场具体的要求。乙方应采取任何必要的方法、程序和注意事项以符合本条款的规定。乙方应立即向甲方及依法向政府部门报告所有的事故、伤亡和未遂事故。</w:t>
      </w:r>
      <w:bookmarkStart w:id="44" w:name="_Toc32984781"/>
    </w:p>
    <w:p w14:paraId="29D1E7BB">
      <w:pPr>
        <w:pStyle w:val="7"/>
      </w:pPr>
      <w:r>
        <w:t>乙方不能允许在服务提供的场所和乙方有权或被授权或拥有指令实施监管控制的场所内从事危险的、不安全的、不健康的或环境上不稳妥的活动或情形。乙方须即刻采取措施消除或改善此等活动或情形。</w:t>
      </w:r>
      <w:r>
        <w:rPr>
          <w:rFonts w:hint="eastAsia"/>
        </w:rPr>
        <w:t>如果乙方在收到甲方通知后没有立即采取措施纠正此等危险的、不安全的、不健康的或环境上不适宜的与服务相关的情形或活动，甲方有权采取其合理认为必要的行动纠正此等危险的、不安全的、不健康的或环境上不适宜的情形或活动，乙方承担由此发生的费用。</w:t>
      </w:r>
    </w:p>
    <w:bookmarkEnd w:id="44"/>
    <w:p w14:paraId="06F42DA6">
      <w:pPr>
        <w:pStyle w:val="2"/>
        <w:numPr>
          <w:ilvl w:val="0"/>
          <w:numId w:val="1"/>
        </w:numPr>
        <w:spacing w:before="120" w:after="120"/>
        <w:rPr>
          <w:szCs w:val="28"/>
          <w:lang w:eastAsia="zh-CN"/>
        </w:rPr>
      </w:pPr>
      <w:bookmarkStart w:id="45" w:name="_Toc3842"/>
      <w:r>
        <w:rPr>
          <w:szCs w:val="28"/>
          <w:lang w:eastAsia="zh-CN"/>
        </w:rPr>
        <w:t>不可抗力</w:t>
      </w:r>
      <w:bookmarkEnd w:id="45"/>
      <w:r>
        <w:rPr>
          <w:szCs w:val="28"/>
          <w:lang w:eastAsia="zh-CN"/>
        </w:rPr>
        <w:t xml:space="preserve"> </w:t>
      </w:r>
    </w:p>
    <w:p w14:paraId="3DD312E5">
      <w:pPr>
        <w:pStyle w:val="7"/>
      </w:pPr>
      <w:r>
        <w:rPr>
          <w:rFonts w:hint="eastAsia"/>
        </w:rPr>
        <w:t>本合同中，不可抗力是指在任何受影响的甲方或乙方的合理控制范围以外而且并非由于甲方或乙方的过错而引起的事件，包括但不限于，地震、海啸、水灾、台风、雷击或其它灾难；公敌行为；征用或没收设施；任何阻碍或严重限制前往服务地点或在服务地点实施服务的冲突、战争、敌对行动、暴乱、恐怖主义行动及民众骚乱，按照甲类传染病管理的疫情制裁，禁运或其他进口处管制；以及其它在受影响的甲方或乙方的合理控制范围以外且甲方或乙方经合理努力后也不能防止或避免的类似事故。</w:t>
      </w:r>
      <w:bookmarkStart w:id="46" w:name="OLE_LINK1"/>
    </w:p>
    <w:p w14:paraId="02A1BDC7">
      <w:pPr>
        <w:pStyle w:val="7"/>
      </w:pPr>
      <w:r>
        <w:t>因不可抗力事件导致本合同延迟履行或未能履行，受不可抗力影响的一方均不应向本合同另一方承担延迟履行或未能履行的责任，</w:t>
      </w:r>
      <w:bookmarkEnd w:id="46"/>
      <w:r>
        <w:t>但应立即将该事件通知本合同另一方。</w:t>
      </w:r>
    </w:p>
    <w:p w14:paraId="10C59E3E">
      <w:pPr>
        <w:pStyle w:val="7"/>
      </w:pPr>
      <w:r>
        <w:t>下列情况不构成不可抗力：涉及到合同任何一方的罢工、停工、或其它劳动纠纷，包括无法获得或维持足够的劳动力。</w:t>
      </w:r>
    </w:p>
    <w:p w14:paraId="341908F0">
      <w:pPr>
        <w:pStyle w:val="7"/>
      </w:pPr>
      <w:r>
        <w:t>本合同服务费不得因不可抗力事件而作任何上调。</w:t>
      </w:r>
    </w:p>
    <w:p w14:paraId="5A66B60E">
      <w:pPr>
        <w:pStyle w:val="2"/>
        <w:numPr>
          <w:ilvl w:val="0"/>
          <w:numId w:val="1"/>
        </w:numPr>
        <w:spacing w:before="120" w:after="120"/>
      </w:pPr>
      <w:bookmarkStart w:id="47" w:name="_Toc3491"/>
      <w:r>
        <w:rPr>
          <w:rFonts w:hint="eastAsia"/>
        </w:rPr>
        <w:t>履约保证金</w:t>
      </w:r>
      <w:r>
        <w:t>/</w:t>
      </w:r>
      <w:r>
        <w:rPr>
          <w:rFonts w:hint="eastAsia"/>
        </w:rPr>
        <w:t>保函</w:t>
      </w:r>
      <w:bookmarkEnd w:id="47"/>
    </w:p>
    <w:p w14:paraId="133E44D0">
      <w:pPr>
        <w:pStyle w:val="7"/>
      </w:pPr>
      <w:r>
        <w:rPr>
          <w:rFonts w:hint="eastAsia"/>
        </w:rPr>
        <w:t>经双方协商一致，选择</w:t>
      </w:r>
      <w:r>
        <w:rPr>
          <w:rFonts w:hint="eastAsia"/>
          <w:u w:val="single"/>
          <w:lang w:val="en-US" w:eastAsia="zh-CN"/>
        </w:rPr>
        <w:t>2</w:t>
      </w:r>
      <w:r>
        <w:rPr>
          <w:rFonts w:hint="eastAsia"/>
        </w:rPr>
        <w:t>方式：</w:t>
      </w:r>
    </w:p>
    <w:p w14:paraId="6CBAAEEB">
      <w:pPr>
        <w:pStyle w:val="27"/>
        <w:numPr>
          <w:ilvl w:val="0"/>
          <w:numId w:val="14"/>
        </w:numPr>
        <w:ind w:firstLineChars="0"/>
        <w:rPr>
          <w:lang w:eastAsia="zh-CN"/>
        </w:rPr>
      </w:pPr>
      <w:r>
        <w:rPr>
          <w:rFonts w:hint="eastAsia"/>
          <w:lang w:eastAsia="zh-CN"/>
        </w:rPr>
        <w:t>乙方无需支付履约保证金</w:t>
      </w:r>
      <w:r>
        <w:rPr>
          <w:lang w:eastAsia="zh-CN"/>
        </w:rPr>
        <w:t>/</w:t>
      </w:r>
      <w:r>
        <w:rPr>
          <w:rFonts w:hint="eastAsia"/>
          <w:lang w:eastAsia="zh-CN"/>
        </w:rPr>
        <w:t>保函。</w:t>
      </w:r>
    </w:p>
    <w:p w14:paraId="21A10130">
      <w:pPr>
        <w:pStyle w:val="27"/>
        <w:numPr>
          <w:ilvl w:val="0"/>
          <w:numId w:val="14"/>
        </w:numPr>
        <w:ind w:firstLineChars="0"/>
        <w:rPr>
          <w:lang w:eastAsia="zh-CN"/>
        </w:rPr>
      </w:pPr>
      <w:r>
        <w:rPr>
          <w:rFonts w:hint="eastAsia"/>
          <w:lang w:eastAsia="zh-CN"/>
        </w:rPr>
        <w:t>乙方需支付履约保证金</w:t>
      </w:r>
      <w:r>
        <w:rPr>
          <w:lang w:eastAsia="zh-CN"/>
        </w:rPr>
        <w:t>/</w:t>
      </w:r>
      <w:r>
        <w:rPr>
          <w:rFonts w:hint="eastAsia"/>
          <w:lang w:eastAsia="zh-CN"/>
        </w:rPr>
        <w:t>保函。</w:t>
      </w:r>
    </w:p>
    <w:p w14:paraId="0184B829">
      <w:pPr>
        <w:pStyle w:val="27"/>
        <w:widowControl w:val="0"/>
        <w:numPr>
          <w:ilvl w:val="0"/>
          <w:numId w:val="15"/>
        </w:numPr>
        <w:ind w:firstLineChars="0"/>
        <w:rPr>
          <w:lang w:eastAsia="zh-CN"/>
        </w:rPr>
      </w:pPr>
      <w:r>
        <w:rPr>
          <w:rFonts w:hint="eastAsia"/>
          <w:lang w:eastAsia="zh-CN"/>
        </w:rPr>
        <w:t>保证金额</w:t>
      </w:r>
      <w:r>
        <w:rPr>
          <w:lang w:eastAsia="zh-CN"/>
        </w:rPr>
        <w:t>/</w:t>
      </w:r>
      <w:r>
        <w:rPr>
          <w:rFonts w:hint="eastAsia"/>
          <w:lang w:eastAsia="zh-CN"/>
        </w:rPr>
        <w:t>保函金额：</w:t>
      </w:r>
      <w:r>
        <w:rPr>
          <w:rFonts w:hint="eastAsia"/>
          <w:highlight w:val="yellow"/>
          <w:u w:val="single"/>
          <w:lang w:val="en-US" w:eastAsia="zh-CN"/>
        </w:rPr>
        <w:t>伍万</w:t>
      </w:r>
      <w:r>
        <w:rPr>
          <w:rFonts w:hint="eastAsia"/>
          <w:highlight w:val="yellow"/>
          <w:u w:val="single"/>
          <w:lang w:eastAsia="zh-CN"/>
        </w:rPr>
        <w:t>元人民币</w:t>
      </w:r>
      <w:r>
        <w:rPr>
          <w:rFonts w:hint="eastAsia"/>
          <w:highlight w:val="yellow"/>
          <w:lang w:eastAsia="zh-CN"/>
        </w:rPr>
        <w:t>（</w:t>
      </w:r>
      <w:r>
        <w:rPr>
          <w:rFonts w:hint="eastAsia" w:asciiTheme="minorEastAsia" w:hAnsiTheme="minorEastAsia"/>
          <w:highlight w:val="yellow"/>
          <w:lang w:eastAsia="zh-CN"/>
        </w:rPr>
        <w:t>￥</w:t>
      </w:r>
      <w:r>
        <w:rPr>
          <w:rFonts w:hint="eastAsia" w:asciiTheme="minorEastAsia" w:hAnsiTheme="minorEastAsia"/>
          <w:highlight w:val="yellow"/>
          <w:u w:val="single"/>
          <w:lang w:val="en-US" w:eastAsia="zh-CN"/>
        </w:rPr>
        <w:t>50,000.00</w:t>
      </w:r>
      <w:r>
        <w:rPr>
          <w:rFonts w:hint="eastAsia" w:asciiTheme="minorEastAsia" w:hAnsiTheme="minorEastAsia"/>
          <w:highlight w:val="yellow"/>
          <w:lang w:eastAsia="zh-CN"/>
        </w:rPr>
        <w:t>）</w:t>
      </w:r>
      <w:r>
        <w:rPr>
          <w:rFonts w:hint="eastAsia" w:asciiTheme="minorEastAsia" w:hAnsiTheme="minorEastAsia"/>
          <w:lang w:eastAsia="zh-CN"/>
        </w:rPr>
        <w:t>。</w:t>
      </w:r>
    </w:p>
    <w:p w14:paraId="09D8361B">
      <w:pPr>
        <w:pStyle w:val="27"/>
        <w:widowControl w:val="0"/>
        <w:numPr>
          <w:ilvl w:val="0"/>
          <w:numId w:val="15"/>
        </w:numPr>
        <w:ind w:firstLineChars="0"/>
        <w:rPr>
          <w:lang w:eastAsia="zh-CN"/>
        </w:rPr>
      </w:pPr>
      <w:r>
        <w:rPr>
          <w:rFonts w:hint="eastAsia"/>
          <w:lang w:eastAsia="zh-CN"/>
        </w:rPr>
        <w:t>履约保证金</w:t>
      </w:r>
      <w:r>
        <w:rPr>
          <w:lang w:eastAsia="zh-CN"/>
        </w:rPr>
        <w:t>/</w:t>
      </w:r>
      <w:r>
        <w:rPr>
          <w:rFonts w:hint="eastAsia"/>
          <w:lang w:eastAsia="zh-CN"/>
        </w:rPr>
        <w:t>保函的保证范围：</w:t>
      </w:r>
    </w:p>
    <w:p w14:paraId="0978959D">
      <w:pPr>
        <w:pStyle w:val="27"/>
        <w:widowControl w:val="0"/>
        <w:numPr>
          <w:ilvl w:val="1"/>
          <w:numId w:val="8"/>
        </w:numPr>
        <w:ind w:left="1020" w:leftChars="425" w:firstLineChars="0"/>
        <w:rPr>
          <w:lang w:eastAsia="zh-CN"/>
        </w:rPr>
      </w:pPr>
      <w:r>
        <w:rPr>
          <w:rFonts w:hint="eastAsia"/>
          <w:lang w:eastAsia="zh-CN"/>
        </w:rPr>
        <w:t>乙方应履行本合同及其附件所约定的乙方的全部义务；如乙方违反合同及其附件中所约定的任何义务，甲方有权在履约保证金/保函中直接扣除乙方应向甲方支付的违约金或损失赔偿额，如有不足，由乙方另行承担赔偿责任；</w:t>
      </w:r>
    </w:p>
    <w:p w14:paraId="2ACF4480">
      <w:pPr>
        <w:pStyle w:val="27"/>
        <w:widowControl w:val="0"/>
        <w:numPr>
          <w:ilvl w:val="1"/>
          <w:numId w:val="8"/>
        </w:numPr>
        <w:ind w:left="1020" w:leftChars="425" w:firstLineChars="0"/>
        <w:rPr>
          <w:lang w:eastAsia="zh-CN"/>
        </w:rPr>
      </w:pPr>
      <w:bookmarkStart w:id="48" w:name="OLE_LINK6"/>
      <w:r>
        <w:rPr>
          <w:rFonts w:hint="eastAsia"/>
          <w:lang w:eastAsia="zh-CN"/>
        </w:rPr>
        <w:t>除上述条款外，有下列情形之一的，甲方有权不予退还履约保证金/全额扣除保函中的保证金：</w:t>
      </w:r>
    </w:p>
    <w:p w14:paraId="7FEC0916">
      <w:pPr>
        <w:pStyle w:val="27"/>
        <w:widowControl w:val="0"/>
        <w:ind w:left="1440" w:firstLine="0" w:firstLineChars="0"/>
        <w:rPr>
          <w:lang w:eastAsia="zh-CN"/>
        </w:rPr>
      </w:pPr>
      <w:r>
        <w:rPr>
          <w:rFonts w:hint="eastAsia"/>
          <w:lang w:eastAsia="zh-CN"/>
        </w:rPr>
        <w:t>---乙方因欺诈等不诚信手段订立合同且合同被甲方解除的；</w:t>
      </w:r>
    </w:p>
    <w:p w14:paraId="0CDEC18A">
      <w:pPr>
        <w:pStyle w:val="27"/>
        <w:widowControl w:val="0"/>
        <w:ind w:left="1440" w:firstLine="0" w:firstLineChars="0"/>
        <w:rPr>
          <w:lang w:eastAsia="zh-CN"/>
        </w:rPr>
      </w:pPr>
      <w:r>
        <w:rPr>
          <w:rFonts w:hint="eastAsia"/>
          <w:lang w:eastAsia="zh-CN"/>
        </w:rPr>
        <w:t>---经甲方书面通知，乙方拒不履行合同的。</w:t>
      </w:r>
    </w:p>
    <w:bookmarkEnd w:id="48"/>
    <w:p w14:paraId="7CE2346E">
      <w:pPr>
        <w:pStyle w:val="27"/>
        <w:widowControl w:val="0"/>
        <w:numPr>
          <w:ilvl w:val="0"/>
          <w:numId w:val="8"/>
        </w:numPr>
        <w:ind w:firstLineChars="0"/>
        <w:rPr>
          <w:lang w:eastAsia="zh-CN"/>
        </w:rPr>
      </w:pPr>
      <w:r>
        <w:rPr>
          <w:rFonts w:hint="eastAsia"/>
          <w:lang w:eastAsia="zh-CN"/>
        </w:rPr>
        <w:t>保证金的退还（如有）：在乙方如约执行第22.2. B条款的前提下，甲方将在合同期满后-</w:t>
      </w:r>
      <w:r>
        <w:rPr>
          <w:rFonts w:hint="eastAsia"/>
          <w:u w:val="single"/>
          <w:lang w:val="en-US" w:eastAsia="zh-CN"/>
        </w:rPr>
        <w:t>30</w:t>
      </w:r>
      <w:r>
        <w:rPr>
          <w:rFonts w:hint="eastAsia"/>
          <w:lang w:eastAsia="zh-CN"/>
        </w:rPr>
        <w:t>日内无息退回相应的履约保证金。</w:t>
      </w:r>
    </w:p>
    <w:p w14:paraId="1AF2EC3A">
      <w:pPr>
        <w:pStyle w:val="2"/>
        <w:numPr>
          <w:ilvl w:val="0"/>
          <w:numId w:val="1"/>
        </w:numPr>
        <w:spacing w:before="120" w:after="120"/>
        <w:rPr>
          <w:szCs w:val="28"/>
          <w:lang w:eastAsia="zh-CN"/>
        </w:rPr>
      </w:pPr>
      <w:bookmarkStart w:id="49" w:name="_Toc5320"/>
      <w:r>
        <w:rPr>
          <w:szCs w:val="28"/>
          <w:lang w:eastAsia="zh-CN"/>
        </w:rPr>
        <w:t>其它</w:t>
      </w:r>
      <w:bookmarkEnd w:id="49"/>
    </w:p>
    <w:p w14:paraId="6369866B">
      <w:pPr>
        <w:pStyle w:val="7"/>
      </w:pPr>
      <w:r>
        <w:t>可分割性。若本合同及其附属合同的任一条文或部分被仲裁庭或法律判定为不合法或不能执行的，这些条文或部分可视为省略不要，但其它条文依然保持完整和有效。</w:t>
      </w:r>
    </w:p>
    <w:p w14:paraId="1AE30EAA">
      <w:pPr>
        <w:pStyle w:val="7"/>
      </w:pPr>
      <w:r>
        <w:t>保留权利。即使一方在执行其在本合同项下的任何权利、权益或权力时有任何疏忽、宽限或延误，该方在本合同项下的所有权利、权益或权力应继续有效，除非该方以书面声明弃权，否则不应被视为已放弃其在本合同项下的任何权利。一方对另一方任何违反本合同表示弃权，将不视为对以后发生的同一情况或任何其它条款违反的弃权。</w:t>
      </w:r>
    </w:p>
    <w:p w14:paraId="59BBC377">
      <w:pPr>
        <w:pStyle w:val="7"/>
      </w:pPr>
      <w:r>
        <w:t>合同修订。任何对本合同正文或合同附件条款所作的修改仅当甲方和乙方共同书面签署</w:t>
      </w:r>
      <w:r>
        <w:rPr>
          <w:rFonts w:hint="eastAsia"/>
        </w:rPr>
        <w:t>并加盖公章或合同专用章</w:t>
      </w:r>
      <w:r>
        <w:t>后方可生效。</w:t>
      </w:r>
    </w:p>
    <w:p w14:paraId="51D99038">
      <w:pPr>
        <w:pStyle w:val="7"/>
      </w:pPr>
      <w:r>
        <w:t>本合同一</w:t>
      </w:r>
      <w:r>
        <w:rPr>
          <w:u w:val="single"/>
        </w:rPr>
        <w:t>式</w:t>
      </w:r>
      <w:r>
        <w:rPr>
          <w:rFonts w:hint="eastAsia"/>
          <w:u w:val="single"/>
          <w:lang w:val="en-US" w:eastAsia="zh-CN"/>
        </w:rPr>
        <w:t>肆</w:t>
      </w:r>
      <w:r>
        <w:t>份，甲方</w:t>
      </w:r>
      <w:r>
        <w:rPr>
          <w:u w:val="single"/>
        </w:rPr>
        <w:t>持</w:t>
      </w:r>
      <w:r>
        <w:rPr>
          <w:rFonts w:hint="eastAsia"/>
          <w:u w:val="single"/>
          <w:lang w:val="en-US" w:eastAsia="zh-CN"/>
        </w:rPr>
        <w:t>贰</w:t>
      </w:r>
      <w:r>
        <w:t>份，乙方</w:t>
      </w:r>
      <w:r>
        <w:rPr>
          <w:u w:val="single"/>
        </w:rPr>
        <w:t>持</w:t>
      </w:r>
      <w:r>
        <w:rPr>
          <w:rFonts w:hint="eastAsia"/>
          <w:u w:val="single"/>
          <w:lang w:val="en-US" w:eastAsia="zh-CN"/>
        </w:rPr>
        <w:t>贰</w:t>
      </w:r>
      <w:r>
        <w:t>份，具有同等法律效力。</w:t>
      </w:r>
    </w:p>
    <w:p w14:paraId="54C7698C">
      <w:pPr>
        <w:pStyle w:val="7"/>
      </w:pPr>
      <w:r>
        <w:rPr>
          <w:rFonts w:hint="eastAsia"/>
        </w:rPr>
        <w:t>本合同自双方加盖公章或合同专用章且法定代表人或授权代表签字之日起生效。</w:t>
      </w:r>
    </w:p>
    <w:p w14:paraId="36662D07">
      <w:pPr>
        <w:pStyle w:val="7"/>
      </w:pPr>
      <w:r>
        <w:t>合同的全面性。本合同构成了乙方与甲方之间的全部合同，并取代了之前所有的、无论是口头还是书面的、与本合同事项有关的谈判、表述或合同。</w:t>
      </w:r>
    </w:p>
    <w:p w14:paraId="3C8A3FBC">
      <w:pPr>
        <w:pStyle w:val="7"/>
      </w:pPr>
      <w:r>
        <w:t>本合同中所使用的各条款标题仅为方便查阅而设，不应用以解释本合同。除非另有规定，本合同中或本合同的或本合同项下及类似的表述方式，应指本合同整体，而不应仅被解释为该表述本身；凡提及条款和附件者，应指本合同的条款和附件。</w:t>
      </w:r>
    </w:p>
    <w:p w14:paraId="7711FBB5">
      <w:pPr>
        <w:pStyle w:val="7"/>
        <w:numPr>
          <w:ilvl w:val="0"/>
          <w:numId w:val="0"/>
        </w:numPr>
        <w:ind w:left="-405"/>
      </w:pPr>
      <w:r>
        <w:rPr>
          <w:rFonts w:hint="eastAsia"/>
        </w:rPr>
        <w:br w:type="textWrapping"/>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6"/>
        <w:gridCol w:w="4072"/>
      </w:tblGrid>
      <w:tr w14:paraId="2A9C6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Pr>
          <w:p w14:paraId="73A30C43">
            <w:pPr>
              <w:rPr>
                <w:rFonts w:hint="eastAsia"/>
                <w:lang w:eastAsia="zh-CN"/>
              </w:rPr>
            </w:pPr>
            <w:r>
              <w:rPr>
                <w:rFonts w:hint="eastAsia"/>
                <w:lang w:eastAsia="zh-CN"/>
              </w:rPr>
              <w:t>甲方（章）：</w:t>
            </w:r>
          </w:p>
          <w:p w14:paraId="048D7B2F">
            <w:pPr>
              <w:rPr>
                <w:rFonts w:hint="default"/>
                <w:lang w:val="en-US" w:eastAsia="zh-CN"/>
              </w:rPr>
            </w:pPr>
            <w:r>
              <w:rPr>
                <w:rFonts w:hint="eastAsia"/>
                <w:lang w:val="en-US" w:eastAsia="zh-CN"/>
              </w:rPr>
              <w:t>福建联合石油化工有限公司</w:t>
            </w:r>
          </w:p>
        </w:tc>
        <w:tc>
          <w:tcPr>
            <w:tcW w:w="4072" w:type="dxa"/>
          </w:tcPr>
          <w:p w14:paraId="1AAD84C9">
            <w:pPr>
              <w:rPr>
                <w:lang w:eastAsia="zh-CN"/>
              </w:rPr>
            </w:pPr>
            <w:r>
              <w:rPr>
                <w:rFonts w:hint="eastAsia"/>
                <w:lang w:eastAsia="zh-CN"/>
              </w:rPr>
              <w:t>乙方（章）：</w:t>
            </w:r>
          </w:p>
        </w:tc>
      </w:tr>
      <w:tr w14:paraId="3299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Pr>
          <w:p w14:paraId="384B141E">
            <w:pPr>
              <w:rPr>
                <w:lang w:eastAsia="zh-CN"/>
              </w:rPr>
            </w:pPr>
            <w:r>
              <w:rPr>
                <w:rFonts w:hint="eastAsia"/>
                <w:lang w:eastAsia="zh-CN"/>
              </w:rPr>
              <w:t>法定代表人：</w:t>
            </w:r>
          </w:p>
        </w:tc>
        <w:tc>
          <w:tcPr>
            <w:tcW w:w="4072" w:type="dxa"/>
          </w:tcPr>
          <w:p w14:paraId="7B6E0076">
            <w:pPr>
              <w:rPr>
                <w:lang w:eastAsia="zh-CN"/>
              </w:rPr>
            </w:pPr>
            <w:r>
              <w:rPr>
                <w:rFonts w:hint="eastAsia"/>
                <w:lang w:eastAsia="zh-CN"/>
              </w:rPr>
              <w:t>法定代表人：</w:t>
            </w:r>
          </w:p>
        </w:tc>
      </w:tr>
      <w:tr w14:paraId="24D44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4786" w:type="dxa"/>
          </w:tcPr>
          <w:p w14:paraId="60162398">
            <w:pPr>
              <w:rPr>
                <w:lang w:eastAsia="zh-CN"/>
              </w:rPr>
            </w:pPr>
            <w:r>
              <w:rPr>
                <w:rFonts w:hint="eastAsia"/>
                <w:lang w:eastAsia="zh-CN"/>
              </w:rPr>
              <w:t>或</w:t>
            </w:r>
          </w:p>
        </w:tc>
        <w:tc>
          <w:tcPr>
            <w:tcW w:w="4072" w:type="dxa"/>
          </w:tcPr>
          <w:p w14:paraId="391A9927">
            <w:pPr>
              <w:rPr>
                <w:lang w:eastAsia="zh-CN"/>
              </w:rPr>
            </w:pPr>
            <w:r>
              <w:rPr>
                <w:rFonts w:hint="eastAsia"/>
                <w:lang w:eastAsia="zh-CN"/>
              </w:rPr>
              <w:t>或</w:t>
            </w:r>
          </w:p>
        </w:tc>
      </w:tr>
      <w:tr w14:paraId="71316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Pr>
          <w:p w14:paraId="4241D3F5">
            <w:pPr>
              <w:rPr>
                <w:lang w:eastAsia="zh-CN"/>
              </w:rPr>
            </w:pPr>
            <w:r>
              <w:rPr>
                <w:rFonts w:hint="eastAsia"/>
                <w:lang w:eastAsia="zh-CN"/>
              </w:rPr>
              <w:t>委托代理人：</w:t>
            </w:r>
          </w:p>
        </w:tc>
        <w:tc>
          <w:tcPr>
            <w:tcW w:w="4072" w:type="dxa"/>
          </w:tcPr>
          <w:p w14:paraId="56B7E4CF">
            <w:pPr>
              <w:rPr>
                <w:lang w:eastAsia="zh-CN"/>
              </w:rPr>
            </w:pPr>
            <w:r>
              <w:rPr>
                <w:rFonts w:hint="eastAsia"/>
                <w:lang w:eastAsia="zh-CN"/>
              </w:rPr>
              <w:t>委托代理人：</w:t>
            </w:r>
          </w:p>
        </w:tc>
      </w:tr>
      <w:tr w14:paraId="72F06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6" w:type="dxa"/>
          </w:tcPr>
          <w:p w14:paraId="40A7FCE1">
            <w:r>
              <w:rPr>
                <w:rFonts w:hint="eastAsia"/>
                <w:lang w:eastAsia="zh-CN"/>
              </w:rPr>
              <w:t>日期：</w:t>
            </w:r>
          </w:p>
        </w:tc>
        <w:tc>
          <w:tcPr>
            <w:tcW w:w="4072" w:type="dxa"/>
          </w:tcPr>
          <w:p w14:paraId="469BC62E">
            <w:r>
              <w:rPr>
                <w:rFonts w:hint="eastAsia"/>
                <w:lang w:eastAsia="zh-CN"/>
              </w:rPr>
              <w:t>日期：</w:t>
            </w:r>
          </w:p>
        </w:tc>
      </w:tr>
    </w:tbl>
    <w:p w14:paraId="5B54A813">
      <w:pPr>
        <w:rPr>
          <w:lang w:eastAsia="zh-CN"/>
        </w:rPr>
      </w:pPr>
    </w:p>
    <w:p w14:paraId="404EB54C">
      <w:pPr>
        <w:rPr>
          <w:lang w:eastAsia="zh-CN"/>
        </w:rPr>
      </w:pPr>
    </w:p>
    <w:p w14:paraId="714C425E">
      <w:pPr>
        <w:rPr>
          <w:lang w:eastAsia="zh-CN"/>
        </w:rPr>
        <w:sectPr>
          <w:pgSz w:w="12242" w:h="15842"/>
          <w:pgMar w:top="1440" w:right="1800" w:bottom="1440" w:left="1800" w:header="680" w:footer="454" w:gutter="0"/>
          <w:cols w:space="567" w:num="1"/>
          <w:docGrid w:linePitch="326" w:charSpace="0"/>
        </w:sectPr>
      </w:pPr>
    </w:p>
    <w:p w14:paraId="00E36494">
      <w:pPr>
        <w:rPr>
          <w:lang w:eastAsia="zh-CN"/>
        </w:rPr>
      </w:pPr>
    </w:p>
    <w:p w14:paraId="42C374E6">
      <w:pPr>
        <w:pStyle w:val="2"/>
        <w:spacing w:before="120" w:after="120"/>
        <w:jc w:val="center"/>
        <w:rPr>
          <w:szCs w:val="28"/>
          <w:lang w:eastAsia="zh-CN"/>
        </w:rPr>
      </w:pPr>
      <w:bookmarkStart w:id="50" w:name="_Toc9711"/>
      <w:r>
        <w:rPr>
          <w:szCs w:val="28"/>
          <w:lang w:eastAsia="zh-CN"/>
        </w:rPr>
        <w:t>附件</w:t>
      </w:r>
      <w:r>
        <w:rPr>
          <w:rFonts w:hint="eastAsia"/>
          <w:szCs w:val="28"/>
          <w:lang w:eastAsia="zh-CN"/>
        </w:rPr>
        <w:t>A</w:t>
      </w:r>
      <w:r>
        <w:rPr>
          <w:szCs w:val="28"/>
          <w:lang w:eastAsia="zh-CN"/>
        </w:rPr>
        <w:tab/>
      </w:r>
      <w:r>
        <w:rPr>
          <w:rFonts w:hint="eastAsia"/>
          <w:szCs w:val="28"/>
          <w:lang w:eastAsia="zh-CN"/>
        </w:rPr>
        <w:t xml:space="preserve">  </w:t>
      </w:r>
      <w:r>
        <w:rPr>
          <w:szCs w:val="28"/>
          <w:lang w:eastAsia="zh-CN"/>
        </w:rPr>
        <w:t>服务的描述和交付进度</w:t>
      </w:r>
      <w:r>
        <w:rPr>
          <w:rFonts w:hint="eastAsia"/>
          <w:szCs w:val="28"/>
          <w:lang w:eastAsia="zh-CN"/>
        </w:rPr>
        <w:br w:type="textWrapping"/>
      </w:r>
      <w:bookmarkEnd w:id="50"/>
    </w:p>
    <w:p w14:paraId="49AAA5EA">
      <w:pPr>
        <w:rPr>
          <w:szCs w:val="24"/>
          <w:lang w:eastAsia="zh-CN"/>
        </w:rPr>
      </w:pPr>
      <w:r>
        <w:rPr>
          <w:szCs w:val="24"/>
          <w:lang w:eastAsia="zh-CN"/>
        </w:rPr>
        <w:t xml:space="preserve">双方就服务范围、进度及要求等确认如下： </w:t>
      </w:r>
    </w:p>
    <w:p w14:paraId="70B079D7">
      <w:pPr>
        <w:pStyle w:val="3"/>
        <w:keepNext/>
        <w:numPr>
          <w:ilvl w:val="0"/>
          <w:numId w:val="16"/>
        </w:numPr>
        <w:tabs>
          <w:tab w:val="clear" w:pos="9073"/>
        </w:tabs>
        <w:rPr>
          <w:szCs w:val="24"/>
          <w:lang w:eastAsia="zh-CN"/>
        </w:rPr>
      </w:pPr>
      <w:bookmarkStart w:id="51" w:name="_Toc12195"/>
      <w:bookmarkStart w:id="52" w:name="_Toc225931840"/>
      <w:bookmarkStart w:id="53" w:name="_Toc225931876"/>
      <w:bookmarkStart w:id="54" w:name="_Toc83734762"/>
      <w:r>
        <w:rPr>
          <w:szCs w:val="24"/>
          <w:lang w:eastAsia="zh-CN"/>
        </w:rPr>
        <w:t>服务概述</w:t>
      </w:r>
      <w:bookmarkEnd w:id="51"/>
      <w:bookmarkEnd w:id="52"/>
      <w:bookmarkEnd w:id="53"/>
      <w:bookmarkEnd w:id="54"/>
    </w:p>
    <w:p w14:paraId="08FD1830">
      <w:pPr>
        <w:numPr>
          <w:ilvl w:val="1"/>
          <w:numId w:val="16"/>
        </w:numPr>
        <w:rPr>
          <w:szCs w:val="24"/>
          <w:lang w:eastAsia="zh-CN"/>
        </w:rPr>
      </w:pPr>
      <w:r>
        <w:rPr>
          <w:szCs w:val="24"/>
          <w:lang w:eastAsia="zh-CN"/>
        </w:rPr>
        <w:t>服务范围</w:t>
      </w:r>
      <w:r>
        <w:rPr>
          <w:rFonts w:hint="eastAsia"/>
          <w:szCs w:val="24"/>
          <w:lang w:eastAsia="zh-CN"/>
        </w:rPr>
        <w:br w:type="textWrapping"/>
      </w:r>
      <w:r>
        <w:rPr>
          <w:rFonts w:hint="eastAsia"/>
          <w:szCs w:val="24"/>
          <w:lang w:val="en-US" w:eastAsia="zh-CN"/>
        </w:rPr>
        <w:t>乙方为甲方提供：</w:t>
      </w:r>
    </w:p>
    <w:p w14:paraId="1831E561">
      <w:pPr>
        <w:numPr>
          <w:ilvl w:val="0"/>
          <w:numId w:val="17"/>
        </w:numPr>
        <w:ind w:left="1418"/>
        <w:rPr>
          <w:szCs w:val="24"/>
          <w:lang w:eastAsia="zh-CN"/>
        </w:rPr>
      </w:pPr>
      <w:r>
        <w:rPr>
          <w:rFonts w:hint="eastAsia"/>
          <w:szCs w:val="24"/>
          <w:lang w:eastAsia="zh-CN"/>
        </w:rPr>
        <w:t>对</w:t>
      </w:r>
      <w:r>
        <w:rPr>
          <w:rFonts w:hint="eastAsia"/>
          <w:szCs w:val="24"/>
          <w:lang w:val="en-US" w:eastAsia="zh-CN"/>
        </w:rPr>
        <w:t>甲方现场</w:t>
      </w:r>
      <w:r>
        <w:rPr>
          <w:rFonts w:hint="eastAsia"/>
          <w:szCs w:val="24"/>
          <w:lang w:eastAsia="zh-CN"/>
        </w:rPr>
        <w:t>全区域进行白蚁及红火蚁的全面防治；</w:t>
      </w:r>
    </w:p>
    <w:p w14:paraId="66B2E505">
      <w:pPr>
        <w:numPr>
          <w:ilvl w:val="0"/>
          <w:numId w:val="17"/>
        </w:numPr>
        <w:ind w:left="1418"/>
        <w:rPr>
          <w:szCs w:val="24"/>
          <w:lang w:eastAsia="zh-CN"/>
        </w:rPr>
      </w:pPr>
      <w:r>
        <w:rPr>
          <w:rFonts w:hint="eastAsia"/>
          <w:szCs w:val="24"/>
          <w:lang w:eastAsia="zh-CN"/>
        </w:rPr>
        <w:t>对甲方指定的区域进行灭鼠服务（</w:t>
      </w:r>
      <w:r>
        <w:rPr>
          <w:rFonts w:hint="eastAsia"/>
          <w:szCs w:val="24"/>
          <w:lang w:val="en-US" w:eastAsia="zh-CN"/>
        </w:rPr>
        <w:t>预估8000平方米</w:t>
      </w:r>
      <w:bookmarkStart w:id="92" w:name="_GoBack"/>
      <w:bookmarkEnd w:id="92"/>
      <w:r>
        <w:rPr>
          <w:rFonts w:hint="eastAsia"/>
          <w:szCs w:val="24"/>
          <w:lang w:val="en-US" w:eastAsia="zh-CN"/>
        </w:rPr>
        <w:t>，</w:t>
      </w:r>
      <w:r>
        <w:rPr>
          <w:rFonts w:hint="eastAsia"/>
          <w:szCs w:val="24"/>
          <w:lang w:eastAsia="zh-CN"/>
        </w:rPr>
        <w:t>具体以甲方的书面通知为准）。</w:t>
      </w:r>
    </w:p>
    <w:p w14:paraId="2634E11A">
      <w:pPr>
        <w:numPr>
          <w:ilvl w:val="1"/>
          <w:numId w:val="16"/>
        </w:numPr>
        <w:rPr>
          <w:szCs w:val="24"/>
          <w:lang w:eastAsia="zh-CN"/>
        </w:rPr>
      </w:pPr>
      <w:r>
        <w:rPr>
          <w:szCs w:val="24"/>
          <w:lang w:eastAsia="zh-CN"/>
        </w:rPr>
        <w:t>服务地点</w:t>
      </w:r>
    </w:p>
    <w:p w14:paraId="0C0B3A05">
      <w:pPr>
        <w:numPr>
          <w:ilvl w:val="0"/>
          <w:numId w:val="0"/>
        </w:numPr>
        <w:ind w:left="993" w:leftChars="0"/>
        <w:rPr>
          <w:szCs w:val="24"/>
          <w:lang w:eastAsia="zh-CN"/>
        </w:rPr>
      </w:pPr>
      <w:r>
        <w:rPr>
          <w:rFonts w:hint="eastAsia"/>
          <w:szCs w:val="24"/>
          <w:lang w:val="en-US" w:eastAsia="zh-CN"/>
        </w:rPr>
        <w:t>甲方现场</w:t>
      </w:r>
      <w:r>
        <w:rPr>
          <w:szCs w:val="24"/>
          <w:lang w:eastAsia="zh-CN"/>
        </w:rPr>
        <w:t>所属区域所有（</w:t>
      </w:r>
      <w:r>
        <w:rPr>
          <w:rFonts w:hint="eastAsia"/>
          <w:szCs w:val="24"/>
          <w:lang w:eastAsia="zh-CN"/>
        </w:rPr>
        <w:t>8200亩左右</w:t>
      </w:r>
      <w:r>
        <w:rPr>
          <w:szCs w:val="24"/>
          <w:lang w:eastAsia="zh-CN"/>
        </w:rPr>
        <w:t>）的构建筑物、仓库、树木、草坪、绿化带、坡地、油管廊带、预留地等（所属区域生产区、鲤鱼尾港库区、青兰山港库区、</w:t>
      </w:r>
      <w:r>
        <w:rPr>
          <w:rFonts w:hint="eastAsia"/>
          <w:szCs w:val="24"/>
          <w:lang w:eastAsia="zh-CN"/>
        </w:rPr>
        <w:t>新老火炬区、EOEG区域</w:t>
      </w:r>
      <w:r>
        <w:rPr>
          <w:szCs w:val="24"/>
          <w:lang w:eastAsia="zh-CN"/>
        </w:rPr>
        <w:t>）</w:t>
      </w:r>
      <w:r>
        <w:rPr>
          <w:rFonts w:hint="eastAsia"/>
          <w:szCs w:val="24"/>
          <w:lang w:eastAsia="zh-CN"/>
        </w:rPr>
        <w:t>。</w:t>
      </w:r>
    </w:p>
    <w:p w14:paraId="5ED7FA5A">
      <w:pPr>
        <w:numPr>
          <w:ilvl w:val="1"/>
          <w:numId w:val="16"/>
        </w:numPr>
        <w:rPr>
          <w:szCs w:val="24"/>
          <w:lang w:eastAsia="zh-CN"/>
        </w:rPr>
      </w:pPr>
      <w:r>
        <w:rPr>
          <w:szCs w:val="24"/>
          <w:lang w:eastAsia="zh-CN"/>
        </w:rPr>
        <w:t>服务方式</w:t>
      </w:r>
      <w:r>
        <w:rPr>
          <w:rFonts w:hint="eastAsia"/>
          <w:szCs w:val="24"/>
          <w:lang w:eastAsia="zh-CN"/>
        </w:rPr>
        <w:br w:type="textWrapping"/>
      </w:r>
      <w:r>
        <w:rPr>
          <w:rFonts w:hint="eastAsia"/>
          <w:szCs w:val="24"/>
          <w:lang w:val="en-US" w:eastAsia="zh-CN"/>
        </w:rPr>
        <w:t>现场服务。</w:t>
      </w:r>
    </w:p>
    <w:p w14:paraId="2C771D05">
      <w:pPr>
        <w:numPr>
          <w:ilvl w:val="1"/>
          <w:numId w:val="16"/>
        </w:numPr>
        <w:rPr>
          <w:szCs w:val="24"/>
          <w:lang w:eastAsia="zh-CN"/>
        </w:rPr>
      </w:pPr>
      <w:r>
        <w:rPr>
          <w:szCs w:val="24"/>
          <w:lang w:eastAsia="zh-CN"/>
        </w:rPr>
        <w:t>服务期限</w:t>
      </w:r>
      <w:r>
        <w:rPr>
          <w:rFonts w:hint="eastAsia"/>
          <w:szCs w:val="24"/>
          <w:lang w:eastAsia="zh-CN"/>
        </w:rPr>
        <w:br w:type="textWrapping"/>
      </w:r>
      <w:r>
        <w:rPr>
          <w:rFonts w:hint="eastAsia"/>
          <w:szCs w:val="24"/>
          <w:lang w:val="en-US" w:eastAsia="zh-CN"/>
        </w:rPr>
        <w:t>合同期内。</w:t>
      </w:r>
    </w:p>
    <w:p w14:paraId="7F05D795">
      <w:pPr>
        <w:pStyle w:val="3"/>
        <w:keepNext/>
        <w:numPr>
          <w:ilvl w:val="0"/>
          <w:numId w:val="16"/>
        </w:numPr>
        <w:tabs>
          <w:tab w:val="clear" w:pos="9073"/>
        </w:tabs>
        <w:rPr>
          <w:szCs w:val="24"/>
          <w:lang w:eastAsia="zh-CN"/>
        </w:rPr>
      </w:pPr>
      <w:bookmarkStart w:id="55" w:name="_Toc225931877"/>
      <w:bookmarkStart w:id="56" w:name="_Toc2107"/>
      <w:bookmarkStart w:id="57" w:name="_Toc225931841"/>
      <w:bookmarkStart w:id="58" w:name="_Toc83734763"/>
      <w:r>
        <w:rPr>
          <w:szCs w:val="24"/>
          <w:lang w:eastAsia="zh-CN"/>
        </w:rPr>
        <w:t>服务内容和要求</w:t>
      </w:r>
      <w:bookmarkEnd w:id="55"/>
      <w:bookmarkEnd w:id="56"/>
      <w:bookmarkEnd w:id="57"/>
      <w:r>
        <w:rPr>
          <w:rFonts w:hint="eastAsia"/>
          <w:szCs w:val="24"/>
          <w:lang w:eastAsia="zh-CN"/>
        </w:rPr>
        <w:t xml:space="preserve"> </w:t>
      </w:r>
      <w:bookmarkEnd w:id="58"/>
    </w:p>
    <w:p w14:paraId="2DBC2A82">
      <w:pPr>
        <w:numPr>
          <w:ilvl w:val="1"/>
          <w:numId w:val="16"/>
        </w:numPr>
        <w:rPr>
          <w:b/>
          <w:szCs w:val="24"/>
          <w:lang w:eastAsia="zh-CN"/>
        </w:rPr>
      </w:pPr>
      <w:r>
        <w:rPr>
          <w:b/>
          <w:szCs w:val="24"/>
          <w:lang w:eastAsia="zh-CN"/>
        </w:rPr>
        <w:t>服务要求</w:t>
      </w:r>
      <w:r>
        <w:rPr>
          <w:b/>
          <w:szCs w:val="24"/>
          <w:lang w:eastAsia="zh-CN"/>
        </w:rPr>
        <w:tab/>
      </w:r>
    </w:p>
    <w:p w14:paraId="68BD02F6">
      <w:pPr>
        <w:numPr>
          <w:ilvl w:val="0"/>
          <w:numId w:val="18"/>
        </w:numPr>
        <w:spacing w:after="200"/>
        <w:ind w:left="0" w:leftChars="0" w:firstLine="403" w:firstLineChars="0"/>
        <w:contextualSpacing/>
        <w:jc w:val="left"/>
        <w:rPr>
          <w:szCs w:val="24"/>
          <w:lang w:eastAsia="zh-CN"/>
        </w:rPr>
      </w:pPr>
      <w:r>
        <w:rPr>
          <w:rFonts w:hint="eastAsia"/>
          <w:szCs w:val="24"/>
          <w:lang w:eastAsia="zh-CN"/>
        </w:rPr>
        <w:t>乙方须具备承担本合同所约定服务的资质和能力，如因乙方资质或能力不足导致防治效果不佳，甲方有权终止合同，给甲方造成的所有损失均由乙方承担。</w:t>
      </w:r>
    </w:p>
    <w:p w14:paraId="0F578CB4">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乙方所用服务施工方案需经甲方审核确认，并严格按经确认的防治方案规范作业。</w:t>
      </w:r>
    </w:p>
    <w:p w14:paraId="0D722A79">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乙方在施工作业中须确保安全，并及时清理废弃物。如在作业中发生安全事故，责任由乙方承担。</w:t>
      </w:r>
    </w:p>
    <w:p w14:paraId="25600C97">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合同签订后，乙方应对厂区进行全面检查，根据现场蚁害情况对甲方的场所进行全面治理，并派驻专业人员履行防治职责，接受甲方管理部门对施工质量的监督、检查及确认。</w:t>
      </w:r>
    </w:p>
    <w:p w14:paraId="6FDE94C8">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乙方须使用合规且有效的防治药物，要选用低毒、高效、安全、环保并符合国家要求的红火蚁/白蚁/鼠害专用药剂，并向甲方提供药剂品名、有效成分。</w:t>
      </w:r>
    </w:p>
    <w:p w14:paraId="1203BB9F">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甲方有权对乙方在服务过程中出现的缺陷进行考核。</w:t>
      </w:r>
    </w:p>
    <w:p w14:paraId="6E7860DF">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乙方需自行配备一台防爆手机用于预约申请现场作业许可证，作业许可证需按</w:t>
      </w:r>
      <w:r>
        <w:rPr>
          <w:rFonts w:hint="eastAsia"/>
          <w:szCs w:val="24"/>
          <w:lang w:val="en-US" w:eastAsia="zh-CN"/>
        </w:rPr>
        <w:t>甲方</w:t>
      </w:r>
      <w:r>
        <w:rPr>
          <w:rFonts w:hint="eastAsia"/>
          <w:szCs w:val="24"/>
          <w:lang w:eastAsia="zh-CN"/>
        </w:rPr>
        <w:t>发布的业主区域分区进行预约申请。乙方所有进入</w:t>
      </w:r>
      <w:r>
        <w:rPr>
          <w:rFonts w:hint="eastAsia"/>
          <w:szCs w:val="24"/>
          <w:lang w:val="en-US" w:eastAsia="zh-CN"/>
        </w:rPr>
        <w:t>甲方</w:t>
      </w:r>
      <w:r>
        <w:rPr>
          <w:rFonts w:hint="eastAsia"/>
          <w:szCs w:val="24"/>
          <w:lang w:eastAsia="zh-CN"/>
        </w:rPr>
        <w:t>厂区的施工人员需自行购买定位卡。乙方需自行配置一台四合一（硫化氢、一氧化碳、可燃气、氧气）检测仪，且每年需经专业机构标定检验合格。乙方作业人员每年需按</w:t>
      </w:r>
      <w:r>
        <w:rPr>
          <w:rFonts w:hint="eastAsia"/>
          <w:szCs w:val="24"/>
          <w:lang w:val="en-US" w:eastAsia="zh-CN"/>
        </w:rPr>
        <w:t>甲方</w:t>
      </w:r>
      <w:r>
        <w:rPr>
          <w:rFonts w:hint="eastAsia"/>
          <w:szCs w:val="24"/>
          <w:lang w:eastAsia="zh-CN"/>
        </w:rPr>
        <w:t>要求进行入厂前的三级安全培训并经考试合格后方能入厂作业。</w:t>
      </w:r>
    </w:p>
    <w:p w14:paraId="00A0A1B2">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红火蚁防治专项要求：每年4-10月，乙方每月在服务区域全面巡查与施药不少于2次；11月至次年3月，每月不少于1次。接到甲方通报或发现活蚁巢后，须在24小时内到场处置，紧急情况4小时内到场。防治后现场红火蚁疫情的发生等级要小于GB/T 23626-2009《红火蚁疫情监测规程》的发生分级1级，即区域内每亩活蚁巢密度≤0.1 个，未达标须无偿强化治理，直至验收合格。</w:t>
      </w:r>
    </w:p>
    <w:p w14:paraId="0A0159CD">
      <w:pPr>
        <w:numPr>
          <w:ilvl w:val="0"/>
          <w:numId w:val="18"/>
        </w:numPr>
        <w:spacing w:after="200"/>
        <w:ind w:left="0" w:leftChars="0" w:firstLine="403" w:firstLineChars="0"/>
        <w:contextualSpacing/>
        <w:jc w:val="left"/>
        <w:rPr>
          <w:rFonts w:hint="eastAsia"/>
          <w:szCs w:val="24"/>
          <w:lang w:eastAsia="zh-CN"/>
        </w:rPr>
      </w:pPr>
      <w:r>
        <w:rPr>
          <w:rFonts w:hint="eastAsia"/>
          <w:szCs w:val="24"/>
          <w:lang w:eastAsia="zh-CN"/>
        </w:rPr>
        <w:t>白蚁防治专项要求：必须以找到蚁窝、灭除蚁后为根治目标，灭治过程需用防爆手机进行视频记录，清晰记录找到蚁巢、灭杀蚁后的全过程。录像于完工后24小时内提交甲方存档，作为服务完成的必备凭证。乙方应优先采用非破坏性探测技术查找主巢，以最经济方式灭除。如需对构筑物进行破拆，必须事前取得甲方书面许可。对于成功灭除蚁后的，甲方根据实际情况给予乙方1000至3000元/次的奖励，视频不全或无法证实蚁后灭除的，不享受奖励。</w:t>
      </w:r>
    </w:p>
    <w:p w14:paraId="509E3C60">
      <w:pPr>
        <w:numPr>
          <w:ilvl w:val="1"/>
          <w:numId w:val="16"/>
        </w:numPr>
        <w:rPr>
          <w:b/>
          <w:szCs w:val="24"/>
          <w:lang w:eastAsia="zh-CN"/>
        </w:rPr>
      </w:pPr>
      <w:r>
        <w:rPr>
          <w:b/>
          <w:szCs w:val="24"/>
          <w:lang w:eastAsia="zh-CN"/>
        </w:rPr>
        <w:t>质量保证</w:t>
      </w:r>
    </w:p>
    <w:p w14:paraId="7AA5DC28">
      <w:pPr>
        <w:numPr>
          <w:ilvl w:val="2"/>
          <w:numId w:val="16"/>
        </w:numPr>
        <w:rPr>
          <w:szCs w:val="24"/>
          <w:lang w:eastAsia="zh-CN"/>
        </w:rPr>
      </w:pPr>
      <w:r>
        <w:rPr>
          <w:szCs w:val="24"/>
          <w:lang w:eastAsia="zh-CN"/>
        </w:rPr>
        <w:t>乙方应建立质量保证体系，确保服务质量符合合同要求。甲方和甲方的代表应有权对该体系的任何方面进行监督核查。</w:t>
      </w:r>
    </w:p>
    <w:p w14:paraId="141F4980">
      <w:pPr>
        <w:numPr>
          <w:ilvl w:val="2"/>
          <w:numId w:val="16"/>
        </w:numPr>
        <w:rPr>
          <w:szCs w:val="24"/>
          <w:lang w:eastAsia="zh-CN"/>
        </w:rPr>
      </w:pPr>
      <w:r>
        <w:rPr>
          <w:szCs w:val="24"/>
          <w:lang w:eastAsia="zh-CN"/>
        </w:rPr>
        <w:t>乙方应向甲方提供一份项目质量计划并履行</w:t>
      </w:r>
      <w:r>
        <w:rPr>
          <w:rFonts w:hint="eastAsia"/>
          <w:szCs w:val="24"/>
          <w:lang w:eastAsia="zh-CN"/>
        </w:rPr>
        <w:t>合同</w:t>
      </w:r>
      <w:r>
        <w:rPr>
          <w:szCs w:val="24"/>
          <w:lang w:eastAsia="zh-CN"/>
        </w:rPr>
        <w:t>规定的义务。计划实施前须取得甲方的批准。计划经甲方批准后，其实施应贯穿本合同的整个执行过程。</w:t>
      </w:r>
    </w:p>
    <w:p w14:paraId="0959041A">
      <w:pPr>
        <w:numPr>
          <w:ilvl w:val="2"/>
          <w:numId w:val="16"/>
        </w:numPr>
        <w:rPr>
          <w:szCs w:val="24"/>
          <w:lang w:eastAsia="zh-CN"/>
        </w:rPr>
      </w:pPr>
      <w:r>
        <w:rPr>
          <w:szCs w:val="24"/>
          <w:lang w:eastAsia="zh-CN"/>
        </w:rPr>
        <w:t>甲方有权在任何时间，就服务对乙方的质量体系和记录检查及监督。</w:t>
      </w:r>
    </w:p>
    <w:p w14:paraId="7B1461DA">
      <w:pPr>
        <w:numPr>
          <w:ilvl w:val="2"/>
          <w:numId w:val="16"/>
        </w:numPr>
        <w:rPr>
          <w:szCs w:val="24"/>
          <w:lang w:eastAsia="zh-CN"/>
        </w:rPr>
      </w:pPr>
      <w:r>
        <w:rPr>
          <w:szCs w:val="24"/>
          <w:lang w:eastAsia="zh-CN"/>
        </w:rPr>
        <w:t>对质量保证体系的遵守不免除或减轻乙方在本合同下承担的任何责任、义务或职责。</w:t>
      </w:r>
    </w:p>
    <w:p w14:paraId="55A13BC3">
      <w:pPr>
        <w:pStyle w:val="3"/>
        <w:keepNext/>
        <w:numPr>
          <w:ilvl w:val="0"/>
          <w:numId w:val="16"/>
        </w:numPr>
        <w:tabs>
          <w:tab w:val="clear" w:pos="9073"/>
        </w:tabs>
        <w:rPr>
          <w:szCs w:val="24"/>
          <w:lang w:eastAsia="zh-CN"/>
        </w:rPr>
      </w:pPr>
      <w:bookmarkStart w:id="59" w:name="_Toc225931843"/>
      <w:bookmarkStart w:id="60" w:name="_Toc225931879"/>
      <w:bookmarkStart w:id="61" w:name="_Toc21961"/>
      <w:bookmarkStart w:id="62" w:name="_Toc83734765"/>
      <w:r>
        <w:rPr>
          <w:szCs w:val="24"/>
          <w:lang w:eastAsia="zh-CN"/>
        </w:rPr>
        <w:t>验收</w:t>
      </w:r>
      <w:bookmarkEnd w:id="59"/>
      <w:bookmarkEnd w:id="60"/>
      <w:bookmarkEnd w:id="61"/>
      <w:r>
        <w:rPr>
          <w:rFonts w:hint="eastAsia"/>
          <w:szCs w:val="24"/>
          <w:lang w:eastAsia="zh-CN"/>
        </w:rPr>
        <w:t xml:space="preserve"> </w:t>
      </w:r>
      <w:bookmarkEnd w:id="62"/>
    </w:p>
    <w:p w14:paraId="011B0361">
      <w:pPr>
        <w:numPr>
          <w:ilvl w:val="1"/>
          <w:numId w:val="16"/>
        </w:numPr>
        <w:rPr>
          <w:szCs w:val="24"/>
          <w:lang w:eastAsia="zh-CN"/>
        </w:rPr>
      </w:pPr>
      <w:r>
        <w:rPr>
          <w:szCs w:val="24"/>
          <w:lang w:eastAsia="zh-CN"/>
        </w:rPr>
        <w:t>验收标准：</w:t>
      </w:r>
    </w:p>
    <w:p w14:paraId="57325C68">
      <w:pPr>
        <w:numPr>
          <w:ilvl w:val="0"/>
          <w:numId w:val="19"/>
        </w:numPr>
        <w:rPr>
          <w:szCs w:val="24"/>
          <w:lang w:eastAsia="zh-CN"/>
        </w:rPr>
      </w:pPr>
      <w:r>
        <w:rPr>
          <w:rFonts w:hint="eastAsia"/>
          <w:szCs w:val="24"/>
          <w:lang w:eastAsia="zh-CN"/>
        </w:rPr>
        <w:t>乙方</w:t>
      </w:r>
      <w:r>
        <w:rPr>
          <w:szCs w:val="24"/>
          <w:lang w:eastAsia="zh-CN"/>
        </w:rPr>
        <w:t xml:space="preserve">已经完成所有约定的服务；且符合合同约定的要求 </w:t>
      </w:r>
    </w:p>
    <w:p w14:paraId="6BCABBE5">
      <w:pPr>
        <w:numPr>
          <w:ilvl w:val="0"/>
          <w:numId w:val="19"/>
        </w:numPr>
        <w:rPr>
          <w:szCs w:val="24"/>
          <w:lang w:eastAsia="zh-CN"/>
        </w:rPr>
      </w:pPr>
      <w:r>
        <w:rPr>
          <w:szCs w:val="24"/>
          <w:lang w:eastAsia="zh-CN"/>
        </w:rPr>
        <w:t>乙方已经向甲方提供本合同要求的所有文件</w:t>
      </w:r>
      <w:r>
        <w:rPr>
          <w:rFonts w:hint="eastAsia"/>
          <w:szCs w:val="24"/>
          <w:lang w:eastAsia="zh-CN"/>
        </w:rPr>
        <w:t>、视频材料等</w:t>
      </w:r>
      <w:r>
        <w:rPr>
          <w:szCs w:val="24"/>
          <w:lang w:eastAsia="zh-CN"/>
        </w:rPr>
        <w:t>；</w:t>
      </w:r>
    </w:p>
    <w:p w14:paraId="431E5C0D">
      <w:pPr>
        <w:numPr>
          <w:ilvl w:val="0"/>
          <w:numId w:val="19"/>
        </w:numPr>
        <w:rPr>
          <w:szCs w:val="24"/>
          <w:lang w:eastAsia="zh-CN"/>
        </w:rPr>
      </w:pPr>
      <w:r>
        <w:rPr>
          <w:szCs w:val="24"/>
          <w:lang w:eastAsia="zh-CN"/>
        </w:rPr>
        <w:t>乙方已更正任何缺陷。</w:t>
      </w:r>
    </w:p>
    <w:p w14:paraId="4C630126">
      <w:pPr>
        <w:numPr>
          <w:ilvl w:val="0"/>
          <w:numId w:val="19"/>
        </w:numPr>
        <w:rPr>
          <w:szCs w:val="24"/>
          <w:lang w:eastAsia="zh-CN"/>
        </w:rPr>
      </w:pPr>
      <w:r>
        <w:rPr>
          <w:szCs w:val="24"/>
          <w:lang w:eastAsia="zh-CN"/>
        </w:rPr>
        <w:t>性能保证已经达到合同中约定的</w:t>
      </w:r>
      <w:r>
        <w:rPr>
          <w:rFonts w:hint="eastAsia"/>
          <w:szCs w:val="24"/>
          <w:lang w:eastAsia="zh-CN"/>
        </w:rPr>
        <w:t>标准</w:t>
      </w:r>
      <w:r>
        <w:rPr>
          <w:szCs w:val="24"/>
          <w:lang w:eastAsia="zh-CN"/>
        </w:rPr>
        <w:t>。</w:t>
      </w:r>
    </w:p>
    <w:p w14:paraId="095F91BA">
      <w:pPr>
        <w:numPr>
          <w:ilvl w:val="1"/>
          <w:numId w:val="16"/>
        </w:numPr>
        <w:rPr>
          <w:szCs w:val="24"/>
          <w:lang w:eastAsia="zh-CN"/>
        </w:rPr>
      </w:pPr>
      <w:r>
        <w:rPr>
          <w:szCs w:val="24"/>
          <w:lang w:eastAsia="zh-CN"/>
        </w:rPr>
        <w:t>验收时间：</w:t>
      </w:r>
      <w:r>
        <w:rPr>
          <w:rFonts w:hint="eastAsia"/>
          <w:szCs w:val="24"/>
          <w:lang w:eastAsia="zh-CN"/>
        </w:rPr>
        <w:t>白蚁及红火蚁防治半年验收一次；灭鼠一年验收一次。</w:t>
      </w:r>
    </w:p>
    <w:p w14:paraId="180B3DE4">
      <w:pPr>
        <w:numPr>
          <w:ilvl w:val="1"/>
          <w:numId w:val="16"/>
        </w:numPr>
        <w:rPr>
          <w:szCs w:val="24"/>
          <w:lang w:eastAsia="zh-CN"/>
        </w:rPr>
      </w:pPr>
      <w:r>
        <w:rPr>
          <w:szCs w:val="24"/>
          <w:lang w:eastAsia="zh-CN"/>
        </w:rPr>
        <w:t>验收地点：</w:t>
      </w:r>
      <w:r>
        <w:rPr>
          <w:rFonts w:hint="eastAsia"/>
          <w:szCs w:val="24"/>
          <w:lang w:val="en-US" w:eastAsia="zh-CN"/>
        </w:rPr>
        <w:t>甲方现场。</w:t>
      </w:r>
    </w:p>
    <w:p w14:paraId="06C423FD">
      <w:pPr>
        <w:numPr>
          <w:ilvl w:val="1"/>
          <w:numId w:val="16"/>
        </w:numPr>
        <w:rPr>
          <w:szCs w:val="24"/>
          <w:lang w:eastAsia="zh-CN"/>
        </w:rPr>
      </w:pPr>
      <w:r>
        <w:rPr>
          <w:szCs w:val="24"/>
          <w:lang w:eastAsia="zh-CN"/>
        </w:rPr>
        <w:t>验收方式：甲方单方验收。</w:t>
      </w:r>
    </w:p>
    <w:p w14:paraId="00663A59">
      <w:pPr>
        <w:numPr>
          <w:ilvl w:val="1"/>
          <w:numId w:val="16"/>
        </w:numPr>
        <w:rPr>
          <w:szCs w:val="24"/>
          <w:lang w:eastAsia="zh-CN"/>
        </w:rPr>
        <w:sectPr>
          <w:pgSz w:w="12242" w:h="15842"/>
          <w:pgMar w:top="1440" w:right="1080" w:bottom="1440" w:left="1080" w:header="680" w:footer="454" w:gutter="0"/>
          <w:cols w:space="567" w:num="1"/>
          <w:docGrid w:linePitch="326" w:charSpace="0"/>
        </w:sectPr>
      </w:pPr>
      <w:r>
        <w:rPr>
          <w:szCs w:val="24"/>
          <w:lang w:eastAsia="zh-CN"/>
        </w:rPr>
        <w:t>若甲方与乙方对验收结果意见无法达成一致的，可以通过申请鉴定、申请专家评估方式验收，若验收合格的，相关鉴定费用由甲方承担，反之，由乙方承担。</w:t>
      </w:r>
      <w:r>
        <w:rPr>
          <w:rFonts w:hint="eastAsia"/>
          <w:szCs w:val="24"/>
          <w:lang w:eastAsia="zh-CN"/>
        </w:rPr>
        <w:br w:type="textWrapping"/>
      </w:r>
    </w:p>
    <w:p w14:paraId="13610AF1">
      <w:pPr>
        <w:pStyle w:val="2"/>
        <w:spacing w:before="120" w:after="120"/>
        <w:jc w:val="center"/>
        <w:rPr>
          <w:szCs w:val="24"/>
          <w:lang w:eastAsia="zh-CN"/>
        </w:rPr>
      </w:pPr>
      <w:bookmarkStart w:id="63" w:name="_Toc32206"/>
      <w:r>
        <w:t>附件B  服务费</w:t>
      </w:r>
      <w:r>
        <w:br w:type="textWrapping"/>
      </w:r>
      <w:bookmarkEnd w:id="63"/>
    </w:p>
    <w:p w14:paraId="32EAEEE5">
      <w:pPr>
        <w:pStyle w:val="3"/>
        <w:keepNext/>
        <w:numPr>
          <w:ilvl w:val="0"/>
          <w:numId w:val="20"/>
        </w:numPr>
        <w:tabs>
          <w:tab w:val="clear" w:pos="9073"/>
        </w:tabs>
        <w:rPr>
          <w:szCs w:val="24"/>
        </w:rPr>
      </w:pPr>
      <w:bookmarkStart w:id="64" w:name="_Toc20386"/>
      <w:bookmarkStart w:id="65" w:name="_Toc225931881"/>
      <w:bookmarkStart w:id="66" w:name="_Toc225931845"/>
      <w:bookmarkStart w:id="67" w:name="_Toc83734767"/>
      <w:r>
        <w:rPr>
          <w:szCs w:val="24"/>
        </w:rPr>
        <w:t>服务费的计算和构成</w:t>
      </w:r>
      <w:bookmarkEnd w:id="64"/>
      <w:bookmarkEnd w:id="65"/>
      <w:bookmarkEnd w:id="66"/>
      <w:r>
        <w:rPr>
          <w:rFonts w:hint="eastAsia"/>
          <w:szCs w:val="24"/>
          <w:lang w:eastAsia="zh-CN"/>
        </w:rPr>
        <w:t xml:space="preserve"> </w:t>
      </w:r>
      <w:bookmarkEnd w:id="67"/>
    </w:p>
    <w:p w14:paraId="6AE5192F">
      <w:pPr>
        <w:pStyle w:val="3"/>
        <w:keepNext/>
        <w:numPr>
          <w:ilvl w:val="0"/>
          <w:numId w:val="0"/>
        </w:numPr>
        <w:ind w:leftChars="0" w:firstLine="480" w:firstLineChars="200"/>
        <w:rPr>
          <w:rFonts w:hint="eastAsia" w:ascii="Times New Roman" w:hAnsi="Times New Roman" w:eastAsia="宋体" w:cs="Times New Roman"/>
          <w:b w:val="0"/>
          <w:caps w:val="0"/>
          <w:sz w:val="24"/>
          <w:szCs w:val="24"/>
          <w:lang w:val="en-US" w:eastAsia="zh-CN" w:bidi="ar-SA"/>
        </w:rPr>
      </w:pPr>
      <w:bookmarkStart w:id="68" w:name="_Toc18598"/>
      <w:bookmarkStart w:id="69" w:name="_Toc225931846"/>
      <w:bookmarkStart w:id="70" w:name="_Toc225931882"/>
      <w:bookmarkStart w:id="71" w:name="_Toc83734768"/>
      <w:r>
        <w:rPr>
          <w:rFonts w:hint="eastAsia" w:ascii="Times New Roman" w:hAnsi="Times New Roman" w:eastAsia="宋体" w:cs="Times New Roman"/>
          <w:b w:val="0"/>
          <w:caps w:val="0"/>
          <w:sz w:val="24"/>
          <w:szCs w:val="24"/>
          <w:lang w:val="en-US" w:eastAsia="zh-CN" w:bidi="ar-SA"/>
        </w:rPr>
        <w:t>白蚁及红火蚁防治</w:t>
      </w:r>
      <w:r>
        <w:rPr>
          <w:rFonts w:hint="eastAsia" w:cs="Times New Roman"/>
          <w:b w:val="0"/>
          <w:caps w:val="0"/>
          <w:sz w:val="24"/>
          <w:szCs w:val="24"/>
          <w:lang w:val="en-US" w:eastAsia="zh-CN" w:bidi="ar-SA"/>
        </w:rPr>
        <w:t>服务</w:t>
      </w:r>
      <w:r>
        <w:rPr>
          <w:rFonts w:ascii="Times New Roman" w:hAnsi="Times New Roman" w:eastAsia="宋体" w:cs="Times New Roman"/>
          <w:b w:val="0"/>
          <w:caps w:val="0"/>
          <w:sz w:val="24"/>
          <w:szCs w:val="24"/>
          <w:lang w:val="en-US" w:eastAsia="zh-CN" w:bidi="ar-SA"/>
        </w:rPr>
        <w:t>固定总价</w:t>
      </w:r>
      <w:r>
        <w:rPr>
          <w:rFonts w:hint="eastAsia" w:ascii="Times New Roman" w:hAnsi="Times New Roman" w:eastAsia="宋体" w:cs="Times New Roman"/>
          <w:b w:val="0"/>
          <w:caps w:val="0"/>
          <w:sz w:val="24"/>
          <w:szCs w:val="24"/>
          <w:highlight w:val="yellow"/>
          <w:lang w:val="en-US" w:eastAsia="zh-CN" w:bidi="ar-SA"/>
        </w:rPr>
        <w:t xml:space="preserve">     元</w:t>
      </w:r>
      <w:r>
        <w:rPr>
          <w:rFonts w:hint="eastAsia" w:ascii="Times New Roman" w:hAnsi="Times New Roman" w:eastAsia="宋体" w:cs="Times New Roman"/>
          <w:b w:val="0"/>
          <w:caps w:val="0"/>
          <w:sz w:val="24"/>
          <w:szCs w:val="24"/>
          <w:lang w:val="en-US" w:eastAsia="zh-CN" w:bidi="ar-SA"/>
        </w:rPr>
        <w:t>，其中每半年服务费为</w:t>
      </w:r>
      <w:r>
        <w:rPr>
          <w:rFonts w:hint="eastAsia" w:ascii="Times New Roman" w:hAnsi="Times New Roman" w:eastAsia="宋体" w:cs="Times New Roman"/>
          <w:b w:val="0"/>
          <w:caps w:val="0"/>
          <w:sz w:val="24"/>
          <w:szCs w:val="24"/>
          <w:highlight w:val="yellow"/>
          <w:lang w:val="en-US" w:eastAsia="zh-CN" w:bidi="ar-SA"/>
        </w:rPr>
        <w:t xml:space="preserve">      元</w:t>
      </w:r>
      <w:r>
        <w:rPr>
          <w:rFonts w:hint="eastAsia" w:ascii="Times New Roman" w:hAnsi="Times New Roman" w:eastAsia="宋体" w:cs="Times New Roman"/>
          <w:b w:val="0"/>
          <w:caps w:val="0"/>
          <w:sz w:val="24"/>
          <w:szCs w:val="24"/>
          <w:lang w:val="en-US" w:eastAsia="zh-CN" w:bidi="ar-SA"/>
        </w:rPr>
        <w:t>。</w:t>
      </w:r>
      <w:bookmarkEnd w:id="68"/>
    </w:p>
    <w:p w14:paraId="608A533A">
      <w:pPr>
        <w:pStyle w:val="3"/>
        <w:keepNext/>
        <w:numPr>
          <w:ilvl w:val="0"/>
          <w:numId w:val="0"/>
        </w:numPr>
        <w:ind w:leftChars="0" w:firstLine="480" w:firstLineChars="200"/>
        <w:rPr>
          <w:rFonts w:ascii="Times New Roman" w:hAnsi="Times New Roman" w:eastAsia="宋体" w:cs="Times New Roman"/>
          <w:b w:val="0"/>
          <w:caps w:val="0"/>
          <w:sz w:val="24"/>
          <w:szCs w:val="24"/>
          <w:lang w:val="en-US" w:eastAsia="zh-CN" w:bidi="ar-SA"/>
        </w:rPr>
      </w:pPr>
      <w:bookmarkStart w:id="72" w:name="_Toc28042"/>
      <w:r>
        <w:rPr>
          <w:rFonts w:hint="eastAsia" w:ascii="Times New Roman" w:hAnsi="Times New Roman" w:eastAsia="宋体" w:cs="Times New Roman"/>
          <w:b w:val="0"/>
          <w:caps w:val="0"/>
          <w:sz w:val="24"/>
          <w:szCs w:val="24"/>
          <w:lang w:val="en-US" w:eastAsia="zh-CN" w:bidi="ar-SA"/>
        </w:rPr>
        <w:t>灭鼠</w:t>
      </w:r>
      <w:r>
        <w:rPr>
          <w:rFonts w:hint="eastAsia" w:cs="Times New Roman"/>
          <w:b w:val="0"/>
          <w:caps w:val="0"/>
          <w:sz w:val="24"/>
          <w:szCs w:val="24"/>
          <w:lang w:val="en-US" w:eastAsia="zh-CN" w:bidi="ar-SA"/>
        </w:rPr>
        <w:t>服务固定服务</w:t>
      </w:r>
      <w:r>
        <w:rPr>
          <w:rFonts w:hint="eastAsia" w:ascii="Times New Roman" w:hAnsi="Times New Roman" w:eastAsia="宋体" w:cs="Times New Roman"/>
          <w:b w:val="0"/>
          <w:caps w:val="0"/>
          <w:sz w:val="24"/>
          <w:szCs w:val="24"/>
          <w:lang w:val="en-US" w:eastAsia="zh-CN" w:bidi="ar-SA"/>
        </w:rPr>
        <w:t>单价</w:t>
      </w:r>
      <w:r>
        <w:rPr>
          <w:rFonts w:hint="eastAsia" w:cs="Times New Roman"/>
          <w:b w:val="0"/>
          <w:caps w:val="0"/>
          <w:sz w:val="24"/>
          <w:szCs w:val="24"/>
          <w:lang w:val="en-US" w:eastAsia="zh-CN" w:bidi="ar-SA"/>
        </w:rPr>
        <w:t>为</w:t>
      </w:r>
      <w:r>
        <w:rPr>
          <w:rFonts w:hint="eastAsia" w:cs="Times New Roman"/>
          <w:b w:val="0"/>
          <w:caps w:val="0"/>
          <w:sz w:val="24"/>
          <w:szCs w:val="24"/>
          <w:highlight w:val="yellow"/>
          <w:lang w:val="en-US" w:eastAsia="zh-CN" w:bidi="ar-SA"/>
        </w:rPr>
        <w:t xml:space="preserve">   元/平方米.年</w:t>
      </w:r>
      <w:r>
        <w:rPr>
          <w:rFonts w:hint="eastAsia" w:ascii="Times New Roman" w:hAnsi="Times New Roman" w:eastAsia="宋体" w:cs="Times New Roman"/>
          <w:b w:val="0"/>
          <w:caps w:val="0"/>
          <w:sz w:val="24"/>
          <w:szCs w:val="24"/>
          <w:lang w:val="en-US" w:eastAsia="zh-CN" w:bidi="ar-SA"/>
        </w:rPr>
        <w:t>，满1年度结算。</w:t>
      </w:r>
      <w:bookmarkEnd w:id="72"/>
    </w:p>
    <w:p w14:paraId="1E2DE59D">
      <w:pPr>
        <w:pStyle w:val="3"/>
        <w:keepNext/>
        <w:numPr>
          <w:ilvl w:val="0"/>
          <w:numId w:val="21"/>
        </w:numPr>
        <w:tabs>
          <w:tab w:val="clear" w:pos="9073"/>
        </w:tabs>
        <w:rPr>
          <w:szCs w:val="24"/>
        </w:rPr>
      </w:pPr>
      <w:bookmarkStart w:id="73" w:name="_Toc31936"/>
      <w:r>
        <w:rPr>
          <w:szCs w:val="24"/>
        </w:rPr>
        <w:t>结算及付款方式</w:t>
      </w:r>
      <w:bookmarkEnd w:id="69"/>
      <w:bookmarkEnd w:id="70"/>
      <w:bookmarkEnd w:id="73"/>
      <w:r>
        <w:rPr>
          <w:rFonts w:hint="eastAsia"/>
          <w:szCs w:val="24"/>
          <w:lang w:eastAsia="zh-CN"/>
        </w:rPr>
        <w:t xml:space="preserve"> </w:t>
      </w:r>
      <w:bookmarkEnd w:id="71"/>
    </w:p>
    <w:p w14:paraId="4E92CA45">
      <w:pPr>
        <w:adjustRightInd w:val="0"/>
        <w:snapToGrid w:val="0"/>
        <w:ind w:firstLine="480" w:firstLineChars="200"/>
        <w:rPr>
          <w:rFonts w:hAnsi="宋体"/>
          <w:color w:val="000000"/>
          <w:sz w:val="21"/>
          <w:szCs w:val="21"/>
          <w:lang w:eastAsia="zh-CN"/>
        </w:rPr>
      </w:pPr>
      <w:bookmarkStart w:id="74" w:name="_Toc191382146"/>
      <w:bookmarkStart w:id="75" w:name="_Toc121889570"/>
      <w:r>
        <w:rPr>
          <w:rFonts w:hint="eastAsia"/>
          <w:szCs w:val="24"/>
          <w:lang w:eastAsia="zh-CN"/>
        </w:rPr>
        <w:t>乙方提交的合同约定成果，经甲方验收合格后结算。验收及结算表见附件D。</w:t>
      </w:r>
    </w:p>
    <w:p w14:paraId="72B17393">
      <w:pPr>
        <w:ind w:firstLine="480" w:firstLineChars="200"/>
        <w:rPr>
          <w:rFonts w:hint="eastAsia"/>
          <w:szCs w:val="24"/>
          <w:lang w:eastAsia="zh-CN"/>
        </w:rPr>
        <w:sectPr>
          <w:pgSz w:w="12242" w:h="15842"/>
          <w:pgMar w:top="1440" w:right="1080" w:bottom="1440" w:left="1080" w:header="680" w:footer="454" w:gutter="0"/>
          <w:cols w:space="567" w:num="1"/>
          <w:docGrid w:linePitch="326" w:charSpace="0"/>
        </w:sectPr>
      </w:pPr>
      <w:r>
        <w:rPr>
          <w:rFonts w:hint="eastAsia"/>
          <w:szCs w:val="24"/>
          <w:lang w:eastAsia="zh-CN"/>
        </w:rPr>
        <w:t>白蚁及红火蚁防治服务每半年支付一次。指定需求区域进行灭鼠一年支付一次。验收结算后，办理付款</w:t>
      </w:r>
      <w:r>
        <w:rPr>
          <w:szCs w:val="24"/>
          <w:lang w:eastAsia="zh-CN"/>
        </w:rPr>
        <w:t>，</w:t>
      </w:r>
      <w:r>
        <w:rPr>
          <w:rFonts w:hint="eastAsia"/>
          <w:szCs w:val="24"/>
          <w:lang w:eastAsia="zh-CN"/>
        </w:rPr>
        <w:t xml:space="preserve">具体付款方式按合同正文“7 </w:t>
      </w:r>
      <w:r>
        <w:rPr>
          <w:szCs w:val="24"/>
          <w:lang w:eastAsia="zh-CN"/>
        </w:rPr>
        <w:t>付款、</w:t>
      </w:r>
      <w:r>
        <w:rPr>
          <w:rFonts w:hint="eastAsia"/>
          <w:szCs w:val="24"/>
          <w:lang w:eastAsia="zh-CN"/>
        </w:rPr>
        <w:t>税费和</w:t>
      </w:r>
      <w:r>
        <w:rPr>
          <w:szCs w:val="24"/>
          <w:lang w:eastAsia="zh-CN"/>
        </w:rPr>
        <w:t>发票</w:t>
      </w:r>
      <w:r>
        <w:rPr>
          <w:rFonts w:hint="eastAsia"/>
          <w:szCs w:val="24"/>
          <w:lang w:eastAsia="zh-CN"/>
        </w:rPr>
        <w:t>”执行。</w:t>
      </w:r>
    </w:p>
    <w:p w14:paraId="2E9B28D0">
      <w:pPr>
        <w:pStyle w:val="2"/>
        <w:spacing w:before="120" w:after="120"/>
        <w:jc w:val="center"/>
        <w:rPr>
          <w:lang w:eastAsia="zh-CN"/>
        </w:rPr>
      </w:pPr>
      <w:bookmarkStart w:id="76" w:name="_Toc3179"/>
      <w:bookmarkStart w:id="77" w:name="_Toc465953272"/>
      <w:bookmarkStart w:id="78" w:name="_Toc460080721"/>
      <w:r>
        <w:rPr>
          <w:rFonts w:hint="eastAsia"/>
          <w:lang w:eastAsia="zh-CN"/>
        </w:rPr>
        <w:t>附件C</w:t>
      </w:r>
      <w:r>
        <w:rPr>
          <w:lang w:eastAsia="zh-CN"/>
        </w:rPr>
        <w:t xml:space="preserve"> </w:t>
      </w:r>
      <w:r>
        <w:rPr>
          <w:rFonts w:hint="eastAsia"/>
          <w:lang w:val="en-US" w:eastAsia="zh-CN"/>
        </w:rPr>
        <w:t xml:space="preserve"> </w:t>
      </w:r>
      <w:r>
        <w:rPr>
          <w:rFonts w:hint="eastAsia"/>
          <w:lang w:eastAsia="zh-CN"/>
        </w:rPr>
        <w:t>承包商管理</w:t>
      </w:r>
      <w:bookmarkEnd w:id="76"/>
      <w:bookmarkEnd w:id="77"/>
      <w:bookmarkEnd w:id="78"/>
    </w:p>
    <w:p w14:paraId="33829C7B">
      <w:pPr>
        <w:rPr>
          <w:szCs w:val="24"/>
          <w:lang w:eastAsia="zh-CN"/>
        </w:rPr>
      </w:pPr>
    </w:p>
    <w:p w14:paraId="36C4EB93">
      <w:pPr>
        <w:rPr>
          <w:rFonts w:hint="eastAsia"/>
          <w:szCs w:val="24"/>
          <w:lang w:eastAsia="zh-CN"/>
        </w:rPr>
        <w:sectPr>
          <w:pgSz w:w="12242" w:h="15842"/>
          <w:pgMar w:top="1440" w:right="1080" w:bottom="1440" w:left="1080" w:header="680" w:footer="454" w:gutter="0"/>
          <w:cols w:space="567" w:num="1"/>
          <w:docGrid w:linePitch="326" w:charSpace="0"/>
        </w:sectPr>
      </w:pPr>
      <w:r>
        <w:rPr>
          <w:szCs w:val="24"/>
          <w:lang w:eastAsia="zh-CN"/>
        </w:rPr>
        <w:t>        </w:t>
      </w:r>
      <w:r>
        <w:rPr>
          <w:rFonts w:hint="eastAsia"/>
          <w:szCs w:val="24"/>
          <w:lang w:eastAsia="zh-CN"/>
        </w:rPr>
        <w:t>乙方应严格遵守甲方有关承办商的管理规定，承包商管理执行</w:t>
      </w:r>
      <w:r>
        <w:rPr>
          <w:szCs w:val="24"/>
          <w:lang w:eastAsia="zh-CN"/>
        </w:rPr>
        <w:t>FREP OIMS8.1</w:t>
      </w:r>
      <w:r>
        <w:fldChar w:fldCharType="begin"/>
      </w:r>
      <w:r>
        <w:instrText xml:space="preserve"> HYPERLINK "http://eip.frep.com/omis/oims三级程序文件/oims8.1第三方服务" </w:instrText>
      </w:r>
      <w:r>
        <w:fldChar w:fldCharType="separate"/>
      </w:r>
      <w:r>
        <w:rPr>
          <w:szCs w:val="24"/>
          <w:lang w:eastAsia="zh-CN"/>
        </w:rPr>
        <w:t>OIMS8.1</w:t>
      </w:r>
      <w:r>
        <w:rPr>
          <w:rFonts w:hint="eastAsia"/>
          <w:szCs w:val="24"/>
          <w:lang w:eastAsia="zh-CN"/>
        </w:rPr>
        <w:t>第三方服务</w:t>
      </w:r>
      <w:r>
        <w:rPr>
          <w:rFonts w:hint="eastAsia"/>
          <w:szCs w:val="24"/>
          <w:lang w:eastAsia="zh-CN"/>
        </w:rPr>
        <w:fldChar w:fldCharType="end"/>
      </w:r>
      <w:r>
        <w:rPr>
          <w:rFonts w:hint="eastAsia"/>
          <w:szCs w:val="24"/>
          <w:lang w:eastAsia="zh-CN"/>
        </w:rPr>
        <w:t>程序文件。其中，《承包商管理程序》、《</w:t>
      </w:r>
      <w:r>
        <w:fldChar w:fldCharType="begin"/>
      </w:r>
      <w:r>
        <w:instrText xml:space="preserve"> HYPERLINK "http://eip.frep.com/omis/OIMS三级程序文件/OIMS8.1第三方服务/承包商绩效考核管理标准/frep8400FREP-TR-15-1143--综合服务类别分级标准（双语）.xlsx" </w:instrText>
      </w:r>
      <w:r>
        <w:fldChar w:fldCharType="separate"/>
      </w:r>
      <w:r>
        <w:rPr>
          <w:szCs w:val="24"/>
          <w:lang w:eastAsia="zh-CN"/>
        </w:rPr>
        <w:t>frep8400FREP-TR-15-1143--</w:t>
      </w:r>
      <w:r>
        <w:rPr>
          <w:rFonts w:hint="eastAsia"/>
          <w:szCs w:val="24"/>
          <w:lang w:eastAsia="zh-CN"/>
        </w:rPr>
        <w:t>综合服务类别分级标准》</w:t>
      </w:r>
      <w:r>
        <w:rPr>
          <w:rFonts w:hint="eastAsia"/>
          <w:szCs w:val="24"/>
          <w:lang w:eastAsia="zh-CN"/>
        </w:rPr>
        <w:fldChar w:fldCharType="end"/>
      </w:r>
      <w:r>
        <w:rPr>
          <w:rFonts w:hint="eastAsia"/>
          <w:szCs w:val="24"/>
          <w:lang w:eastAsia="zh-CN"/>
        </w:rPr>
        <w:t>、《</w:t>
      </w:r>
      <w:r>
        <w:fldChar w:fldCharType="begin"/>
      </w:r>
      <w:r>
        <w:instrText xml:space="preserve"> HYPERLINK "http://eip.frep.com/omis/OIMS三级程序文件/OIMS8.1第三方服务/承包商绩效考核管理标准/-TR-15-1142--OIMS8.1承包商绩效考核管理标准（双语）.pdf" </w:instrText>
      </w:r>
      <w:r>
        <w:fldChar w:fldCharType="separate"/>
      </w:r>
      <w:r>
        <w:rPr>
          <w:szCs w:val="24"/>
          <w:lang w:eastAsia="zh-CN"/>
        </w:rPr>
        <w:t>-TR-15-1142--OIMS8.1</w:t>
      </w:r>
      <w:r>
        <w:rPr>
          <w:rFonts w:hint="eastAsia"/>
          <w:szCs w:val="24"/>
          <w:lang w:eastAsia="zh-CN"/>
        </w:rPr>
        <w:t>承包商绩效考核管理标准（双语）</w:t>
      </w:r>
      <w:r>
        <w:rPr>
          <w:rFonts w:hint="eastAsia"/>
          <w:szCs w:val="24"/>
          <w:lang w:eastAsia="zh-CN"/>
        </w:rPr>
        <w:fldChar w:fldCharType="end"/>
      </w:r>
      <w:r>
        <w:rPr>
          <w:rFonts w:hint="eastAsia"/>
          <w:szCs w:val="24"/>
          <w:lang w:eastAsia="zh-CN"/>
        </w:rPr>
        <w:t>》、《</w:t>
      </w:r>
      <w:r>
        <w:fldChar w:fldCharType="begin"/>
      </w:r>
      <w:r>
        <w:instrText xml:space="preserve"> HYPERLINK "http://eip.frep.com/omis/OIMS三级程序文件/OIMS8.1第三方服务/承包商绩效考核管理标准/SAI-不安全行为类别分级标准(双语).xlsx" </w:instrText>
      </w:r>
      <w:r>
        <w:fldChar w:fldCharType="separate"/>
      </w:r>
      <w:r>
        <w:rPr>
          <w:szCs w:val="24"/>
          <w:lang w:eastAsia="zh-CN"/>
        </w:rPr>
        <w:t>SAI-</w:t>
      </w:r>
      <w:r>
        <w:rPr>
          <w:rFonts w:hint="eastAsia"/>
          <w:szCs w:val="24"/>
          <w:lang w:eastAsia="zh-CN"/>
        </w:rPr>
        <w:t>不安全行为类别分级标准》</w:t>
      </w:r>
      <w:r>
        <w:rPr>
          <w:rFonts w:hint="eastAsia"/>
          <w:szCs w:val="24"/>
          <w:lang w:eastAsia="zh-CN"/>
        </w:rPr>
        <w:fldChar w:fldCharType="end"/>
      </w:r>
      <w:r>
        <w:rPr>
          <w:rFonts w:hint="eastAsia"/>
          <w:szCs w:val="24"/>
          <w:lang w:eastAsia="zh-CN"/>
        </w:rPr>
        <w:t>为主要文件，这些文件将在承包商员工培训时进行宣贯，合同中不再另附。乙方应严格遵守甲方以上相关管理制度，若乙方违反甲方的相关规定，甲方将视情节轻重给予警告或经济处罚。若对于存在安全隐患的事项，乙方未能及时整改，将按照每次2000元扣罚直至完成整改，且甲方有权单方面终止部分或全部合同。</w:t>
      </w:r>
    </w:p>
    <w:p w14:paraId="463DECA6">
      <w:pPr>
        <w:pStyle w:val="2"/>
        <w:spacing w:before="120" w:after="120"/>
        <w:jc w:val="center"/>
        <w:rPr>
          <w:rFonts w:hint="eastAsia"/>
          <w:lang w:eastAsia="zh-CN"/>
        </w:rPr>
      </w:pPr>
      <w:bookmarkStart w:id="79" w:name="_Toc16563"/>
      <w:r>
        <w:rPr>
          <w:rFonts w:hint="eastAsia"/>
          <w:lang w:eastAsia="zh-CN"/>
        </w:rPr>
        <w:t>附件D</w:t>
      </w:r>
      <w:r>
        <w:rPr>
          <w:rFonts w:hint="eastAsia"/>
          <w:lang w:val="en-US" w:eastAsia="zh-CN"/>
        </w:rPr>
        <w:t xml:space="preserve">  </w:t>
      </w:r>
      <w:r>
        <w:rPr>
          <w:rFonts w:hint="eastAsia"/>
          <w:lang w:eastAsia="zh-CN"/>
        </w:rPr>
        <w:t>考核表</w:t>
      </w:r>
      <w:bookmarkEnd w:id="79"/>
    </w:p>
    <w:tbl>
      <w:tblPr>
        <w:tblStyle w:val="18"/>
        <w:tblW w:w="9981" w:type="dxa"/>
        <w:tblInd w:w="93" w:type="dxa"/>
        <w:tblLayout w:type="autofit"/>
        <w:tblCellMar>
          <w:top w:w="0" w:type="dxa"/>
          <w:left w:w="108" w:type="dxa"/>
          <w:bottom w:w="0" w:type="dxa"/>
          <w:right w:w="108" w:type="dxa"/>
        </w:tblCellMar>
      </w:tblPr>
      <w:tblGrid>
        <w:gridCol w:w="1483"/>
        <w:gridCol w:w="517"/>
        <w:gridCol w:w="607"/>
        <w:gridCol w:w="102"/>
        <w:gridCol w:w="3540"/>
        <w:gridCol w:w="1988"/>
        <w:gridCol w:w="709"/>
        <w:gridCol w:w="1035"/>
      </w:tblGrid>
      <w:tr w14:paraId="75AFEE20">
        <w:tblPrEx>
          <w:tblCellMar>
            <w:top w:w="0" w:type="dxa"/>
            <w:left w:w="108" w:type="dxa"/>
            <w:bottom w:w="0" w:type="dxa"/>
            <w:right w:w="108" w:type="dxa"/>
          </w:tblCellMar>
        </w:tblPrEx>
        <w:trPr>
          <w:trHeight w:val="1140" w:hRule="atLeast"/>
        </w:trPr>
        <w:tc>
          <w:tcPr>
            <w:tcW w:w="9981" w:type="dxa"/>
            <w:gridSpan w:val="8"/>
            <w:tcBorders>
              <w:top w:val="nil"/>
              <w:left w:val="nil"/>
              <w:bottom w:val="single" w:color="auto" w:sz="4" w:space="0"/>
              <w:right w:val="nil"/>
            </w:tcBorders>
            <w:shd w:val="clear" w:color="auto" w:fill="auto"/>
            <w:noWrap/>
            <w:vAlign w:val="center"/>
          </w:tcPr>
          <w:p w14:paraId="3D32F21E">
            <w:pPr>
              <w:spacing w:line="240" w:lineRule="auto"/>
              <w:jc w:val="center"/>
              <w:rPr>
                <w:rFonts w:cs="宋体" w:asciiTheme="minorEastAsia" w:hAnsiTheme="minorEastAsia" w:eastAsiaTheme="minorEastAsia"/>
                <w:color w:val="000000"/>
                <w:sz w:val="28"/>
                <w:szCs w:val="28"/>
                <w:lang w:eastAsia="zh-CN"/>
              </w:rPr>
            </w:pPr>
            <w:r>
              <w:rPr>
                <w:rFonts w:hint="eastAsia" w:cs="宋体" w:asciiTheme="minorEastAsia" w:hAnsiTheme="minorEastAsia" w:eastAsiaTheme="minorEastAsia"/>
                <w:color w:val="000000"/>
                <w:sz w:val="28"/>
                <w:szCs w:val="28"/>
                <w:lang w:eastAsia="zh-CN"/>
              </w:rPr>
              <w:t>白蚁及红火蚁防治考核表</w:t>
            </w:r>
          </w:p>
        </w:tc>
      </w:tr>
      <w:tr w14:paraId="37124B1D">
        <w:tblPrEx>
          <w:tblCellMar>
            <w:top w:w="0" w:type="dxa"/>
            <w:left w:w="108" w:type="dxa"/>
            <w:bottom w:w="0" w:type="dxa"/>
            <w:right w:w="108" w:type="dxa"/>
          </w:tblCellMar>
        </w:tblPrEx>
        <w:trPr>
          <w:trHeight w:val="324" w:hRule="atLeast"/>
        </w:trPr>
        <w:tc>
          <w:tcPr>
            <w:tcW w:w="6249"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551DA3DE">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考核时间段：</w:t>
            </w:r>
          </w:p>
        </w:tc>
        <w:tc>
          <w:tcPr>
            <w:tcW w:w="1988" w:type="dxa"/>
            <w:vMerge w:val="restart"/>
            <w:tcBorders>
              <w:top w:val="nil"/>
              <w:left w:val="single" w:color="auto" w:sz="4" w:space="0"/>
              <w:bottom w:val="single" w:color="000000" w:sz="4" w:space="0"/>
              <w:right w:val="single" w:color="auto" w:sz="4" w:space="0"/>
            </w:tcBorders>
            <w:shd w:val="clear" w:color="auto" w:fill="auto"/>
            <w:noWrap/>
            <w:vAlign w:val="center"/>
          </w:tcPr>
          <w:p w14:paraId="1AE5FC32">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扣款标准</w:t>
            </w:r>
          </w:p>
        </w:tc>
        <w:tc>
          <w:tcPr>
            <w:tcW w:w="709" w:type="dxa"/>
            <w:vMerge w:val="restart"/>
            <w:tcBorders>
              <w:top w:val="nil"/>
              <w:left w:val="single" w:color="auto" w:sz="4" w:space="0"/>
              <w:bottom w:val="single" w:color="000000" w:sz="4" w:space="0"/>
              <w:right w:val="single" w:color="auto" w:sz="4" w:space="0"/>
            </w:tcBorders>
            <w:shd w:val="clear" w:color="auto" w:fill="auto"/>
            <w:noWrap/>
            <w:vAlign w:val="center"/>
          </w:tcPr>
          <w:p w14:paraId="50EAA1A0">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扣款</w:t>
            </w:r>
          </w:p>
        </w:tc>
        <w:tc>
          <w:tcPr>
            <w:tcW w:w="1035" w:type="dxa"/>
            <w:vMerge w:val="restart"/>
            <w:tcBorders>
              <w:top w:val="nil"/>
              <w:left w:val="single" w:color="auto" w:sz="4" w:space="0"/>
              <w:bottom w:val="single" w:color="000000" w:sz="4" w:space="0"/>
              <w:right w:val="single" w:color="auto" w:sz="4" w:space="0"/>
            </w:tcBorders>
            <w:shd w:val="clear" w:color="auto" w:fill="auto"/>
            <w:noWrap/>
            <w:vAlign w:val="center"/>
          </w:tcPr>
          <w:p w14:paraId="3E9AE4BA">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备注</w:t>
            </w:r>
          </w:p>
        </w:tc>
      </w:tr>
      <w:tr w14:paraId="7D23753A">
        <w:tblPrEx>
          <w:tblCellMar>
            <w:top w:w="0" w:type="dxa"/>
            <w:left w:w="108" w:type="dxa"/>
            <w:bottom w:w="0" w:type="dxa"/>
            <w:right w:w="108" w:type="dxa"/>
          </w:tblCellMar>
        </w:tblPrEx>
        <w:trPr>
          <w:trHeight w:val="365" w:hRule="atLeast"/>
        </w:trPr>
        <w:tc>
          <w:tcPr>
            <w:tcW w:w="1483" w:type="dxa"/>
            <w:tcBorders>
              <w:top w:val="nil"/>
              <w:left w:val="single" w:color="auto" w:sz="4" w:space="0"/>
              <w:bottom w:val="single" w:color="auto" w:sz="4" w:space="0"/>
              <w:right w:val="single" w:color="auto" w:sz="4" w:space="0"/>
            </w:tcBorders>
            <w:shd w:val="clear" w:color="auto" w:fill="auto"/>
            <w:noWrap/>
            <w:vAlign w:val="center"/>
          </w:tcPr>
          <w:p w14:paraId="0F0D99EE">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服务区域</w:t>
            </w:r>
          </w:p>
        </w:tc>
        <w:tc>
          <w:tcPr>
            <w:tcW w:w="4766" w:type="dxa"/>
            <w:gridSpan w:val="4"/>
            <w:tcBorders>
              <w:top w:val="single" w:color="auto" w:sz="4" w:space="0"/>
              <w:left w:val="nil"/>
              <w:bottom w:val="single" w:color="auto" w:sz="4" w:space="0"/>
              <w:right w:val="single" w:color="000000" w:sz="4" w:space="0"/>
            </w:tcBorders>
            <w:shd w:val="clear" w:color="auto" w:fill="auto"/>
            <w:noWrap/>
            <w:vAlign w:val="center"/>
          </w:tcPr>
          <w:p w14:paraId="74237765">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考核条款</w:t>
            </w:r>
          </w:p>
        </w:tc>
        <w:tc>
          <w:tcPr>
            <w:tcW w:w="1988" w:type="dxa"/>
            <w:vMerge w:val="continue"/>
            <w:tcBorders>
              <w:top w:val="nil"/>
              <w:left w:val="single" w:color="auto" w:sz="4" w:space="0"/>
              <w:bottom w:val="single" w:color="000000" w:sz="4" w:space="0"/>
              <w:right w:val="single" w:color="auto" w:sz="4" w:space="0"/>
            </w:tcBorders>
            <w:vAlign w:val="center"/>
          </w:tcPr>
          <w:p w14:paraId="7CC30F03">
            <w:pPr>
              <w:spacing w:line="240" w:lineRule="auto"/>
              <w:jc w:val="left"/>
              <w:rPr>
                <w:rFonts w:cs="宋体" w:asciiTheme="minorEastAsia" w:hAnsiTheme="minorEastAsia" w:eastAsiaTheme="minorEastAsia"/>
                <w:color w:val="000000"/>
                <w:sz w:val="18"/>
                <w:szCs w:val="18"/>
                <w:lang w:eastAsia="zh-CN"/>
              </w:rPr>
            </w:pPr>
          </w:p>
        </w:tc>
        <w:tc>
          <w:tcPr>
            <w:tcW w:w="709" w:type="dxa"/>
            <w:vMerge w:val="continue"/>
            <w:tcBorders>
              <w:top w:val="nil"/>
              <w:left w:val="single" w:color="auto" w:sz="4" w:space="0"/>
              <w:bottom w:val="single" w:color="000000" w:sz="4" w:space="0"/>
              <w:right w:val="single" w:color="auto" w:sz="4" w:space="0"/>
            </w:tcBorders>
            <w:vAlign w:val="center"/>
          </w:tcPr>
          <w:p w14:paraId="38AA11B6">
            <w:pPr>
              <w:spacing w:line="240" w:lineRule="auto"/>
              <w:jc w:val="left"/>
              <w:rPr>
                <w:rFonts w:cs="宋体" w:asciiTheme="minorEastAsia" w:hAnsiTheme="minorEastAsia" w:eastAsiaTheme="minorEastAsia"/>
                <w:color w:val="000000"/>
                <w:sz w:val="18"/>
                <w:szCs w:val="18"/>
                <w:lang w:eastAsia="zh-CN"/>
              </w:rPr>
            </w:pPr>
          </w:p>
        </w:tc>
        <w:tc>
          <w:tcPr>
            <w:tcW w:w="1035" w:type="dxa"/>
            <w:vMerge w:val="continue"/>
            <w:tcBorders>
              <w:top w:val="nil"/>
              <w:left w:val="single" w:color="auto" w:sz="4" w:space="0"/>
              <w:bottom w:val="single" w:color="000000" w:sz="4" w:space="0"/>
              <w:right w:val="single" w:color="auto" w:sz="4" w:space="0"/>
            </w:tcBorders>
            <w:vAlign w:val="center"/>
          </w:tcPr>
          <w:p w14:paraId="02381CF9">
            <w:pPr>
              <w:spacing w:line="240" w:lineRule="auto"/>
              <w:jc w:val="left"/>
              <w:rPr>
                <w:rFonts w:cs="宋体" w:asciiTheme="minorEastAsia" w:hAnsiTheme="minorEastAsia" w:eastAsiaTheme="minorEastAsia"/>
                <w:color w:val="000000"/>
                <w:sz w:val="18"/>
                <w:szCs w:val="18"/>
                <w:lang w:eastAsia="zh-CN"/>
              </w:rPr>
            </w:pPr>
          </w:p>
        </w:tc>
      </w:tr>
      <w:tr w14:paraId="7B8AD408">
        <w:tblPrEx>
          <w:tblCellMar>
            <w:top w:w="0" w:type="dxa"/>
            <w:left w:w="108" w:type="dxa"/>
            <w:bottom w:w="0" w:type="dxa"/>
            <w:right w:w="108" w:type="dxa"/>
          </w:tblCellMar>
        </w:tblPrEx>
        <w:trPr>
          <w:trHeight w:val="354" w:hRule="atLeast"/>
        </w:trPr>
        <w:tc>
          <w:tcPr>
            <w:tcW w:w="1483" w:type="dxa"/>
            <w:vMerge w:val="restart"/>
            <w:tcBorders>
              <w:top w:val="nil"/>
              <w:left w:val="single" w:color="auto" w:sz="4" w:space="0"/>
              <w:bottom w:val="single" w:color="auto" w:sz="4" w:space="0"/>
              <w:right w:val="single" w:color="auto" w:sz="4" w:space="0"/>
            </w:tcBorders>
            <w:shd w:val="clear" w:color="auto" w:fill="auto"/>
            <w:noWrap/>
            <w:vAlign w:val="center"/>
          </w:tcPr>
          <w:p w14:paraId="52510689">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考核内容</w:t>
            </w:r>
          </w:p>
        </w:tc>
        <w:tc>
          <w:tcPr>
            <w:tcW w:w="517" w:type="dxa"/>
            <w:vMerge w:val="restart"/>
            <w:tcBorders>
              <w:top w:val="nil"/>
              <w:left w:val="nil"/>
              <w:right w:val="single" w:color="auto" w:sz="4" w:space="0"/>
            </w:tcBorders>
            <w:shd w:val="clear" w:color="auto" w:fill="auto"/>
            <w:noWrap/>
            <w:vAlign w:val="center"/>
          </w:tcPr>
          <w:p w14:paraId="242BC427">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w:t>
            </w:r>
          </w:p>
        </w:tc>
        <w:tc>
          <w:tcPr>
            <w:tcW w:w="709" w:type="dxa"/>
            <w:gridSpan w:val="2"/>
            <w:vMerge w:val="restart"/>
            <w:tcBorders>
              <w:top w:val="nil"/>
              <w:left w:val="nil"/>
              <w:right w:val="single" w:color="auto" w:sz="4" w:space="0"/>
            </w:tcBorders>
            <w:shd w:val="clear" w:color="auto" w:fill="auto"/>
            <w:vAlign w:val="center"/>
          </w:tcPr>
          <w:p w14:paraId="6ABC7032">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安全设备配备</w:t>
            </w:r>
          </w:p>
        </w:tc>
        <w:tc>
          <w:tcPr>
            <w:tcW w:w="3540" w:type="dxa"/>
            <w:tcBorders>
              <w:top w:val="nil"/>
              <w:left w:val="nil"/>
              <w:bottom w:val="single" w:color="auto" w:sz="4" w:space="0"/>
              <w:right w:val="single" w:color="auto" w:sz="4" w:space="0"/>
            </w:tcBorders>
            <w:shd w:val="clear" w:color="auto" w:fill="auto"/>
            <w:vAlign w:val="center"/>
          </w:tcPr>
          <w:p w14:paraId="35F65501">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需配备防爆手机一台。</w:t>
            </w:r>
          </w:p>
        </w:tc>
        <w:tc>
          <w:tcPr>
            <w:tcW w:w="1988" w:type="dxa"/>
            <w:tcBorders>
              <w:top w:val="nil"/>
              <w:left w:val="nil"/>
              <w:bottom w:val="single" w:color="auto" w:sz="4" w:space="0"/>
              <w:right w:val="single" w:color="auto" w:sz="4" w:space="0"/>
            </w:tcBorders>
            <w:shd w:val="clear" w:color="auto" w:fill="auto"/>
            <w:noWrap/>
            <w:vAlign w:val="center"/>
          </w:tcPr>
          <w:p w14:paraId="33FF0EF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1000元/次</w:t>
            </w:r>
          </w:p>
        </w:tc>
        <w:tc>
          <w:tcPr>
            <w:tcW w:w="709" w:type="dxa"/>
            <w:tcBorders>
              <w:top w:val="nil"/>
              <w:left w:val="nil"/>
              <w:bottom w:val="single" w:color="auto" w:sz="4" w:space="0"/>
              <w:right w:val="single" w:color="auto" w:sz="4" w:space="0"/>
            </w:tcBorders>
            <w:shd w:val="clear" w:color="auto" w:fill="auto"/>
            <w:noWrap/>
            <w:vAlign w:val="center"/>
          </w:tcPr>
          <w:p w14:paraId="00C3449C">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6445F924">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526994C2">
        <w:tblPrEx>
          <w:tblCellMar>
            <w:top w:w="0" w:type="dxa"/>
            <w:left w:w="108" w:type="dxa"/>
            <w:bottom w:w="0" w:type="dxa"/>
            <w:right w:w="108" w:type="dxa"/>
          </w:tblCellMar>
        </w:tblPrEx>
        <w:trPr>
          <w:trHeight w:val="750" w:hRule="atLeast"/>
        </w:trPr>
        <w:tc>
          <w:tcPr>
            <w:tcW w:w="1483" w:type="dxa"/>
            <w:vMerge w:val="continue"/>
            <w:tcBorders>
              <w:top w:val="nil"/>
              <w:left w:val="single" w:color="auto" w:sz="4" w:space="0"/>
              <w:bottom w:val="single" w:color="auto" w:sz="4" w:space="0"/>
              <w:right w:val="single" w:color="auto" w:sz="4" w:space="0"/>
            </w:tcBorders>
            <w:shd w:val="clear" w:color="auto" w:fill="auto"/>
            <w:noWrap/>
            <w:vAlign w:val="center"/>
          </w:tcPr>
          <w:p w14:paraId="7FBE3114">
            <w:pPr>
              <w:spacing w:line="240" w:lineRule="auto"/>
              <w:jc w:val="center"/>
              <w:rPr>
                <w:rFonts w:cs="宋体" w:asciiTheme="minorEastAsia" w:hAnsiTheme="minorEastAsia" w:eastAsiaTheme="minorEastAsia"/>
                <w:color w:val="000000"/>
                <w:sz w:val="18"/>
                <w:szCs w:val="18"/>
                <w:lang w:eastAsia="zh-CN"/>
              </w:rPr>
            </w:pPr>
          </w:p>
        </w:tc>
        <w:tc>
          <w:tcPr>
            <w:tcW w:w="517" w:type="dxa"/>
            <w:vMerge w:val="continue"/>
            <w:tcBorders>
              <w:left w:val="nil"/>
              <w:bottom w:val="single" w:color="auto" w:sz="4" w:space="0"/>
              <w:right w:val="single" w:color="auto" w:sz="4" w:space="0"/>
            </w:tcBorders>
            <w:shd w:val="clear" w:color="auto" w:fill="auto"/>
            <w:noWrap/>
            <w:vAlign w:val="center"/>
          </w:tcPr>
          <w:p w14:paraId="6A06CE69">
            <w:pPr>
              <w:spacing w:line="240" w:lineRule="auto"/>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bottom w:val="single" w:color="auto" w:sz="4" w:space="0"/>
              <w:right w:val="single" w:color="auto" w:sz="4" w:space="0"/>
            </w:tcBorders>
            <w:shd w:val="clear" w:color="auto" w:fill="auto"/>
            <w:vAlign w:val="center"/>
          </w:tcPr>
          <w:p w14:paraId="33B3571B">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1499DA84">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配备四合一（硫化氢、一氧化碳、可燃气、氧含量）气体检测仪一台，需获得有权利标定单位标定校准合格。</w:t>
            </w:r>
          </w:p>
        </w:tc>
        <w:tc>
          <w:tcPr>
            <w:tcW w:w="1988" w:type="dxa"/>
            <w:tcBorders>
              <w:top w:val="nil"/>
              <w:left w:val="nil"/>
              <w:bottom w:val="single" w:color="auto" w:sz="4" w:space="0"/>
              <w:right w:val="single" w:color="auto" w:sz="4" w:space="0"/>
            </w:tcBorders>
            <w:shd w:val="clear" w:color="auto" w:fill="auto"/>
            <w:noWrap/>
            <w:vAlign w:val="center"/>
          </w:tcPr>
          <w:p w14:paraId="79DDD142">
            <w:pPr>
              <w:spacing w:line="240" w:lineRule="auto"/>
              <w:ind w:firstLine="540" w:firstLineChars="300"/>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2000元/次</w:t>
            </w:r>
          </w:p>
        </w:tc>
        <w:tc>
          <w:tcPr>
            <w:tcW w:w="709" w:type="dxa"/>
            <w:tcBorders>
              <w:top w:val="nil"/>
              <w:left w:val="nil"/>
              <w:bottom w:val="single" w:color="auto" w:sz="4" w:space="0"/>
              <w:right w:val="single" w:color="auto" w:sz="4" w:space="0"/>
            </w:tcBorders>
            <w:shd w:val="clear" w:color="auto" w:fill="auto"/>
            <w:noWrap/>
            <w:vAlign w:val="center"/>
          </w:tcPr>
          <w:p w14:paraId="0C75A5FD">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7CB862FA">
            <w:pPr>
              <w:spacing w:line="240" w:lineRule="auto"/>
              <w:jc w:val="center"/>
              <w:rPr>
                <w:rFonts w:cs="宋体" w:asciiTheme="minorEastAsia" w:hAnsiTheme="minorEastAsia" w:eastAsiaTheme="minorEastAsia"/>
                <w:color w:val="000000"/>
                <w:sz w:val="18"/>
                <w:szCs w:val="18"/>
                <w:lang w:eastAsia="zh-CN"/>
              </w:rPr>
            </w:pPr>
          </w:p>
        </w:tc>
      </w:tr>
      <w:tr w14:paraId="4241624B">
        <w:tblPrEx>
          <w:tblCellMar>
            <w:top w:w="0" w:type="dxa"/>
            <w:left w:w="108" w:type="dxa"/>
            <w:bottom w:w="0" w:type="dxa"/>
            <w:right w:w="108" w:type="dxa"/>
          </w:tblCellMar>
        </w:tblPrEx>
        <w:trPr>
          <w:trHeight w:val="583" w:hRule="atLeast"/>
        </w:trPr>
        <w:tc>
          <w:tcPr>
            <w:tcW w:w="1483" w:type="dxa"/>
            <w:vMerge w:val="continue"/>
            <w:tcBorders>
              <w:top w:val="nil"/>
              <w:left w:val="single" w:color="auto" w:sz="4" w:space="0"/>
              <w:bottom w:val="single" w:color="auto" w:sz="4" w:space="0"/>
              <w:right w:val="single" w:color="auto" w:sz="4" w:space="0"/>
            </w:tcBorders>
            <w:shd w:val="clear" w:color="auto" w:fill="auto"/>
            <w:noWrap/>
            <w:vAlign w:val="center"/>
          </w:tcPr>
          <w:p w14:paraId="31DF5A89">
            <w:pPr>
              <w:spacing w:line="240" w:lineRule="auto"/>
              <w:jc w:val="center"/>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59F7BEB7">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2</w:t>
            </w:r>
          </w:p>
        </w:tc>
        <w:tc>
          <w:tcPr>
            <w:tcW w:w="709" w:type="dxa"/>
            <w:gridSpan w:val="2"/>
            <w:tcBorders>
              <w:top w:val="nil"/>
              <w:left w:val="nil"/>
              <w:bottom w:val="single" w:color="auto" w:sz="4" w:space="0"/>
              <w:right w:val="single" w:color="auto" w:sz="4" w:space="0"/>
            </w:tcBorders>
            <w:shd w:val="clear" w:color="auto" w:fill="auto"/>
            <w:vAlign w:val="center"/>
          </w:tcPr>
          <w:p w14:paraId="56EB9256">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服务及时性</w:t>
            </w:r>
          </w:p>
        </w:tc>
        <w:tc>
          <w:tcPr>
            <w:tcW w:w="3540" w:type="dxa"/>
            <w:tcBorders>
              <w:top w:val="nil"/>
              <w:left w:val="nil"/>
              <w:bottom w:val="single" w:color="auto" w:sz="4" w:space="0"/>
              <w:right w:val="single" w:color="auto" w:sz="4" w:space="0"/>
            </w:tcBorders>
            <w:shd w:val="clear" w:color="auto" w:fill="auto"/>
            <w:vAlign w:val="center"/>
          </w:tcPr>
          <w:p w14:paraId="1974002E">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接到甲方管理人员服务需求后, 需24小时之内到厂服务(天气原因除外)。</w:t>
            </w:r>
          </w:p>
        </w:tc>
        <w:tc>
          <w:tcPr>
            <w:tcW w:w="1988" w:type="dxa"/>
            <w:tcBorders>
              <w:top w:val="nil"/>
              <w:left w:val="nil"/>
              <w:bottom w:val="single" w:color="auto" w:sz="4" w:space="0"/>
              <w:right w:val="single" w:color="auto" w:sz="4" w:space="0"/>
            </w:tcBorders>
            <w:shd w:val="clear" w:color="auto" w:fill="auto"/>
            <w:noWrap/>
            <w:vAlign w:val="center"/>
          </w:tcPr>
          <w:p w14:paraId="17FCABEB">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500元/次</w:t>
            </w:r>
          </w:p>
        </w:tc>
        <w:tc>
          <w:tcPr>
            <w:tcW w:w="709" w:type="dxa"/>
            <w:tcBorders>
              <w:top w:val="nil"/>
              <w:left w:val="nil"/>
              <w:bottom w:val="single" w:color="auto" w:sz="4" w:space="0"/>
              <w:right w:val="single" w:color="auto" w:sz="4" w:space="0"/>
            </w:tcBorders>
            <w:shd w:val="clear" w:color="auto" w:fill="auto"/>
            <w:noWrap/>
            <w:vAlign w:val="center"/>
          </w:tcPr>
          <w:p w14:paraId="57D070DC">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4C4F12A4">
            <w:pPr>
              <w:spacing w:line="240" w:lineRule="auto"/>
              <w:jc w:val="center"/>
              <w:rPr>
                <w:rFonts w:cs="宋体" w:asciiTheme="minorEastAsia" w:hAnsiTheme="minorEastAsia" w:eastAsiaTheme="minorEastAsia"/>
                <w:color w:val="000000"/>
                <w:sz w:val="18"/>
                <w:szCs w:val="18"/>
                <w:lang w:eastAsia="zh-CN"/>
              </w:rPr>
            </w:pPr>
          </w:p>
        </w:tc>
      </w:tr>
      <w:tr w14:paraId="0E3BF3D6">
        <w:tblPrEx>
          <w:tblCellMar>
            <w:top w:w="0" w:type="dxa"/>
            <w:left w:w="108" w:type="dxa"/>
            <w:bottom w:w="0" w:type="dxa"/>
            <w:right w:w="108" w:type="dxa"/>
          </w:tblCellMar>
        </w:tblPrEx>
        <w:trPr>
          <w:trHeight w:val="575" w:hRule="atLeast"/>
        </w:trPr>
        <w:tc>
          <w:tcPr>
            <w:tcW w:w="1483" w:type="dxa"/>
            <w:vMerge w:val="continue"/>
            <w:tcBorders>
              <w:top w:val="nil"/>
              <w:left w:val="single" w:color="auto" w:sz="4" w:space="0"/>
              <w:bottom w:val="single" w:color="auto" w:sz="4" w:space="0"/>
              <w:right w:val="single" w:color="auto" w:sz="4" w:space="0"/>
            </w:tcBorders>
            <w:shd w:val="clear" w:color="auto" w:fill="auto"/>
            <w:noWrap/>
            <w:vAlign w:val="center"/>
          </w:tcPr>
          <w:p w14:paraId="7F74BA9A">
            <w:pPr>
              <w:spacing w:line="240" w:lineRule="auto"/>
              <w:jc w:val="center"/>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09908A31">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３</w:t>
            </w:r>
          </w:p>
        </w:tc>
        <w:tc>
          <w:tcPr>
            <w:tcW w:w="709" w:type="dxa"/>
            <w:gridSpan w:val="2"/>
            <w:tcBorders>
              <w:top w:val="nil"/>
              <w:left w:val="nil"/>
              <w:bottom w:val="single" w:color="auto" w:sz="4" w:space="0"/>
              <w:right w:val="single" w:color="auto" w:sz="4" w:space="0"/>
            </w:tcBorders>
            <w:shd w:val="clear" w:color="auto" w:fill="auto"/>
            <w:vAlign w:val="center"/>
          </w:tcPr>
          <w:p w14:paraId="4FEF8986">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劳保着装</w:t>
            </w:r>
          </w:p>
        </w:tc>
        <w:tc>
          <w:tcPr>
            <w:tcW w:w="3540" w:type="dxa"/>
            <w:tcBorders>
              <w:top w:val="nil"/>
              <w:left w:val="nil"/>
              <w:bottom w:val="single" w:color="auto" w:sz="4" w:space="0"/>
              <w:right w:val="single" w:color="auto" w:sz="4" w:space="0"/>
            </w:tcBorders>
            <w:shd w:val="clear" w:color="auto" w:fill="auto"/>
            <w:vAlign w:val="center"/>
          </w:tcPr>
          <w:p w14:paraId="081F1DE6">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进厂作业需按照甲方要求穿着合格劳保服。</w:t>
            </w:r>
          </w:p>
        </w:tc>
        <w:tc>
          <w:tcPr>
            <w:tcW w:w="1988" w:type="dxa"/>
            <w:tcBorders>
              <w:top w:val="nil"/>
              <w:left w:val="nil"/>
              <w:bottom w:val="single" w:color="auto" w:sz="4" w:space="0"/>
              <w:right w:val="single" w:color="auto" w:sz="4" w:space="0"/>
            </w:tcBorders>
            <w:shd w:val="clear" w:color="auto" w:fill="auto"/>
            <w:noWrap/>
            <w:vAlign w:val="center"/>
          </w:tcPr>
          <w:p w14:paraId="56F67AC7">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500元/次</w:t>
            </w:r>
          </w:p>
        </w:tc>
        <w:tc>
          <w:tcPr>
            <w:tcW w:w="709" w:type="dxa"/>
            <w:tcBorders>
              <w:top w:val="nil"/>
              <w:left w:val="nil"/>
              <w:bottom w:val="single" w:color="auto" w:sz="4" w:space="0"/>
              <w:right w:val="single" w:color="auto" w:sz="4" w:space="0"/>
            </w:tcBorders>
            <w:shd w:val="clear" w:color="auto" w:fill="auto"/>
            <w:noWrap/>
            <w:vAlign w:val="center"/>
          </w:tcPr>
          <w:p w14:paraId="5D719D41">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07D5A43B">
            <w:pPr>
              <w:spacing w:line="240" w:lineRule="auto"/>
              <w:jc w:val="center"/>
              <w:rPr>
                <w:rFonts w:cs="宋体" w:asciiTheme="minorEastAsia" w:hAnsiTheme="minorEastAsia" w:eastAsiaTheme="minorEastAsia"/>
                <w:color w:val="000000"/>
                <w:sz w:val="18"/>
                <w:szCs w:val="18"/>
                <w:lang w:eastAsia="zh-CN"/>
              </w:rPr>
            </w:pPr>
          </w:p>
        </w:tc>
      </w:tr>
      <w:tr w14:paraId="78AB9DA2">
        <w:tblPrEx>
          <w:tblCellMar>
            <w:top w:w="0" w:type="dxa"/>
            <w:left w:w="108" w:type="dxa"/>
            <w:bottom w:w="0" w:type="dxa"/>
            <w:right w:w="108" w:type="dxa"/>
          </w:tblCellMar>
        </w:tblPrEx>
        <w:trPr>
          <w:trHeight w:val="617" w:hRule="atLeast"/>
        </w:trPr>
        <w:tc>
          <w:tcPr>
            <w:tcW w:w="1483" w:type="dxa"/>
            <w:vMerge w:val="continue"/>
            <w:tcBorders>
              <w:top w:val="nil"/>
              <w:left w:val="single" w:color="auto" w:sz="4" w:space="0"/>
              <w:bottom w:val="single" w:color="auto" w:sz="4" w:space="0"/>
              <w:right w:val="single" w:color="auto" w:sz="4" w:space="0"/>
            </w:tcBorders>
            <w:vAlign w:val="center"/>
          </w:tcPr>
          <w:p w14:paraId="4D277489">
            <w:pPr>
              <w:spacing w:line="240" w:lineRule="auto"/>
              <w:jc w:val="left"/>
              <w:rPr>
                <w:rFonts w:cs="宋体" w:asciiTheme="minorEastAsia" w:hAnsiTheme="minorEastAsia" w:eastAsiaTheme="minorEastAsia"/>
                <w:color w:val="000000"/>
                <w:sz w:val="18"/>
                <w:szCs w:val="18"/>
                <w:lang w:eastAsia="zh-CN"/>
              </w:rPr>
            </w:pPr>
          </w:p>
        </w:tc>
        <w:tc>
          <w:tcPr>
            <w:tcW w:w="517" w:type="dxa"/>
            <w:vMerge w:val="restart"/>
            <w:tcBorders>
              <w:top w:val="nil"/>
              <w:left w:val="nil"/>
              <w:right w:val="single" w:color="auto" w:sz="4" w:space="0"/>
            </w:tcBorders>
            <w:shd w:val="clear" w:color="auto" w:fill="auto"/>
            <w:noWrap/>
            <w:vAlign w:val="center"/>
          </w:tcPr>
          <w:p w14:paraId="692791CE">
            <w:pPr>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４</w:t>
            </w:r>
          </w:p>
        </w:tc>
        <w:tc>
          <w:tcPr>
            <w:tcW w:w="709" w:type="dxa"/>
            <w:gridSpan w:val="2"/>
            <w:vMerge w:val="restart"/>
            <w:tcBorders>
              <w:top w:val="nil"/>
              <w:left w:val="nil"/>
              <w:right w:val="single" w:color="auto" w:sz="4" w:space="0"/>
            </w:tcBorders>
            <w:shd w:val="clear" w:color="auto" w:fill="auto"/>
            <w:vAlign w:val="center"/>
          </w:tcPr>
          <w:p w14:paraId="24FDF969">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治理有效性</w:t>
            </w:r>
            <w:r>
              <w:rPr>
                <w:rFonts w:cs="宋体" w:asciiTheme="minorEastAsia" w:hAnsiTheme="minorEastAsia" w:eastAsiaTheme="minorEastAsia"/>
                <w:color w:val="000000"/>
                <w:sz w:val="18"/>
                <w:szCs w:val="18"/>
                <w:lang w:eastAsia="zh-CN"/>
              </w:rPr>
              <w:t xml:space="preserve"> </w:t>
            </w:r>
          </w:p>
        </w:tc>
        <w:tc>
          <w:tcPr>
            <w:tcW w:w="3540" w:type="dxa"/>
            <w:tcBorders>
              <w:top w:val="nil"/>
              <w:left w:val="nil"/>
              <w:bottom w:val="single" w:color="auto" w:sz="4" w:space="0"/>
              <w:right w:val="single" w:color="auto" w:sz="4" w:space="0"/>
            </w:tcBorders>
            <w:shd w:val="clear" w:color="auto" w:fill="auto"/>
            <w:vAlign w:val="center"/>
          </w:tcPr>
          <w:p w14:paraId="52E49DD0">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区域内红火蚁每亩活蚁巢密度≤0.1</w:t>
            </w:r>
            <w:r>
              <w:rPr>
                <w:rFonts w:cs="宋体" w:asciiTheme="minorEastAsia" w:hAnsiTheme="minorEastAsia" w:eastAsiaTheme="minorEastAsia"/>
                <w:color w:val="000000"/>
                <w:sz w:val="18"/>
                <w:szCs w:val="18"/>
                <w:lang w:eastAsia="zh-CN"/>
              </w:rPr>
              <w:t xml:space="preserve"> </w:t>
            </w:r>
            <w:r>
              <w:rPr>
                <w:rFonts w:hint="eastAsia" w:cs="宋体" w:asciiTheme="minorEastAsia" w:hAnsiTheme="minorEastAsia" w:eastAsiaTheme="minorEastAsia"/>
                <w:color w:val="000000"/>
                <w:sz w:val="18"/>
                <w:szCs w:val="18"/>
                <w:lang w:eastAsia="zh-CN"/>
              </w:rPr>
              <w:t>个（</w:t>
            </w:r>
            <w:r>
              <w:rPr>
                <w:rFonts w:cs="宋体" w:asciiTheme="minorEastAsia" w:hAnsiTheme="minorEastAsia" w:eastAsiaTheme="minorEastAsia"/>
                <w:color w:val="000000"/>
                <w:sz w:val="18"/>
                <w:szCs w:val="18"/>
                <w:lang w:eastAsia="zh-CN"/>
              </w:rPr>
              <w:t>GB/T 23626-2009</w:t>
            </w:r>
            <w:r>
              <w:rPr>
                <w:rFonts w:hint="eastAsia" w:cs="宋体" w:asciiTheme="minorEastAsia" w:hAnsiTheme="minorEastAsia" w:eastAsiaTheme="minorEastAsia"/>
                <w:color w:val="000000"/>
                <w:sz w:val="18"/>
                <w:szCs w:val="18"/>
                <w:lang w:eastAsia="zh-CN"/>
              </w:rPr>
              <w:t>）。</w:t>
            </w:r>
          </w:p>
        </w:tc>
        <w:tc>
          <w:tcPr>
            <w:tcW w:w="1988" w:type="dxa"/>
            <w:tcBorders>
              <w:top w:val="nil"/>
              <w:left w:val="nil"/>
              <w:bottom w:val="single" w:color="auto" w:sz="4" w:space="0"/>
              <w:right w:val="single" w:color="auto" w:sz="4" w:space="0"/>
            </w:tcBorders>
            <w:shd w:val="clear" w:color="auto" w:fill="auto"/>
            <w:noWrap/>
            <w:vAlign w:val="center"/>
          </w:tcPr>
          <w:p w14:paraId="5DC2E0E1">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2000元/次</w:t>
            </w:r>
          </w:p>
        </w:tc>
        <w:tc>
          <w:tcPr>
            <w:tcW w:w="709" w:type="dxa"/>
            <w:tcBorders>
              <w:top w:val="nil"/>
              <w:left w:val="nil"/>
              <w:bottom w:val="single" w:color="auto" w:sz="4" w:space="0"/>
              <w:right w:val="single" w:color="auto" w:sz="4" w:space="0"/>
            </w:tcBorders>
            <w:shd w:val="clear" w:color="auto" w:fill="auto"/>
            <w:noWrap/>
            <w:vAlign w:val="center"/>
          </w:tcPr>
          <w:p w14:paraId="737D6F7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5E7A80CB">
            <w:pPr>
              <w:spacing w:line="240" w:lineRule="auto"/>
              <w:rPr>
                <w:rFonts w:cs="宋体" w:asciiTheme="minorEastAsia" w:hAnsiTheme="minorEastAsia" w:eastAsiaTheme="minorEastAsia"/>
                <w:color w:val="000000"/>
                <w:sz w:val="18"/>
                <w:szCs w:val="18"/>
                <w:lang w:eastAsia="zh-CN"/>
              </w:rPr>
            </w:pPr>
            <w:r>
              <w:rPr>
                <w:rFonts w:cs="宋体" w:asciiTheme="minorEastAsia" w:hAnsiTheme="minorEastAsia" w:eastAsiaTheme="minorEastAsia"/>
                <w:color w:val="000000"/>
                <w:sz w:val="18"/>
                <w:szCs w:val="18"/>
                <w:lang w:eastAsia="zh-CN"/>
              </w:rPr>
              <w:t>需整改后重新验收</w:t>
            </w:r>
          </w:p>
        </w:tc>
      </w:tr>
      <w:tr w14:paraId="5F7075BF">
        <w:tblPrEx>
          <w:tblCellMar>
            <w:top w:w="0" w:type="dxa"/>
            <w:left w:w="108" w:type="dxa"/>
            <w:bottom w:w="0" w:type="dxa"/>
            <w:right w:w="108" w:type="dxa"/>
          </w:tblCellMar>
        </w:tblPrEx>
        <w:trPr>
          <w:trHeight w:val="690" w:hRule="atLeast"/>
        </w:trPr>
        <w:tc>
          <w:tcPr>
            <w:tcW w:w="1483" w:type="dxa"/>
            <w:vMerge w:val="continue"/>
            <w:tcBorders>
              <w:top w:val="nil"/>
              <w:left w:val="single" w:color="auto" w:sz="4" w:space="0"/>
              <w:bottom w:val="single" w:color="auto" w:sz="4" w:space="0"/>
              <w:right w:val="single" w:color="auto" w:sz="4" w:space="0"/>
            </w:tcBorders>
            <w:vAlign w:val="center"/>
          </w:tcPr>
          <w:p w14:paraId="6D23174A">
            <w:pPr>
              <w:spacing w:line="240" w:lineRule="auto"/>
              <w:jc w:val="left"/>
              <w:rPr>
                <w:rFonts w:cs="宋体" w:asciiTheme="minorEastAsia" w:hAnsiTheme="minorEastAsia" w:eastAsiaTheme="minorEastAsia"/>
                <w:color w:val="000000"/>
                <w:sz w:val="18"/>
                <w:szCs w:val="18"/>
                <w:lang w:eastAsia="zh-CN"/>
              </w:rPr>
            </w:pPr>
          </w:p>
        </w:tc>
        <w:tc>
          <w:tcPr>
            <w:tcW w:w="517" w:type="dxa"/>
            <w:vMerge w:val="continue"/>
            <w:tcBorders>
              <w:left w:val="nil"/>
              <w:right w:val="single" w:color="auto" w:sz="4" w:space="0"/>
            </w:tcBorders>
            <w:shd w:val="clear" w:color="auto" w:fill="auto"/>
            <w:noWrap/>
            <w:vAlign w:val="center"/>
          </w:tcPr>
          <w:p w14:paraId="4F9574AB">
            <w:pPr>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right w:val="single" w:color="auto" w:sz="4" w:space="0"/>
            </w:tcBorders>
            <w:shd w:val="clear" w:color="auto" w:fill="auto"/>
            <w:vAlign w:val="center"/>
          </w:tcPr>
          <w:p w14:paraId="1C7DDF89">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24AE9E03">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治理范围内未发现活体白蚁，无新鲜泥被、新鲜蚁路、新鲜蛀蚀痕迹，白蚁危害等级评定不高于 Ⅰ 级（GB/T51253-2017）</w:t>
            </w:r>
          </w:p>
        </w:tc>
        <w:tc>
          <w:tcPr>
            <w:tcW w:w="1988" w:type="dxa"/>
            <w:tcBorders>
              <w:top w:val="nil"/>
              <w:left w:val="nil"/>
              <w:bottom w:val="single" w:color="auto" w:sz="4" w:space="0"/>
              <w:right w:val="single" w:color="auto" w:sz="4" w:space="0"/>
            </w:tcBorders>
            <w:shd w:val="clear" w:color="auto" w:fill="auto"/>
            <w:noWrap/>
            <w:vAlign w:val="center"/>
          </w:tcPr>
          <w:p w14:paraId="52CBEE2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2000元/次</w:t>
            </w:r>
          </w:p>
        </w:tc>
        <w:tc>
          <w:tcPr>
            <w:tcW w:w="709" w:type="dxa"/>
            <w:tcBorders>
              <w:top w:val="nil"/>
              <w:left w:val="nil"/>
              <w:bottom w:val="single" w:color="auto" w:sz="4" w:space="0"/>
              <w:right w:val="single" w:color="auto" w:sz="4" w:space="0"/>
            </w:tcBorders>
            <w:shd w:val="clear" w:color="auto" w:fill="auto"/>
            <w:noWrap/>
            <w:vAlign w:val="center"/>
          </w:tcPr>
          <w:p w14:paraId="279C1BDD">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79623637">
            <w:pPr>
              <w:spacing w:line="240" w:lineRule="auto"/>
              <w:rPr>
                <w:rFonts w:cs="宋体" w:asciiTheme="minorEastAsia" w:hAnsiTheme="minorEastAsia" w:eastAsiaTheme="minorEastAsia"/>
                <w:color w:val="000000"/>
                <w:sz w:val="18"/>
                <w:szCs w:val="18"/>
                <w:lang w:eastAsia="zh-CN"/>
              </w:rPr>
            </w:pPr>
          </w:p>
        </w:tc>
      </w:tr>
      <w:tr w14:paraId="126FFD92">
        <w:tblPrEx>
          <w:tblCellMar>
            <w:top w:w="0" w:type="dxa"/>
            <w:left w:w="108" w:type="dxa"/>
            <w:bottom w:w="0" w:type="dxa"/>
            <w:right w:w="108" w:type="dxa"/>
          </w:tblCellMar>
        </w:tblPrEx>
        <w:trPr>
          <w:trHeight w:val="488" w:hRule="atLeast"/>
        </w:trPr>
        <w:tc>
          <w:tcPr>
            <w:tcW w:w="1483" w:type="dxa"/>
            <w:vMerge w:val="continue"/>
            <w:tcBorders>
              <w:top w:val="nil"/>
              <w:left w:val="single" w:color="auto" w:sz="4" w:space="0"/>
              <w:bottom w:val="single" w:color="auto" w:sz="4" w:space="0"/>
              <w:right w:val="single" w:color="auto" w:sz="4" w:space="0"/>
            </w:tcBorders>
            <w:vAlign w:val="center"/>
          </w:tcPr>
          <w:p w14:paraId="4FCE5A2C">
            <w:pPr>
              <w:spacing w:line="240" w:lineRule="auto"/>
              <w:jc w:val="left"/>
              <w:rPr>
                <w:rFonts w:cs="宋体" w:asciiTheme="minorEastAsia" w:hAnsiTheme="minorEastAsia" w:eastAsiaTheme="minorEastAsia"/>
                <w:color w:val="000000"/>
                <w:sz w:val="18"/>
                <w:szCs w:val="18"/>
                <w:lang w:eastAsia="zh-CN"/>
              </w:rPr>
            </w:pPr>
          </w:p>
        </w:tc>
        <w:tc>
          <w:tcPr>
            <w:tcW w:w="517" w:type="dxa"/>
            <w:vMerge w:val="continue"/>
            <w:tcBorders>
              <w:left w:val="nil"/>
              <w:right w:val="single" w:color="auto" w:sz="4" w:space="0"/>
            </w:tcBorders>
            <w:shd w:val="clear" w:color="auto" w:fill="auto"/>
            <w:noWrap/>
            <w:vAlign w:val="center"/>
          </w:tcPr>
          <w:p w14:paraId="34965F1E">
            <w:pPr>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right w:val="single" w:color="auto" w:sz="4" w:space="0"/>
            </w:tcBorders>
            <w:shd w:val="clear" w:color="auto" w:fill="auto"/>
            <w:vAlign w:val="center"/>
          </w:tcPr>
          <w:p w14:paraId="0F30B03E">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1524AA87">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不能出现因蚁害导致的甲方财产损失。</w:t>
            </w:r>
          </w:p>
        </w:tc>
        <w:tc>
          <w:tcPr>
            <w:tcW w:w="1988" w:type="dxa"/>
            <w:tcBorders>
              <w:top w:val="nil"/>
              <w:left w:val="nil"/>
              <w:bottom w:val="single" w:color="auto" w:sz="4" w:space="0"/>
              <w:right w:val="single" w:color="auto" w:sz="4" w:space="0"/>
            </w:tcBorders>
            <w:shd w:val="clear" w:color="auto" w:fill="auto"/>
            <w:noWrap/>
            <w:vAlign w:val="center"/>
          </w:tcPr>
          <w:p w14:paraId="63FBC637">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500-2000元/次</w:t>
            </w:r>
          </w:p>
        </w:tc>
        <w:tc>
          <w:tcPr>
            <w:tcW w:w="709" w:type="dxa"/>
            <w:tcBorders>
              <w:top w:val="nil"/>
              <w:left w:val="nil"/>
              <w:bottom w:val="single" w:color="auto" w:sz="4" w:space="0"/>
              <w:right w:val="single" w:color="auto" w:sz="4" w:space="0"/>
            </w:tcBorders>
            <w:shd w:val="clear" w:color="auto" w:fill="auto"/>
            <w:noWrap/>
            <w:vAlign w:val="center"/>
          </w:tcPr>
          <w:p w14:paraId="487B84B7">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751ABF56">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3C9B7990">
        <w:tblPrEx>
          <w:tblCellMar>
            <w:top w:w="0" w:type="dxa"/>
            <w:left w:w="108" w:type="dxa"/>
            <w:bottom w:w="0" w:type="dxa"/>
            <w:right w:w="108" w:type="dxa"/>
          </w:tblCellMar>
        </w:tblPrEx>
        <w:trPr>
          <w:trHeight w:val="491" w:hRule="atLeast"/>
        </w:trPr>
        <w:tc>
          <w:tcPr>
            <w:tcW w:w="1483" w:type="dxa"/>
            <w:vMerge w:val="continue"/>
            <w:tcBorders>
              <w:top w:val="nil"/>
              <w:left w:val="single" w:color="auto" w:sz="4" w:space="0"/>
              <w:bottom w:val="single" w:color="auto" w:sz="4" w:space="0"/>
              <w:right w:val="single" w:color="auto" w:sz="4" w:space="0"/>
            </w:tcBorders>
            <w:vAlign w:val="center"/>
          </w:tcPr>
          <w:p w14:paraId="569DFD89">
            <w:pPr>
              <w:spacing w:line="240" w:lineRule="auto"/>
              <w:jc w:val="left"/>
              <w:rPr>
                <w:rFonts w:cs="宋体" w:asciiTheme="minorEastAsia" w:hAnsiTheme="minorEastAsia" w:eastAsiaTheme="minorEastAsia"/>
                <w:color w:val="000000"/>
                <w:sz w:val="18"/>
                <w:szCs w:val="18"/>
                <w:lang w:eastAsia="zh-CN"/>
              </w:rPr>
            </w:pPr>
          </w:p>
        </w:tc>
        <w:tc>
          <w:tcPr>
            <w:tcW w:w="517" w:type="dxa"/>
            <w:vMerge w:val="continue"/>
            <w:tcBorders>
              <w:left w:val="nil"/>
              <w:right w:val="single" w:color="auto" w:sz="4" w:space="0"/>
            </w:tcBorders>
            <w:shd w:val="clear" w:color="auto" w:fill="auto"/>
            <w:noWrap/>
            <w:vAlign w:val="center"/>
          </w:tcPr>
          <w:p w14:paraId="73D48306">
            <w:pPr>
              <w:spacing w:line="240" w:lineRule="auto"/>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right w:val="single" w:color="auto" w:sz="4" w:space="0"/>
            </w:tcBorders>
            <w:shd w:val="clear" w:color="auto" w:fill="auto"/>
            <w:vAlign w:val="center"/>
          </w:tcPr>
          <w:p w14:paraId="797AB471">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2E26057E">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不发生红火蚁伤人事件。</w:t>
            </w:r>
            <w:r>
              <w:rPr>
                <w:rFonts w:cs="宋体" w:asciiTheme="minorEastAsia" w:hAnsiTheme="minorEastAsia" w:eastAsiaTheme="minorEastAsia"/>
                <w:color w:val="000000"/>
                <w:sz w:val="18"/>
                <w:szCs w:val="18"/>
                <w:lang w:eastAsia="zh-CN"/>
              </w:rPr>
              <w:t xml:space="preserve"> </w:t>
            </w:r>
          </w:p>
        </w:tc>
        <w:tc>
          <w:tcPr>
            <w:tcW w:w="1988" w:type="dxa"/>
            <w:tcBorders>
              <w:top w:val="nil"/>
              <w:left w:val="nil"/>
              <w:bottom w:val="single" w:color="auto" w:sz="4" w:space="0"/>
              <w:right w:val="single" w:color="auto" w:sz="4" w:space="0"/>
            </w:tcBorders>
            <w:shd w:val="clear" w:color="auto" w:fill="auto"/>
            <w:noWrap/>
            <w:vAlign w:val="center"/>
          </w:tcPr>
          <w:p w14:paraId="0A5A1D31">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1000元/次</w:t>
            </w:r>
          </w:p>
        </w:tc>
        <w:tc>
          <w:tcPr>
            <w:tcW w:w="709" w:type="dxa"/>
            <w:tcBorders>
              <w:top w:val="nil"/>
              <w:left w:val="nil"/>
              <w:bottom w:val="single" w:color="auto" w:sz="4" w:space="0"/>
              <w:right w:val="single" w:color="auto" w:sz="4" w:space="0"/>
            </w:tcBorders>
            <w:shd w:val="clear" w:color="auto" w:fill="auto"/>
            <w:noWrap/>
            <w:vAlign w:val="center"/>
          </w:tcPr>
          <w:p w14:paraId="4CE1A1C8">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31934A63">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p w14:paraId="0E4DD4DC">
            <w:pPr>
              <w:spacing w:line="240" w:lineRule="auto"/>
              <w:rPr>
                <w:rFonts w:cs="宋体" w:asciiTheme="minorEastAsia" w:hAnsiTheme="minorEastAsia" w:eastAsiaTheme="minorEastAsia"/>
                <w:color w:val="000000"/>
                <w:sz w:val="18"/>
                <w:szCs w:val="18"/>
                <w:lang w:eastAsia="zh-CN"/>
              </w:rPr>
            </w:pPr>
          </w:p>
        </w:tc>
      </w:tr>
      <w:tr w14:paraId="0EE93ED7">
        <w:tblPrEx>
          <w:tblCellMar>
            <w:top w:w="0" w:type="dxa"/>
            <w:left w:w="108" w:type="dxa"/>
            <w:bottom w:w="0" w:type="dxa"/>
            <w:right w:w="108" w:type="dxa"/>
          </w:tblCellMar>
        </w:tblPrEx>
        <w:trPr>
          <w:trHeight w:val="423" w:hRule="atLeast"/>
        </w:trPr>
        <w:tc>
          <w:tcPr>
            <w:tcW w:w="1483" w:type="dxa"/>
            <w:vMerge w:val="continue"/>
            <w:tcBorders>
              <w:top w:val="nil"/>
              <w:left w:val="single" w:color="auto" w:sz="4" w:space="0"/>
              <w:bottom w:val="single" w:color="auto" w:sz="4" w:space="0"/>
              <w:right w:val="single" w:color="auto" w:sz="4" w:space="0"/>
            </w:tcBorders>
            <w:vAlign w:val="center"/>
          </w:tcPr>
          <w:p w14:paraId="2CFE9CB2">
            <w:pPr>
              <w:spacing w:line="240" w:lineRule="auto"/>
              <w:jc w:val="left"/>
              <w:rPr>
                <w:rFonts w:cs="宋体" w:asciiTheme="minorEastAsia" w:hAnsiTheme="minorEastAsia" w:eastAsiaTheme="minorEastAsia"/>
                <w:color w:val="000000"/>
                <w:sz w:val="18"/>
                <w:szCs w:val="18"/>
                <w:lang w:eastAsia="zh-CN"/>
              </w:rPr>
            </w:pPr>
          </w:p>
        </w:tc>
        <w:tc>
          <w:tcPr>
            <w:tcW w:w="517" w:type="dxa"/>
            <w:vMerge w:val="continue"/>
            <w:tcBorders>
              <w:left w:val="nil"/>
              <w:bottom w:val="single" w:color="auto" w:sz="4" w:space="0"/>
              <w:right w:val="single" w:color="auto" w:sz="4" w:space="0"/>
            </w:tcBorders>
            <w:shd w:val="clear" w:color="auto" w:fill="auto"/>
            <w:noWrap/>
            <w:vAlign w:val="center"/>
          </w:tcPr>
          <w:p w14:paraId="5824A347">
            <w:pPr>
              <w:spacing w:line="240" w:lineRule="auto"/>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bottom w:val="single" w:color="auto" w:sz="4" w:space="0"/>
              <w:right w:val="single" w:color="auto" w:sz="4" w:space="0"/>
            </w:tcBorders>
            <w:shd w:val="clear" w:color="auto" w:fill="auto"/>
            <w:vAlign w:val="center"/>
          </w:tcPr>
          <w:p w14:paraId="64022411">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4E1E3395">
            <w:pPr>
              <w:spacing w:line="240" w:lineRule="auto"/>
              <w:jc w:val="left"/>
              <w:rPr>
                <w:rFonts w:cs="宋体" w:asciiTheme="minorEastAsia" w:hAnsiTheme="minorEastAsia" w:eastAsiaTheme="minorEastAsia"/>
                <w:sz w:val="18"/>
                <w:szCs w:val="18"/>
                <w:lang w:eastAsia="zh-CN"/>
              </w:rPr>
            </w:pPr>
            <w:r>
              <w:rPr>
                <w:rFonts w:hint="eastAsia" w:cs="宋体" w:asciiTheme="minorEastAsia" w:hAnsiTheme="minorEastAsia" w:eastAsiaTheme="minorEastAsia"/>
                <w:sz w:val="18"/>
                <w:szCs w:val="18"/>
                <w:lang w:eastAsia="zh-CN"/>
              </w:rPr>
              <w:t>按甲方的实际要求找到蚁窝，灭除蚁后。。</w:t>
            </w:r>
          </w:p>
        </w:tc>
        <w:tc>
          <w:tcPr>
            <w:tcW w:w="1988" w:type="dxa"/>
            <w:tcBorders>
              <w:top w:val="nil"/>
              <w:left w:val="nil"/>
              <w:bottom w:val="single" w:color="auto" w:sz="4" w:space="0"/>
              <w:right w:val="single" w:color="auto" w:sz="4" w:space="0"/>
            </w:tcBorders>
            <w:shd w:val="clear" w:color="auto" w:fill="auto"/>
            <w:noWrap/>
            <w:vAlign w:val="center"/>
          </w:tcPr>
          <w:p w14:paraId="299513C9">
            <w:pPr>
              <w:spacing w:line="240" w:lineRule="auto"/>
              <w:jc w:val="center"/>
              <w:rPr>
                <w:rFonts w:cs="宋体" w:asciiTheme="minorEastAsia" w:hAnsiTheme="minorEastAsia" w:eastAsiaTheme="minorEastAsia"/>
                <w:sz w:val="18"/>
                <w:szCs w:val="18"/>
                <w:lang w:eastAsia="zh-CN"/>
              </w:rPr>
            </w:pPr>
            <w:r>
              <w:rPr>
                <w:rFonts w:hint="eastAsia" w:cs="宋体" w:asciiTheme="minorEastAsia" w:hAnsiTheme="minorEastAsia" w:eastAsiaTheme="minorEastAsia"/>
                <w:sz w:val="18"/>
                <w:szCs w:val="18"/>
                <w:lang w:eastAsia="zh-CN"/>
              </w:rPr>
              <w:t>1000元/次</w:t>
            </w:r>
          </w:p>
        </w:tc>
        <w:tc>
          <w:tcPr>
            <w:tcW w:w="709" w:type="dxa"/>
            <w:tcBorders>
              <w:top w:val="nil"/>
              <w:left w:val="nil"/>
              <w:bottom w:val="single" w:color="auto" w:sz="4" w:space="0"/>
              <w:right w:val="single" w:color="auto" w:sz="4" w:space="0"/>
            </w:tcBorders>
            <w:shd w:val="clear" w:color="auto" w:fill="auto"/>
            <w:noWrap/>
            <w:vAlign w:val="center"/>
          </w:tcPr>
          <w:p w14:paraId="67203605">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1EFF8476">
            <w:pPr>
              <w:spacing w:line="240" w:lineRule="auto"/>
              <w:jc w:val="center"/>
              <w:rPr>
                <w:rFonts w:cs="宋体" w:asciiTheme="minorEastAsia" w:hAnsiTheme="minorEastAsia" w:eastAsiaTheme="minorEastAsia"/>
                <w:color w:val="000000"/>
                <w:sz w:val="18"/>
                <w:szCs w:val="18"/>
                <w:lang w:eastAsia="zh-CN"/>
              </w:rPr>
            </w:pPr>
          </w:p>
        </w:tc>
      </w:tr>
      <w:tr w14:paraId="3E8F2C7E">
        <w:tblPrEx>
          <w:tblCellMar>
            <w:top w:w="0" w:type="dxa"/>
            <w:left w:w="108" w:type="dxa"/>
            <w:bottom w:w="0" w:type="dxa"/>
            <w:right w:w="108" w:type="dxa"/>
          </w:tblCellMar>
        </w:tblPrEx>
        <w:trPr>
          <w:trHeight w:val="499" w:hRule="atLeast"/>
        </w:trPr>
        <w:tc>
          <w:tcPr>
            <w:tcW w:w="1483" w:type="dxa"/>
            <w:vMerge w:val="continue"/>
            <w:tcBorders>
              <w:top w:val="nil"/>
              <w:left w:val="single" w:color="auto" w:sz="4" w:space="0"/>
              <w:bottom w:val="single" w:color="auto" w:sz="4" w:space="0"/>
              <w:right w:val="single" w:color="auto" w:sz="4" w:space="0"/>
            </w:tcBorders>
            <w:vAlign w:val="center"/>
          </w:tcPr>
          <w:p w14:paraId="7EA8E20C">
            <w:pPr>
              <w:spacing w:line="240" w:lineRule="auto"/>
              <w:jc w:val="left"/>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50FE2E38">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w:t>
            </w:r>
          </w:p>
        </w:tc>
        <w:tc>
          <w:tcPr>
            <w:tcW w:w="709" w:type="dxa"/>
            <w:gridSpan w:val="2"/>
            <w:tcBorders>
              <w:top w:val="nil"/>
              <w:left w:val="nil"/>
              <w:bottom w:val="single" w:color="auto" w:sz="4" w:space="0"/>
              <w:right w:val="single" w:color="auto" w:sz="4" w:space="0"/>
            </w:tcBorders>
            <w:shd w:val="clear" w:color="auto" w:fill="auto"/>
            <w:vAlign w:val="center"/>
          </w:tcPr>
          <w:p w14:paraId="10B491FB">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人员配置</w:t>
            </w:r>
          </w:p>
        </w:tc>
        <w:tc>
          <w:tcPr>
            <w:tcW w:w="3540" w:type="dxa"/>
            <w:tcBorders>
              <w:top w:val="nil"/>
              <w:left w:val="nil"/>
              <w:bottom w:val="single" w:color="auto" w:sz="4" w:space="0"/>
              <w:right w:val="single" w:color="auto" w:sz="4" w:space="0"/>
            </w:tcBorders>
            <w:shd w:val="clear" w:color="auto" w:fill="auto"/>
            <w:vAlign w:val="center"/>
          </w:tcPr>
          <w:p w14:paraId="5B38ABBC">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val="en-US" w:eastAsia="zh-CN"/>
              </w:rPr>
              <w:t>实际</w:t>
            </w:r>
            <w:r>
              <w:rPr>
                <w:rFonts w:hint="eastAsia" w:cs="宋体" w:asciiTheme="minorEastAsia" w:hAnsiTheme="minorEastAsia" w:eastAsiaTheme="minorEastAsia"/>
                <w:color w:val="000000"/>
                <w:sz w:val="18"/>
                <w:szCs w:val="18"/>
                <w:lang w:eastAsia="zh-CN"/>
              </w:rPr>
              <w:t>提供服务的团队人员应与为本合同</w:t>
            </w:r>
            <w:r>
              <w:rPr>
                <w:rFonts w:hint="eastAsia" w:cs="宋体" w:asciiTheme="minorEastAsia" w:hAnsiTheme="minorEastAsia" w:eastAsiaTheme="minorEastAsia"/>
                <w:color w:val="000000"/>
                <w:sz w:val="18"/>
                <w:szCs w:val="18"/>
                <w:lang w:val="en-US" w:eastAsia="zh-CN"/>
              </w:rPr>
              <w:t>约定</w:t>
            </w:r>
            <w:r>
              <w:rPr>
                <w:rFonts w:hint="eastAsia" w:cs="宋体" w:asciiTheme="minorEastAsia" w:hAnsiTheme="minorEastAsia" w:eastAsiaTheme="minorEastAsia"/>
                <w:color w:val="000000"/>
                <w:sz w:val="18"/>
                <w:szCs w:val="18"/>
                <w:lang w:eastAsia="zh-CN"/>
              </w:rPr>
              <w:t>服务人员一致，如有人员变动，需更换具备同等资质人员，并获得甲方认可。</w:t>
            </w:r>
          </w:p>
        </w:tc>
        <w:tc>
          <w:tcPr>
            <w:tcW w:w="1988" w:type="dxa"/>
            <w:tcBorders>
              <w:top w:val="nil"/>
              <w:left w:val="nil"/>
              <w:bottom w:val="single" w:color="auto" w:sz="4" w:space="0"/>
              <w:right w:val="single" w:color="auto" w:sz="4" w:space="0"/>
            </w:tcBorders>
            <w:shd w:val="clear" w:color="auto" w:fill="auto"/>
            <w:noWrap/>
            <w:vAlign w:val="center"/>
          </w:tcPr>
          <w:p w14:paraId="203E5846">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1000元/月/人次</w:t>
            </w:r>
          </w:p>
        </w:tc>
        <w:tc>
          <w:tcPr>
            <w:tcW w:w="709" w:type="dxa"/>
            <w:tcBorders>
              <w:top w:val="nil"/>
              <w:left w:val="nil"/>
              <w:bottom w:val="single" w:color="auto" w:sz="4" w:space="0"/>
              <w:right w:val="single" w:color="auto" w:sz="4" w:space="0"/>
            </w:tcBorders>
            <w:shd w:val="clear" w:color="auto" w:fill="auto"/>
            <w:noWrap/>
            <w:vAlign w:val="center"/>
          </w:tcPr>
          <w:p w14:paraId="3931E379">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277673C1">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21987DD0">
        <w:tblPrEx>
          <w:tblCellMar>
            <w:top w:w="0" w:type="dxa"/>
            <w:left w:w="108" w:type="dxa"/>
            <w:bottom w:w="0" w:type="dxa"/>
            <w:right w:w="108" w:type="dxa"/>
          </w:tblCellMar>
        </w:tblPrEx>
        <w:trPr>
          <w:trHeight w:val="1517" w:hRule="atLeast"/>
        </w:trPr>
        <w:tc>
          <w:tcPr>
            <w:tcW w:w="1483" w:type="dxa"/>
            <w:vMerge w:val="continue"/>
            <w:tcBorders>
              <w:top w:val="nil"/>
              <w:left w:val="single" w:color="auto" w:sz="4" w:space="0"/>
              <w:bottom w:val="single" w:color="auto" w:sz="4" w:space="0"/>
              <w:right w:val="single" w:color="auto" w:sz="4" w:space="0"/>
            </w:tcBorders>
            <w:vAlign w:val="center"/>
          </w:tcPr>
          <w:p w14:paraId="2B26ED30">
            <w:pPr>
              <w:spacing w:line="240" w:lineRule="auto"/>
              <w:jc w:val="left"/>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0F8790E3">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6</w:t>
            </w:r>
          </w:p>
        </w:tc>
        <w:tc>
          <w:tcPr>
            <w:tcW w:w="4249" w:type="dxa"/>
            <w:gridSpan w:val="3"/>
            <w:tcBorders>
              <w:top w:val="nil"/>
              <w:left w:val="nil"/>
              <w:bottom w:val="single" w:color="auto" w:sz="4" w:space="0"/>
              <w:right w:val="single" w:color="auto" w:sz="4" w:space="0"/>
            </w:tcBorders>
            <w:shd w:val="clear" w:color="auto" w:fill="auto"/>
          </w:tcPr>
          <w:p w14:paraId="7A423AA9">
            <w:pPr>
              <w:spacing w:line="240" w:lineRule="auto"/>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其他考核：</w:t>
            </w:r>
            <w:r>
              <w:rPr>
                <w:rFonts w:cs="宋体" w:asciiTheme="minorEastAsia" w:hAnsiTheme="minorEastAsia" w:eastAsiaTheme="minorEastAsia"/>
                <w:color w:val="000000"/>
                <w:sz w:val="18"/>
                <w:szCs w:val="18"/>
                <w:lang w:eastAsia="zh-CN"/>
              </w:rPr>
              <w:t xml:space="preserve"> </w:t>
            </w:r>
          </w:p>
        </w:tc>
        <w:tc>
          <w:tcPr>
            <w:tcW w:w="1988" w:type="dxa"/>
            <w:tcBorders>
              <w:top w:val="nil"/>
              <w:left w:val="nil"/>
              <w:bottom w:val="single" w:color="auto" w:sz="4" w:space="0"/>
              <w:right w:val="single" w:color="auto" w:sz="4" w:space="0"/>
            </w:tcBorders>
            <w:shd w:val="clear" w:color="auto" w:fill="auto"/>
            <w:noWrap/>
            <w:vAlign w:val="center"/>
          </w:tcPr>
          <w:p w14:paraId="25DBF8ED">
            <w:pPr>
              <w:spacing w:line="240" w:lineRule="auto"/>
              <w:jc w:val="center"/>
              <w:rPr>
                <w:rFonts w:cs="宋体" w:asciiTheme="minorEastAsia" w:hAnsiTheme="minorEastAsia" w:eastAsiaTheme="minorEastAsia"/>
                <w:color w:val="000000"/>
                <w:sz w:val="18"/>
                <w:szCs w:val="18"/>
                <w:lang w:eastAsia="zh-CN"/>
              </w:rPr>
            </w:pPr>
          </w:p>
        </w:tc>
        <w:tc>
          <w:tcPr>
            <w:tcW w:w="709" w:type="dxa"/>
            <w:tcBorders>
              <w:top w:val="nil"/>
              <w:left w:val="nil"/>
              <w:bottom w:val="single" w:color="auto" w:sz="4" w:space="0"/>
              <w:right w:val="single" w:color="auto" w:sz="4" w:space="0"/>
            </w:tcBorders>
            <w:shd w:val="clear" w:color="auto" w:fill="auto"/>
            <w:noWrap/>
            <w:vAlign w:val="center"/>
          </w:tcPr>
          <w:p w14:paraId="4F209011">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4E76658E">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16012338">
        <w:tblPrEx>
          <w:tblCellMar>
            <w:top w:w="0" w:type="dxa"/>
            <w:left w:w="108" w:type="dxa"/>
            <w:bottom w:w="0" w:type="dxa"/>
            <w:right w:w="108" w:type="dxa"/>
          </w:tblCellMar>
        </w:tblPrEx>
        <w:trPr>
          <w:trHeight w:val="600" w:hRule="atLeast"/>
        </w:trPr>
        <w:tc>
          <w:tcPr>
            <w:tcW w:w="1483" w:type="dxa"/>
            <w:vMerge w:val="continue"/>
            <w:tcBorders>
              <w:top w:val="nil"/>
              <w:left w:val="single" w:color="auto" w:sz="4" w:space="0"/>
              <w:bottom w:val="single" w:color="auto" w:sz="4" w:space="0"/>
              <w:right w:val="single" w:color="auto" w:sz="4" w:space="0"/>
            </w:tcBorders>
            <w:vAlign w:val="center"/>
          </w:tcPr>
          <w:p w14:paraId="79A91CBE">
            <w:pPr>
              <w:spacing w:line="240" w:lineRule="auto"/>
              <w:jc w:val="left"/>
              <w:rPr>
                <w:rFonts w:cs="宋体" w:asciiTheme="minorEastAsia" w:hAnsiTheme="minorEastAsia" w:eastAsiaTheme="minorEastAsia"/>
                <w:color w:val="000000"/>
                <w:sz w:val="18"/>
                <w:szCs w:val="18"/>
                <w:lang w:eastAsia="zh-CN"/>
              </w:rPr>
            </w:pPr>
          </w:p>
        </w:tc>
        <w:tc>
          <w:tcPr>
            <w:tcW w:w="4766" w:type="dxa"/>
            <w:gridSpan w:val="4"/>
            <w:tcBorders>
              <w:top w:val="single" w:color="auto" w:sz="4" w:space="0"/>
              <w:left w:val="nil"/>
              <w:bottom w:val="single" w:color="auto" w:sz="4" w:space="0"/>
              <w:right w:val="single" w:color="000000" w:sz="4" w:space="0"/>
            </w:tcBorders>
            <w:shd w:val="clear" w:color="auto" w:fill="auto"/>
            <w:noWrap/>
            <w:vAlign w:val="center"/>
          </w:tcPr>
          <w:p w14:paraId="746C342D">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合计</w:t>
            </w:r>
          </w:p>
        </w:tc>
        <w:tc>
          <w:tcPr>
            <w:tcW w:w="1988" w:type="dxa"/>
            <w:tcBorders>
              <w:top w:val="nil"/>
              <w:left w:val="nil"/>
              <w:bottom w:val="single" w:color="auto" w:sz="4" w:space="0"/>
              <w:right w:val="single" w:color="auto" w:sz="4" w:space="0"/>
            </w:tcBorders>
            <w:shd w:val="clear" w:color="auto" w:fill="auto"/>
            <w:noWrap/>
            <w:vAlign w:val="center"/>
          </w:tcPr>
          <w:p w14:paraId="6B5B8E89">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709" w:type="dxa"/>
            <w:tcBorders>
              <w:top w:val="nil"/>
              <w:left w:val="nil"/>
              <w:bottom w:val="single" w:color="auto" w:sz="4" w:space="0"/>
              <w:right w:val="single" w:color="auto" w:sz="4" w:space="0"/>
            </w:tcBorders>
            <w:shd w:val="clear" w:color="auto" w:fill="auto"/>
            <w:noWrap/>
            <w:vAlign w:val="center"/>
          </w:tcPr>
          <w:p w14:paraId="04E4CF20">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4F7945E8">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3133B636">
        <w:tblPrEx>
          <w:tblCellMar>
            <w:top w:w="0" w:type="dxa"/>
            <w:left w:w="108" w:type="dxa"/>
            <w:bottom w:w="0" w:type="dxa"/>
            <w:right w:w="108" w:type="dxa"/>
          </w:tblCellMar>
        </w:tblPrEx>
        <w:trPr>
          <w:trHeight w:val="690" w:hRule="atLeast"/>
        </w:trPr>
        <w:tc>
          <w:tcPr>
            <w:tcW w:w="1483" w:type="dxa"/>
            <w:tcBorders>
              <w:top w:val="nil"/>
              <w:left w:val="nil"/>
              <w:bottom w:val="nil"/>
              <w:right w:val="nil"/>
            </w:tcBorders>
            <w:shd w:val="clear" w:color="auto" w:fill="auto"/>
            <w:noWrap/>
            <w:vAlign w:val="center"/>
          </w:tcPr>
          <w:p w14:paraId="45517C02">
            <w:pPr>
              <w:spacing w:line="240" w:lineRule="auto"/>
              <w:rPr>
                <w:rFonts w:cs="宋体" w:asciiTheme="minorEastAsia" w:hAnsiTheme="minorEastAsia" w:eastAsiaTheme="minorEastAsia"/>
                <w:color w:val="000000"/>
                <w:sz w:val="18"/>
                <w:szCs w:val="18"/>
                <w:lang w:eastAsia="zh-CN"/>
              </w:rPr>
            </w:pPr>
          </w:p>
        </w:tc>
        <w:tc>
          <w:tcPr>
            <w:tcW w:w="1124" w:type="dxa"/>
            <w:gridSpan w:val="2"/>
            <w:tcBorders>
              <w:top w:val="nil"/>
              <w:left w:val="nil"/>
              <w:bottom w:val="nil"/>
              <w:right w:val="nil"/>
            </w:tcBorders>
            <w:shd w:val="clear" w:color="auto" w:fill="auto"/>
            <w:noWrap/>
            <w:vAlign w:val="center"/>
          </w:tcPr>
          <w:p w14:paraId="17E43654">
            <w:pPr>
              <w:spacing w:line="240" w:lineRule="auto"/>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整理：</w:t>
            </w:r>
          </w:p>
        </w:tc>
        <w:tc>
          <w:tcPr>
            <w:tcW w:w="3642" w:type="dxa"/>
            <w:gridSpan w:val="2"/>
            <w:tcBorders>
              <w:top w:val="nil"/>
              <w:left w:val="nil"/>
              <w:bottom w:val="nil"/>
              <w:right w:val="nil"/>
            </w:tcBorders>
            <w:shd w:val="clear" w:color="auto" w:fill="auto"/>
            <w:noWrap/>
            <w:vAlign w:val="center"/>
          </w:tcPr>
          <w:p w14:paraId="18D17F66">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xml:space="preserve">    </w:t>
            </w:r>
          </w:p>
        </w:tc>
        <w:tc>
          <w:tcPr>
            <w:tcW w:w="1988" w:type="dxa"/>
            <w:tcBorders>
              <w:top w:val="nil"/>
              <w:left w:val="nil"/>
              <w:bottom w:val="nil"/>
              <w:right w:val="nil"/>
            </w:tcBorders>
            <w:shd w:val="clear" w:color="auto" w:fill="auto"/>
            <w:noWrap/>
            <w:vAlign w:val="center"/>
          </w:tcPr>
          <w:p w14:paraId="4BB2DA5E">
            <w:pPr>
              <w:spacing w:line="240" w:lineRule="auto"/>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审核：</w:t>
            </w:r>
            <w:r>
              <w:rPr>
                <w:rFonts w:cs="宋体" w:asciiTheme="minorEastAsia" w:hAnsiTheme="minorEastAsia" w:eastAsiaTheme="minorEastAsia"/>
                <w:color w:val="000000"/>
                <w:sz w:val="18"/>
                <w:szCs w:val="18"/>
                <w:lang w:eastAsia="zh-CN"/>
              </w:rPr>
              <w:t xml:space="preserve"> </w:t>
            </w:r>
          </w:p>
        </w:tc>
        <w:tc>
          <w:tcPr>
            <w:tcW w:w="709" w:type="dxa"/>
            <w:tcBorders>
              <w:top w:val="nil"/>
              <w:left w:val="nil"/>
              <w:bottom w:val="nil"/>
              <w:right w:val="nil"/>
            </w:tcBorders>
            <w:shd w:val="clear" w:color="auto" w:fill="auto"/>
            <w:noWrap/>
            <w:vAlign w:val="center"/>
          </w:tcPr>
          <w:p w14:paraId="5781FA5D">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nil"/>
              <w:right w:val="nil"/>
            </w:tcBorders>
            <w:shd w:val="clear" w:color="auto" w:fill="auto"/>
            <w:noWrap/>
            <w:vAlign w:val="center"/>
          </w:tcPr>
          <w:p w14:paraId="603A2C14">
            <w:pPr>
              <w:spacing w:line="240" w:lineRule="auto"/>
              <w:jc w:val="center"/>
              <w:rPr>
                <w:rFonts w:cs="宋体" w:asciiTheme="minorEastAsia" w:hAnsiTheme="minorEastAsia" w:eastAsiaTheme="minorEastAsia"/>
                <w:color w:val="000000"/>
                <w:sz w:val="18"/>
                <w:szCs w:val="18"/>
                <w:lang w:eastAsia="zh-CN"/>
              </w:rPr>
            </w:pPr>
          </w:p>
        </w:tc>
      </w:tr>
    </w:tbl>
    <w:p w14:paraId="3E382BB3">
      <w:pPr>
        <w:rPr>
          <w:rFonts w:asciiTheme="minorEastAsia" w:hAnsiTheme="minorEastAsia" w:eastAsiaTheme="minorEastAsia"/>
          <w:sz w:val="18"/>
          <w:szCs w:val="18"/>
          <w:lang w:eastAsia="zh-CN"/>
        </w:rPr>
      </w:pPr>
    </w:p>
    <w:p w14:paraId="6A0B6F14">
      <w:pPr>
        <w:rPr>
          <w:lang w:eastAsia="zh-CN"/>
        </w:rPr>
      </w:pPr>
    </w:p>
    <w:tbl>
      <w:tblPr>
        <w:tblStyle w:val="18"/>
        <w:tblW w:w="9981" w:type="dxa"/>
        <w:tblInd w:w="93" w:type="dxa"/>
        <w:tblLayout w:type="autofit"/>
        <w:tblCellMar>
          <w:top w:w="0" w:type="dxa"/>
          <w:left w:w="108" w:type="dxa"/>
          <w:bottom w:w="0" w:type="dxa"/>
          <w:right w:w="108" w:type="dxa"/>
        </w:tblCellMar>
      </w:tblPr>
      <w:tblGrid>
        <w:gridCol w:w="1483"/>
        <w:gridCol w:w="517"/>
        <w:gridCol w:w="607"/>
        <w:gridCol w:w="102"/>
        <w:gridCol w:w="3540"/>
        <w:gridCol w:w="1988"/>
        <w:gridCol w:w="709"/>
        <w:gridCol w:w="1035"/>
      </w:tblGrid>
      <w:tr w14:paraId="3E4A7FAE">
        <w:tblPrEx>
          <w:tblCellMar>
            <w:top w:w="0" w:type="dxa"/>
            <w:left w:w="108" w:type="dxa"/>
            <w:bottom w:w="0" w:type="dxa"/>
            <w:right w:w="108" w:type="dxa"/>
          </w:tblCellMar>
        </w:tblPrEx>
        <w:trPr>
          <w:trHeight w:val="1140" w:hRule="atLeast"/>
        </w:trPr>
        <w:tc>
          <w:tcPr>
            <w:tcW w:w="9981" w:type="dxa"/>
            <w:gridSpan w:val="8"/>
            <w:tcBorders>
              <w:top w:val="nil"/>
              <w:left w:val="nil"/>
              <w:bottom w:val="single" w:color="auto" w:sz="4" w:space="0"/>
              <w:right w:val="nil"/>
            </w:tcBorders>
            <w:shd w:val="clear" w:color="auto" w:fill="auto"/>
            <w:noWrap/>
            <w:vAlign w:val="center"/>
          </w:tcPr>
          <w:p w14:paraId="6AE1405C">
            <w:pPr>
              <w:spacing w:line="240" w:lineRule="auto"/>
              <w:jc w:val="center"/>
              <w:rPr>
                <w:rFonts w:ascii="宋体" w:hAnsi="宋体" w:cs="宋体"/>
                <w:color w:val="000000"/>
                <w:sz w:val="36"/>
                <w:szCs w:val="36"/>
                <w:lang w:eastAsia="zh-CN"/>
              </w:rPr>
            </w:pPr>
            <w:r>
              <w:rPr>
                <w:rFonts w:hint="eastAsia" w:ascii="宋体" w:hAnsi="宋体" w:cs="宋体"/>
                <w:color w:val="000000"/>
                <w:sz w:val="36"/>
                <w:szCs w:val="36"/>
                <w:lang w:eastAsia="zh-CN"/>
              </w:rPr>
              <w:t>灭鼠服务考核表</w:t>
            </w:r>
          </w:p>
        </w:tc>
      </w:tr>
      <w:tr w14:paraId="7757065A">
        <w:tblPrEx>
          <w:tblCellMar>
            <w:top w:w="0" w:type="dxa"/>
            <w:left w:w="108" w:type="dxa"/>
            <w:bottom w:w="0" w:type="dxa"/>
            <w:right w:w="108" w:type="dxa"/>
          </w:tblCellMar>
        </w:tblPrEx>
        <w:trPr>
          <w:trHeight w:val="499" w:hRule="atLeast"/>
        </w:trPr>
        <w:tc>
          <w:tcPr>
            <w:tcW w:w="6249"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178C2771">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考核时间段：</w:t>
            </w:r>
          </w:p>
        </w:tc>
        <w:tc>
          <w:tcPr>
            <w:tcW w:w="1988" w:type="dxa"/>
            <w:vMerge w:val="restart"/>
            <w:tcBorders>
              <w:top w:val="nil"/>
              <w:left w:val="single" w:color="auto" w:sz="4" w:space="0"/>
              <w:bottom w:val="single" w:color="000000" w:sz="4" w:space="0"/>
              <w:right w:val="single" w:color="auto" w:sz="4" w:space="0"/>
            </w:tcBorders>
            <w:shd w:val="clear" w:color="auto" w:fill="auto"/>
            <w:noWrap/>
            <w:vAlign w:val="center"/>
          </w:tcPr>
          <w:p w14:paraId="7AE876D8">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扣款标准</w:t>
            </w:r>
          </w:p>
        </w:tc>
        <w:tc>
          <w:tcPr>
            <w:tcW w:w="709" w:type="dxa"/>
            <w:vMerge w:val="restart"/>
            <w:tcBorders>
              <w:top w:val="nil"/>
              <w:left w:val="single" w:color="auto" w:sz="4" w:space="0"/>
              <w:bottom w:val="single" w:color="000000" w:sz="4" w:space="0"/>
              <w:right w:val="single" w:color="auto" w:sz="4" w:space="0"/>
            </w:tcBorders>
            <w:shd w:val="clear" w:color="auto" w:fill="auto"/>
            <w:noWrap/>
            <w:vAlign w:val="center"/>
          </w:tcPr>
          <w:p w14:paraId="02AE64EE">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扣款</w:t>
            </w:r>
          </w:p>
        </w:tc>
        <w:tc>
          <w:tcPr>
            <w:tcW w:w="1035" w:type="dxa"/>
            <w:vMerge w:val="restart"/>
            <w:tcBorders>
              <w:top w:val="nil"/>
              <w:left w:val="single" w:color="auto" w:sz="4" w:space="0"/>
              <w:bottom w:val="single" w:color="000000" w:sz="4" w:space="0"/>
              <w:right w:val="single" w:color="auto" w:sz="4" w:space="0"/>
            </w:tcBorders>
            <w:shd w:val="clear" w:color="auto" w:fill="auto"/>
            <w:noWrap/>
            <w:vAlign w:val="center"/>
          </w:tcPr>
          <w:p w14:paraId="193A9568">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备注</w:t>
            </w:r>
          </w:p>
        </w:tc>
      </w:tr>
      <w:tr w14:paraId="0F230FD4">
        <w:tblPrEx>
          <w:tblCellMar>
            <w:top w:w="0" w:type="dxa"/>
            <w:left w:w="108" w:type="dxa"/>
            <w:bottom w:w="0" w:type="dxa"/>
            <w:right w:w="108" w:type="dxa"/>
          </w:tblCellMar>
        </w:tblPrEx>
        <w:trPr>
          <w:trHeight w:val="499" w:hRule="atLeast"/>
        </w:trPr>
        <w:tc>
          <w:tcPr>
            <w:tcW w:w="1483" w:type="dxa"/>
            <w:tcBorders>
              <w:top w:val="nil"/>
              <w:left w:val="single" w:color="auto" w:sz="4" w:space="0"/>
              <w:bottom w:val="single" w:color="auto" w:sz="4" w:space="0"/>
              <w:right w:val="single" w:color="auto" w:sz="4" w:space="0"/>
            </w:tcBorders>
            <w:shd w:val="clear" w:color="auto" w:fill="auto"/>
            <w:noWrap/>
            <w:vAlign w:val="center"/>
          </w:tcPr>
          <w:p w14:paraId="09273828">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服务区域</w:t>
            </w:r>
          </w:p>
        </w:tc>
        <w:tc>
          <w:tcPr>
            <w:tcW w:w="4766" w:type="dxa"/>
            <w:gridSpan w:val="4"/>
            <w:tcBorders>
              <w:top w:val="single" w:color="auto" w:sz="4" w:space="0"/>
              <w:left w:val="nil"/>
              <w:bottom w:val="single" w:color="auto" w:sz="4" w:space="0"/>
              <w:right w:val="single" w:color="000000" w:sz="4" w:space="0"/>
            </w:tcBorders>
            <w:shd w:val="clear" w:color="auto" w:fill="auto"/>
            <w:noWrap/>
            <w:vAlign w:val="center"/>
          </w:tcPr>
          <w:p w14:paraId="2391CDE0">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考核条款</w:t>
            </w:r>
          </w:p>
        </w:tc>
        <w:tc>
          <w:tcPr>
            <w:tcW w:w="1988" w:type="dxa"/>
            <w:vMerge w:val="continue"/>
            <w:tcBorders>
              <w:top w:val="nil"/>
              <w:left w:val="single" w:color="auto" w:sz="4" w:space="0"/>
              <w:bottom w:val="single" w:color="000000" w:sz="4" w:space="0"/>
              <w:right w:val="single" w:color="auto" w:sz="4" w:space="0"/>
            </w:tcBorders>
            <w:vAlign w:val="center"/>
          </w:tcPr>
          <w:p w14:paraId="2CBAC29B">
            <w:pPr>
              <w:spacing w:line="240" w:lineRule="auto"/>
              <w:jc w:val="left"/>
              <w:rPr>
                <w:rFonts w:cs="宋体" w:asciiTheme="minorEastAsia" w:hAnsiTheme="minorEastAsia" w:eastAsiaTheme="minorEastAsia"/>
                <w:color w:val="000000"/>
                <w:sz w:val="18"/>
                <w:szCs w:val="18"/>
                <w:lang w:eastAsia="zh-CN"/>
              </w:rPr>
            </w:pPr>
          </w:p>
        </w:tc>
        <w:tc>
          <w:tcPr>
            <w:tcW w:w="709" w:type="dxa"/>
            <w:vMerge w:val="continue"/>
            <w:tcBorders>
              <w:top w:val="nil"/>
              <w:left w:val="single" w:color="auto" w:sz="4" w:space="0"/>
              <w:bottom w:val="single" w:color="000000" w:sz="4" w:space="0"/>
              <w:right w:val="single" w:color="auto" w:sz="4" w:space="0"/>
            </w:tcBorders>
            <w:vAlign w:val="center"/>
          </w:tcPr>
          <w:p w14:paraId="09E32DC9">
            <w:pPr>
              <w:spacing w:line="240" w:lineRule="auto"/>
              <w:jc w:val="left"/>
              <w:rPr>
                <w:rFonts w:cs="宋体" w:asciiTheme="minorEastAsia" w:hAnsiTheme="minorEastAsia" w:eastAsiaTheme="minorEastAsia"/>
                <w:color w:val="000000"/>
                <w:sz w:val="18"/>
                <w:szCs w:val="18"/>
                <w:lang w:eastAsia="zh-CN"/>
              </w:rPr>
            </w:pPr>
          </w:p>
        </w:tc>
        <w:tc>
          <w:tcPr>
            <w:tcW w:w="1035" w:type="dxa"/>
            <w:vMerge w:val="continue"/>
            <w:tcBorders>
              <w:top w:val="nil"/>
              <w:left w:val="single" w:color="auto" w:sz="4" w:space="0"/>
              <w:bottom w:val="single" w:color="000000" w:sz="4" w:space="0"/>
              <w:right w:val="single" w:color="auto" w:sz="4" w:space="0"/>
            </w:tcBorders>
            <w:vAlign w:val="center"/>
          </w:tcPr>
          <w:p w14:paraId="13EB2DDC">
            <w:pPr>
              <w:spacing w:line="240" w:lineRule="auto"/>
              <w:jc w:val="left"/>
              <w:rPr>
                <w:rFonts w:cs="宋体" w:asciiTheme="minorEastAsia" w:hAnsiTheme="minorEastAsia" w:eastAsiaTheme="minorEastAsia"/>
                <w:color w:val="000000"/>
                <w:sz w:val="18"/>
                <w:szCs w:val="18"/>
                <w:lang w:eastAsia="zh-CN"/>
              </w:rPr>
            </w:pPr>
          </w:p>
        </w:tc>
      </w:tr>
      <w:tr w14:paraId="06D7E3E1">
        <w:tblPrEx>
          <w:tblCellMar>
            <w:top w:w="0" w:type="dxa"/>
            <w:left w:w="108" w:type="dxa"/>
            <w:bottom w:w="0" w:type="dxa"/>
            <w:right w:w="108" w:type="dxa"/>
          </w:tblCellMar>
        </w:tblPrEx>
        <w:trPr>
          <w:trHeight w:val="412" w:hRule="atLeast"/>
        </w:trPr>
        <w:tc>
          <w:tcPr>
            <w:tcW w:w="1483" w:type="dxa"/>
            <w:vMerge w:val="restart"/>
            <w:tcBorders>
              <w:top w:val="nil"/>
              <w:left w:val="single" w:color="auto" w:sz="4" w:space="0"/>
              <w:bottom w:val="single" w:color="auto" w:sz="4" w:space="0"/>
              <w:right w:val="single" w:color="auto" w:sz="4" w:space="0"/>
            </w:tcBorders>
            <w:shd w:val="clear" w:color="auto" w:fill="auto"/>
            <w:noWrap/>
            <w:vAlign w:val="center"/>
          </w:tcPr>
          <w:p w14:paraId="06A0EECB">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考核内容</w:t>
            </w:r>
          </w:p>
        </w:tc>
        <w:tc>
          <w:tcPr>
            <w:tcW w:w="517" w:type="dxa"/>
            <w:vMerge w:val="restart"/>
            <w:tcBorders>
              <w:top w:val="nil"/>
              <w:left w:val="nil"/>
              <w:right w:val="single" w:color="auto" w:sz="4" w:space="0"/>
            </w:tcBorders>
            <w:shd w:val="clear" w:color="auto" w:fill="auto"/>
            <w:noWrap/>
            <w:vAlign w:val="center"/>
          </w:tcPr>
          <w:p w14:paraId="0391CB05">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w:t>
            </w:r>
          </w:p>
        </w:tc>
        <w:tc>
          <w:tcPr>
            <w:tcW w:w="709" w:type="dxa"/>
            <w:gridSpan w:val="2"/>
            <w:vMerge w:val="restart"/>
            <w:tcBorders>
              <w:top w:val="nil"/>
              <w:left w:val="nil"/>
              <w:right w:val="single" w:color="auto" w:sz="4" w:space="0"/>
            </w:tcBorders>
            <w:shd w:val="clear" w:color="auto" w:fill="auto"/>
            <w:vAlign w:val="center"/>
          </w:tcPr>
          <w:p w14:paraId="62F481A1">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安全设备配备</w:t>
            </w:r>
          </w:p>
        </w:tc>
        <w:tc>
          <w:tcPr>
            <w:tcW w:w="3540" w:type="dxa"/>
            <w:tcBorders>
              <w:top w:val="nil"/>
              <w:left w:val="nil"/>
              <w:bottom w:val="single" w:color="auto" w:sz="4" w:space="0"/>
              <w:right w:val="single" w:color="auto" w:sz="4" w:space="0"/>
            </w:tcBorders>
            <w:shd w:val="clear" w:color="auto" w:fill="auto"/>
            <w:vAlign w:val="center"/>
          </w:tcPr>
          <w:p w14:paraId="7BB6C99C">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需配备防爆手机一台。</w:t>
            </w:r>
          </w:p>
        </w:tc>
        <w:tc>
          <w:tcPr>
            <w:tcW w:w="1988" w:type="dxa"/>
            <w:tcBorders>
              <w:top w:val="nil"/>
              <w:left w:val="nil"/>
              <w:bottom w:val="single" w:color="auto" w:sz="4" w:space="0"/>
              <w:right w:val="single" w:color="auto" w:sz="4" w:space="0"/>
            </w:tcBorders>
            <w:shd w:val="clear" w:color="auto" w:fill="auto"/>
            <w:noWrap/>
            <w:vAlign w:val="center"/>
          </w:tcPr>
          <w:p w14:paraId="6B8D517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1000元/次</w:t>
            </w:r>
          </w:p>
        </w:tc>
        <w:tc>
          <w:tcPr>
            <w:tcW w:w="709" w:type="dxa"/>
            <w:tcBorders>
              <w:top w:val="nil"/>
              <w:left w:val="nil"/>
              <w:bottom w:val="single" w:color="auto" w:sz="4" w:space="0"/>
              <w:right w:val="single" w:color="auto" w:sz="4" w:space="0"/>
            </w:tcBorders>
            <w:shd w:val="clear" w:color="auto" w:fill="auto"/>
            <w:noWrap/>
            <w:vAlign w:val="center"/>
          </w:tcPr>
          <w:p w14:paraId="457AFA7E">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61639B7D">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06DBB898">
        <w:tblPrEx>
          <w:tblCellMar>
            <w:top w:w="0" w:type="dxa"/>
            <w:left w:w="108" w:type="dxa"/>
            <w:bottom w:w="0" w:type="dxa"/>
            <w:right w:w="108" w:type="dxa"/>
          </w:tblCellMar>
        </w:tblPrEx>
        <w:trPr>
          <w:trHeight w:val="750" w:hRule="atLeast"/>
        </w:trPr>
        <w:tc>
          <w:tcPr>
            <w:tcW w:w="1483" w:type="dxa"/>
            <w:vMerge w:val="continue"/>
            <w:tcBorders>
              <w:top w:val="nil"/>
              <w:left w:val="single" w:color="auto" w:sz="4" w:space="0"/>
              <w:bottom w:val="single" w:color="auto" w:sz="4" w:space="0"/>
              <w:right w:val="single" w:color="auto" w:sz="4" w:space="0"/>
            </w:tcBorders>
            <w:shd w:val="clear" w:color="auto" w:fill="auto"/>
            <w:noWrap/>
            <w:vAlign w:val="center"/>
          </w:tcPr>
          <w:p w14:paraId="4F497D38">
            <w:pPr>
              <w:spacing w:line="240" w:lineRule="auto"/>
              <w:jc w:val="center"/>
              <w:rPr>
                <w:rFonts w:cs="宋体" w:asciiTheme="minorEastAsia" w:hAnsiTheme="minorEastAsia" w:eastAsiaTheme="minorEastAsia"/>
                <w:color w:val="000000"/>
                <w:sz w:val="18"/>
                <w:szCs w:val="18"/>
                <w:lang w:eastAsia="zh-CN"/>
              </w:rPr>
            </w:pPr>
          </w:p>
        </w:tc>
        <w:tc>
          <w:tcPr>
            <w:tcW w:w="517" w:type="dxa"/>
            <w:vMerge w:val="continue"/>
            <w:tcBorders>
              <w:left w:val="nil"/>
              <w:bottom w:val="single" w:color="auto" w:sz="4" w:space="0"/>
              <w:right w:val="single" w:color="auto" w:sz="4" w:space="0"/>
            </w:tcBorders>
            <w:shd w:val="clear" w:color="auto" w:fill="auto"/>
            <w:noWrap/>
            <w:vAlign w:val="center"/>
          </w:tcPr>
          <w:p w14:paraId="0F613742">
            <w:pPr>
              <w:spacing w:line="240" w:lineRule="auto"/>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bottom w:val="single" w:color="auto" w:sz="4" w:space="0"/>
              <w:right w:val="single" w:color="auto" w:sz="4" w:space="0"/>
            </w:tcBorders>
            <w:shd w:val="clear" w:color="auto" w:fill="auto"/>
            <w:vAlign w:val="center"/>
          </w:tcPr>
          <w:p w14:paraId="78E9311A">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208AC599">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配备四合一（硫化氢、一氧化碳、可燃气、氧含量）气体检测仪一台，需获得有权利标定单位标定校准合格。</w:t>
            </w:r>
          </w:p>
        </w:tc>
        <w:tc>
          <w:tcPr>
            <w:tcW w:w="1988" w:type="dxa"/>
            <w:tcBorders>
              <w:top w:val="nil"/>
              <w:left w:val="nil"/>
              <w:bottom w:val="single" w:color="auto" w:sz="4" w:space="0"/>
              <w:right w:val="single" w:color="auto" w:sz="4" w:space="0"/>
            </w:tcBorders>
            <w:shd w:val="clear" w:color="auto" w:fill="auto"/>
            <w:noWrap/>
            <w:vAlign w:val="center"/>
          </w:tcPr>
          <w:p w14:paraId="6A88E96B">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2000元/次</w:t>
            </w:r>
          </w:p>
        </w:tc>
        <w:tc>
          <w:tcPr>
            <w:tcW w:w="709" w:type="dxa"/>
            <w:tcBorders>
              <w:top w:val="nil"/>
              <w:left w:val="nil"/>
              <w:bottom w:val="single" w:color="auto" w:sz="4" w:space="0"/>
              <w:right w:val="single" w:color="auto" w:sz="4" w:space="0"/>
            </w:tcBorders>
            <w:shd w:val="clear" w:color="auto" w:fill="auto"/>
            <w:noWrap/>
            <w:vAlign w:val="center"/>
          </w:tcPr>
          <w:p w14:paraId="262466AD">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0CFD85FE">
            <w:pPr>
              <w:spacing w:line="240" w:lineRule="auto"/>
              <w:jc w:val="center"/>
              <w:rPr>
                <w:rFonts w:cs="宋体" w:asciiTheme="minorEastAsia" w:hAnsiTheme="minorEastAsia" w:eastAsiaTheme="minorEastAsia"/>
                <w:color w:val="000000"/>
                <w:sz w:val="18"/>
                <w:szCs w:val="18"/>
                <w:lang w:eastAsia="zh-CN"/>
              </w:rPr>
            </w:pPr>
          </w:p>
        </w:tc>
      </w:tr>
      <w:tr w14:paraId="640D9BEB">
        <w:tblPrEx>
          <w:tblCellMar>
            <w:top w:w="0" w:type="dxa"/>
            <w:left w:w="108" w:type="dxa"/>
            <w:bottom w:w="0" w:type="dxa"/>
            <w:right w:w="108" w:type="dxa"/>
          </w:tblCellMar>
        </w:tblPrEx>
        <w:trPr>
          <w:trHeight w:val="567" w:hRule="atLeast"/>
        </w:trPr>
        <w:tc>
          <w:tcPr>
            <w:tcW w:w="1483" w:type="dxa"/>
            <w:vMerge w:val="continue"/>
            <w:tcBorders>
              <w:top w:val="nil"/>
              <w:left w:val="single" w:color="auto" w:sz="4" w:space="0"/>
              <w:bottom w:val="single" w:color="auto" w:sz="4" w:space="0"/>
              <w:right w:val="single" w:color="auto" w:sz="4" w:space="0"/>
            </w:tcBorders>
            <w:shd w:val="clear" w:color="auto" w:fill="auto"/>
            <w:noWrap/>
            <w:vAlign w:val="center"/>
          </w:tcPr>
          <w:p w14:paraId="67CEA5EC">
            <w:pPr>
              <w:spacing w:line="240" w:lineRule="auto"/>
              <w:jc w:val="center"/>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253D2D56">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2</w:t>
            </w:r>
          </w:p>
        </w:tc>
        <w:tc>
          <w:tcPr>
            <w:tcW w:w="709" w:type="dxa"/>
            <w:gridSpan w:val="2"/>
            <w:tcBorders>
              <w:top w:val="nil"/>
              <w:left w:val="nil"/>
              <w:bottom w:val="single" w:color="auto" w:sz="4" w:space="0"/>
              <w:right w:val="single" w:color="auto" w:sz="4" w:space="0"/>
            </w:tcBorders>
            <w:shd w:val="clear" w:color="auto" w:fill="auto"/>
            <w:vAlign w:val="center"/>
          </w:tcPr>
          <w:p w14:paraId="700AEAE2">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服务及时性</w:t>
            </w:r>
          </w:p>
        </w:tc>
        <w:tc>
          <w:tcPr>
            <w:tcW w:w="3540" w:type="dxa"/>
            <w:tcBorders>
              <w:top w:val="nil"/>
              <w:left w:val="nil"/>
              <w:bottom w:val="single" w:color="auto" w:sz="4" w:space="0"/>
              <w:right w:val="single" w:color="auto" w:sz="4" w:space="0"/>
            </w:tcBorders>
            <w:shd w:val="clear" w:color="auto" w:fill="auto"/>
            <w:vAlign w:val="center"/>
          </w:tcPr>
          <w:p w14:paraId="0D83705B">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接到甲方管理人员服务需求后, 需24小时之内到厂服务(天气原因除外)。</w:t>
            </w:r>
          </w:p>
        </w:tc>
        <w:tc>
          <w:tcPr>
            <w:tcW w:w="1988" w:type="dxa"/>
            <w:tcBorders>
              <w:top w:val="nil"/>
              <w:left w:val="nil"/>
              <w:bottom w:val="single" w:color="auto" w:sz="4" w:space="0"/>
              <w:right w:val="single" w:color="auto" w:sz="4" w:space="0"/>
            </w:tcBorders>
            <w:shd w:val="clear" w:color="auto" w:fill="auto"/>
            <w:noWrap/>
            <w:vAlign w:val="center"/>
          </w:tcPr>
          <w:p w14:paraId="42808F51">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500元/次</w:t>
            </w:r>
          </w:p>
        </w:tc>
        <w:tc>
          <w:tcPr>
            <w:tcW w:w="709" w:type="dxa"/>
            <w:tcBorders>
              <w:top w:val="nil"/>
              <w:left w:val="nil"/>
              <w:bottom w:val="single" w:color="auto" w:sz="4" w:space="0"/>
              <w:right w:val="single" w:color="auto" w:sz="4" w:space="0"/>
            </w:tcBorders>
            <w:shd w:val="clear" w:color="auto" w:fill="auto"/>
            <w:noWrap/>
            <w:vAlign w:val="center"/>
          </w:tcPr>
          <w:p w14:paraId="1B902B09">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699965B8">
            <w:pPr>
              <w:spacing w:line="240" w:lineRule="auto"/>
              <w:jc w:val="center"/>
              <w:rPr>
                <w:rFonts w:cs="宋体" w:asciiTheme="minorEastAsia" w:hAnsiTheme="minorEastAsia" w:eastAsiaTheme="minorEastAsia"/>
                <w:color w:val="000000"/>
                <w:sz w:val="18"/>
                <w:szCs w:val="18"/>
                <w:lang w:eastAsia="zh-CN"/>
              </w:rPr>
            </w:pPr>
          </w:p>
        </w:tc>
      </w:tr>
      <w:tr w14:paraId="7B7298A8">
        <w:tblPrEx>
          <w:tblCellMar>
            <w:top w:w="0" w:type="dxa"/>
            <w:left w:w="108" w:type="dxa"/>
            <w:bottom w:w="0" w:type="dxa"/>
            <w:right w:w="108" w:type="dxa"/>
          </w:tblCellMar>
        </w:tblPrEx>
        <w:trPr>
          <w:trHeight w:val="617" w:hRule="atLeast"/>
        </w:trPr>
        <w:tc>
          <w:tcPr>
            <w:tcW w:w="1483" w:type="dxa"/>
            <w:vMerge w:val="continue"/>
            <w:tcBorders>
              <w:top w:val="nil"/>
              <w:left w:val="single" w:color="auto" w:sz="4" w:space="0"/>
              <w:bottom w:val="single" w:color="auto" w:sz="4" w:space="0"/>
              <w:right w:val="single" w:color="auto" w:sz="4" w:space="0"/>
            </w:tcBorders>
            <w:shd w:val="clear" w:color="auto" w:fill="auto"/>
            <w:noWrap/>
            <w:vAlign w:val="center"/>
          </w:tcPr>
          <w:p w14:paraId="24F84A87">
            <w:pPr>
              <w:spacing w:line="240" w:lineRule="auto"/>
              <w:jc w:val="center"/>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0596FBD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３</w:t>
            </w:r>
          </w:p>
        </w:tc>
        <w:tc>
          <w:tcPr>
            <w:tcW w:w="709" w:type="dxa"/>
            <w:gridSpan w:val="2"/>
            <w:tcBorders>
              <w:top w:val="nil"/>
              <w:left w:val="nil"/>
              <w:bottom w:val="single" w:color="auto" w:sz="4" w:space="0"/>
              <w:right w:val="single" w:color="auto" w:sz="4" w:space="0"/>
            </w:tcBorders>
            <w:shd w:val="clear" w:color="auto" w:fill="auto"/>
            <w:vAlign w:val="center"/>
          </w:tcPr>
          <w:p w14:paraId="2AC72BAF">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劳保着装</w:t>
            </w:r>
          </w:p>
        </w:tc>
        <w:tc>
          <w:tcPr>
            <w:tcW w:w="3540" w:type="dxa"/>
            <w:tcBorders>
              <w:top w:val="nil"/>
              <w:left w:val="nil"/>
              <w:bottom w:val="single" w:color="auto" w:sz="4" w:space="0"/>
              <w:right w:val="single" w:color="auto" w:sz="4" w:space="0"/>
            </w:tcBorders>
            <w:shd w:val="clear" w:color="auto" w:fill="auto"/>
            <w:vAlign w:val="center"/>
          </w:tcPr>
          <w:p w14:paraId="71BF8EEF">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进厂作业需按照甲方要求穿着合格劳保服。</w:t>
            </w:r>
          </w:p>
        </w:tc>
        <w:tc>
          <w:tcPr>
            <w:tcW w:w="1988" w:type="dxa"/>
            <w:tcBorders>
              <w:top w:val="nil"/>
              <w:left w:val="nil"/>
              <w:bottom w:val="single" w:color="auto" w:sz="4" w:space="0"/>
              <w:right w:val="single" w:color="auto" w:sz="4" w:space="0"/>
            </w:tcBorders>
            <w:shd w:val="clear" w:color="auto" w:fill="auto"/>
            <w:noWrap/>
            <w:vAlign w:val="center"/>
          </w:tcPr>
          <w:p w14:paraId="589FA67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500元/次</w:t>
            </w:r>
          </w:p>
        </w:tc>
        <w:tc>
          <w:tcPr>
            <w:tcW w:w="709" w:type="dxa"/>
            <w:tcBorders>
              <w:top w:val="nil"/>
              <w:left w:val="nil"/>
              <w:bottom w:val="single" w:color="auto" w:sz="4" w:space="0"/>
              <w:right w:val="single" w:color="auto" w:sz="4" w:space="0"/>
            </w:tcBorders>
            <w:shd w:val="clear" w:color="auto" w:fill="auto"/>
            <w:noWrap/>
            <w:vAlign w:val="center"/>
          </w:tcPr>
          <w:p w14:paraId="5E01E9AB">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single" w:color="auto" w:sz="4" w:space="0"/>
              <w:right w:val="single" w:color="auto" w:sz="4" w:space="0"/>
            </w:tcBorders>
            <w:shd w:val="clear" w:color="auto" w:fill="auto"/>
            <w:noWrap/>
            <w:vAlign w:val="center"/>
          </w:tcPr>
          <w:p w14:paraId="37FF7B30">
            <w:pPr>
              <w:spacing w:line="240" w:lineRule="auto"/>
              <w:jc w:val="center"/>
              <w:rPr>
                <w:rFonts w:cs="宋体" w:asciiTheme="minorEastAsia" w:hAnsiTheme="minorEastAsia" w:eastAsiaTheme="minorEastAsia"/>
                <w:color w:val="000000"/>
                <w:sz w:val="18"/>
                <w:szCs w:val="18"/>
                <w:lang w:eastAsia="zh-CN"/>
              </w:rPr>
            </w:pPr>
          </w:p>
        </w:tc>
      </w:tr>
      <w:tr w14:paraId="5974DAAD">
        <w:tblPrEx>
          <w:tblCellMar>
            <w:top w:w="0" w:type="dxa"/>
            <w:left w:w="108" w:type="dxa"/>
            <w:bottom w:w="0" w:type="dxa"/>
            <w:right w:w="108" w:type="dxa"/>
          </w:tblCellMar>
        </w:tblPrEx>
        <w:trPr>
          <w:trHeight w:val="690" w:hRule="atLeast"/>
        </w:trPr>
        <w:tc>
          <w:tcPr>
            <w:tcW w:w="1483" w:type="dxa"/>
            <w:vMerge w:val="continue"/>
            <w:tcBorders>
              <w:top w:val="nil"/>
              <w:left w:val="single" w:color="auto" w:sz="4" w:space="0"/>
              <w:bottom w:val="single" w:color="auto" w:sz="4" w:space="0"/>
              <w:right w:val="single" w:color="auto" w:sz="4" w:space="0"/>
            </w:tcBorders>
            <w:vAlign w:val="center"/>
          </w:tcPr>
          <w:p w14:paraId="197A829A">
            <w:pPr>
              <w:spacing w:line="240" w:lineRule="auto"/>
              <w:jc w:val="left"/>
              <w:rPr>
                <w:rFonts w:cs="宋体" w:asciiTheme="minorEastAsia" w:hAnsiTheme="minorEastAsia" w:eastAsiaTheme="minorEastAsia"/>
                <w:color w:val="000000"/>
                <w:sz w:val="18"/>
                <w:szCs w:val="18"/>
                <w:lang w:eastAsia="zh-CN"/>
              </w:rPr>
            </w:pPr>
          </w:p>
        </w:tc>
        <w:tc>
          <w:tcPr>
            <w:tcW w:w="517" w:type="dxa"/>
            <w:vMerge w:val="restart"/>
            <w:tcBorders>
              <w:top w:val="nil"/>
              <w:left w:val="nil"/>
              <w:right w:val="single" w:color="auto" w:sz="4" w:space="0"/>
            </w:tcBorders>
            <w:shd w:val="clear" w:color="auto" w:fill="auto"/>
            <w:noWrap/>
            <w:vAlign w:val="center"/>
          </w:tcPr>
          <w:p w14:paraId="5545A336">
            <w:pPr>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４</w:t>
            </w:r>
          </w:p>
        </w:tc>
        <w:tc>
          <w:tcPr>
            <w:tcW w:w="709" w:type="dxa"/>
            <w:gridSpan w:val="2"/>
            <w:vMerge w:val="restart"/>
            <w:tcBorders>
              <w:top w:val="nil"/>
              <w:left w:val="nil"/>
              <w:right w:val="single" w:color="auto" w:sz="4" w:space="0"/>
            </w:tcBorders>
            <w:shd w:val="clear" w:color="auto" w:fill="auto"/>
            <w:vAlign w:val="center"/>
          </w:tcPr>
          <w:p w14:paraId="284C4093">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治理有效性</w:t>
            </w:r>
            <w:r>
              <w:rPr>
                <w:rFonts w:cs="宋体" w:asciiTheme="minorEastAsia" w:hAnsiTheme="minorEastAsia" w:eastAsiaTheme="minorEastAsia"/>
                <w:color w:val="000000"/>
                <w:sz w:val="18"/>
                <w:szCs w:val="18"/>
                <w:lang w:eastAsia="zh-CN"/>
              </w:rPr>
              <w:t xml:space="preserve"> </w:t>
            </w:r>
          </w:p>
        </w:tc>
        <w:tc>
          <w:tcPr>
            <w:tcW w:w="3540" w:type="dxa"/>
            <w:tcBorders>
              <w:top w:val="nil"/>
              <w:left w:val="nil"/>
              <w:bottom w:val="single" w:color="auto" w:sz="4" w:space="0"/>
              <w:right w:val="single" w:color="auto" w:sz="4" w:space="0"/>
            </w:tcBorders>
            <w:shd w:val="clear" w:color="auto" w:fill="auto"/>
            <w:vAlign w:val="center"/>
          </w:tcPr>
          <w:p w14:paraId="5F3DC92C">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灭鼠效果按照 GB/T 27770-2011《病媒生物密度控制水平 鼠类》 采用鼠迹法开展核查，防控标准达到C 级及以上</w:t>
            </w:r>
          </w:p>
        </w:tc>
        <w:tc>
          <w:tcPr>
            <w:tcW w:w="1988" w:type="dxa"/>
            <w:tcBorders>
              <w:top w:val="nil"/>
              <w:left w:val="nil"/>
              <w:bottom w:val="single" w:color="auto" w:sz="4" w:space="0"/>
              <w:right w:val="single" w:color="auto" w:sz="4" w:space="0"/>
            </w:tcBorders>
            <w:shd w:val="clear" w:color="auto" w:fill="auto"/>
            <w:noWrap/>
            <w:vAlign w:val="center"/>
          </w:tcPr>
          <w:p w14:paraId="631A8F30">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1000元/次</w:t>
            </w:r>
          </w:p>
        </w:tc>
        <w:tc>
          <w:tcPr>
            <w:tcW w:w="709" w:type="dxa"/>
            <w:tcBorders>
              <w:top w:val="nil"/>
              <w:left w:val="nil"/>
              <w:bottom w:val="single" w:color="auto" w:sz="4" w:space="0"/>
              <w:right w:val="single" w:color="auto" w:sz="4" w:space="0"/>
            </w:tcBorders>
            <w:shd w:val="clear" w:color="auto" w:fill="auto"/>
            <w:noWrap/>
            <w:vAlign w:val="center"/>
          </w:tcPr>
          <w:p w14:paraId="4B640A8E">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12DCFA46">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6EC4A285">
        <w:tblPrEx>
          <w:tblCellMar>
            <w:top w:w="0" w:type="dxa"/>
            <w:left w:w="108" w:type="dxa"/>
            <w:bottom w:w="0" w:type="dxa"/>
            <w:right w:w="108" w:type="dxa"/>
          </w:tblCellMar>
        </w:tblPrEx>
        <w:trPr>
          <w:trHeight w:val="397" w:hRule="atLeast"/>
        </w:trPr>
        <w:tc>
          <w:tcPr>
            <w:tcW w:w="1483" w:type="dxa"/>
            <w:vMerge w:val="continue"/>
            <w:tcBorders>
              <w:top w:val="nil"/>
              <w:left w:val="single" w:color="auto" w:sz="4" w:space="0"/>
              <w:bottom w:val="single" w:color="auto" w:sz="4" w:space="0"/>
              <w:right w:val="single" w:color="auto" w:sz="4" w:space="0"/>
            </w:tcBorders>
            <w:vAlign w:val="center"/>
          </w:tcPr>
          <w:p w14:paraId="2555100F">
            <w:pPr>
              <w:spacing w:line="240" w:lineRule="auto"/>
              <w:jc w:val="left"/>
              <w:rPr>
                <w:rFonts w:cs="宋体" w:asciiTheme="minorEastAsia" w:hAnsiTheme="minorEastAsia" w:eastAsiaTheme="minorEastAsia"/>
                <w:color w:val="000000"/>
                <w:sz w:val="18"/>
                <w:szCs w:val="18"/>
                <w:lang w:eastAsia="zh-CN"/>
              </w:rPr>
            </w:pPr>
          </w:p>
        </w:tc>
        <w:tc>
          <w:tcPr>
            <w:tcW w:w="517" w:type="dxa"/>
            <w:vMerge w:val="continue"/>
            <w:tcBorders>
              <w:left w:val="nil"/>
              <w:right w:val="single" w:color="auto" w:sz="4" w:space="0"/>
            </w:tcBorders>
            <w:shd w:val="clear" w:color="auto" w:fill="auto"/>
            <w:noWrap/>
            <w:vAlign w:val="center"/>
          </w:tcPr>
          <w:p w14:paraId="2D84A2C0">
            <w:pPr>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right w:val="single" w:color="auto" w:sz="4" w:space="0"/>
            </w:tcBorders>
            <w:shd w:val="clear" w:color="auto" w:fill="auto"/>
            <w:vAlign w:val="center"/>
          </w:tcPr>
          <w:p w14:paraId="12569C3C">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4D49E908">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不出现因鼠害导致的甲方财产损失。</w:t>
            </w:r>
          </w:p>
        </w:tc>
        <w:tc>
          <w:tcPr>
            <w:tcW w:w="1988" w:type="dxa"/>
            <w:tcBorders>
              <w:top w:val="nil"/>
              <w:left w:val="nil"/>
              <w:bottom w:val="single" w:color="auto" w:sz="4" w:space="0"/>
              <w:right w:val="single" w:color="auto" w:sz="4" w:space="0"/>
            </w:tcBorders>
            <w:shd w:val="clear" w:color="auto" w:fill="auto"/>
            <w:noWrap/>
            <w:vAlign w:val="center"/>
          </w:tcPr>
          <w:p w14:paraId="0CA847EA">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500-2000元/次</w:t>
            </w:r>
          </w:p>
        </w:tc>
        <w:tc>
          <w:tcPr>
            <w:tcW w:w="709" w:type="dxa"/>
            <w:tcBorders>
              <w:top w:val="nil"/>
              <w:left w:val="nil"/>
              <w:bottom w:val="single" w:color="auto" w:sz="4" w:space="0"/>
              <w:right w:val="single" w:color="auto" w:sz="4" w:space="0"/>
            </w:tcBorders>
            <w:shd w:val="clear" w:color="auto" w:fill="auto"/>
            <w:noWrap/>
            <w:vAlign w:val="center"/>
          </w:tcPr>
          <w:p w14:paraId="09CE5706">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1B579B64">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36A331D5">
        <w:tblPrEx>
          <w:tblCellMar>
            <w:top w:w="0" w:type="dxa"/>
            <w:left w:w="108" w:type="dxa"/>
            <w:bottom w:w="0" w:type="dxa"/>
            <w:right w:w="108" w:type="dxa"/>
          </w:tblCellMar>
        </w:tblPrEx>
        <w:trPr>
          <w:trHeight w:val="389" w:hRule="atLeast"/>
        </w:trPr>
        <w:tc>
          <w:tcPr>
            <w:tcW w:w="1483" w:type="dxa"/>
            <w:vMerge w:val="continue"/>
            <w:tcBorders>
              <w:top w:val="nil"/>
              <w:left w:val="single" w:color="auto" w:sz="4" w:space="0"/>
              <w:bottom w:val="single" w:color="auto" w:sz="4" w:space="0"/>
              <w:right w:val="single" w:color="auto" w:sz="4" w:space="0"/>
            </w:tcBorders>
            <w:vAlign w:val="center"/>
          </w:tcPr>
          <w:p w14:paraId="268B65C4">
            <w:pPr>
              <w:spacing w:line="240" w:lineRule="auto"/>
              <w:jc w:val="left"/>
              <w:rPr>
                <w:rFonts w:cs="宋体" w:asciiTheme="minorEastAsia" w:hAnsiTheme="minorEastAsia" w:eastAsiaTheme="minorEastAsia"/>
                <w:color w:val="000000"/>
                <w:sz w:val="18"/>
                <w:szCs w:val="18"/>
                <w:lang w:eastAsia="zh-CN"/>
              </w:rPr>
            </w:pPr>
          </w:p>
        </w:tc>
        <w:tc>
          <w:tcPr>
            <w:tcW w:w="517" w:type="dxa"/>
            <w:vMerge w:val="continue"/>
            <w:tcBorders>
              <w:left w:val="nil"/>
              <w:bottom w:val="single" w:color="auto" w:sz="4" w:space="0"/>
              <w:right w:val="single" w:color="auto" w:sz="4" w:space="0"/>
            </w:tcBorders>
            <w:shd w:val="clear" w:color="auto" w:fill="auto"/>
            <w:noWrap/>
            <w:vAlign w:val="center"/>
          </w:tcPr>
          <w:p w14:paraId="3AB96FBA">
            <w:pPr>
              <w:spacing w:line="240" w:lineRule="auto"/>
              <w:jc w:val="center"/>
              <w:rPr>
                <w:rFonts w:cs="宋体" w:asciiTheme="minorEastAsia" w:hAnsiTheme="minorEastAsia" w:eastAsiaTheme="minorEastAsia"/>
                <w:color w:val="000000"/>
                <w:sz w:val="18"/>
                <w:szCs w:val="18"/>
                <w:lang w:eastAsia="zh-CN"/>
              </w:rPr>
            </w:pPr>
          </w:p>
        </w:tc>
        <w:tc>
          <w:tcPr>
            <w:tcW w:w="709" w:type="dxa"/>
            <w:gridSpan w:val="2"/>
            <w:vMerge w:val="continue"/>
            <w:tcBorders>
              <w:left w:val="nil"/>
              <w:bottom w:val="single" w:color="auto" w:sz="4" w:space="0"/>
              <w:right w:val="single" w:color="auto" w:sz="4" w:space="0"/>
            </w:tcBorders>
            <w:shd w:val="clear" w:color="auto" w:fill="auto"/>
            <w:vAlign w:val="center"/>
          </w:tcPr>
          <w:p w14:paraId="52E9FAB9">
            <w:pPr>
              <w:spacing w:line="240" w:lineRule="auto"/>
              <w:jc w:val="left"/>
              <w:rPr>
                <w:rFonts w:cs="宋体" w:asciiTheme="minorEastAsia" w:hAnsiTheme="minorEastAsia" w:eastAsiaTheme="minorEastAsia"/>
                <w:color w:val="000000"/>
                <w:sz w:val="18"/>
                <w:szCs w:val="18"/>
                <w:lang w:eastAsia="zh-CN"/>
              </w:rPr>
            </w:pPr>
          </w:p>
        </w:tc>
        <w:tc>
          <w:tcPr>
            <w:tcW w:w="3540" w:type="dxa"/>
            <w:tcBorders>
              <w:top w:val="nil"/>
              <w:left w:val="nil"/>
              <w:bottom w:val="single" w:color="auto" w:sz="4" w:space="0"/>
              <w:right w:val="single" w:color="auto" w:sz="4" w:space="0"/>
            </w:tcBorders>
            <w:shd w:val="clear" w:color="auto" w:fill="auto"/>
            <w:vAlign w:val="center"/>
          </w:tcPr>
          <w:p w14:paraId="3A0E1988">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不出现老鼠伤人事件。</w:t>
            </w:r>
            <w:r>
              <w:rPr>
                <w:rFonts w:cs="宋体" w:asciiTheme="minorEastAsia" w:hAnsiTheme="minorEastAsia" w:eastAsiaTheme="minorEastAsia"/>
                <w:color w:val="000000"/>
                <w:sz w:val="18"/>
                <w:szCs w:val="18"/>
                <w:lang w:eastAsia="zh-CN"/>
              </w:rPr>
              <w:t xml:space="preserve"> </w:t>
            </w:r>
          </w:p>
        </w:tc>
        <w:tc>
          <w:tcPr>
            <w:tcW w:w="1988" w:type="dxa"/>
            <w:tcBorders>
              <w:top w:val="nil"/>
              <w:left w:val="nil"/>
              <w:bottom w:val="single" w:color="auto" w:sz="4" w:space="0"/>
              <w:right w:val="single" w:color="auto" w:sz="4" w:space="0"/>
            </w:tcBorders>
            <w:shd w:val="clear" w:color="auto" w:fill="auto"/>
            <w:noWrap/>
            <w:vAlign w:val="center"/>
          </w:tcPr>
          <w:p w14:paraId="65540909">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1000元/次</w:t>
            </w:r>
          </w:p>
        </w:tc>
        <w:tc>
          <w:tcPr>
            <w:tcW w:w="709" w:type="dxa"/>
            <w:tcBorders>
              <w:top w:val="nil"/>
              <w:left w:val="nil"/>
              <w:bottom w:val="single" w:color="auto" w:sz="4" w:space="0"/>
              <w:right w:val="single" w:color="auto" w:sz="4" w:space="0"/>
            </w:tcBorders>
            <w:shd w:val="clear" w:color="auto" w:fill="auto"/>
            <w:noWrap/>
            <w:vAlign w:val="center"/>
          </w:tcPr>
          <w:p w14:paraId="1D261227">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1391D710">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6F06FC4F">
        <w:tblPrEx>
          <w:tblCellMar>
            <w:top w:w="0" w:type="dxa"/>
            <w:left w:w="108" w:type="dxa"/>
            <w:bottom w:w="0" w:type="dxa"/>
            <w:right w:w="108" w:type="dxa"/>
          </w:tblCellMar>
        </w:tblPrEx>
        <w:trPr>
          <w:trHeight w:val="499" w:hRule="atLeast"/>
        </w:trPr>
        <w:tc>
          <w:tcPr>
            <w:tcW w:w="1483" w:type="dxa"/>
            <w:vMerge w:val="continue"/>
            <w:tcBorders>
              <w:top w:val="nil"/>
              <w:left w:val="single" w:color="auto" w:sz="4" w:space="0"/>
              <w:bottom w:val="single" w:color="auto" w:sz="4" w:space="0"/>
              <w:right w:val="single" w:color="auto" w:sz="4" w:space="0"/>
            </w:tcBorders>
            <w:vAlign w:val="center"/>
          </w:tcPr>
          <w:p w14:paraId="7D09DE4B">
            <w:pPr>
              <w:spacing w:line="240" w:lineRule="auto"/>
              <w:jc w:val="left"/>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2DFF8579">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5</w:t>
            </w:r>
          </w:p>
        </w:tc>
        <w:tc>
          <w:tcPr>
            <w:tcW w:w="709" w:type="dxa"/>
            <w:gridSpan w:val="2"/>
            <w:tcBorders>
              <w:top w:val="nil"/>
              <w:left w:val="nil"/>
              <w:bottom w:val="single" w:color="auto" w:sz="4" w:space="0"/>
              <w:right w:val="single" w:color="auto" w:sz="4" w:space="0"/>
            </w:tcBorders>
            <w:shd w:val="clear" w:color="auto" w:fill="auto"/>
            <w:vAlign w:val="center"/>
          </w:tcPr>
          <w:p w14:paraId="7A906993">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人员配置</w:t>
            </w:r>
          </w:p>
        </w:tc>
        <w:tc>
          <w:tcPr>
            <w:tcW w:w="3540" w:type="dxa"/>
            <w:tcBorders>
              <w:top w:val="nil"/>
              <w:left w:val="nil"/>
              <w:bottom w:val="single" w:color="auto" w:sz="4" w:space="0"/>
              <w:right w:val="single" w:color="auto" w:sz="4" w:space="0"/>
            </w:tcBorders>
            <w:shd w:val="clear" w:color="auto" w:fill="auto"/>
            <w:vAlign w:val="center"/>
          </w:tcPr>
          <w:p w14:paraId="2402360F">
            <w:pPr>
              <w:spacing w:line="240" w:lineRule="auto"/>
              <w:jc w:val="left"/>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val="en-US" w:eastAsia="zh-CN"/>
              </w:rPr>
              <w:t>实际</w:t>
            </w:r>
            <w:r>
              <w:rPr>
                <w:rFonts w:hint="eastAsia" w:cs="宋体" w:asciiTheme="minorEastAsia" w:hAnsiTheme="minorEastAsia" w:eastAsiaTheme="minorEastAsia"/>
                <w:color w:val="000000"/>
                <w:sz w:val="18"/>
                <w:szCs w:val="18"/>
                <w:lang w:eastAsia="zh-CN"/>
              </w:rPr>
              <w:t>提供服务的团队人员应与为本合同</w:t>
            </w:r>
            <w:r>
              <w:rPr>
                <w:rFonts w:hint="eastAsia" w:cs="宋体" w:asciiTheme="minorEastAsia" w:hAnsiTheme="minorEastAsia" w:eastAsiaTheme="minorEastAsia"/>
                <w:color w:val="000000"/>
                <w:sz w:val="18"/>
                <w:szCs w:val="18"/>
                <w:lang w:val="en-US" w:eastAsia="zh-CN"/>
              </w:rPr>
              <w:t>约定</w:t>
            </w:r>
            <w:r>
              <w:rPr>
                <w:rFonts w:hint="eastAsia" w:cs="宋体" w:asciiTheme="minorEastAsia" w:hAnsiTheme="minorEastAsia" w:eastAsiaTheme="minorEastAsia"/>
                <w:color w:val="000000"/>
                <w:sz w:val="18"/>
                <w:szCs w:val="18"/>
                <w:lang w:eastAsia="zh-CN"/>
              </w:rPr>
              <w:t>服务人员一致，如有人员变动，需更换具备同等资质人员，并获得甲方认可。</w:t>
            </w:r>
          </w:p>
        </w:tc>
        <w:tc>
          <w:tcPr>
            <w:tcW w:w="1988" w:type="dxa"/>
            <w:tcBorders>
              <w:top w:val="nil"/>
              <w:left w:val="nil"/>
              <w:bottom w:val="single" w:color="auto" w:sz="4" w:space="0"/>
              <w:right w:val="single" w:color="auto" w:sz="4" w:space="0"/>
            </w:tcBorders>
            <w:shd w:val="clear" w:color="auto" w:fill="auto"/>
            <w:noWrap/>
            <w:vAlign w:val="center"/>
          </w:tcPr>
          <w:p w14:paraId="5E3D124D">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1000元/月/人次</w:t>
            </w:r>
          </w:p>
        </w:tc>
        <w:tc>
          <w:tcPr>
            <w:tcW w:w="709" w:type="dxa"/>
            <w:tcBorders>
              <w:top w:val="nil"/>
              <w:left w:val="nil"/>
              <w:bottom w:val="single" w:color="auto" w:sz="4" w:space="0"/>
              <w:right w:val="single" w:color="auto" w:sz="4" w:space="0"/>
            </w:tcBorders>
            <w:shd w:val="clear" w:color="auto" w:fill="auto"/>
            <w:noWrap/>
            <w:vAlign w:val="center"/>
          </w:tcPr>
          <w:p w14:paraId="6078DD33">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36978E7C">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506E243F">
        <w:tblPrEx>
          <w:tblCellMar>
            <w:top w:w="0" w:type="dxa"/>
            <w:left w:w="108" w:type="dxa"/>
            <w:bottom w:w="0" w:type="dxa"/>
            <w:right w:w="108" w:type="dxa"/>
          </w:tblCellMar>
        </w:tblPrEx>
        <w:trPr>
          <w:trHeight w:val="1517" w:hRule="atLeast"/>
        </w:trPr>
        <w:tc>
          <w:tcPr>
            <w:tcW w:w="1483" w:type="dxa"/>
            <w:vMerge w:val="continue"/>
            <w:tcBorders>
              <w:top w:val="nil"/>
              <w:left w:val="single" w:color="auto" w:sz="4" w:space="0"/>
              <w:bottom w:val="single" w:color="auto" w:sz="4" w:space="0"/>
              <w:right w:val="single" w:color="auto" w:sz="4" w:space="0"/>
            </w:tcBorders>
            <w:vAlign w:val="center"/>
          </w:tcPr>
          <w:p w14:paraId="7A1C7521">
            <w:pPr>
              <w:spacing w:line="240" w:lineRule="auto"/>
              <w:jc w:val="left"/>
              <w:rPr>
                <w:rFonts w:cs="宋体" w:asciiTheme="minorEastAsia" w:hAnsiTheme="minorEastAsia" w:eastAsiaTheme="minorEastAsia"/>
                <w:color w:val="000000"/>
                <w:sz w:val="18"/>
                <w:szCs w:val="18"/>
                <w:lang w:eastAsia="zh-CN"/>
              </w:rPr>
            </w:pPr>
          </w:p>
        </w:tc>
        <w:tc>
          <w:tcPr>
            <w:tcW w:w="517" w:type="dxa"/>
            <w:tcBorders>
              <w:top w:val="nil"/>
              <w:left w:val="nil"/>
              <w:bottom w:val="single" w:color="auto" w:sz="4" w:space="0"/>
              <w:right w:val="single" w:color="auto" w:sz="4" w:space="0"/>
            </w:tcBorders>
            <w:shd w:val="clear" w:color="auto" w:fill="auto"/>
            <w:noWrap/>
            <w:vAlign w:val="center"/>
          </w:tcPr>
          <w:p w14:paraId="055ECDF1">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6</w:t>
            </w:r>
          </w:p>
        </w:tc>
        <w:tc>
          <w:tcPr>
            <w:tcW w:w="4249" w:type="dxa"/>
            <w:gridSpan w:val="3"/>
            <w:tcBorders>
              <w:top w:val="nil"/>
              <w:left w:val="nil"/>
              <w:bottom w:val="single" w:color="auto" w:sz="4" w:space="0"/>
              <w:right w:val="single" w:color="auto" w:sz="4" w:space="0"/>
            </w:tcBorders>
            <w:shd w:val="clear" w:color="auto" w:fill="auto"/>
          </w:tcPr>
          <w:p w14:paraId="46AE40F7">
            <w:pPr>
              <w:spacing w:line="240" w:lineRule="auto"/>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其他考核：</w:t>
            </w:r>
            <w:r>
              <w:rPr>
                <w:rFonts w:cs="宋体" w:asciiTheme="minorEastAsia" w:hAnsiTheme="minorEastAsia" w:eastAsiaTheme="minorEastAsia"/>
                <w:color w:val="000000"/>
                <w:sz w:val="18"/>
                <w:szCs w:val="18"/>
                <w:lang w:eastAsia="zh-CN"/>
              </w:rPr>
              <w:t xml:space="preserve"> </w:t>
            </w:r>
          </w:p>
        </w:tc>
        <w:tc>
          <w:tcPr>
            <w:tcW w:w="1988" w:type="dxa"/>
            <w:tcBorders>
              <w:top w:val="nil"/>
              <w:left w:val="nil"/>
              <w:bottom w:val="single" w:color="auto" w:sz="4" w:space="0"/>
              <w:right w:val="single" w:color="auto" w:sz="4" w:space="0"/>
            </w:tcBorders>
            <w:shd w:val="clear" w:color="auto" w:fill="auto"/>
            <w:noWrap/>
            <w:vAlign w:val="center"/>
          </w:tcPr>
          <w:p w14:paraId="58ABD7E2">
            <w:pPr>
              <w:spacing w:line="240" w:lineRule="auto"/>
              <w:jc w:val="center"/>
              <w:rPr>
                <w:rFonts w:cs="宋体" w:asciiTheme="minorEastAsia" w:hAnsiTheme="minorEastAsia" w:eastAsiaTheme="minorEastAsia"/>
                <w:color w:val="000000"/>
                <w:sz w:val="18"/>
                <w:szCs w:val="18"/>
                <w:lang w:eastAsia="zh-CN"/>
              </w:rPr>
            </w:pPr>
          </w:p>
        </w:tc>
        <w:tc>
          <w:tcPr>
            <w:tcW w:w="709" w:type="dxa"/>
            <w:tcBorders>
              <w:top w:val="nil"/>
              <w:left w:val="nil"/>
              <w:bottom w:val="single" w:color="auto" w:sz="4" w:space="0"/>
              <w:right w:val="single" w:color="auto" w:sz="4" w:space="0"/>
            </w:tcBorders>
            <w:shd w:val="clear" w:color="auto" w:fill="auto"/>
            <w:noWrap/>
            <w:vAlign w:val="center"/>
          </w:tcPr>
          <w:p w14:paraId="2A9749E2">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027D6B4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7251ED69">
        <w:tblPrEx>
          <w:tblCellMar>
            <w:top w:w="0" w:type="dxa"/>
            <w:left w:w="108" w:type="dxa"/>
            <w:bottom w:w="0" w:type="dxa"/>
            <w:right w:w="108" w:type="dxa"/>
          </w:tblCellMar>
        </w:tblPrEx>
        <w:trPr>
          <w:trHeight w:val="600" w:hRule="atLeast"/>
        </w:trPr>
        <w:tc>
          <w:tcPr>
            <w:tcW w:w="1483" w:type="dxa"/>
            <w:vMerge w:val="continue"/>
            <w:tcBorders>
              <w:top w:val="nil"/>
              <w:left w:val="single" w:color="auto" w:sz="4" w:space="0"/>
              <w:bottom w:val="single" w:color="auto" w:sz="4" w:space="0"/>
              <w:right w:val="single" w:color="auto" w:sz="4" w:space="0"/>
            </w:tcBorders>
            <w:vAlign w:val="center"/>
          </w:tcPr>
          <w:p w14:paraId="286A6CDB">
            <w:pPr>
              <w:spacing w:line="240" w:lineRule="auto"/>
              <w:jc w:val="left"/>
              <w:rPr>
                <w:rFonts w:cs="宋体" w:asciiTheme="minorEastAsia" w:hAnsiTheme="minorEastAsia" w:eastAsiaTheme="minorEastAsia"/>
                <w:color w:val="000000"/>
                <w:sz w:val="18"/>
                <w:szCs w:val="18"/>
                <w:lang w:eastAsia="zh-CN"/>
              </w:rPr>
            </w:pPr>
          </w:p>
        </w:tc>
        <w:tc>
          <w:tcPr>
            <w:tcW w:w="4766" w:type="dxa"/>
            <w:gridSpan w:val="4"/>
            <w:tcBorders>
              <w:top w:val="single" w:color="auto" w:sz="4" w:space="0"/>
              <w:left w:val="nil"/>
              <w:bottom w:val="single" w:color="auto" w:sz="4" w:space="0"/>
              <w:right w:val="single" w:color="000000" w:sz="4" w:space="0"/>
            </w:tcBorders>
            <w:shd w:val="clear" w:color="auto" w:fill="auto"/>
            <w:noWrap/>
            <w:vAlign w:val="center"/>
          </w:tcPr>
          <w:p w14:paraId="4AD6FDA4">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合计</w:t>
            </w:r>
          </w:p>
        </w:tc>
        <w:tc>
          <w:tcPr>
            <w:tcW w:w="1988" w:type="dxa"/>
            <w:tcBorders>
              <w:top w:val="nil"/>
              <w:left w:val="nil"/>
              <w:bottom w:val="single" w:color="auto" w:sz="4" w:space="0"/>
              <w:right w:val="single" w:color="auto" w:sz="4" w:space="0"/>
            </w:tcBorders>
            <w:shd w:val="clear" w:color="auto" w:fill="auto"/>
            <w:noWrap/>
            <w:vAlign w:val="center"/>
          </w:tcPr>
          <w:p w14:paraId="663C663D">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709" w:type="dxa"/>
            <w:tcBorders>
              <w:top w:val="nil"/>
              <w:left w:val="nil"/>
              <w:bottom w:val="single" w:color="auto" w:sz="4" w:space="0"/>
              <w:right w:val="single" w:color="auto" w:sz="4" w:space="0"/>
            </w:tcBorders>
            <w:shd w:val="clear" w:color="auto" w:fill="auto"/>
            <w:noWrap/>
            <w:vAlign w:val="center"/>
          </w:tcPr>
          <w:p w14:paraId="06CD5BBF">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c>
          <w:tcPr>
            <w:tcW w:w="1035" w:type="dxa"/>
            <w:tcBorders>
              <w:top w:val="nil"/>
              <w:left w:val="nil"/>
              <w:bottom w:val="single" w:color="auto" w:sz="4" w:space="0"/>
              <w:right w:val="single" w:color="auto" w:sz="4" w:space="0"/>
            </w:tcBorders>
            <w:shd w:val="clear" w:color="auto" w:fill="auto"/>
            <w:noWrap/>
            <w:vAlign w:val="center"/>
          </w:tcPr>
          <w:p w14:paraId="1B81DB7D">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w:t>
            </w:r>
          </w:p>
        </w:tc>
      </w:tr>
      <w:tr w14:paraId="423D3669">
        <w:tblPrEx>
          <w:tblCellMar>
            <w:top w:w="0" w:type="dxa"/>
            <w:left w:w="108" w:type="dxa"/>
            <w:bottom w:w="0" w:type="dxa"/>
            <w:right w:w="108" w:type="dxa"/>
          </w:tblCellMar>
        </w:tblPrEx>
        <w:trPr>
          <w:trHeight w:val="690" w:hRule="atLeast"/>
        </w:trPr>
        <w:tc>
          <w:tcPr>
            <w:tcW w:w="1483" w:type="dxa"/>
            <w:tcBorders>
              <w:top w:val="nil"/>
              <w:left w:val="nil"/>
              <w:bottom w:val="nil"/>
              <w:right w:val="nil"/>
            </w:tcBorders>
            <w:shd w:val="clear" w:color="auto" w:fill="auto"/>
            <w:noWrap/>
            <w:vAlign w:val="center"/>
          </w:tcPr>
          <w:p w14:paraId="1BDFBBF1">
            <w:pPr>
              <w:spacing w:line="240" w:lineRule="auto"/>
              <w:rPr>
                <w:rFonts w:cs="宋体" w:asciiTheme="minorEastAsia" w:hAnsiTheme="minorEastAsia" w:eastAsiaTheme="minorEastAsia"/>
                <w:color w:val="000000"/>
                <w:sz w:val="18"/>
                <w:szCs w:val="18"/>
                <w:lang w:eastAsia="zh-CN"/>
              </w:rPr>
            </w:pPr>
          </w:p>
        </w:tc>
        <w:tc>
          <w:tcPr>
            <w:tcW w:w="1124" w:type="dxa"/>
            <w:gridSpan w:val="2"/>
            <w:tcBorders>
              <w:top w:val="nil"/>
              <w:left w:val="nil"/>
              <w:bottom w:val="nil"/>
              <w:right w:val="nil"/>
            </w:tcBorders>
            <w:shd w:val="clear" w:color="auto" w:fill="auto"/>
            <w:noWrap/>
            <w:vAlign w:val="center"/>
          </w:tcPr>
          <w:p w14:paraId="0D048866">
            <w:pPr>
              <w:spacing w:line="240" w:lineRule="auto"/>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整理：</w:t>
            </w:r>
          </w:p>
        </w:tc>
        <w:tc>
          <w:tcPr>
            <w:tcW w:w="3642" w:type="dxa"/>
            <w:gridSpan w:val="2"/>
            <w:tcBorders>
              <w:top w:val="nil"/>
              <w:left w:val="nil"/>
              <w:bottom w:val="nil"/>
              <w:right w:val="nil"/>
            </w:tcBorders>
            <w:shd w:val="clear" w:color="auto" w:fill="auto"/>
            <w:noWrap/>
            <w:vAlign w:val="center"/>
          </w:tcPr>
          <w:p w14:paraId="1935B1AD">
            <w:pPr>
              <w:spacing w:line="240" w:lineRule="auto"/>
              <w:jc w:val="center"/>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 xml:space="preserve">     </w:t>
            </w:r>
          </w:p>
        </w:tc>
        <w:tc>
          <w:tcPr>
            <w:tcW w:w="1988" w:type="dxa"/>
            <w:tcBorders>
              <w:top w:val="nil"/>
              <w:left w:val="nil"/>
              <w:bottom w:val="nil"/>
              <w:right w:val="nil"/>
            </w:tcBorders>
            <w:shd w:val="clear" w:color="auto" w:fill="auto"/>
            <w:noWrap/>
            <w:vAlign w:val="center"/>
          </w:tcPr>
          <w:p w14:paraId="2289AE30">
            <w:pPr>
              <w:spacing w:line="240" w:lineRule="auto"/>
              <w:rPr>
                <w:rFonts w:cs="宋体" w:asciiTheme="minorEastAsia" w:hAnsiTheme="minorEastAsia" w:eastAsiaTheme="minorEastAsia"/>
                <w:color w:val="000000"/>
                <w:sz w:val="18"/>
                <w:szCs w:val="18"/>
                <w:lang w:eastAsia="zh-CN"/>
              </w:rPr>
            </w:pPr>
            <w:r>
              <w:rPr>
                <w:rFonts w:hint="eastAsia" w:cs="宋体" w:asciiTheme="minorEastAsia" w:hAnsiTheme="minorEastAsia" w:eastAsiaTheme="minorEastAsia"/>
                <w:color w:val="000000"/>
                <w:sz w:val="18"/>
                <w:szCs w:val="18"/>
                <w:lang w:eastAsia="zh-CN"/>
              </w:rPr>
              <w:t>审核：</w:t>
            </w:r>
            <w:r>
              <w:rPr>
                <w:rFonts w:cs="宋体" w:asciiTheme="minorEastAsia" w:hAnsiTheme="minorEastAsia" w:eastAsiaTheme="minorEastAsia"/>
                <w:color w:val="000000"/>
                <w:sz w:val="18"/>
                <w:szCs w:val="18"/>
                <w:lang w:eastAsia="zh-CN"/>
              </w:rPr>
              <w:t xml:space="preserve"> </w:t>
            </w:r>
          </w:p>
        </w:tc>
        <w:tc>
          <w:tcPr>
            <w:tcW w:w="709" w:type="dxa"/>
            <w:tcBorders>
              <w:top w:val="nil"/>
              <w:left w:val="nil"/>
              <w:bottom w:val="nil"/>
              <w:right w:val="nil"/>
            </w:tcBorders>
            <w:shd w:val="clear" w:color="auto" w:fill="auto"/>
            <w:noWrap/>
            <w:vAlign w:val="center"/>
          </w:tcPr>
          <w:p w14:paraId="4147826C">
            <w:pPr>
              <w:spacing w:line="240" w:lineRule="auto"/>
              <w:jc w:val="center"/>
              <w:rPr>
                <w:rFonts w:cs="宋体" w:asciiTheme="minorEastAsia" w:hAnsiTheme="minorEastAsia" w:eastAsiaTheme="minorEastAsia"/>
                <w:color w:val="000000"/>
                <w:sz w:val="18"/>
                <w:szCs w:val="18"/>
                <w:lang w:eastAsia="zh-CN"/>
              </w:rPr>
            </w:pPr>
          </w:p>
        </w:tc>
        <w:tc>
          <w:tcPr>
            <w:tcW w:w="1035" w:type="dxa"/>
            <w:tcBorders>
              <w:top w:val="nil"/>
              <w:left w:val="nil"/>
              <w:bottom w:val="nil"/>
              <w:right w:val="nil"/>
            </w:tcBorders>
            <w:shd w:val="clear" w:color="auto" w:fill="auto"/>
            <w:noWrap/>
            <w:vAlign w:val="center"/>
          </w:tcPr>
          <w:p w14:paraId="7B91ED77">
            <w:pPr>
              <w:spacing w:line="240" w:lineRule="auto"/>
              <w:jc w:val="center"/>
              <w:rPr>
                <w:rFonts w:cs="宋体" w:asciiTheme="minorEastAsia" w:hAnsiTheme="minorEastAsia" w:eastAsiaTheme="minorEastAsia"/>
                <w:color w:val="000000"/>
                <w:sz w:val="18"/>
                <w:szCs w:val="18"/>
                <w:lang w:eastAsia="zh-CN"/>
              </w:rPr>
            </w:pPr>
          </w:p>
        </w:tc>
      </w:tr>
    </w:tbl>
    <w:p w14:paraId="73158EDD">
      <w:pPr>
        <w:rPr>
          <w:lang w:eastAsia="zh-CN"/>
        </w:rPr>
      </w:pPr>
    </w:p>
    <w:p w14:paraId="1DA2D30A">
      <w:pPr>
        <w:pStyle w:val="3"/>
        <w:rPr>
          <w:szCs w:val="24"/>
          <w:lang w:eastAsia="zh-CN"/>
        </w:rPr>
      </w:pPr>
    </w:p>
    <w:p w14:paraId="6E411222">
      <w:pPr>
        <w:pStyle w:val="3"/>
        <w:rPr>
          <w:szCs w:val="24"/>
          <w:lang w:eastAsia="zh-CN"/>
        </w:rPr>
      </w:pPr>
    </w:p>
    <w:p w14:paraId="74DC3E07">
      <w:pPr>
        <w:pStyle w:val="2"/>
        <w:spacing w:before="120" w:after="120"/>
        <w:jc w:val="center"/>
        <w:rPr>
          <w:rFonts w:hint="eastAsia"/>
          <w:lang w:val="en-US" w:eastAsia="zh-CN"/>
        </w:rPr>
        <w:sectPr>
          <w:pgSz w:w="12242" w:h="15842"/>
          <w:pgMar w:top="1440" w:right="1080" w:bottom="1440" w:left="1080" w:header="680" w:footer="454" w:gutter="0"/>
          <w:cols w:space="567" w:num="1"/>
          <w:docGrid w:linePitch="326" w:charSpace="0"/>
        </w:sectPr>
      </w:pPr>
      <w:bookmarkStart w:id="80" w:name="_Toc26738"/>
    </w:p>
    <w:p w14:paraId="36A94E41">
      <w:pPr>
        <w:pStyle w:val="2"/>
        <w:spacing w:before="120" w:after="120"/>
        <w:jc w:val="center"/>
        <w:rPr>
          <w:rFonts w:hint="eastAsia"/>
          <w:lang w:val="en-US" w:eastAsia="zh-CN"/>
        </w:rPr>
      </w:pPr>
      <w:r>
        <w:rPr>
          <w:rFonts w:hint="eastAsia"/>
          <w:lang w:val="en-US" w:eastAsia="zh-CN"/>
        </w:rPr>
        <w:t>附件</w:t>
      </w:r>
      <w:bookmarkStart w:id="81" w:name="_Toc445882577"/>
      <w:bookmarkStart w:id="82" w:name="_Toc447013804"/>
      <w:r>
        <w:rPr>
          <w:rFonts w:hint="eastAsia"/>
          <w:lang w:val="en-US" w:eastAsia="zh-CN"/>
        </w:rPr>
        <w:t>E  服务验收结算表</w:t>
      </w:r>
      <w:bookmarkEnd w:id="80"/>
      <w:bookmarkEnd w:id="81"/>
      <w:bookmarkEnd w:id="82"/>
    </w:p>
    <w:p w14:paraId="5DBF87E5">
      <w:pPr>
        <w:rPr>
          <w:b/>
          <w:szCs w:val="24"/>
          <w:lang w:eastAsia="zh-CN"/>
        </w:rPr>
      </w:pPr>
    </w:p>
    <w:p w14:paraId="3C0F7798">
      <w:pPr>
        <w:rPr>
          <w:szCs w:val="24"/>
          <w:u w:val="single"/>
          <w:lang w:eastAsia="zh-CN"/>
        </w:rPr>
      </w:pPr>
      <w:bookmarkStart w:id="83" w:name="_Toc459456573"/>
      <w:r>
        <w:rPr>
          <w:rFonts w:hint="eastAsia"/>
          <w:szCs w:val="24"/>
          <w:lang w:eastAsia="zh-CN"/>
        </w:rPr>
        <w:t>合同编号：                          合同名称：</w:t>
      </w:r>
      <w:r>
        <w:rPr>
          <w:rFonts w:hint="eastAsia"/>
          <w:szCs w:val="24"/>
          <w:u w:val="single"/>
          <w:lang w:eastAsia="zh-CN"/>
        </w:rPr>
        <w:t xml:space="preserve">                         </w:t>
      </w:r>
      <w:r>
        <w:rPr>
          <w:rFonts w:hint="eastAsia"/>
          <w:szCs w:val="24"/>
          <w:lang w:eastAsia="zh-CN"/>
        </w:rPr>
        <w:t xml:space="preserve">                     </w:t>
      </w:r>
    </w:p>
    <w:p w14:paraId="03BC8B35">
      <w:pPr>
        <w:rPr>
          <w:szCs w:val="24"/>
          <w:u w:val="single"/>
          <w:lang w:eastAsia="zh-CN"/>
        </w:rPr>
      </w:pPr>
      <w:r>
        <w:rPr>
          <w:rFonts w:hint="eastAsia"/>
          <w:szCs w:val="24"/>
          <w:lang w:eastAsia="zh-CN"/>
        </w:rPr>
        <w:t>结算时间：                          结算编号：</w:t>
      </w:r>
      <w:bookmarkEnd w:id="83"/>
      <w:r>
        <w:rPr>
          <w:rFonts w:hint="eastAsia"/>
          <w:szCs w:val="24"/>
          <w:u w:val="single"/>
          <w:lang w:eastAsia="zh-CN"/>
        </w:rPr>
        <w:t xml:space="preserve">                     </w:t>
      </w:r>
      <w:r>
        <w:rPr>
          <w:rFonts w:hint="eastAsia"/>
          <w:szCs w:val="24"/>
          <w:lang w:eastAsia="zh-CN"/>
        </w:rPr>
        <w:t xml:space="preserve"> </w:t>
      </w:r>
    </w:p>
    <w:tbl>
      <w:tblPr>
        <w:tblStyle w:val="18"/>
        <w:tblW w:w="10093" w:type="dxa"/>
        <w:tblInd w:w="95" w:type="dxa"/>
        <w:tblLayout w:type="autofit"/>
        <w:tblCellMar>
          <w:top w:w="0" w:type="dxa"/>
          <w:left w:w="108" w:type="dxa"/>
          <w:bottom w:w="0" w:type="dxa"/>
          <w:right w:w="108" w:type="dxa"/>
        </w:tblCellMar>
      </w:tblPr>
      <w:tblGrid>
        <w:gridCol w:w="1196"/>
        <w:gridCol w:w="1720"/>
        <w:gridCol w:w="1196"/>
        <w:gridCol w:w="1197"/>
        <w:gridCol w:w="1196"/>
        <w:gridCol w:w="1196"/>
        <w:gridCol w:w="1196"/>
        <w:gridCol w:w="1196"/>
      </w:tblGrid>
      <w:tr w14:paraId="28BDE642">
        <w:tblPrEx>
          <w:tblCellMar>
            <w:top w:w="0" w:type="dxa"/>
            <w:left w:w="108" w:type="dxa"/>
            <w:bottom w:w="0" w:type="dxa"/>
            <w:right w:w="108" w:type="dxa"/>
          </w:tblCellMar>
        </w:tblPrEx>
        <w:trPr>
          <w:trHeight w:val="433" w:hRule="atLeast"/>
        </w:trPr>
        <w:tc>
          <w:tcPr>
            <w:tcW w:w="11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69A146">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序号</w:t>
            </w:r>
          </w:p>
        </w:tc>
        <w:tc>
          <w:tcPr>
            <w:tcW w:w="1720" w:type="dxa"/>
            <w:tcBorders>
              <w:top w:val="single" w:color="auto" w:sz="4" w:space="0"/>
              <w:left w:val="nil"/>
              <w:bottom w:val="single" w:color="auto" w:sz="4" w:space="0"/>
              <w:right w:val="single" w:color="auto" w:sz="4" w:space="0"/>
            </w:tcBorders>
            <w:shd w:val="clear" w:color="auto" w:fill="auto"/>
            <w:noWrap/>
            <w:vAlign w:val="center"/>
          </w:tcPr>
          <w:p w14:paraId="0F5401B3">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项目名称</w:t>
            </w:r>
          </w:p>
        </w:tc>
        <w:tc>
          <w:tcPr>
            <w:tcW w:w="1196" w:type="dxa"/>
            <w:tcBorders>
              <w:top w:val="single" w:color="auto" w:sz="4" w:space="0"/>
              <w:left w:val="nil"/>
              <w:bottom w:val="single" w:color="auto" w:sz="4" w:space="0"/>
              <w:right w:val="single" w:color="auto" w:sz="4" w:space="0"/>
            </w:tcBorders>
            <w:shd w:val="clear" w:color="auto" w:fill="auto"/>
            <w:noWrap/>
            <w:vAlign w:val="center"/>
          </w:tcPr>
          <w:p w14:paraId="2968A211">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结算时间</w:t>
            </w:r>
          </w:p>
        </w:tc>
        <w:tc>
          <w:tcPr>
            <w:tcW w:w="1197" w:type="dxa"/>
            <w:tcBorders>
              <w:top w:val="single" w:color="auto" w:sz="4" w:space="0"/>
              <w:left w:val="nil"/>
              <w:bottom w:val="single" w:color="auto" w:sz="4" w:space="0"/>
              <w:right w:val="single" w:color="auto" w:sz="4" w:space="0"/>
            </w:tcBorders>
            <w:shd w:val="clear" w:color="auto" w:fill="auto"/>
            <w:noWrap/>
            <w:vAlign w:val="center"/>
          </w:tcPr>
          <w:p w14:paraId="707BD3BB">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合同单价</w:t>
            </w:r>
          </w:p>
        </w:tc>
        <w:tc>
          <w:tcPr>
            <w:tcW w:w="1196" w:type="dxa"/>
            <w:tcBorders>
              <w:top w:val="single" w:color="auto" w:sz="4" w:space="0"/>
              <w:left w:val="nil"/>
              <w:bottom w:val="single" w:color="auto" w:sz="4" w:space="0"/>
              <w:right w:val="single" w:color="auto" w:sz="4" w:space="0"/>
            </w:tcBorders>
            <w:shd w:val="clear" w:color="auto" w:fill="auto"/>
            <w:noWrap/>
            <w:vAlign w:val="center"/>
          </w:tcPr>
          <w:p w14:paraId="0BFE9B63">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结算金额</w:t>
            </w:r>
          </w:p>
        </w:tc>
        <w:tc>
          <w:tcPr>
            <w:tcW w:w="1196" w:type="dxa"/>
            <w:tcBorders>
              <w:top w:val="single" w:color="auto" w:sz="4" w:space="0"/>
              <w:left w:val="nil"/>
              <w:bottom w:val="single" w:color="auto" w:sz="4" w:space="0"/>
              <w:right w:val="single" w:color="auto" w:sz="4" w:space="0"/>
            </w:tcBorders>
            <w:shd w:val="clear" w:color="auto" w:fill="auto"/>
            <w:noWrap/>
            <w:vAlign w:val="center"/>
          </w:tcPr>
          <w:p w14:paraId="0D63665A">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扣款金额</w:t>
            </w:r>
          </w:p>
        </w:tc>
        <w:tc>
          <w:tcPr>
            <w:tcW w:w="1196" w:type="dxa"/>
            <w:tcBorders>
              <w:top w:val="single" w:color="auto" w:sz="4" w:space="0"/>
              <w:left w:val="nil"/>
              <w:bottom w:val="single" w:color="auto" w:sz="4" w:space="0"/>
              <w:right w:val="single" w:color="auto" w:sz="4" w:space="0"/>
            </w:tcBorders>
            <w:shd w:val="clear" w:color="auto" w:fill="auto"/>
            <w:noWrap/>
            <w:vAlign w:val="center"/>
          </w:tcPr>
          <w:p w14:paraId="318D0D30">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验收情况</w:t>
            </w:r>
          </w:p>
        </w:tc>
        <w:tc>
          <w:tcPr>
            <w:tcW w:w="1196" w:type="dxa"/>
            <w:tcBorders>
              <w:top w:val="single" w:color="auto" w:sz="4" w:space="0"/>
              <w:left w:val="nil"/>
              <w:bottom w:val="single" w:color="auto" w:sz="4" w:space="0"/>
              <w:right w:val="single" w:color="auto" w:sz="4" w:space="0"/>
            </w:tcBorders>
            <w:shd w:val="clear" w:color="auto" w:fill="auto"/>
            <w:noWrap/>
            <w:vAlign w:val="center"/>
          </w:tcPr>
          <w:p w14:paraId="2856E937">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备注</w:t>
            </w:r>
          </w:p>
        </w:tc>
      </w:tr>
      <w:tr w14:paraId="0EC77E41">
        <w:tblPrEx>
          <w:tblCellMar>
            <w:top w:w="0" w:type="dxa"/>
            <w:left w:w="108" w:type="dxa"/>
            <w:bottom w:w="0" w:type="dxa"/>
            <w:right w:w="108" w:type="dxa"/>
          </w:tblCellMar>
        </w:tblPrEx>
        <w:trPr>
          <w:trHeight w:val="433" w:hRule="atLeast"/>
        </w:trPr>
        <w:tc>
          <w:tcPr>
            <w:tcW w:w="1196" w:type="dxa"/>
            <w:tcBorders>
              <w:top w:val="nil"/>
              <w:left w:val="single" w:color="auto" w:sz="4" w:space="0"/>
              <w:bottom w:val="single" w:color="auto" w:sz="4" w:space="0"/>
              <w:right w:val="single" w:color="auto" w:sz="4" w:space="0"/>
            </w:tcBorders>
            <w:shd w:val="clear" w:color="auto" w:fill="auto"/>
            <w:noWrap/>
            <w:vAlign w:val="center"/>
          </w:tcPr>
          <w:p w14:paraId="774A2C96">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1</w:t>
            </w:r>
          </w:p>
        </w:tc>
        <w:tc>
          <w:tcPr>
            <w:tcW w:w="1720" w:type="dxa"/>
            <w:tcBorders>
              <w:top w:val="nil"/>
              <w:left w:val="nil"/>
              <w:bottom w:val="single" w:color="auto" w:sz="4" w:space="0"/>
              <w:right w:val="single" w:color="auto" w:sz="4" w:space="0"/>
            </w:tcBorders>
            <w:shd w:val="clear" w:color="auto" w:fill="auto"/>
            <w:noWrap/>
            <w:vAlign w:val="center"/>
          </w:tcPr>
          <w:p w14:paraId="5DCD9B0A">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61306227">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7" w:type="dxa"/>
            <w:tcBorders>
              <w:top w:val="nil"/>
              <w:left w:val="nil"/>
              <w:bottom w:val="single" w:color="auto" w:sz="4" w:space="0"/>
              <w:right w:val="single" w:color="auto" w:sz="4" w:space="0"/>
            </w:tcBorders>
            <w:shd w:val="clear" w:color="auto" w:fill="auto"/>
            <w:noWrap/>
            <w:vAlign w:val="center"/>
          </w:tcPr>
          <w:p w14:paraId="2EB39790">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0B52B28A">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038D26B0">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2C33DE73">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vAlign w:val="center"/>
          </w:tcPr>
          <w:p w14:paraId="5305765A">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r>
      <w:tr w14:paraId="55D5A5F1">
        <w:tblPrEx>
          <w:tblCellMar>
            <w:top w:w="0" w:type="dxa"/>
            <w:left w:w="108" w:type="dxa"/>
            <w:bottom w:w="0" w:type="dxa"/>
            <w:right w:w="108" w:type="dxa"/>
          </w:tblCellMar>
        </w:tblPrEx>
        <w:trPr>
          <w:trHeight w:val="433" w:hRule="atLeast"/>
        </w:trPr>
        <w:tc>
          <w:tcPr>
            <w:tcW w:w="1196" w:type="dxa"/>
            <w:tcBorders>
              <w:top w:val="nil"/>
              <w:left w:val="single" w:color="auto" w:sz="4" w:space="0"/>
              <w:bottom w:val="single" w:color="auto" w:sz="4" w:space="0"/>
              <w:right w:val="single" w:color="auto" w:sz="4" w:space="0"/>
            </w:tcBorders>
            <w:shd w:val="clear" w:color="auto" w:fill="auto"/>
            <w:noWrap/>
            <w:vAlign w:val="center"/>
          </w:tcPr>
          <w:p w14:paraId="2DC1DEE4">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2</w:t>
            </w:r>
          </w:p>
        </w:tc>
        <w:tc>
          <w:tcPr>
            <w:tcW w:w="1720" w:type="dxa"/>
            <w:tcBorders>
              <w:top w:val="nil"/>
              <w:left w:val="nil"/>
              <w:bottom w:val="single" w:color="auto" w:sz="4" w:space="0"/>
              <w:right w:val="single" w:color="auto" w:sz="4" w:space="0"/>
            </w:tcBorders>
            <w:shd w:val="clear" w:color="auto" w:fill="auto"/>
            <w:noWrap/>
            <w:vAlign w:val="center"/>
          </w:tcPr>
          <w:p w14:paraId="0E418A5B">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5EBD00A1">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7" w:type="dxa"/>
            <w:tcBorders>
              <w:top w:val="nil"/>
              <w:left w:val="nil"/>
              <w:bottom w:val="single" w:color="auto" w:sz="4" w:space="0"/>
              <w:right w:val="single" w:color="auto" w:sz="4" w:space="0"/>
            </w:tcBorders>
            <w:shd w:val="clear" w:color="auto" w:fill="auto"/>
            <w:noWrap/>
            <w:vAlign w:val="center"/>
          </w:tcPr>
          <w:p w14:paraId="13C042E8">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7D75F914">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53C502EF">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1FCB5761">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vAlign w:val="center"/>
          </w:tcPr>
          <w:p w14:paraId="1AF1F5C2">
            <w:pPr>
              <w:spacing w:line="240" w:lineRule="auto"/>
              <w:jc w:val="left"/>
              <w:rPr>
                <w:rFonts w:ascii="宋体" w:hAnsi="宋体" w:cs="宋体"/>
                <w:color w:val="000000"/>
                <w:sz w:val="18"/>
                <w:szCs w:val="18"/>
                <w:lang w:eastAsia="zh-CN"/>
              </w:rPr>
            </w:pPr>
            <w:r>
              <w:rPr>
                <w:rFonts w:hint="eastAsia" w:ascii="宋体" w:hAnsi="宋体" w:cs="宋体"/>
                <w:color w:val="000000"/>
                <w:sz w:val="18"/>
                <w:szCs w:val="18"/>
                <w:lang w:eastAsia="zh-CN"/>
              </w:rPr>
              <w:t>　</w:t>
            </w:r>
          </w:p>
        </w:tc>
      </w:tr>
      <w:tr w14:paraId="41216F4C">
        <w:tblPrEx>
          <w:tblCellMar>
            <w:top w:w="0" w:type="dxa"/>
            <w:left w:w="108" w:type="dxa"/>
            <w:bottom w:w="0" w:type="dxa"/>
            <w:right w:w="108" w:type="dxa"/>
          </w:tblCellMar>
        </w:tblPrEx>
        <w:trPr>
          <w:trHeight w:val="433" w:hRule="atLeast"/>
        </w:trPr>
        <w:tc>
          <w:tcPr>
            <w:tcW w:w="1196" w:type="dxa"/>
            <w:tcBorders>
              <w:top w:val="nil"/>
              <w:left w:val="single" w:color="auto" w:sz="4" w:space="0"/>
              <w:bottom w:val="single" w:color="auto" w:sz="4" w:space="0"/>
              <w:right w:val="single" w:color="auto" w:sz="4" w:space="0"/>
            </w:tcBorders>
            <w:shd w:val="clear" w:color="auto" w:fill="auto"/>
            <w:noWrap/>
            <w:vAlign w:val="center"/>
          </w:tcPr>
          <w:p w14:paraId="02786A84">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合计</w:t>
            </w:r>
          </w:p>
        </w:tc>
        <w:tc>
          <w:tcPr>
            <w:tcW w:w="1720" w:type="dxa"/>
            <w:tcBorders>
              <w:top w:val="nil"/>
              <w:left w:val="nil"/>
              <w:bottom w:val="single" w:color="auto" w:sz="4" w:space="0"/>
              <w:right w:val="single" w:color="auto" w:sz="4" w:space="0"/>
            </w:tcBorders>
            <w:shd w:val="clear" w:color="auto" w:fill="auto"/>
            <w:noWrap/>
            <w:vAlign w:val="center"/>
          </w:tcPr>
          <w:p w14:paraId="676B4996">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4978D47E">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7" w:type="dxa"/>
            <w:tcBorders>
              <w:top w:val="nil"/>
              <w:left w:val="nil"/>
              <w:bottom w:val="single" w:color="auto" w:sz="4" w:space="0"/>
              <w:right w:val="single" w:color="auto" w:sz="4" w:space="0"/>
            </w:tcBorders>
            <w:shd w:val="clear" w:color="auto" w:fill="auto"/>
            <w:noWrap/>
            <w:vAlign w:val="center"/>
          </w:tcPr>
          <w:p w14:paraId="24760263">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405C1697">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2DACEB2C">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764845A9">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5EFE58AA">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r>
      <w:tr w14:paraId="007E407A">
        <w:tblPrEx>
          <w:tblCellMar>
            <w:top w:w="0" w:type="dxa"/>
            <w:left w:w="108" w:type="dxa"/>
            <w:bottom w:w="0" w:type="dxa"/>
            <w:right w:w="108" w:type="dxa"/>
          </w:tblCellMar>
        </w:tblPrEx>
        <w:trPr>
          <w:trHeight w:val="433" w:hRule="atLeast"/>
        </w:trPr>
        <w:tc>
          <w:tcPr>
            <w:tcW w:w="1196" w:type="dxa"/>
            <w:tcBorders>
              <w:top w:val="nil"/>
              <w:left w:val="single" w:color="auto" w:sz="4" w:space="0"/>
              <w:bottom w:val="single" w:color="auto" w:sz="4" w:space="0"/>
              <w:right w:val="single" w:color="auto" w:sz="4" w:space="0"/>
            </w:tcBorders>
            <w:shd w:val="clear" w:color="auto" w:fill="auto"/>
            <w:noWrap/>
            <w:vAlign w:val="center"/>
          </w:tcPr>
          <w:p w14:paraId="2904339F">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720" w:type="dxa"/>
            <w:tcBorders>
              <w:top w:val="nil"/>
              <w:left w:val="nil"/>
              <w:bottom w:val="single" w:color="auto" w:sz="4" w:space="0"/>
              <w:right w:val="single" w:color="auto" w:sz="4" w:space="0"/>
            </w:tcBorders>
            <w:shd w:val="clear" w:color="auto" w:fill="auto"/>
            <w:noWrap/>
            <w:vAlign w:val="center"/>
          </w:tcPr>
          <w:p w14:paraId="4FDDFB76">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7197E2C7">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7" w:type="dxa"/>
            <w:tcBorders>
              <w:top w:val="nil"/>
              <w:left w:val="nil"/>
              <w:bottom w:val="single" w:color="auto" w:sz="4" w:space="0"/>
              <w:right w:val="single" w:color="auto" w:sz="4" w:space="0"/>
            </w:tcBorders>
            <w:shd w:val="clear" w:color="auto" w:fill="auto"/>
            <w:noWrap/>
            <w:vAlign w:val="center"/>
          </w:tcPr>
          <w:p w14:paraId="2D49E935">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5836164E">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4ACDDAE4">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405B3157">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21EB0737">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r>
      <w:tr w14:paraId="2249617E">
        <w:tblPrEx>
          <w:tblCellMar>
            <w:top w:w="0" w:type="dxa"/>
            <w:left w:w="108" w:type="dxa"/>
            <w:bottom w:w="0" w:type="dxa"/>
            <w:right w:w="108" w:type="dxa"/>
          </w:tblCellMar>
        </w:tblPrEx>
        <w:trPr>
          <w:trHeight w:val="433" w:hRule="atLeast"/>
        </w:trPr>
        <w:tc>
          <w:tcPr>
            <w:tcW w:w="530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AA5548C">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本期结算金额小计</w:t>
            </w:r>
          </w:p>
        </w:tc>
        <w:tc>
          <w:tcPr>
            <w:tcW w:w="1196" w:type="dxa"/>
            <w:tcBorders>
              <w:top w:val="nil"/>
              <w:left w:val="nil"/>
              <w:bottom w:val="single" w:color="auto" w:sz="4" w:space="0"/>
              <w:right w:val="single" w:color="auto" w:sz="4" w:space="0"/>
            </w:tcBorders>
            <w:shd w:val="clear" w:color="auto" w:fill="auto"/>
            <w:noWrap/>
            <w:vAlign w:val="center"/>
          </w:tcPr>
          <w:p w14:paraId="26C658FA">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1E5F205A">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74D661D4">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53FC0444">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r>
      <w:tr w14:paraId="736E55C1">
        <w:tblPrEx>
          <w:tblCellMar>
            <w:top w:w="0" w:type="dxa"/>
            <w:left w:w="108" w:type="dxa"/>
            <w:bottom w:w="0" w:type="dxa"/>
            <w:right w:w="108" w:type="dxa"/>
          </w:tblCellMar>
        </w:tblPrEx>
        <w:trPr>
          <w:trHeight w:val="433" w:hRule="atLeast"/>
        </w:trPr>
        <w:tc>
          <w:tcPr>
            <w:tcW w:w="530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40AEBC7">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至上期累计已付金额</w:t>
            </w:r>
          </w:p>
        </w:tc>
        <w:tc>
          <w:tcPr>
            <w:tcW w:w="1196" w:type="dxa"/>
            <w:tcBorders>
              <w:top w:val="nil"/>
              <w:left w:val="nil"/>
              <w:bottom w:val="single" w:color="auto" w:sz="4" w:space="0"/>
              <w:right w:val="single" w:color="auto" w:sz="4" w:space="0"/>
            </w:tcBorders>
            <w:shd w:val="clear" w:color="000000" w:fill="92D050"/>
            <w:noWrap/>
            <w:vAlign w:val="center"/>
          </w:tcPr>
          <w:p w14:paraId="1127AE7C">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02972F09">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654D56C3">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6EDC87FA">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r>
      <w:tr w14:paraId="664A4D65">
        <w:tblPrEx>
          <w:tblCellMar>
            <w:top w:w="0" w:type="dxa"/>
            <w:left w:w="108" w:type="dxa"/>
            <w:bottom w:w="0" w:type="dxa"/>
            <w:right w:w="108" w:type="dxa"/>
          </w:tblCellMar>
        </w:tblPrEx>
        <w:trPr>
          <w:trHeight w:val="433" w:hRule="atLeast"/>
        </w:trPr>
        <w:tc>
          <w:tcPr>
            <w:tcW w:w="530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E71CA78">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至本期累计已付金额</w:t>
            </w:r>
          </w:p>
        </w:tc>
        <w:tc>
          <w:tcPr>
            <w:tcW w:w="1196" w:type="dxa"/>
            <w:tcBorders>
              <w:top w:val="nil"/>
              <w:left w:val="nil"/>
              <w:bottom w:val="single" w:color="auto" w:sz="4" w:space="0"/>
              <w:right w:val="single" w:color="auto" w:sz="4" w:space="0"/>
            </w:tcBorders>
            <w:shd w:val="clear" w:color="auto" w:fill="auto"/>
            <w:noWrap/>
            <w:vAlign w:val="center"/>
          </w:tcPr>
          <w:p w14:paraId="14F0D425">
            <w:pPr>
              <w:spacing w:line="240" w:lineRule="auto"/>
              <w:jc w:val="left"/>
              <w:rPr>
                <w:rFonts w:ascii="Calibri" w:hAnsi="Calibri" w:cs="Calibri"/>
                <w:color w:val="000000"/>
                <w:sz w:val="21"/>
                <w:szCs w:val="21"/>
                <w:lang w:eastAsia="zh-CN"/>
              </w:rPr>
            </w:pPr>
            <w:r>
              <w:rPr>
                <w:rFonts w:ascii="Calibri" w:hAnsi="Calibri" w:cs="Calibri"/>
                <w:color w:val="000000"/>
                <w:sz w:val="21"/>
                <w:szCs w:val="21"/>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7F18CB04">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6EAA2EEC">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c>
          <w:tcPr>
            <w:tcW w:w="1196" w:type="dxa"/>
            <w:tcBorders>
              <w:top w:val="nil"/>
              <w:left w:val="nil"/>
              <w:bottom w:val="single" w:color="auto" w:sz="4" w:space="0"/>
              <w:right w:val="single" w:color="auto" w:sz="4" w:space="0"/>
            </w:tcBorders>
            <w:shd w:val="clear" w:color="auto" w:fill="auto"/>
            <w:noWrap/>
            <w:vAlign w:val="center"/>
          </w:tcPr>
          <w:p w14:paraId="5BE63E6C">
            <w:pPr>
              <w:spacing w:line="240" w:lineRule="auto"/>
              <w:jc w:val="center"/>
              <w:rPr>
                <w:rFonts w:ascii="宋体" w:hAnsi="宋体" w:cs="宋体"/>
                <w:color w:val="000000"/>
                <w:sz w:val="18"/>
                <w:szCs w:val="18"/>
                <w:lang w:eastAsia="zh-CN"/>
              </w:rPr>
            </w:pPr>
            <w:r>
              <w:rPr>
                <w:rFonts w:hint="eastAsia" w:ascii="宋体" w:hAnsi="宋体" w:cs="宋体"/>
                <w:color w:val="000000"/>
                <w:sz w:val="18"/>
                <w:szCs w:val="18"/>
                <w:lang w:eastAsia="zh-CN"/>
              </w:rPr>
              <w:t>　</w:t>
            </w:r>
          </w:p>
        </w:tc>
      </w:tr>
    </w:tbl>
    <w:p w14:paraId="7F4B91E1">
      <w:pPr>
        <w:rPr>
          <w:rFonts w:ascii="宋体" w:hAnsi="宋体" w:cs="宋体"/>
          <w:color w:val="000000"/>
          <w:szCs w:val="24"/>
          <w:lang w:eastAsia="zh-CN"/>
        </w:rPr>
      </w:pPr>
      <w:r>
        <w:rPr>
          <w:rFonts w:hint="eastAsia" w:ascii="宋体" w:hAnsi="宋体" w:cs="宋体"/>
          <w:color w:val="000000"/>
          <w:szCs w:val="24"/>
          <w:lang w:eastAsia="zh-CN"/>
        </w:rPr>
        <w:t>其他备注事项（考核扣款情况）：</w:t>
      </w:r>
    </w:p>
    <w:p w14:paraId="61707866">
      <w:pPr>
        <w:rPr>
          <w:rFonts w:ascii="宋体" w:hAnsi="宋体" w:cs="宋体"/>
          <w:color w:val="000000"/>
          <w:szCs w:val="24"/>
          <w:lang w:eastAsia="zh-CN"/>
        </w:rPr>
      </w:pPr>
    </w:p>
    <w:tbl>
      <w:tblPr>
        <w:tblStyle w:val="18"/>
        <w:tblW w:w="11911" w:type="dxa"/>
        <w:tblInd w:w="98" w:type="dxa"/>
        <w:tblLayout w:type="autofit"/>
        <w:tblCellMar>
          <w:top w:w="0" w:type="dxa"/>
          <w:left w:w="108" w:type="dxa"/>
          <w:bottom w:w="0" w:type="dxa"/>
          <w:right w:w="108" w:type="dxa"/>
        </w:tblCellMar>
      </w:tblPr>
      <w:tblGrid>
        <w:gridCol w:w="1139"/>
        <w:gridCol w:w="2996"/>
        <w:gridCol w:w="1512"/>
        <w:gridCol w:w="1512"/>
        <w:gridCol w:w="251"/>
        <w:gridCol w:w="2772"/>
        <w:gridCol w:w="1729"/>
      </w:tblGrid>
      <w:tr w14:paraId="3A23C4AA">
        <w:tblPrEx>
          <w:tblCellMar>
            <w:top w:w="0" w:type="dxa"/>
            <w:left w:w="108" w:type="dxa"/>
            <w:bottom w:w="0" w:type="dxa"/>
            <w:right w:w="108" w:type="dxa"/>
          </w:tblCellMar>
        </w:tblPrEx>
        <w:trPr>
          <w:trHeight w:val="350" w:hRule="atLeast"/>
        </w:trPr>
        <w:tc>
          <w:tcPr>
            <w:tcW w:w="4135" w:type="dxa"/>
            <w:gridSpan w:val="2"/>
            <w:tcBorders>
              <w:top w:val="nil"/>
              <w:left w:val="nil"/>
              <w:bottom w:val="nil"/>
              <w:right w:val="nil"/>
            </w:tcBorders>
            <w:shd w:val="clear" w:color="auto" w:fill="auto"/>
            <w:noWrap/>
            <w:vAlign w:val="center"/>
          </w:tcPr>
          <w:p w14:paraId="26B6BF67">
            <w:pPr>
              <w:jc w:val="left"/>
              <w:rPr>
                <w:rFonts w:ascii="宋体" w:hAnsi="宋体" w:cs="宋体"/>
                <w:color w:val="000000"/>
                <w:sz w:val="21"/>
                <w:szCs w:val="21"/>
                <w:lang w:eastAsia="zh-CN"/>
              </w:rPr>
            </w:pPr>
            <w:r>
              <w:rPr>
                <w:rFonts w:hint="eastAsia" w:ascii="宋体" w:hAnsi="宋体" w:cs="宋体"/>
                <w:color w:val="000000"/>
                <w:sz w:val="21"/>
                <w:szCs w:val="21"/>
                <w:lang w:eastAsia="zh-CN"/>
              </w:rPr>
              <w:t>甲方：FREP</w:t>
            </w:r>
          </w:p>
        </w:tc>
        <w:tc>
          <w:tcPr>
            <w:tcW w:w="3024" w:type="dxa"/>
            <w:gridSpan w:val="2"/>
            <w:tcBorders>
              <w:top w:val="nil"/>
              <w:left w:val="nil"/>
              <w:bottom w:val="nil"/>
              <w:right w:val="nil"/>
            </w:tcBorders>
            <w:shd w:val="clear" w:color="auto" w:fill="auto"/>
            <w:noWrap/>
            <w:vAlign w:val="center"/>
          </w:tcPr>
          <w:p w14:paraId="2658AA59">
            <w:pPr>
              <w:jc w:val="left"/>
              <w:rPr>
                <w:rFonts w:ascii="宋体" w:hAnsi="宋体" w:cs="宋体"/>
                <w:color w:val="000000"/>
                <w:sz w:val="21"/>
                <w:szCs w:val="21"/>
                <w:lang w:eastAsia="zh-CN"/>
              </w:rPr>
            </w:pPr>
            <w:r>
              <w:rPr>
                <w:rFonts w:hint="eastAsia" w:ascii="宋体" w:hAnsi="宋体" w:cs="宋体"/>
                <w:color w:val="000000"/>
                <w:sz w:val="21"/>
                <w:szCs w:val="21"/>
                <w:lang w:eastAsia="zh-CN"/>
              </w:rPr>
              <w:t xml:space="preserve">        </w:t>
            </w:r>
          </w:p>
        </w:tc>
        <w:tc>
          <w:tcPr>
            <w:tcW w:w="251" w:type="dxa"/>
            <w:tcBorders>
              <w:top w:val="nil"/>
              <w:left w:val="nil"/>
              <w:bottom w:val="nil"/>
              <w:right w:val="nil"/>
            </w:tcBorders>
            <w:shd w:val="clear" w:color="auto" w:fill="auto"/>
            <w:noWrap/>
            <w:vAlign w:val="center"/>
          </w:tcPr>
          <w:p w14:paraId="435328A9">
            <w:pPr>
              <w:jc w:val="left"/>
              <w:rPr>
                <w:rFonts w:ascii="宋体" w:hAnsi="宋体" w:cs="宋体"/>
                <w:color w:val="000000"/>
                <w:sz w:val="21"/>
                <w:szCs w:val="21"/>
                <w:lang w:eastAsia="zh-CN"/>
              </w:rPr>
            </w:pPr>
          </w:p>
        </w:tc>
        <w:tc>
          <w:tcPr>
            <w:tcW w:w="4501" w:type="dxa"/>
            <w:gridSpan w:val="2"/>
            <w:tcBorders>
              <w:top w:val="nil"/>
              <w:left w:val="nil"/>
              <w:bottom w:val="nil"/>
              <w:right w:val="nil"/>
            </w:tcBorders>
            <w:shd w:val="clear" w:color="auto" w:fill="auto"/>
            <w:noWrap/>
            <w:vAlign w:val="center"/>
          </w:tcPr>
          <w:p w14:paraId="4CA6E71C">
            <w:pPr>
              <w:jc w:val="left"/>
              <w:rPr>
                <w:rFonts w:ascii="宋体" w:hAnsi="宋体" w:cs="宋体"/>
                <w:color w:val="000000"/>
                <w:sz w:val="21"/>
                <w:szCs w:val="21"/>
                <w:lang w:eastAsia="zh-CN"/>
              </w:rPr>
            </w:pPr>
            <w:r>
              <w:rPr>
                <w:rFonts w:hint="eastAsia" w:ascii="宋体" w:hAnsi="宋体" w:cs="宋体"/>
                <w:color w:val="000000"/>
                <w:sz w:val="21"/>
                <w:szCs w:val="21"/>
                <w:lang w:eastAsia="zh-CN"/>
              </w:rPr>
              <w:t>乙方：</w:t>
            </w:r>
            <w:r>
              <w:rPr>
                <w:rFonts w:ascii="宋体" w:hAnsi="宋体" w:cs="宋体"/>
                <w:color w:val="000000"/>
                <w:sz w:val="21"/>
                <w:szCs w:val="21"/>
                <w:lang w:eastAsia="zh-CN"/>
              </w:rPr>
              <w:t xml:space="preserve"> </w:t>
            </w:r>
          </w:p>
        </w:tc>
      </w:tr>
      <w:tr w14:paraId="40D78493">
        <w:tblPrEx>
          <w:tblCellMar>
            <w:top w:w="0" w:type="dxa"/>
            <w:left w:w="108" w:type="dxa"/>
            <w:bottom w:w="0" w:type="dxa"/>
            <w:right w:w="108" w:type="dxa"/>
          </w:tblCellMar>
        </w:tblPrEx>
        <w:trPr>
          <w:gridAfter w:val="1"/>
          <w:wAfter w:w="1729" w:type="dxa"/>
          <w:trHeight w:val="350" w:hRule="atLeast"/>
        </w:trPr>
        <w:tc>
          <w:tcPr>
            <w:tcW w:w="1139" w:type="dxa"/>
            <w:tcBorders>
              <w:top w:val="nil"/>
              <w:left w:val="nil"/>
              <w:bottom w:val="nil"/>
              <w:right w:val="nil"/>
            </w:tcBorders>
            <w:shd w:val="clear" w:color="auto" w:fill="auto"/>
            <w:noWrap/>
            <w:vAlign w:val="center"/>
          </w:tcPr>
          <w:p w14:paraId="7489A816">
            <w:pPr>
              <w:jc w:val="left"/>
              <w:rPr>
                <w:rFonts w:ascii="宋体" w:hAnsi="宋体" w:cs="宋体"/>
                <w:color w:val="000000"/>
                <w:sz w:val="21"/>
                <w:szCs w:val="21"/>
                <w:lang w:eastAsia="zh-CN"/>
              </w:rPr>
            </w:pPr>
          </w:p>
        </w:tc>
        <w:tc>
          <w:tcPr>
            <w:tcW w:w="2996" w:type="dxa"/>
            <w:tcBorders>
              <w:top w:val="nil"/>
              <w:left w:val="nil"/>
              <w:bottom w:val="nil"/>
              <w:right w:val="nil"/>
            </w:tcBorders>
            <w:shd w:val="clear" w:color="auto" w:fill="auto"/>
            <w:noWrap/>
            <w:vAlign w:val="center"/>
          </w:tcPr>
          <w:p w14:paraId="2742F828">
            <w:pPr>
              <w:jc w:val="left"/>
              <w:rPr>
                <w:rFonts w:ascii="宋体" w:hAnsi="宋体" w:cs="宋体"/>
                <w:color w:val="000000"/>
                <w:sz w:val="21"/>
                <w:szCs w:val="21"/>
                <w:lang w:eastAsia="zh-CN"/>
              </w:rPr>
            </w:pPr>
          </w:p>
        </w:tc>
        <w:tc>
          <w:tcPr>
            <w:tcW w:w="1512" w:type="dxa"/>
            <w:tcBorders>
              <w:top w:val="nil"/>
              <w:left w:val="nil"/>
              <w:bottom w:val="nil"/>
              <w:right w:val="nil"/>
            </w:tcBorders>
            <w:shd w:val="clear" w:color="auto" w:fill="auto"/>
            <w:noWrap/>
            <w:vAlign w:val="center"/>
          </w:tcPr>
          <w:p w14:paraId="7944344F">
            <w:pPr>
              <w:jc w:val="right"/>
              <w:rPr>
                <w:rFonts w:ascii="宋体" w:hAnsi="宋体" w:cs="宋体"/>
                <w:color w:val="000000"/>
                <w:sz w:val="21"/>
                <w:szCs w:val="21"/>
                <w:lang w:eastAsia="zh-CN"/>
              </w:rPr>
            </w:pPr>
          </w:p>
        </w:tc>
        <w:tc>
          <w:tcPr>
            <w:tcW w:w="1512" w:type="dxa"/>
            <w:tcBorders>
              <w:top w:val="nil"/>
              <w:left w:val="nil"/>
              <w:bottom w:val="nil"/>
              <w:right w:val="nil"/>
            </w:tcBorders>
            <w:shd w:val="clear" w:color="auto" w:fill="auto"/>
            <w:noWrap/>
            <w:vAlign w:val="center"/>
          </w:tcPr>
          <w:p w14:paraId="5C40D8B6">
            <w:pPr>
              <w:jc w:val="right"/>
              <w:rPr>
                <w:rFonts w:ascii="宋体" w:hAnsi="宋体" w:cs="宋体"/>
                <w:color w:val="000000"/>
                <w:sz w:val="21"/>
                <w:szCs w:val="21"/>
                <w:lang w:eastAsia="zh-CN"/>
              </w:rPr>
            </w:pPr>
          </w:p>
        </w:tc>
        <w:tc>
          <w:tcPr>
            <w:tcW w:w="251" w:type="dxa"/>
            <w:tcBorders>
              <w:top w:val="nil"/>
              <w:left w:val="nil"/>
              <w:bottom w:val="nil"/>
              <w:right w:val="nil"/>
            </w:tcBorders>
            <w:shd w:val="clear" w:color="auto" w:fill="auto"/>
            <w:noWrap/>
            <w:vAlign w:val="center"/>
          </w:tcPr>
          <w:p w14:paraId="7792DFCA">
            <w:pPr>
              <w:jc w:val="right"/>
              <w:rPr>
                <w:rFonts w:ascii="宋体" w:hAnsi="宋体" w:cs="宋体"/>
                <w:color w:val="000000"/>
                <w:sz w:val="21"/>
                <w:szCs w:val="21"/>
                <w:lang w:eastAsia="zh-CN"/>
              </w:rPr>
            </w:pPr>
          </w:p>
        </w:tc>
        <w:tc>
          <w:tcPr>
            <w:tcW w:w="2772" w:type="dxa"/>
            <w:tcBorders>
              <w:top w:val="nil"/>
              <w:left w:val="nil"/>
              <w:bottom w:val="nil"/>
              <w:right w:val="nil"/>
            </w:tcBorders>
            <w:shd w:val="clear" w:color="auto" w:fill="auto"/>
            <w:noWrap/>
            <w:vAlign w:val="center"/>
          </w:tcPr>
          <w:p w14:paraId="799B1A62">
            <w:pPr>
              <w:jc w:val="left"/>
              <w:rPr>
                <w:rFonts w:ascii="宋体" w:hAnsi="宋体" w:cs="宋体"/>
                <w:color w:val="000000"/>
                <w:sz w:val="21"/>
                <w:szCs w:val="21"/>
                <w:lang w:eastAsia="zh-CN"/>
              </w:rPr>
            </w:pPr>
          </w:p>
        </w:tc>
      </w:tr>
      <w:tr w14:paraId="212159FB">
        <w:tblPrEx>
          <w:tblCellMar>
            <w:top w:w="0" w:type="dxa"/>
            <w:left w:w="108" w:type="dxa"/>
            <w:bottom w:w="0" w:type="dxa"/>
            <w:right w:w="108" w:type="dxa"/>
          </w:tblCellMar>
        </w:tblPrEx>
        <w:trPr>
          <w:gridAfter w:val="1"/>
          <w:wAfter w:w="1729" w:type="dxa"/>
          <w:trHeight w:val="350" w:hRule="atLeast"/>
        </w:trPr>
        <w:tc>
          <w:tcPr>
            <w:tcW w:w="4135" w:type="dxa"/>
            <w:gridSpan w:val="2"/>
            <w:tcBorders>
              <w:top w:val="nil"/>
              <w:left w:val="nil"/>
              <w:bottom w:val="nil"/>
              <w:right w:val="nil"/>
            </w:tcBorders>
            <w:shd w:val="clear" w:color="auto" w:fill="auto"/>
            <w:noWrap/>
            <w:vAlign w:val="center"/>
          </w:tcPr>
          <w:p w14:paraId="35AE894D">
            <w:pPr>
              <w:jc w:val="left"/>
              <w:rPr>
                <w:rFonts w:ascii="宋体" w:hAnsi="宋体" w:cs="宋体"/>
                <w:color w:val="000000"/>
                <w:sz w:val="21"/>
                <w:szCs w:val="21"/>
                <w:lang w:eastAsia="zh-CN"/>
              </w:rPr>
            </w:pPr>
            <w:r>
              <w:rPr>
                <w:rFonts w:hint="eastAsia" w:ascii="宋体" w:hAnsi="宋体" w:cs="宋体"/>
                <w:color w:val="000000"/>
                <w:sz w:val="21"/>
                <w:szCs w:val="21"/>
                <w:lang w:eastAsia="zh-CN"/>
              </w:rPr>
              <w:t>经办人：</w:t>
            </w:r>
          </w:p>
        </w:tc>
        <w:tc>
          <w:tcPr>
            <w:tcW w:w="1512" w:type="dxa"/>
            <w:tcBorders>
              <w:top w:val="nil"/>
              <w:left w:val="nil"/>
              <w:bottom w:val="nil"/>
              <w:right w:val="nil"/>
            </w:tcBorders>
            <w:shd w:val="clear" w:color="auto" w:fill="auto"/>
            <w:noWrap/>
            <w:vAlign w:val="center"/>
          </w:tcPr>
          <w:p w14:paraId="6B4090D2">
            <w:pPr>
              <w:jc w:val="left"/>
              <w:rPr>
                <w:rFonts w:ascii="宋体" w:hAnsi="宋体" w:cs="宋体"/>
                <w:color w:val="000000"/>
                <w:sz w:val="21"/>
                <w:szCs w:val="21"/>
                <w:lang w:eastAsia="zh-CN"/>
              </w:rPr>
            </w:pPr>
          </w:p>
        </w:tc>
        <w:tc>
          <w:tcPr>
            <w:tcW w:w="1512" w:type="dxa"/>
            <w:tcBorders>
              <w:top w:val="nil"/>
              <w:left w:val="nil"/>
              <w:bottom w:val="nil"/>
              <w:right w:val="nil"/>
            </w:tcBorders>
            <w:shd w:val="clear" w:color="auto" w:fill="auto"/>
            <w:noWrap/>
            <w:vAlign w:val="center"/>
          </w:tcPr>
          <w:p w14:paraId="200E7CBF">
            <w:pPr>
              <w:jc w:val="left"/>
              <w:rPr>
                <w:rFonts w:ascii="宋体" w:hAnsi="宋体" w:cs="宋体"/>
                <w:color w:val="000000"/>
                <w:sz w:val="21"/>
                <w:szCs w:val="21"/>
                <w:lang w:eastAsia="zh-CN"/>
              </w:rPr>
            </w:pPr>
          </w:p>
        </w:tc>
        <w:tc>
          <w:tcPr>
            <w:tcW w:w="251" w:type="dxa"/>
            <w:tcBorders>
              <w:top w:val="nil"/>
              <w:left w:val="nil"/>
              <w:bottom w:val="nil"/>
              <w:right w:val="nil"/>
            </w:tcBorders>
            <w:shd w:val="clear" w:color="auto" w:fill="auto"/>
            <w:noWrap/>
            <w:vAlign w:val="center"/>
          </w:tcPr>
          <w:p w14:paraId="7CCCFBC6">
            <w:pPr>
              <w:jc w:val="left"/>
              <w:rPr>
                <w:rFonts w:ascii="宋体" w:hAnsi="宋体" w:cs="宋体"/>
                <w:color w:val="000000"/>
                <w:sz w:val="21"/>
                <w:szCs w:val="21"/>
                <w:lang w:eastAsia="zh-CN"/>
              </w:rPr>
            </w:pPr>
          </w:p>
        </w:tc>
        <w:tc>
          <w:tcPr>
            <w:tcW w:w="2772" w:type="dxa"/>
            <w:tcBorders>
              <w:top w:val="nil"/>
              <w:left w:val="nil"/>
              <w:bottom w:val="nil"/>
              <w:right w:val="nil"/>
            </w:tcBorders>
            <w:shd w:val="clear" w:color="auto" w:fill="auto"/>
            <w:noWrap/>
            <w:vAlign w:val="center"/>
          </w:tcPr>
          <w:p w14:paraId="672BDFD1">
            <w:pPr>
              <w:jc w:val="left"/>
              <w:rPr>
                <w:rFonts w:ascii="宋体" w:hAnsi="宋体" w:cs="宋体"/>
                <w:color w:val="000000"/>
                <w:sz w:val="21"/>
                <w:szCs w:val="21"/>
                <w:lang w:eastAsia="zh-CN"/>
              </w:rPr>
            </w:pPr>
            <w:r>
              <w:rPr>
                <w:rFonts w:hint="eastAsia" w:ascii="宋体" w:hAnsi="宋体" w:cs="宋体"/>
                <w:color w:val="000000"/>
                <w:sz w:val="21"/>
                <w:szCs w:val="21"/>
                <w:lang w:eastAsia="zh-CN"/>
              </w:rPr>
              <w:t>经办：</w:t>
            </w:r>
          </w:p>
        </w:tc>
      </w:tr>
      <w:tr w14:paraId="5A156CB6">
        <w:tblPrEx>
          <w:tblCellMar>
            <w:top w:w="0" w:type="dxa"/>
            <w:left w:w="108" w:type="dxa"/>
            <w:bottom w:w="0" w:type="dxa"/>
            <w:right w:w="108" w:type="dxa"/>
          </w:tblCellMar>
        </w:tblPrEx>
        <w:trPr>
          <w:gridAfter w:val="1"/>
          <w:wAfter w:w="1729" w:type="dxa"/>
          <w:trHeight w:val="350" w:hRule="atLeast"/>
        </w:trPr>
        <w:tc>
          <w:tcPr>
            <w:tcW w:w="1139" w:type="dxa"/>
            <w:tcBorders>
              <w:top w:val="nil"/>
              <w:left w:val="nil"/>
              <w:bottom w:val="nil"/>
              <w:right w:val="nil"/>
            </w:tcBorders>
            <w:shd w:val="clear" w:color="auto" w:fill="auto"/>
            <w:noWrap/>
            <w:vAlign w:val="center"/>
          </w:tcPr>
          <w:p w14:paraId="116E3E6A">
            <w:pPr>
              <w:jc w:val="left"/>
              <w:rPr>
                <w:rFonts w:ascii="宋体" w:hAnsi="宋体" w:cs="宋体"/>
                <w:color w:val="000000"/>
                <w:sz w:val="21"/>
                <w:szCs w:val="21"/>
                <w:lang w:eastAsia="zh-CN"/>
              </w:rPr>
            </w:pPr>
            <w:r>
              <w:rPr>
                <w:rFonts w:hint="eastAsia" w:ascii="宋体" w:hAnsi="宋体" w:cs="宋体"/>
                <w:color w:val="000000"/>
                <w:sz w:val="21"/>
                <w:szCs w:val="21"/>
                <w:lang w:eastAsia="zh-CN"/>
              </w:rPr>
              <w:t>审核：</w:t>
            </w:r>
          </w:p>
        </w:tc>
        <w:tc>
          <w:tcPr>
            <w:tcW w:w="2996" w:type="dxa"/>
            <w:tcBorders>
              <w:top w:val="nil"/>
              <w:left w:val="nil"/>
              <w:bottom w:val="nil"/>
              <w:right w:val="nil"/>
            </w:tcBorders>
            <w:shd w:val="clear" w:color="auto" w:fill="auto"/>
            <w:noWrap/>
            <w:vAlign w:val="center"/>
          </w:tcPr>
          <w:p w14:paraId="5D18B625">
            <w:pPr>
              <w:jc w:val="left"/>
              <w:rPr>
                <w:rFonts w:ascii="宋体" w:hAnsi="宋体" w:cs="宋体"/>
                <w:color w:val="000000"/>
                <w:sz w:val="21"/>
                <w:szCs w:val="21"/>
                <w:lang w:eastAsia="zh-CN"/>
              </w:rPr>
            </w:pPr>
          </w:p>
        </w:tc>
        <w:tc>
          <w:tcPr>
            <w:tcW w:w="1512" w:type="dxa"/>
            <w:tcBorders>
              <w:top w:val="nil"/>
              <w:left w:val="nil"/>
              <w:bottom w:val="nil"/>
              <w:right w:val="nil"/>
            </w:tcBorders>
            <w:shd w:val="clear" w:color="auto" w:fill="auto"/>
            <w:noWrap/>
            <w:vAlign w:val="center"/>
          </w:tcPr>
          <w:p w14:paraId="5AF66BBB">
            <w:pPr>
              <w:jc w:val="left"/>
              <w:rPr>
                <w:rFonts w:ascii="宋体" w:hAnsi="宋体" w:cs="宋体"/>
                <w:color w:val="000000"/>
                <w:sz w:val="21"/>
                <w:szCs w:val="21"/>
                <w:lang w:eastAsia="zh-CN"/>
              </w:rPr>
            </w:pPr>
          </w:p>
        </w:tc>
        <w:tc>
          <w:tcPr>
            <w:tcW w:w="1512" w:type="dxa"/>
            <w:tcBorders>
              <w:top w:val="nil"/>
              <w:left w:val="nil"/>
              <w:bottom w:val="nil"/>
              <w:right w:val="nil"/>
            </w:tcBorders>
            <w:shd w:val="clear" w:color="auto" w:fill="auto"/>
            <w:noWrap/>
            <w:vAlign w:val="center"/>
          </w:tcPr>
          <w:p w14:paraId="41B4123F">
            <w:pPr>
              <w:jc w:val="left"/>
              <w:rPr>
                <w:rFonts w:ascii="宋体" w:hAnsi="宋体" w:cs="宋体"/>
                <w:color w:val="000000"/>
                <w:sz w:val="21"/>
                <w:szCs w:val="21"/>
                <w:lang w:eastAsia="zh-CN"/>
              </w:rPr>
            </w:pPr>
          </w:p>
        </w:tc>
        <w:tc>
          <w:tcPr>
            <w:tcW w:w="251" w:type="dxa"/>
            <w:tcBorders>
              <w:top w:val="nil"/>
              <w:left w:val="nil"/>
              <w:bottom w:val="nil"/>
              <w:right w:val="nil"/>
            </w:tcBorders>
            <w:shd w:val="clear" w:color="auto" w:fill="auto"/>
            <w:noWrap/>
            <w:vAlign w:val="center"/>
          </w:tcPr>
          <w:p w14:paraId="294D555F">
            <w:pPr>
              <w:jc w:val="left"/>
              <w:rPr>
                <w:rFonts w:ascii="宋体" w:hAnsi="宋体" w:cs="宋体"/>
                <w:color w:val="000000"/>
                <w:sz w:val="21"/>
                <w:szCs w:val="21"/>
                <w:lang w:eastAsia="zh-CN"/>
              </w:rPr>
            </w:pPr>
          </w:p>
        </w:tc>
        <w:tc>
          <w:tcPr>
            <w:tcW w:w="2772" w:type="dxa"/>
            <w:tcBorders>
              <w:top w:val="nil"/>
              <w:left w:val="nil"/>
              <w:bottom w:val="nil"/>
              <w:right w:val="nil"/>
            </w:tcBorders>
            <w:shd w:val="clear" w:color="auto" w:fill="auto"/>
            <w:noWrap/>
            <w:vAlign w:val="center"/>
          </w:tcPr>
          <w:p w14:paraId="0F150203">
            <w:pPr>
              <w:jc w:val="left"/>
              <w:rPr>
                <w:rFonts w:ascii="宋体" w:hAnsi="宋体" w:eastAsia="宋体" w:cs="宋体"/>
                <w:color w:val="000000"/>
                <w:sz w:val="21"/>
                <w:szCs w:val="21"/>
                <w:lang w:val="en-US" w:eastAsia="zh-CN" w:bidi="ar-SA"/>
              </w:rPr>
            </w:pPr>
            <w:r>
              <w:rPr>
                <w:rFonts w:hint="eastAsia" w:ascii="宋体" w:hAnsi="宋体" w:cs="宋体"/>
                <w:color w:val="000000"/>
                <w:sz w:val="21"/>
                <w:szCs w:val="21"/>
                <w:lang w:eastAsia="zh-CN"/>
              </w:rPr>
              <w:t>审核：</w:t>
            </w:r>
          </w:p>
        </w:tc>
      </w:tr>
      <w:tr w14:paraId="314049B7">
        <w:tblPrEx>
          <w:tblCellMar>
            <w:top w:w="0" w:type="dxa"/>
            <w:left w:w="108" w:type="dxa"/>
            <w:bottom w:w="0" w:type="dxa"/>
            <w:right w:w="108" w:type="dxa"/>
          </w:tblCellMar>
        </w:tblPrEx>
        <w:trPr>
          <w:gridAfter w:val="1"/>
          <w:wAfter w:w="1729" w:type="dxa"/>
          <w:trHeight w:val="350" w:hRule="atLeast"/>
        </w:trPr>
        <w:tc>
          <w:tcPr>
            <w:tcW w:w="1139" w:type="dxa"/>
            <w:tcBorders>
              <w:top w:val="nil"/>
              <w:left w:val="nil"/>
              <w:bottom w:val="nil"/>
              <w:right w:val="nil"/>
            </w:tcBorders>
            <w:shd w:val="clear" w:color="auto" w:fill="auto"/>
            <w:noWrap/>
            <w:vAlign w:val="center"/>
          </w:tcPr>
          <w:p w14:paraId="5515170F">
            <w:pPr>
              <w:jc w:val="left"/>
              <w:rPr>
                <w:rFonts w:ascii="宋体" w:hAnsi="宋体" w:cs="宋体"/>
                <w:color w:val="000000"/>
                <w:sz w:val="21"/>
                <w:szCs w:val="21"/>
                <w:lang w:eastAsia="zh-CN"/>
              </w:rPr>
            </w:pPr>
            <w:r>
              <w:rPr>
                <w:rFonts w:hint="eastAsia" w:ascii="宋体" w:hAnsi="宋体" w:cs="宋体"/>
                <w:color w:val="000000"/>
                <w:sz w:val="21"/>
                <w:szCs w:val="21"/>
                <w:lang w:eastAsia="zh-CN"/>
              </w:rPr>
              <w:t>时间：</w:t>
            </w:r>
          </w:p>
        </w:tc>
        <w:tc>
          <w:tcPr>
            <w:tcW w:w="2996" w:type="dxa"/>
            <w:tcBorders>
              <w:top w:val="nil"/>
              <w:left w:val="nil"/>
              <w:bottom w:val="nil"/>
              <w:right w:val="nil"/>
            </w:tcBorders>
            <w:shd w:val="clear" w:color="auto" w:fill="auto"/>
            <w:noWrap/>
            <w:vAlign w:val="center"/>
          </w:tcPr>
          <w:p w14:paraId="01257ABF">
            <w:pPr>
              <w:jc w:val="left"/>
              <w:rPr>
                <w:rFonts w:ascii="宋体" w:hAnsi="宋体" w:cs="宋体"/>
                <w:color w:val="000000"/>
                <w:sz w:val="21"/>
                <w:szCs w:val="21"/>
                <w:lang w:eastAsia="zh-CN"/>
              </w:rPr>
            </w:pPr>
          </w:p>
        </w:tc>
        <w:tc>
          <w:tcPr>
            <w:tcW w:w="1512" w:type="dxa"/>
            <w:tcBorders>
              <w:top w:val="nil"/>
              <w:left w:val="nil"/>
              <w:bottom w:val="nil"/>
              <w:right w:val="nil"/>
            </w:tcBorders>
            <w:shd w:val="clear" w:color="auto" w:fill="auto"/>
            <w:noWrap/>
            <w:vAlign w:val="center"/>
          </w:tcPr>
          <w:p w14:paraId="165A2F67">
            <w:pPr>
              <w:jc w:val="left"/>
              <w:rPr>
                <w:rFonts w:ascii="宋体" w:hAnsi="宋体" w:cs="宋体"/>
                <w:color w:val="000000"/>
                <w:sz w:val="21"/>
                <w:szCs w:val="21"/>
                <w:lang w:eastAsia="zh-CN"/>
              </w:rPr>
            </w:pPr>
          </w:p>
        </w:tc>
        <w:tc>
          <w:tcPr>
            <w:tcW w:w="1512" w:type="dxa"/>
            <w:tcBorders>
              <w:top w:val="nil"/>
              <w:left w:val="nil"/>
              <w:bottom w:val="nil"/>
              <w:right w:val="nil"/>
            </w:tcBorders>
            <w:shd w:val="clear" w:color="auto" w:fill="auto"/>
            <w:noWrap/>
            <w:vAlign w:val="center"/>
          </w:tcPr>
          <w:p w14:paraId="1E4976E3">
            <w:pPr>
              <w:jc w:val="left"/>
              <w:rPr>
                <w:rFonts w:ascii="宋体" w:hAnsi="宋体" w:cs="宋体"/>
                <w:color w:val="000000"/>
                <w:sz w:val="21"/>
                <w:szCs w:val="21"/>
                <w:lang w:eastAsia="zh-CN"/>
              </w:rPr>
            </w:pPr>
          </w:p>
        </w:tc>
        <w:tc>
          <w:tcPr>
            <w:tcW w:w="251" w:type="dxa"/>
            <w:tcBorders>
              <w:top w:val="nil"/>
              <w:left w:val="nil"/>
              <w:bottom w:val="nil"/>
              <w:right w:val="nil"/>
            </w:tcBorders>
            <w:shd w:val="clear" w:color="auto" w:fill="auto"/>
            <w:noWrap/>
            <w:vAlign w:val="center"/>
          </w:tcPr>
          <w:p w14:paraId="34C0168D">
            <w:pPr>
              <w:jc w:val="left"/>
              <w:rPr>
                <w:rFonts w:ascii="宋体" w:hAnsi="宋体" w:cs="宋体"/>
                <w:color w:val="000000"/>
                <w:sz w:val="21"/>
                <w:szCs w:val="21"/>
                <w:lang w:eastAsia="zh-CN"/>
              </w:rPr>
            </w:pPr>
          </w:p>
        </w:tc>
        <w:tc>
          <w:tcPr>
            <w:tcW w:w="2772" w:type="dxa"/>
            <w:tcBorders>
              <w:top w:val="nil"/>
              <w:left w:val="nil"/>
              <w:bottom w:val="nil"/>
              <w:right w:val="nil"/>
            </w:tcBorders>
            <w:shd w:val="clear" w:color="auto" w:fill="auto"/>
            <w:noWrap/>
            <w:vAlign w:val="center"/>
          </w:tcPr>
          <w:p w14:paraId="12B5D432">
            <w:pPr>
              <w:jc w:val="left"/>
              <w:rPr>
                <w:rFonts w:ascii="宋体" w:hAnsi="宋体" w:eastAsia="宋体" w:cs="宋体"/>
                <w:color w:val="000000"/>
                <w:sz w:val="21"/>
                <w:szCs w:val="21"/>
                <w:lang w:val="en-US" w:eastAsia="zh-CN" w:bidi="ar-SA"/>
              </w:rPr>
            </w:pPr>
            <w:r>
              <w:rPr>
                <w:rFonts w:hint="eastAsia" w:ascii="宋体" w:hAnsi="宋体" w:cs="宋体"/>
                <w:color w:val="000000"/>
                <w:sz w:val="21"/>
                <w:szCs w:val="21"/>
                <w:lang w:eastAsia="zh-CN"/>
              </w:rPr>
              <w:t>时间：</w:t>
            </w:r>
          </w:p>
        </w:tc>
      </w:tr>
    </w:tbl>
    <w:p w14:paraId="267F701D">
      <w:pPr>
        <w:rPr>
          <w:sz w:val="21"/>
          <w:szCs w:val="21"/>
          <w:lang w:eastAsia="zh-CN"/>
        </w:rPr>
      </w:pPr>
    </w:p>
    <w:p w14:paraId="6EFBB6D9">
      <w:pPr>
        <w:pStyle w:val="2"/>
        <w:jc w:val="center"/>
        <w:rPr>
          <w:szCs w:val="24"/>
          <w:lang w:eastAsia="zh-CN"/>
        </w:rPr>
      </w:pPr>
    </w:p>
    <w:p w14:paraId="2454EDB8">
      <w:pPr>
        <w:rPr>
          <w:rFonts w:hint="eastAsia"/>
          <w:szCs w:val="24"/>
          <w:lang w:eastAsia="zh-CN"/>
        </w:rPr>
      </w:pPr>
    </w:p>
    <w:p w14:paraId="0A55EF30">
      <w:pPr>
        <w:ind w:firstLine="480" w:firstLineChars="200"/>
        <w:rPr>
          <w:rFonts w:hint="eastAsia"/>
          <w:szCs w:val="24"/>
          <w:lang w:eastAsia="zh-CN"/>
        </w:rPr>
      </w:pPr>
    </w:p>
    <w:p w14:paraId="1FBDD79B">
      <w:pPr>
        <w:jc w:val="left"/>
        <w:rPr>
          <w:rFonts w:hint="eastAsia"/>
          <w:szCs w:val="28"/>
          <w:lang w:eastAsia="zh-CN"/>
        </w:rPr>
        <w:sectPr>
          <w:pgSz w:w="12242" w:h="15842"/>
          <w:pgMar w:top="1440" w:right="1080" w:bottom="1440" w:left="1080" w:header="680" w:footer="454" w:gutter="0"/>
          <w:cols w:space="567" w:num="1"/>
          <w:docGrid w:linePitch="326" w:charSpace="0"/>
        </w:sectPr>
      </w:pPr>
    </w:p>
    <w:p w14:paraId="54C2E91B">
      <w:pPr>
        <w:pStyle w:val="2"/>
        <w:spacing w:before="120" w:after="120"/>
        <w:jc w:val="center"/>
        <w:rPr>
          <w:rFonts w:hint="eastAsia"/>
          <w:lang w:val="en-US" w:eastAsia="zh-CN"/>
        </w:rPr>
      </w:pPr>
      <w:bookmarkStart w:id="84" w:name="_Toc6180"/>
      <w:r>
        <w:rPr>
          <w:rFonts w:hint="eastAsia"/>
          <w:lang w:val="en-US" w:eastAsia="zh-CN"/>
        </w:rPr>
        <w:t>附件F  安全健康环境消保管理协议</w:t>
      </w:r>
      <w:bookmarkEnd w:id="74"/>
      <w:bookmarkEnd w:id="84"/>
    </w:p>
    <w:p w14:paraId="089AA0C9">
      <w:pPr>
        <w:tabs>
          <w:tab w:val="left" w:pos="1050"/>
        </w:tabs>
        <w:spacing w:line="380" w:lineRule="exact"/>
        <w:ind w:firstLine="480" w:firstLineChars="200"/>
        <w:rPr>
          <w:rFonts w:ascii="宋体" w:hAnsi="宋体"/>
          <w:szCs w:val="24"/>
          <w:lang w:eastAsia="zh-CN"/>
        </w:rPr>
      </w:pPr>
    </w:p>
    <w:p w14:paraId="0D5FD513">
      <w:pPr>
        <w:tabs>
          <w:tab w:val="left" w:pos="1050"/>
        </w:tabs>
        <w:spacing w:line="380" w:lineRule="exact"/>
        <w:ind w:firstLine="482" w:firstLineChars="200"/>
        <w:rPr>
          <w:rFonts w:ascii="宋体" w:hAnsi="宋体"/>
          <w:szCs w:val="24"/>
          <w:lang w:eastAsia="zh-CN"/>
        </w:rPr>
      </w:pPr>
      <w:r>
        <w:rPr>
          <w:rFonts w:hint="eastAsia" w:ascii="宋体" w:hAnsi="宋体"/>
          <w:b/>
          <w:szCs w:val="24"/>
          <w:lang w:eastAsia="zh-CN"/>
        </w:rPr>
        <w:t>甲方：</w:t>
      </w:r>
      <w:r>
        <w:rPr>
          <w:rFonts w:hint="eastAsia" w:ascii="宋体" w:hAnsi="宋体"/>
          <w:szCs w:val="24"/>
          <w:u w:val="single"/>
          <w:lang w:eastAsia="zh-CN"/>
        </w:rPr>
        <w:t>福建联合石油化工有限公司；</w:t>
      </w:r>
    </w:p>
    <w:p w14:paraId="3778AF8F">
      <w:pPr>
        <w:spacing w:line="380" w:lineRule="exact"/>
        <w:ind w:firstLine="482" w:firstLineChars="200"/>
        <w:rPr>
          <w:rFonts w:ascii="宋体" w:hAnsi="宋体"/>
          <w:szCs w:val="24"/>
          <w:lang w:eastAsia="zh-CN"/>
        </w:rPr>
      </w:pPr>
      <w:r>
        <w:rPr>
          <w:rFonts w:hint="eastAsia" w:ascii="宋体" w:hAnsi="宋体"/>
          <w:b/>
          <w:szCs w:val="24"/>
          <w:lang w:eastAsia="zh-CN"/>
        </w:rPr>
        <w:t>乙方：</w:t>
      </w:r>
      <w:r>
        <w:rPr>
          <w:rFonts w:hint="eastAsia"/>
          <w:szCs w:val="24"/>
          <w:u w:val="single"/>
          <w:lang w:eastAsia="zh-CN"/>
        </w:rPr>
        <w:t xml:space="preserve">                         公司；</w:t>
      </w:r>
    </w:p>
    <w:p w14:paraId="1C66772D">
      <w:pPr>
        <w:tabs>
          <w:tab w:val="left" w:pos="1050"/>
        </w:tabs>
        <w:spacing w:line="380" w:lineRule="exact"/>
        <w:rPr>
          <w:rFonts w:ascii="宋体" w:hAnsi="宋体"/>
          <w:b/>
          <w:szCs w:val="24"/>
          <w:lang w:eastAsia="zh-CN"/>
        </w:rPr>
      </w:pPr>
      <w:r>
        <w:rPr>
          <w:rFonts w:hint="eastAsia" w:ascii="宋体" w:hAnsi="宋体"/>
          <w:b/>
          <w:szCs w:val="24"/>
          <w:lang w:eastAsia="zh-CN"/>
        </w:rPr>
        <w:t xml:space="preserve">                                 </w:t>
      </w:r>
    </w:p>
    <w:p w14:paraId="5423E1F9">
      <w:pPr>
        <w:spacing w:line="380" w:lineRule="exact"/>
        <w:rPr>
          <w:rFonts w:asciiTheme="minorEastAsia" w:hAnsiTheme="minorEastAsia" w:eastAsiaTheme="minorEastAsia"/>
          <w:b/>
          <w:szCs w:val="24"/>
          <w:lang w:eastAsia="zh-CN"/>
        </w:rPr>
      </w:pPr>
      <w:r>
        <w:rPr>
          <w:rFonts w:hint="eastAsia" w:ascii="宋体" w:hAnsi="宋体"/>
          <w:b/>
          <w:szCs w:val="24"/>
          <w:lang w:eastAsia="zh-CN"/>
        </w:rPr>
        <w:t xml:space="preserve">    </w:t>
      </w:r>
      <w:r>
        <w:rPr>
          <w:rFonts w:hint="eastAsia" w:asciiTheme="minorEastAsia" w:hAnsiTheme="minorEastAsia" w:eastAsiaTheme="minorEastAsia"/>
          <w:b/>
          <w:szCs w:val="24"/>
          <w:lang w:eastAsia="zh-CN"/>
        </w:rPr>
        <w:t>第一条</w:t>
      </w:r>
      <w:r>
        <w:rPr>
          <w:rFonts w:asciiTheme="minorEastAsia" w:hAnsiTheme="minorEastAsia" w:eastAsiaTheme="minorEastAsia"/>
          <w:b/>
          <w:szCs w:val="24"/>
          <w:lang w:eastAsia="zh-CN"/>
        </w:rPr>
        <w:t xml:space="preserve">  </w:t>
      </w:r>
      <w:r>
        <w:rPr>
          <w:rFonts w:hint="eastAsia" w:asciiTheme="minorEastAsia" w:hAnsiTheme="minorEastAsia" w:eastAsiaTheme="minorEastAsia"/>
          <w:b/>
          <w:szCs w:val="24"/>
          <w:lang w:eastAsia="zh-CN"/>
        </w:rPr>
        <w:t>签订原则</w:t>
      </w:r>
    </w:p>
    <w:p w14:paraId="7DDDE191">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鉴于双方已经签署了《</w:t>
      </w:r>
      <w:r>
        <w:rPr>
          <w:rFonts w:hint="eastAsia" w:asciiTheme="minorEastAsia" w:hAnsiTheme="minorEastAsia" w:eastAsiaTheme="minorEastAsia"/>
          <w:szCs w:val="24"/>
          <w:u w:val="single"/>
          <w:lang w:eastAsia="zh-CN"/>
        </w:rPr>
        <w:t xml:space="preserve">              </w:t>
      </w:r>
      <w:r>
        <w:rPr>
          <w:rFonts w:hint="eastAsia" w:asciiTheme="minorEastAsia" w:hAnsiTheme="minorEastAsia" w:eastAsiaTheme="minorEastAsia"/>
          <w:szCs w:val="24"/>
          <w:lang w:eastAsia="zh-CN"/>
        </w:rPr>
        <w:t>》(以下简称主合同)并遵照执行，且乙方提供的服务位于甲方厂区内。为了进一步规范安全管理，明确双方的安全管理责任和义务，及时解决日常管理出现的问题，防止安全事故和其他紧急事件的发生，并能在事故发生后，双方相互协调、各负其责，将事故造成的损失降到最低，依照《中华人民共和国民法典》、《中华人民共和国安全生产法》、《中华人民共和国环境保护法》、《中华人民共和国职业病防治法》、《中华人民共和国消防法》和其他相关法律法规、标准规范的规定，遵循平等、自愿、公平和诚实信用的原则，双方就各自生产经营场所的安全生产、职业健康、环境保护、消防及安保（以下简称HSSE）管理事项协商一致，订立本协议。</w:t>
      </w:r>
      <w:bookmarkStart w:id="85" w:name="_Toc63329286"/>
    </w:p>
    <w:p w14:paraId="5D0F92AB">
      <w:pPr>
        <w:spacing w:line="380" w:lineRule="exact"/>
        <w:rPr>
          <w:rFonts w:asciiTheme="minorEastAsia" w:hAnsiTheme="minorEastAsia" w:eastAsiaTheme="minorEastAsia"/>
          <w:b/>
          <w:szCs w:val="24"/>
          <w:lang w:eastAsia="zh-CN"/>
        </w:rPr>
      </w:pPr>
      <w:r>
        <w:rPr>
          <w:rFonts w:hint="eastAsia" w:asciiTheme="minorEastAsia" w:hAnsiTheme="minorEastAsia" w:eastAsiaTheme="minorEastAsia"/>
          <w:b/>
          <w:szCs w:val="24"/>
          <w:lang w:eastAsia="zh-CN"/>
        </w:rPr>
        <w:t xml:space="preserve">    第二条  </w:t>
      </w:r>
      <w:r>
        <w:rPr>
          <w:rFonts w:asciiTheme="minorEastAsia" w:hAnsiTheme="minorEastAsia" w:eastAsiaTheme="minorEastAsia"/>
          <w:b/>
          <w:szCs w:val="24"/>
          <w:lang w:eastAsia="zh-CN"/>
        </w:rPr>
        <w:t>HSSE</w:t>
      </w:r>
      <w:r>
        <w:rPr>
          <w:rFonts w:hint="eastAsia" w:asciiTheme="minorEastAsia" w:hAnsiTheme="minorEastAsia" w:eastAsiaTheme="minorEastAsia"/>
          <w:b/>
          <w:szCs w:val="24"/>
          <w:lang w:eastAsia="zh-CN"/>
        </w:rPr>
        <w:t>管理责任和权利义务划分</w:t>
      </w:r>
    </w:p>
    <w:p w14:paraId="45846048">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.1  双方各自安全管理的责任主体，均应独立承担安全管理责任，应当依法依规加强HSSE管理，建立健全安全生产责任制和安全规章制度，开展安全生产标准化建设，改善安全生产条件，提高安全环保水平，确保安全环保生产。</w:t>
      </w:r>
    </w:p>
    <w:p w14:paraId="2CA381DD">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2.2</w:t>
      </w:r>
      <w:r>
        <w:rPr>
          <w:rFonts w:asciiTheme="minorEastAsia" w:hAnsiTheme="minorEastAsia" w:eastAsiaTheme="minorEastAsia"/>
          <w:szCs w:val="24"/>
          <w:lang w:eastAsia="zh-CN"/>
        </w:rPr>
        <w:t xml:space="preserve">  </w:t>
      </w:r>
      <w:r>
        <w:rPr>
          <w:rFonts w:hint="eastAsia" w:asciiTheme="minorEastAsia" w:hAnsiTheme="minorEastAsia" w:eastAsiaTheme="minorEastAsia"/>
          <w:szCs w:val="24"/>
          <w:lang w:eastAsia="zh-CN"/>
        </w:rPr>
        <w:t>双方在各自生产经营活动中，应</w:t>
      </w:r>
      <w:r>
        <w:rPr>
          <w:rFonts w:asciiTheme="minorEastAsia" w:hAnsiTheme="minorEastAsia" w:eastAsiaTheme="minorEastAsia"/>
          <w:szCs w:val="24"/>
          <w:lang w:eastAsia="zh-CN"/>
        </w:rPr>
        <w:t>遵守</w:t>
      </w:r>
      <w:r>
        <w:rPr>
          <w:rFonts w:hint="eastAsia" w:asciiTheme="minorEastAsia" w:hAnsiTheme="minorEastAsia" w:eastAsiaTheme="minorEastAsia"/>
          <w:szCs w:val="24"/>
          <w:lang w:eastAsia="zh-CN"/>
        </w:rPr>
        <w:t>国家、地方政府的各项</w:t>
      </w:r>
      <w:r>
        <w:rPr>
          <w:rFonts w:asciiTheme="minorEastAsia" w:hAnsiTheme="minorEastAsia" w:eastAsiaTheme="minorEastAsia"/>
          <w:szCs w:val="24"/>
          <w:lang w:eastAsia="zh-CN"/>
        </w:rPr>
        <w:t>法律法规</w:t>
      </w:r>
      <w:r>
        <w:rPr>
          <w:rFonts w:hint="eastAsia" w:asciiTheme="minorEastAsia" w:hAnsiTheme="minorEastAsia" w:eastAsiaTheme="minorEastAsia"/>
          <w:szCs w:val="24"/>
          <w:lang w:eastAsia="zh-CN"/>
        </w:rPr>
        <w:t>和标准规范</w:t>
      </w:r>
      <w:r>
        <w:rPr>
          <w:rFonts w:asciiTheme="minorEastAsia" w:hAnsiTheme="minorEastAsia" w:eastAsiaTheme="minorEastAsia"/>
          <w:szCs w:val="24"/>
          <w:lang w:eastAsia="zh-CN"/>
        </w:rPr>
        <w:t>，</w:t>
      </w:r>
      <w:r>
        <w:rPr>
          <w:rFonts w:hint="eastAsia" w:asciiTheme="minorEastAsia" w:hAnsiTheme="minorEastAsia" w:eastAsiaTheme="minorEastAsia"/>
          <w:szCs w:val="24"/>
          <w:lang w:eastAsia="zh-CN"/>
        </w:rPr>
        <w:t>自觉规范安全管理、组织风险管控、排查治理隐患，确保安全生产。</w:t>
      </w:r>
    </w:p>
    <w:p w14:paraId="0BBD4B7A">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3</w:t>
      </w:r>
      <w:r>
        <w:rPr>
          <w:rFonts w:asciiTheme="minorEastAsia" w:hAnsiTheme="minorEastAsia" w:eastAsiaTheme="minorEastAsia"/>
          <w:szCs w:val="24"/>
          <w:lang w:eastAsia="zh-CN"/>
        </w:rPr>
        <w:t xml:space="preserve">  </w:t>
      </w:r>
      <w:r>
        <w:rPr>
          <w:rFonts w:hint="eastAsia" w:asciiTheme="minorEastAsia" w:hAnsiTheme="minorEastAsia" w:eastAsiaTheme="minorEastAsia"/>
          <w:szCs w:val="24"/>
          <w:lang w:eastAsia="zh-CN"/>
        </w:rPr>
        <w:t>双方均应遵守安全生产相关管理标准及技术规范，并指定专职安全生产管理人员进行安全检查与协调，加强生产运营过程中的沟通协调，任何业务的开展不得威胁到对方的安全生产。</w:t>
      </w:r>
    </w:p>
    <w:p w14:paraId="31D85E8C">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.4</w:t>
      </w:r>
      <w:r>
        <w:rPr>
          <w:rFonts w:asciiTheme="minorEastAsia" w:hAnsiTheme="minorEastAsia" w:eastAsiaTheme="minorEastAsia"/>
          <w:szCs w:val="24"/>
          <w:lang w:eastAsia="zh-CN"/>
        </w:rPr>
        <w:t>乙方人员</w:t>
      </w:r>
      <w:r>
        <w:rPr>
          <w:rFonts w:hint="eastAsia" w:asciiTheme="minorEastAsia" w:hAnsiTheme="minorEastAsia" w:eastAsiaTheme="minorEastAsia"/>
          <w:szCs w:val="24"/>
          <w:lang w:eastAsia="zh-CN"/>
        </w:rPr>
        <w:t>、</w:t>
      </w:r>
      <w:r>
        <w:rPr>
          <w:rFonts w:asciiTheme="minorEastAsia" w:hAnsiTheme="minorEastAsia" w:eastAsiaTheme="minorEastAsia"/>
          <w:szCs w:val="24"/>
          <w:lang w:eastAsia="zh-CN"/>
        </w:rPr>
        <w:t xml:space="preserve">机具入厂培训与证件办理 </w:t>
      </w:r>
    </w:p>
    <w:p w14:paraId="53DE21BF">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人员应接受甲方的入厂教育培训，经过培训并考试合格的人员准予办理人员入厂证（特殊作业人员还应通过甲方专业测试）。经2次培训仍不合格的人员不予办理入厂证。甲方HSE部门、业务主管部门、业务团队有权组织乙方作业人员进行三级安全教育，乙方人员未经三级安全教育合格者，不得从事施工/服务作业。</w:t>
      </w:r>
    </w:p>
    <w:p w14:paraId="142F9581">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对于乙方从事特殊作业人员，如焊工、电工、架子工、起重工等，如有必要，甲方有权对其进行专业测试。甲方对测试结果准确性不承担任何责任。</w:t>
      </w:r>
    </w:p>
    <w:p w14:paraId="5DA94AE3">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甲方对乙方人员(含乙方分包商等)的入厂教育培训、</w:t>
      </w:r>
      <w:r>
        <w:rPr>
          <w:rFonts w:asciiTheme="minorEastAsia" w:hAnsiTheme="minorEastAsia" w:eastAsiaTheme="minorEastAsia"/>
          <w:szCs w:val="24"/>
          <w:lang w:eastAsia="zh-CN"/>
        </w:rPr>
        <w:t>三级安全教育</w:t>
      </w:r>
      <w:r>
        <w:rPr>
          <w:rFonts w:hint="eastAsia" w:asciiTheme="minorEastAsia" w:hAnsiTheme="minorEastAsia" w:eastAsiaTheme="minorEastAsia"/>
          <w:szCs w:val="24"/>
          <w:lang w:eastAsia="zh-CN"/>
        </w:rPr>
        <w:t>，仅限于甲方管理需要。甲方的入厂教育培训不替代乙方对其员工的安全教育培训责任。乙方对进入甲方场所的人员(含分包商等)安全教育培训负有完全责任。</w:t>
      </w:r>
    </w:p>
    <w:p w14:paraId="08BDFC84">
      <w:pPr>
        <w:spacing w:line="380" w:lineRule="exact"/>
        <w:ind w:left="1" w:firstLine="480"/>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甲方应乙方申请，为其员工及分包商办理入厂手续。对不符合甲方HSSE标准的上述人员，甲方可拒绝为其办理入厂手续或要求其及时出厂。甲方为乙方员工及分包商办理入厂手续，不意味上述人员符合相关HSSE标准和规定，甲方不对上述人员的符合性承担责任。乙方及其员工、分包商在甲方区域，应遵守甲方的HSSE管理规章制度。乙方应对其员工、分包商的安全负全部责任。</w:t>
      </w:r>
    </w:p>
    <w:p w14:paraId="6A8746A7">
      <w:pPr>
        <w:spacing w:line="380" w:lineRule="exact"/>
        <w:ind w:left="1" w:firstLine="480"/>
        <w:rPr>
          <w:rFonts w:asciiTheme="minorEastAsia" w:hAnsiTheme="minorEastAsia" w:eastAsiaTheme="minorEastAsia"/>
          <w:szCs w:val="24"/>
          <w:lang w:eastAsia="zh-CN"/>
        </w:rPr>
      </w:pPr>
      <w:r>
        <w:rPr>
          <w:rFonts w:asciiTheme="minorEastAsia" w:hAnsiTheme="minorEastAsia" w:eastAsiaTheme="minorEastAsia"/>
          <w:szCs w:val="24"/>
          <w:lang w:eastAsia="zh-CN"/>
        </w:rPr>
        <w:t>乙方</w:t>
      </w:r>
      <w:r>
        <w:rPr>
          <w:rFonts w:hint="eastAsia" w:asciiTheme="minorEastAsia" w:hAnsiTheme="minorEastAsia" w:eastAsiaTheme="minorEastAsia"/>
          <w:szCs w:val="24"/>
          <w:lang w:eastAsia="zh-CN"/>
        </w:rPr>
        <w:t>携带</w:t>
      </w:r>
      <w:r>
        <w:rPr>
          <w:rFonts w:asciiTheme="minorEastAsia" w:hAnsiTheme="minorEastAsia" w:eastAsiaTheme="minorEastAsia"/>
          <w:szCs w:val="24"/>
          <w:lang w:eastAsia="zh-CN"/>
        </w:rPr>
        <w:t>与作业有关的机具、材料经甲方施工</w:t>
      </w:r>
      <w:r>
        <w:rPr>
          <w:rFonts w:hint="eastAsia" w:asciiTheme="minorEastAsia" w:hAnsiTheme="minorEastAsia" w:eastAsiaTheme="minorEastAsia"/>
          <w:szCs w:val="24"/>
          <w:lang w:eastAsia="zh-CN"/>
        </w:rPr>
        <w:t>/服务</w:t>
      </w:r>
      <w:r>
        <w:rPr>
          <w:rFonts w:asciiTheme="minorEastAsia" w:hAnsiTheme="minorEastAsia" w:eastAsiaTheme="minorEastAsia"/>
          <w:szCs w:val="24"/>
          <w:lang w:eastAsia="zh-CN"/>
        </w:rPr>
        <w:t>管理部门审查同意，门卫检查合格</w:t>
      </w:r>
      <w:r>
        <w:rPr>
          <w:rFonts w:hint="eastAsia" w:asciiTheme="minorEastAsia" w:hAnsiTheme="minorEastAsia" w:eastAsiaTheme="minorEastAsia"/>
          <w:szCs w:val="24"/>
          <w:lang w:eastAsia="zh-CN"/>
        </w:rPr>
        <w:t>并</w:t>
      </w:r>
      <w:r>
        <w:rPr>
          <w:rFonts w:asciiTheme="minorEastAsia" w:hAnsiTheme="minorEastAsia" w:eastAsiaTheme="minorEastAsia"/>
          <w:szCs w:val="24"/>
          <w:lang w:eastAsia="zh-CN"/>
        </w:rPr>
        <w:t>准予后方可入厂。乙方入厂的机具、材料内不得挟带任何具有放射性、爆炸性的危险物品和剧毒化学品，设备/机具需要符合</w:t>
      </w:r>
      <w:r>
        <w:rPr>
          <w:rFonts w:hint="eastAsia" w:asciiTheme="minorEastAsia" w:hAnsiTheme="minorEastAsia" w:eastAsiaTheme="minorEastAsia"/>
          <w:szCs w:val="24"/>
          <w:lang w:eastAsia="zh-CN"/>
        </w:rPr>
        <w:t>甲方</w:t>
      </w:r>
      <w:r>
        <w:rPr>
          <w:rFonts w:asciiTheme="minorEastAsia" w:hAnsiTheme="minorEastAsia" w:eastAsiaTheme="minorEastAsia"/>
          <w:szCs w:val="24"/>
          <w:lang w:eastAsia="zh-CN"/>
        </w:rPr>
        <w:t>OIMS6.4机械完整性的要求。</w:t>
      </w:r>
    </w:p>
    <w:p w14:paraId="1309061D">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因设备检测作业需要，需要运输、使用放射源时，乙方需按规定报政府生态环境监管部门备案、报公安部门批准，并在甲方办理相关许可手续。</w:t>
      </w:r>
    </w:p>
    <w:p w14:paraId="460831CC">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本条及本协议有关甲方对乙方的培训/测试/考核等，仅限于甲方的管理需要。甲方的培训/测试/考核等不能成为或解释为甲方在协议中的任何责任和义务，也不应成为或解释为解除乙方任何责任、义务的依据。</w:t>
      </w:r>
    </w:p>
    <w:p w14:paraId="1E0599E4">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2.5 车辆管理</w:t>
      </w:r>
    </w:p>
    <w:p w14:paraId="45D08772">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2.5.1一般车辆管理</w:t>
      </w:r>
    </w:p>
    <w:p w14:paraId="1A2A78BB">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乙方人员(含分包商等)及车辆装备在甲方区域内活动，需经甲方同意；未经甲方允许，不得进入超出甲方许可范围的区域。</w:t>
      </w:r>
    </w:p>
    <w:p w14:paraId="468F9E35">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乙方人员(含分包商等)及车辆装备进出甲方厂区，应遵守甲方的管理规定，按指定路线行驶。</w:t>
      </w:r>
    </w:p>
    <w:p w14:paraId="01368736">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应对进入甲方场所的车辆装备进行核验，确保其符合法律法规的规定及地方政府要求，不符合法律法规的规定及地方政府要求的车辆装备不得进入甲方厂区。若因乙方核验缺漏导致违规的车辆装备进入甲方厂区，由乙方承担全部责任并赔偿因此给甲方造成的一切损失。</w:t>
      </w:r>
    </w:p>
    <w:p w14:paraId="7800A55C">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2.5.2接/送货槽车管理</w:t>
      </w:r>
    </w:p>
    <w:p w14:paraId="4D5D7676">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bookmarkStart w:id="86" w:name="OLE_LINK9"/>
      <w:bookmarkStart w:id="87" w:name="OLE_LINK10"/>
      <w:r>
        <w:rPr>
          <w:rFonts w:hint="eastAsia" w:asciiTheme="minorEastAsia" w:hAnsiTheme="minorEastAsia" w:eastAsiaTheme="minorEastAsia"/>
          <w:szCs w:val="24"/>
          <w:lang w:eastAsia="zh-CN"/>
        </w:rPr>
        <w:t>乙方应当遵守国家相关法律法规，取得所需许可资质证照，且在有效期内。</w:t>
      </w:r>
      <w:bookmarkEnd w:id="86"/>
      <w:bookmarkEnd w:id="87"/>
    </w:p>
    <w:p w14:paraId="5DFF1287">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乙方所提供的货物应满足有关卫生、安全及环保方面的法律、法规要求。</w:t>
      </w:r>
    </w:p>
    <w:p w14:paraId="2C5BC846">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乙方应指派专用槽车运输专用货物，槽车应当由国家质检部门认定的生产厂家制造，并定期检验，且在检验有效期限内。乙方运输车辆、司机及押运员的相关资质证照必须满足国家、地方相关的法律、法规要求。</w:t>
      </w:r>
    </w:p>
    <w:p w14:paraId="641345E1">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w:t>
      </w:r>
      <w:r>
        <w:rPr>
          <w:rFonts w:asciiTheme="minorEastAsia" w:hAnsiTheme="minorEastAsia" w:eastAsiaTheme="minorEastAsia"/>
          <w:szCs w:val="24"/>
          <w:lang w:eastAsia="zh-CN"/>
        </w:rPr>
        <w:t>所提供的产品为化学品的</w:t>
      </w:r>
      <w:r>
        <w:rPr>
          <w:rFonts w:hint="eastAsia" w:asciiTheme="minorEastAsia" w:hAnsiTheme="minorEastAsia" w:eastAsiaTheme="minorEastAsia"/>
          <w:szCs w:val="24"/>
          <w:lang w:eastAsia="zh-CN"/>
        </w:rPr>
        <w:t>，</w:t>
      </w:r>
      <w:r>
        <w:rPr>
          <w:rFonts w:asciiTheme="minorEastAsia" w:hAnsiTheme="minorEastAsia" w:eastAsiaTheme="minorEastAsia"/>
          <w:szCs w:val="24"/>
          <w:lang w:eastAsia="zh-CN"/>
        </w:rPr>
        <w:t>应满足国家有关化学品包装、运输、监管的规定。</w:t>
      </w:r>
    </w:p>
    <w:p w14:paraId="6ACBE79D">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w:t>
      </w:r>
      <w:r>
        <w:rPr>
          <w:rFonts w:asciiTheme="minorEastAsia" w:hAnsiTheme="minorEastAsia" w:eastAsiaTheme="minorEastAsia"/>
          <w:szCs w:val="24"/>
          <w:lang w:eastAsia="zh-CN"/>
        </w:rPr>
        <w:t>所提供的产品为危险化学品的，还必须提供产品的</w:t>
      </w:r>
      <w:r>
        <w:rPr>
          <w:rFonts w:hint="eastAsia" w:asciiTheme="minorEastAsia" w:hAnsiTheme="minorEastAsia" w:eastAsiaTheme="minorEastAsia"/>
          <w:szCs w:val="24"/>
          <w:lang w:eastAsia="zh-CN"/>
        </w:rPr>
        <w:t>安全技术说明书</w:t>
      </w:r>
      <w:r>
        <w:rPr>
          <w:rFonts w:asciiTheme="minorEastAsia" w:hAnsiTheme="minorEastAsia" w:eastAsiaTheme="minorEastAsia"/>
          <w:szCs w:val="24"/>
          <w:lang w:eastAsia="zh-CN"/>
        </w:rPr>
        <w:t>与安全标签。</w:t>
      </w:r>
    </w:p>
    <w:p w14:paraId="50274092">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w:t>
      </w:r>
      <w:r>
        <w:rPr>
          <w:rFonts w:asciiTheme="minorEastAsia" w:hAnsiTheme="minorEastAsia" w:eastAsiaTheme="minorEastAsia"/>
          <w:szCs w:val="24"/>
          <w:lang w:eastAsia="zh-CN"/>
        </w:rPr>
        <w:t>所提供的产品属于剧毒品或具有放射性的，必须符合国家有关剧毒品、放射性物品管理的规定。</w:t>
      </w:r>
    </w:p>
    <w:p w14:paraId="0E880B6F">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w:t>
      </w:r>
      <w:r>
        <w:rPr>
          <w:rFonts w:asciiTheme="minorEastAsia" w:hAnsiTheme="minorEastAsia" w:eastAsiaTheme="minorEastAsia"/>
          <w:szCs w:val="24"/>
          <w:lang w:eastAsia="zh-CN"/>
        </w:rPr>
        <w:t>为整个运输过程中的安全第</w:t>
      </w:r>
      <w:r>
        <w:rPr>
          <w:rFonts w:hint="eastAsia" w:asciiTheme="minorEastAsia" w:hAnsiTheme="minorEastAsia" w:eastAsiaTheme="minorEastAsia"/>
          <w:szCs w:val="24"/>
          <w:lang w:eastAsia="zh-CN"/>
        </w:rPr>
        <w:t>一</w:t>
      </w:r>
      <w:r>
        <w:rPr>
          <w:rFonts w:asciiTheme="minorEastAsia" w:hAnsiTheme="minorEastAsia" w:eastAsiaTheme="minorEastAsia"/>
          <w:szCs w:val="24"/>
          <w:lang w:eastAsia="zh-CN"/>
        </w:rPr>
        <w:t>责任人，应加强</w:t>
      </w:r>
      <w:r>
        <w:rPr>
          <w:rFonts w:hint="eastAsia" w:asciiTheme="minorEastAsia" w:hAnsiTheme="minorEastAsia" w:eastAsiaTheme="minorEastAsia"/>
          <w:szCs w:val="24"/>
          <w:lang w:eastAsia="zh-CN"/>
        </w:rPr>
        <w:t>全</w:t>
      </w:r>
      <w:r>
        <w:rPr>
          <w:rFonts w:asciiTheme="minorEastAsia" w:hAnsiTheme="minorEastAsia" w:eastAsiaTheme="minorEastAsia"/>
          <w:szCs w:val="24"/>
          <w:lang w:eastAsia="zh-CN"/>
        </w:rPr>
        <w:t>过程监管，确保运输、作业安全，防范在运输途中</w:t>
      </w:r>
      <w:r>
        <w:rPr>
          <w:rFonts w:hint="eastAsia" w:asciiTheme="minorEastAsia" w:hAnsiTheme="minorEastAsia" w:eastAsiaTheme="minorEastAsia"/>
          <w:szCs w:val="24"/>
          <w:lang w:eastAsia="zh-CN"/>
        </w:rPr>
        <w:t>发生</w:t>
      </w:r>
      <w:r>
        <w:rPr>
          <w:rFonts w:asciiTheme="minorEastAsia" w:hAnsiTheme="minorEastAsia" w:eastAsiaTheme="minorEastAsia"/>
          <w:szCs w:val="24"/>
          <w:lang w:eastAsia="zh-CN"/>
        </w:rPr>
        <w:t>泄漏、火灾、爆炸、碰撞等HSE责任事故。如</w:t>
      </w:r>
      <w:r>
        <w:rPr>
          <w:rFonts w:hint="eastAsia" w:asciiTheme="minorEastAsia" w:hAnsiTheme="minorEastAsia" w:eastAsiaTheme="minorEastAsia"/>
          <w:szCs w:val="24"/>
          <w:lang w:eastAsia="zh-CN"/>
        </w:rPr>
        <w:t>给甲方造成损失的，由乙方承担全部责任并赔偿甲方一切损失。</w:t>
      </w:r>
    </w:p>
    <w:p w14:paraId="0B7B2592">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在运输配送过程中，乙方及槽车司机应严格检查运载工具的安全，确保运载工具安全状况良好，安全附件处于良好工作状态。槽车司机须随车携带安全技术说明书和安全标签，</w:t>
      </w:r>
      <w:r>
        <w:rPr>
          <w:rFonts w:asciiTheme="minorEastAsia" w:hAnsiTheme="minorEastAsia" w:eastAsiaTheme="minorEastAsia"/>
          <w:szCs w:val="24"/>
          <w:lang w:eastAsia="zh-CN"/>
        </w:rPr>
        <w:t>经允许进入生产区的车辆还必须</w:t>
      </w:r>
      <w:r>
        <w:rPr>
          <w:rFonts w:hint="eastAsia" w:asciiTheme="minorEastAsia" w:hAnsiTheme="minorEastAsia" w:eastAsiaTheme="minorEastAsia"/>
          <w:szCs w:val="24"/>
          <w:lang w:eastAsia="zh-CN"/>
        </w:rPr>
        <w:t>安装</w:t>
      </w:r>
      <w:r>
        <w:rPr>
          <w:rFonts w:asciiTheme="minorEastAsia" w:hAnsiTheme="minorEastAsia" w:eastAsiaTheme="minorEastAsia"/>
          <w:szCs w:val="24"/>
          <w:lang w:eastAsia="zh-CN"/>
        </w:rPr>
        <w:t>火星熄灭装置。</w:t>
      </w:r>
    </w:p>
    <w:p w14:paraId="35B5623D">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槽车司机及押运员需在甲方人员的陪同和监护下进入甲方现场区域，严禁操作现场任何设备和设施，不得登高和擅自进入甲方现场的其它区域，若违反上述约定，乙方应承担全部责任并赔偿因此给甲方造成的一切损失。</w:t>
      </w:r>
    </w:p>
    <w:p w14:paraId="6E9465D9">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2.6 人员管理</w:t>
      </w:r>
    </w:p>
    <w:p w14:paraId="3EA7B229">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乙方应具备健全的HSE管理机构，且</w:t>
      </w:r>
      <w:r>
        <w:rPr>
          <w:rFonts w:hint="eastAsia" w:asciiTheme="minorEastAsia" w:hAnsiTheme="minorEastAsia" w:eastAsiaTheme="minorEastAsia"/>
          <w:szCs w:val="24"/>
          <w:lang w:eastAsia="zh-CN"/>
        </w:rPr>
        <w:t>由</w:t>
      </w:r>
      <w:r>
        <w:rPr>
          <w:rFonts w:asciiTheme="minorEastAsia" w:hAnsiTheme="minorEastAsia" w:eastAsiaTheme="minorEastAsia"/>
          <w:szCs w:val="24"/>
          <w:lang w:eastAsia="zh-CN"/>
        </w:rPr>
        <w:t>具备取得注册安全工程师证书并经注册或具有</w:t>
      </w:r>
      <w:r>
        <w:rPr>
          <w:rFonts w:hint="eastAsia" w:asciiTheme="minorEastAsia" w:hAnsiTheme="minorEastAsia" w:eastAsiaTheme="minorEastAsia"/>
          <w:szCs w:val="24"/>
          <w:lang w:eastAsia="zh-CN"/>
        </w:rPr>
        <w:t>3</w:t>
      </w:r>
      <w:r>
        <w:rPr>
          <w:rFonts w:asciiTheme="minorEastAsia" w:hAnsiTheme="minorEastAsia" w:eastAsiaTheme="minorEastAsia"/>
          <w:szCs w:val="24"/>
          <w:lang w:eastAsia="zh-CN"/>
        </w:rPr>
        <w:t>年</w:t>
      </w:r>
      <w:r>
        <w:rPr>
          <w:rFonts w:hint="eastAsia" w:asciiTheme="minorEastAsia" w:hAnsiTheme="minorEastAsia" w:eastAsiaTheme="minorEastAsia"/>
          <w:szCs w:val="24"/>
          <w:lang w:eastAsia="zh-CN"/>
        </w:rPr>
        <w:t>以上</w:t>
      </w:r>
      <w:r>
        <w:rPr>
          <w:rFonts w:asciiTheme="minorEastAsia" w:hAnsiTheme="minorEastAsia" w:eastAsiaTheme="minorEastAsia"/>
          <w:szCs w:val="24"/>
          <w:lang w:eastAsia="zh-CN"/>
        </w:rPr>
        <w:t>安全管理经验的人员负责HS</w:t>
      </w:r>
      <w:r>
        <w:rPr>
          <w:rFonts w:hint="eastAsia" w:asciiTheme="minorEastAsia" w:hAnsiTheme="minorEastAsia" w:eastAsiaTheme="minorEastAsia"/>
          <w:szCs w:val="24"/>
          <w:lang w:eastAsia="zh-CN"/>
        </w:rPr>
        <w:t>S</w:t>
      </w:r>
      <w:r>
        <w:rPr>
          <w:rFonts w:asciiTheme="minorEastAsia" w:hAnsiTheme="minorEastAsia" w:eastAsiaTheme="minorEastAsia"/>
          <w:szCs w:val="24"/>
          <w:lang w:eastAsia="zh-CN"/>
        </w:rPr>
        <w:t>E管理工作。</w:t>
      </w:r>
    </w:p>
    <w:p w14:paraId="3338146F">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乙方作业人员应具备与其作业内容相适应的操作证书（涉及特种作业的应取得“特种作业人员操作资格证书”）。</w:t>
      </w:r>
    </w:p>
    <w:p w14:paraId="47D6AD31">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乙方现场负责人员必须取得相应证书，施工</w:t>
      </w:r>
      <w:r>
        <w:rPr>
          <w:rFonts w:hint="eastAsia" w:asciiTheme="minorEastAsia" w:hAnsiTheme="minorEastAsia" w:eastAsiaTheme="minorEastAsia"/>
          <w:szCs w:val="24"/>
          <w:lang w:eastAsia="zh-CN"/>
        </w:rPr>
        <w:t>/服务</w:t>
      </w:r>
      <w:r>
        <w:rPr>
          <w:rFonts w:asciiTheme="minorEastAsia" w:hAnsiTheme="minorEastAsia" w:eastAsiaTheme="minorEastAsia"/>
          <w:szCs w:val="24"/>
          <w:lang w:eastAsia="zh-CN"/>
        </w:rPr>
        <w:t>现场每处作业均应配备1名兼职安全监督员，安全监督员必须取得相应证书。</w:t>
      </w:r>
    </w:p>
    <w:p w14:paraId="7419C7FE">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2.7 </w:t>
      </w:r>
      <w:r>
        <w:rPr>
          <w:rFonts w:asciiTheme="minorEastAsia" w:hAnsiTheme="minorEastAsia" w:eastAsiaTheme="minorEastAsia"/>
          <w:szCs w:val="24"/>
          <w:lang w:eastAsia="zh-CN"/>
        </w:rPr>
        <w:t>个人劳动防护用品配备</w:t>
      </w:r>
    </w:p>
    <w:p w14:paraId="6CC1BECE">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乙方必须为现场员工配备必要的个人劳动防护用品。</w:t>
      </w:r>
      <w:r>
        <w:rPr>
          <w:rFonts w:hint="eastAsia" w:asciiTheme="minorEastAsia" w:hAnsiTheme="minorEastAsia" w:eastAsiaTheme="minorEastAsia"/>
          <w:szCs w:val="24"/>
          <w:lang w:eastAsia="zh-CN"/>
        </w:rPr>
        <w:t>进入生产区</w:t>
      </w:r>
      <w:r>
        <w:rPr>
          <w:rFonts w:asciiTheme="minorEastAsia" w:hAnsiTheme="minorEastAsia" w:eastAsiaTheme="minorEastAsia"/>
          <w:szCs w:val="24"/>
          <w:lang w:eastAsia="zh-CN"/>
        </w:rPr>
        <w:t>个人劳动防护用品的最低要求包括但不限于以下内容：</w:t>
      </w:r>
    </w:p>
    <w:p w14:paraId="1FFABCFA">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安全帽：符合GB2811要求</w:t>
      </w:r>
    </w:p>
    <w:p w14:paraId="529F6800">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全棉防静电工作服：符合GB8965、</w:t>
      </w:r>
      <w:r>
        <w:rPr>
          <w:rFonts w:hint="eastAsia" w:asciiTheme="minorEastAsia" w:hAnsiTheme="minorEastAsia" w:eastAsiaTheme="minorEastAsia"/>
          <w:szCs w:val="24"/>
          <w:lang w:eastAsia="zh-CN"/>
        </w:rPr>
        <w:t>或</w:t>
      </w:r>
      <w:r>
        <w:rPr>
          <w:rFonts w:asciiTheme="minorEastAsia" w:hAnsiTheme="minorEastAsia" w:eastAsiaTheme="minorEastAsia"/>
          <w:szCs w:val="24"/>
          <w:lang w:eastAsia="zh-CN"/>
        </w:rPr>
        <w:t>GB12014要求</w:t>
      </w:r>
    </w:p>
    <w:p w14:paraId="6762AF61">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安全防护鞋：应能防静电、防砸、防穿刺</w:t>
      </w:r>
    </w:p>
    <w:p w14:paraId="0B04BBE8">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根据具体的环境条件和工作内容，还应根据需要配备下列劳动防护用品：</w:t>
      </w:r>
    </w:p>
    <w:p w14:paraId="1CC2A086">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安全眼镜：符合</w:t>
      </w:r>
      <w:r>
        <w:rPr>
          <w:rFonts w:hint="default" w:ascii="Calibri" w:hAnsi="Calibri" w:eastAsia="宋体" w:cs="Calibri"/>
          <w:color w:val="000000" w:themeColor="text1"/>
          <w:sz w:val="24"/>
          <w:szCs w:val="24"/>
          <w:highlight w:val="yellow"/>
          <w:lang w:val="en-US" w:eastAsia="zh-CN" w:bidi="ar"/>
        </w:rPr>
        <w:t>GB14866-2023</w:t>
      </w:r>
      <w:r>
        <w:rPr>
          <w:rFonts w:asciiTheme="minorEastAsia" w:hAnsiTheme="minorEastAsia" w:eastAsiaTheme="minorEastAsia"/>
          <w:szCs w:val="24"/>
          <w:lang w:eastAsia="zh-CN"/>
        </w:rPr>
        <w:t>要求</w:t>
      </w:r>
    </w:p>
    <w:p w14:paraId="2BF7D4A3">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工作手套</w:t>
      </w:r>
    </w:p>
    <w:p w14:paraId="6FC541BB">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具有高可见度的工作背心</w:t>
      </w:r>
    </w:p>
    <w:p w14:paraId="0A72BB64">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听力保护</w:t>
      </w:r>
      <w:r>
        <w:rPr>
          <w:rFonts w:hint="eastAsia" w:asciiTheme="minorEastAsia" w:hAnsiTheme="minorEastAsia" w:eastAsiaTheme="minorEastAsia"/>
          <w:szCs w:val="24"/>
          <w:lang w:eastAsia="zh-CN"/>
        </w:rPr>
        <w:t>用品：包括耳塞、耳罩。</w:t>
      </w:r>
    </w:p>
    <w:p w14:paraId="2F65A013">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防坠落设施（如缓冲器、防坠器，五点式双钩安全带）</w:t>
      </w:r>
    </w:p>
    <w:p w14:paraId="523BFA14">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头戴式电焊工面罩等</w:t>
      </w:r>
    </w:p>
    <w:p w14:paraId="6A5E38F5">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便携式有毒有害气体</w:t>
      </w:r>
      <w:r>
        <w:rPr>
          <w:rFonts w:hint="eastAsia" w:asciiTheme="minorEastAsia" w:hAnsiTheme="minorEastAsia" w:eastAsiaTheme="minorEastAsia"/>
          <w:szCs w:val="24"/>
          <w:lang w:eastAsia="zh-CN"/>
        </w:rPr>
        <w:t>检测</w:t>
      </w:r>
      <w:r>
        <w:rPr>
          <w:rFonts w:asciiTheme="minorEastAsia" w:hAnsiTheme="minorEastAsia" w:eastAsiaTheme="minorEastAsia"/>
          <w:szCs w:val="24"/>
          <w:lang w:eastAsia="zh-CN"/>
        </w:rPr>
        <w:t>报警仪</w:t>
      </w:r>
    </w:p>
    <w:p w14:paraId="19A96062">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呼吸保护</w:t>
      </w:r>
      <w:r>
        <w:rPr>
          <w:rFonts w:hint="eastAsia" w:asciiTheme="minorEastAsia" w:hAnsiTheme="minorEastAsia" w:eastAsiaTheme="minorEastAsia"/>
          <w:szCs w:val="24"/>
          <w:lang w:eastAsia="zh-CN"/>
        </w:rPr>
        <w:t>用品</w:t>
      </w:r>
      <w:r>
        <w:rPr>
          <w:rFonts w:asciiTheme="minorEastAsia" w:hAnsiTheme="minorEastAsia" w:eastAsiaTheme="minorEastAsia"/>
          <w:szCs w:val="24"/>
          <w:lang w:eastAsia="zh-CN"/>
        </w:rPr>
        <w:t>：</w:t>
      </w:r>
      <w:r>
        <w:rPr>
          <w:rFonts w:hint="eastAsia" w:asciiTheme="minorEastAsia" w:hAnsiTheme="minorEastAsia" w:eastAsiaTheme="minorEastAsia"/>
          <w:szCs w:val="24"/>
          <w:lang w:eastAsia="zh-CN"/>
        </w:rPr>
        <w:t>防尘口罩，半面罩过滤式防毒面具；应急或备用</w:t>
      </w:r>
      <w:r>
        <w:rPr>
          <w:rFonts w:asciiTheme="minorEastAsia" w:hAnsiTheme="minorEastAsia" w:eastAsiaTheme="minorEastAsia"/>
          <w:szCs w:val="24"/>
          <w:lang w:eastAsia="zh-CN"/>
        </w:rPr>
        <w:t>需要时，由乙方填写“空气呼吸器使用申请单”报</w:t>
      </w:r>
      <w:r>
        <w:rPr>
          <w:rFonts w:hint="eastAsia" w:asciiTheme="minorEastAsia" w:hAnsiTheme="minorEastAsia" w:eastAsiaTheme="minorEastAsia"/>
          <w:szCs w:val="24"/>
          <w:lang w:eastAsia="zh-CN"/>
        </w:rPr>
        <w:t>甲方</w:t>
      </w:r>
      <w:r>
        <w:rPr>
          <w:rFonts w:asciiTheme="minorEastAsia" w:hAnsiTheme="minorEastAsia" w:eastAsiaTheme="minorEastAsia"/>
          <w:szCs w:val="24"/>
          <w:lang w:eastAsia="zh-CN"/>
        </w:rPr>
        <w:t>机械设备部</w:t>
      </w:r>
      <w:r>
        <w:rPr>
          <w:rFonts w:hint="eastAsia" w:asciiTheme="minorEastAsia" w:hAnsiTheme="minorEastAsia" w:eastAsiaTheme="minorEastAsia"/>
          <w:szCs w:val="24"/>
          <w:lang w:eastAsia="zh-CN"/>
        </w:rPr>
        <w:t>维修计划模块</w:t>
      </w:r>
      <w:r>
        <w:rPr>
          <w:rFonts w:asciiTheme="minorEastAsia" w:hAnsiTheme="minorEastAsia" w:eastAsiaTheme="minorEastAsia"/>
          <w:szCs w:val="24"/>
          <w:lang w:eastAsia="zh-CN"/>
        </w:rPr>
        <w:t>审批后，到HSE部消防支队借出使用，归还时如有损坏乙方需按照修理费用赔偿。</w:t>
      </w:r>
    </w:p>
    <w:p w14:paraId="23DE3425">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.8  乙方应确保所有的危险品或受控物品按国家、地方有关规定和要求运输、储藏、搬运和使用，并制定有关的防护措施，保证上述物品的安全。</w:t>
      </w:r>
    </w:p>
    <w:p w14:paraId="599DED4A">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.9  临时设施</w:t>
      </w:r>
    </w:p>
    <w:p w14:paraId="563504EA">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应对甲方有偿或无偿提供的场地、设施、构建筑物等的使用、维护安全负完全责任，独立承担安全管理责任，甲方不承担任何责任。乙方应在使用前检查确认安全条件，对存有安全隐患的设施和动力应及时报告给甲方，在隐患未消除前不应继续使用。一旦乙方开始使用这些场地、构建筑物等，即视为乙方已检查并确认其安全条件，任何检查确认的过失责任将由乙方承担。</w:t>
      </w:r>
    </w:p>
    <w:p w14:paraId="7AC8B8B2">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是其使用的设施、场所及构建筑物的消防安全责任主体，应按照规范及标准设置消防设施和器材，开展消防安全检查，定期维护保养消防设施，保持疏散通道畅通，开展员工消防气防教育培训，不断提升消防安全管理水平。</w:t>
      </w:r>
    </w:p>
    <w:p w14:paraId="38EC47DE">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是其使用的设施、场所及构建筑物的应急管理责任主体，严格履行应急管理职责，建立完善应急管理组织体系，明确所属各部门、各岗位的应急管理和处置职责，加强全员应急知识、技能培训，定期开展应急预案演练，建立义务应急队伍。</w:t>
      </w:r>
    </w:p>
    <w:p w14:paraId="1B92A6A4">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乙方应确保在甲方场地建设的临时设施符合国家、行业或</w:t>
      </w:r>
      <w:r>
        <w:rPr>
          <w:rFonts w:asciiTheme="minorEastAsia" w:hAnsiTheme="minorEastAsia" w:eastAsiaTheme="minorEastAsia"/>
          <w:szCs w:val="24"/>
          <w:lang w:eastAsia="zh-CN"/>
        </w:rPr>
        <w:t>甲方</w:t>
      </w:r>
      <w:r>
        <w:rPr>
          <w:rFonts w:hint="eastAsia" w:asciiTheme="minorEastAsia" w:hAnsiTheme="minorEastAsia" w:eastAsiaTheme="minorEastAsia"/>
          <w:szCs w:val="24"/>
          <w:lang w:eastAsia="zh-CN"/>
        </w:rPr>
        <w:t>的安全、消防、抗震等标准要求，乙方对在甲方场地建设的临时设施安全负完全责任，乙方应对临时设施发生的任何安全事故</w:t>
      </w:r>
      <w:r>
        <w:rPr>
          <w:rFonts w:asciiTheme="minorEastAsia" w:hAnsiTheme="minorEastAsia" w:eastAsiaTheme="minorEastAsia"/>
          <w:szCs w:val="24"/>
          <w:lang w:eastAsia="zh-CN"/>
        </w:rPr>
        <w:t>/</w:t>
      </w:r>
      <w:r>
        <w:rPr>
          <w:rFonts w:hint="eastAsia" w:asciiTheme="minorEastAsia" w:hAnsiTheme="minorEastAsia" w:eastAsiaTheme="minorEastAsia"/>
          <w:szCs w:val="24"/>
          <w:lang w:eastAsia="zh-CN"/>
        </w:rPr>
        <w:t>事件负完全责任。</w:t>
      </w:r>
    </w:p>
    <w:p w14:paraId="45931600">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2.10乙方应对甲方有偿或无偿提供的水、电、工业风、氮气、蒸汽等的使用安全负完全责任，乙方应在使用前检查确认安全条件，对存有安全隐患的设施和动力应及时报告给甲方，在隐患未消除前不应继续使用。</w:t>
      </w:r>
    </w:p>
    <w:p w14:paraId="4CFAA3FF">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2.11 乙方在承揽甲方业务时，应对承揽业务所涉及的甲方设施设备、工机具、构建筑物、车辆等进行性能检查和安全条件确认。一旦承揽业务开始，即视为乙方已确认甲方设施设备、工机具、构建筑物等性能完好，安全可靠，在业务执行过程中，任何的安全隐患应及时报告甲方，并应在采取相应防范措施确保安全前提下使用。</w:t>
      </w:r>
    </w:p>
    <w:p w14:paraId="331B83FE">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2.12</w:t>
      </w:r>
      <w:r>
        <w:rPr>
          <w:rFonts w:asciiTheme="minorEastAsia" w:hAnsiTheme="minorEastAsia" w:eastAsiaTheme="minorEastAsia"/>
          <w:szCs w:val="24"/>
          <w:lang w:eastAsia="zh-CN"/>
        </w:rPr>
        <w:t xml:space="preserve">作业前准备 </w:t>
      </w:r>
    </w:p>
    <w:p w14:paraId="42C45CA3">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乙方人员进入作业现场前，现场管理人员应与</w:t>
      </w:r>
      <w:r>
        <w:rPr>
          <w:rFonts w:hint="eastAsia" w:asciiTheme="minorEastAsia" w:hAnsiTheme="minorEastAsia" w:eastAsiaTheme="minorEastAsia"/>
          <w:szCs w:val="24"/>
          <w:lang w:eastAsia="zh-CN"/>
        </w:rPr>
        <w:t>甲方</w:t>
      </w:r>
      <w:r>
        <w:rPr>
          <w:rFonts w:asciiTheme="minorEastAsia" w:hAnsiTheme="minorEastAsia" w:eastAsiaTheme="minorEastAsia"/>
          <w:szCs w:val="24"/>
          <w:lang w:eastAsia="zh-CN"/>
        </w:rPr>
        <w:t>属管业务团队取得联系，接受安全技术交底，确保充分理解作业内容、现场作业要求和HSE事项。</w:t>
      </w:r>
    </w:p>
    <w:p w14:paraId="4615C727">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乙方因工作需要在作业现场或附近区域设置工棚、占用临时场地的，需事先申请，经甲方属管业务团队、施工</w:t>
      </w:r>
      <w:r>
        <w:rPr>
          <w:rFonts w:hint="eastAsia" w:asciiTheme="minorEastAsia" w:hAnsiTheme="minorEastAsia" w:eastAsiaTheme="minorEastAsia"/>
          <w:szCs w:val="24"/>
          <w:lang w:eastAsia="zh-CN"/>
        </w:rPr>
        <w:t>/服务</w:t>
      </w:r>
      <w:r>
        <w:rPr>
          <w:rFonts w:asciiTheme="minorEastAsia" w:hAnsiTheme="minorEastAsia" w:eastAsiaTheme="minorEastAsia"/>
          <w:szCs w:val="24"/>
          <w:lang w:eastAsia="zh-CN"/>
        </w:rPr>
        <w:t>管理部门和HSE部审批后设置。设置的工棚或在占用场地内堆放的物料应符合相关安全、环保与健康规定。</w:t>
      </w:r>
      <w:r>
        <w:rPr>
          <w:rFonts w:hint="eastAsia" w:asciiTheme="minorEastAsia" w:hAnsiTheme="minorEastAsia" w:eastAsiaTheme="minorEastAsia"/>
          <w:szCs w:val="24"/>
          <w:lang w:eastAsia="zh-CN"/>
        </w:rPr>
        <w:t>乙方</w:t>
      </w:r>
      <w:r>
        <w:rPr>
          <w:rFonts w:asciiTheme="minorEastAsia" w:hAnsiTheme="minorEastAsia" w:eastAsiaTheme="minorEastAsia"/>
          <w:szCs w:val="24"/>
          <w:lang w:eastAsia="zh-CN"/>
        </w:rPr>
        <w:t>人员不得在装置中或临近装置的工棚中停留休息。</w:t>
      </w:r>
    </w:p>
    <w:p w14:paraId="3C351FE3">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乙方应对其作业人员开展HSE及业务能力培训并对培训结果负责，确保为此项目工作的所有人员都有能力安全地完成各自接受的任务并且能够正确应对突发事件和使用现场的安全、健康</w:t>
      </w:r>
      <w:r>
        <w:rPr>
          <w:rFonts w:hint="eastAsia" w:asciiTheme="minorEastAsia" w:hAnsiTheme="minorEastAsia" w:eastAsiaTheme="minorEastAsia"/>
          <w:szCs w:val="24"/>
          <w:lang w:eastAsia="zh-CN"/>
        </w:rPr>
        <w:t>和环保</w:t>
      </w:r>
      <w:r>
        <w:rPr>
          <w:rFonts w:asciiTheme="minorEastAsia" w:hAnsiTheme="minorEastAsia" w:eastAsiaTheme="minorEastAsia"/>
          <w:szCs w:val="24"/>
          <w:lang w:eastAsia="zh-CN"/>
        </w:rPr>
        <w:t>设施。</w:t>
      </w:r>
    </w:p>
    <w:p w14:paraId="4AF5975D">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乙方从事任何</w:t>
      </w:r>
      <w:r>
        <w:rPr>
          <w:rFonts w:asciiTheme="minorEastAsia" w:hAnsiTheme="minorEastAsia" w:eastAsiaTheme="minorEastAsia"/>
          <w:szCs w:val="24"/>
          <w:lang w:eastAsia="zh-CN"/>
        </w:rPr>
        <w:t>现场高风险作业(包括用火、临时用电、高处作业、场地开挖、起重吊装、进入受限空间、射线探伤等)都必须按甲方HSE管理标准的要求取得许可。</w:t>
      </w:r>
    </w:p>
    <w:p w14:paraId="177D9998">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2.13</w:t>
      </w:r>
      <w:r>
        <w:rPr>
          <w:rFonts w:asciiTheme="minorEastAsia" w:hAnsiTheme="minorEastAsia" w:eastAsiaTheme="minorEastAsia"/>
          <w:szCs w:val="24"/>
          <w:lang w:eastAsia="zh-CN"/>
        </w:rPr>
        <w:t xml:space="preserve">作业过程管理与监督 </w:t>
      </w:r>
    </w:p>
    <w:p w14:paraId="3C1A5C6E">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乙方作业人员在作业过程中必须按规范进行劳保着装。着装规范：</w:t>
      </w:r>
    </w:p>
    <w:p w14:paraId="646522ED">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安全帽锁紧、扣紧扣带，垂落在肩部以下的长发必须盘起；采用全遮盖工作服，扣紧领口、袖口和衣扣，禁止敞开衣服、高挽袖子和裤腿。</w:t>
      </w:r>
    </w:p>
    <w:p w14:paraId="27CAD0F7">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乙方人员进入甲方现场必须遵守</w:t>
      </w:r>
      <w:r>
        <w:rPr>
          <w:rFonts w:hint="eastAsia" w:asciiTheme="minorEastAsia" w:hAnsiTheme="minorEastAsia" w:eastAsiaTheme="minorEastAsia"/>
          <w:szCs w:val="24"/>
          <w:lang w:eastAsia="zh-CN"/>
        </w:rPr>
        <w:t>甲方</w:t>
      </w:r>
      <w:r>
        <w:rPr>
          <w:rFonts w:asciiTheme="minorEastAsia" w:hAnsiTheme="minorEastAsia" w:eastAsiaTheme="minorEastAsia"/>
          <w:szCs w:val="24"/>
          <w:lang w:eastAsia="zh-CN"/>
        </w:rPr>
        <w:t>H</w:t>
      </w:r>
      <w:r>
        <w:rPr>
          <w:rFonts w:hint="eastAsia" w:asciiTheme="minorEastAsia" w:hAnsiTheme="minorEastAsia" w:eastAsiaTheme="minorEastAsia"/>
          <w:szCs w:val="24"/>
          <w:lang w:eastAsia="zh-CN"/>
        </w:rPr>
        <w:t>S</w:t>
      </w:r>
      <w:r>
        <w:rPr>
          <w:rFonts w:asciiTheme="minorEastAsia" w:hAnsiTheme="minorEastAsia" w:eastAsiaTheme="minorEastAsia"/>
          <w:szCs w:val="24"/>
          <w:lang w:eastAsia="zh-CN"/>
        </w:rPr>
        <w:t>SE管理标准。现场所有作业必须按相关技术标准、甲方已发布执行和在合同有效期内发布执行的HSE管理标准执行。</w:t>
      </w:r>
    </w:p>
    <w:p w14:paraId="70D56393">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乙方每天作业前应开展安全讲话，应就当天作业内容进行危害识别；作业前危害识别应编制书面JHA记录表，与作业许可证一同放置于作业现场醒目处，确保所有参加作业的人员知晓工作危害及应采取的控制措施。</w:t>
      </w:r>
    </w:p>
    <w:p w14:paraId="60EBC9A6">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作业过程中乙方必须始终保持作业现场整洁、有序、安全通道畅通。乙方现场管理人员及安全监督员必须加强现场监管，及时制止并纠正任何违章行为。</w:t>
      </w:r>
    </w:p>
    <w:p w14:paraId="30C765F7">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作业过程中甲方有权对乙方作业现场或临时占用场地进行检查，对发现的违章</w:t>
      </w:r>
      <w:r>
        <w:rPr>
          <w:rFonts w:hint="eastAsia" w:asciiTheme="minorEastAsia" w:hAnsiTheme="minorEastAsia" w:eastAsiaTheme="minorEastAsia"/>
          <w:szCs w:val="24"/>
          <w:lang w:eastAsia="zh-CN"/>
        </w:rPr>
        <w:t>行为</w:t>
      </w:r>
      <w:r>
        <w:rPr>
          <w:rFonts w:asciiTheme="minorEastAsia" w:hAnsiTheme="minorEastAsia" w:eastAsiaTheme="minorEastAsia"/>
          <w:szCs w:val="24"/>
          <w:lang w:eastAsia="zh-CN"/>
        </w:rPr>
        <w:t>乙方</w:t>
      </w:r>
      <w:r>
        <w:rPr>
          <w:rFonts w:hint="eastAsia" w:asciiTheme="minorEastAsia" w:hAnsiTheme="minorEastAsia" w:eastAsiaTheme="minorEastAsia"/>
          <w:szCs w:val="24"/>
          <w:lang w:eastAsia="zh-CN"/>
        </w:rPr>
        <w:t>应</w:t>
      </w:r>
      <w:r>
        <w:rPr>
          <w:rFonts w:asciiTheme="minorEastAsia" w:hAnsiTheme="minorEastAsia" w:eastAsiaTheme="minorEastAsia"/>
          <w:szCs w:val="24"/>
          <w:lang w:eastAsia="zh-CN"/>
        </w:rPr>
        <w:t>立即整改并反馈整改意见，对发现的严重违章</w:t>
      </w:r>
      <w:r>
        <w:rPr>
          <w:rFonts w:hint="eastAsia" w:asciiTheme="minorEastAsia" w:hAnsiTheme="minorEastAsia" w:eastAsiaTheme="minorEastAsia"/>
          <w:szCs w:val="24"/>
          <w:lang w:eastAsia="zh-CN"/>
        </w:rPr>
        <w:t>行为</w:t>
      </w:r>
      <w:r>
        <w:rPr>
          <w:rFonts w:asciiTheme="minorEastAsia" w:hAnsiTheme="minorEastAsia" w:eastAsiaTheme="minorEastAsia"/>
          <w:szCs w:val="24"/>
          <w:lang w:eastAsia="zh-CN"/>
        </w:rPr>
        <w:t>甲方有权要求</w:t>
      </w:r>
      <w:r>
        <w:rPr>
          <w:rFonts w:hint="eastAsia" w:asciiTheme="minorEastAsia" w:hAnsiTheme="minorEastAsia" w:eastAsiaTheme="minorEastAsia"/>
          <w:szCs w:val="24"/>
          <w:lang w:eastAsia="zh-CN"/>
        </w:rPr>
        <w:t>乙方</w:t>
      </w:r>
      <w:r>
        <w:rPr>
          <w:rFonts w:asciiTheme="minorEastAsia" w:hAnsiTheme="minorEastAsia" w:eastAsiaTheme="minorEastAsia"/>
          <w:szCs w:val="24"/>
          <w:lang w:eastAsia="zh-CN"/>
        </w:rPr>
        <w:t>全面停工整改，整改结果经甲方施工</w:t>
      </w:r>
      <w:r>
        <w:rPr>
          <w:rFonts w:hint="eastAsia" w:asciiTheme="minorEastAsia" w:hAnsiTheme="minorEastAsia" w:eastAsiaTheme="minorEastAsia"/>
          <w:szCs w:val="24"/>
          <w:lang w:eastAsia="zh-CN"/>
        </w:rPr>
        <w:t>/服务</w:t>
      </w:r>
      <w:r>
        <w:rPr>
          <w:rFonts w:asciiTheme="minorEastAsia" w:hAnsiTheme="minorEastAsia" w:eastAsiaTheme="minorEastAsia"/>
          <w:szCs w:val="24"/>
          <w:lang w:eastAsia="zh-CN"/>
        </w:rPr>
        <w:t>管理部门</w:t>
      </w:r>
      <w:r>
        <w:rPr>
          <w:rFonts w:hint="eastAsia" w:asciiTheme="minorEastAsia" w:hAnsiTheme="minorEastAsia" w:eastAsiaTheme="minorEastAsia"/>
          <w:szCs w:val="24"/>
          <w:lang w:eastAsia="zh-CN"/>
        </w:rPr>
        <w:t>和</w:t>
      </w:r>
      <w:r>
        <w:rPr>
          <w:rFonts w:asciiTheme="minorEastAsia" w:hAnsiTheme="minorEastAsia" w:eastAsiaTheme="minorEastAsia"/>
          <w:szCs w:val="24"/>
          <w:lang w:eastAsia="zh-CN"/>
        </w:rPr>
        <w:t>HSE部确认同意后允许复工。</w:t>
      </w:r>
    </w:p>
    <w:p w14:paraId="68A8851E">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乙方在甲方现场</w:t>
      </w:r>
      <w:r>
        <w:rPr>
          <w:rFonts w:hint="eastAsia" w:asciiTheme="minorEastAsia" w:hAnsiTheme="minorEastAsia" w:eastAsiaTheme="minorEastAsia"/>
          <w:szCs w:val="24"/>
          <w:lang w:eastAsia="zh-CN"/>
        </w:rPr>
        <w:t>及其设施内</w:t>
      </w:r>
      <w:r>
        <w:rPr>
          <w:rFonts w:asciiTheme="minorEastAsia" w:hAnsiTheme="minorEastAsia" w:eastAsiaTheme="minorEastAsia"/>
          <w:szCs w:val="24"/>
          <w:lang w:eastAsia="zh-CN"/>
        </w:rPr>
        <w:t>发生的所有事故</w:t>
      </w:r>
      <w:r>
        <w:rPr>
          <w:rFonts w:hint="eastAsia" w:asciiTheme="minorEastAsia" w:hAnsiTheme="minorEastAsia" w:eastAsiaTheme="minorEastAsia"/>
          <w:szCs w:val="24"/>
          <w:lang w:eastAsia="zh-CN"/>
        </w:rPr>
        <w:t>、事件、</w:t>
      </w:r>
      <w:r>
        <w:rPr>
          <w:rFonts w:asciiTheme="minorEastAsia" w:hAnsiTheme="minorEastAsia" w:eastAsiaTheme="minorEastAsia"/>
          <w:szCs w:val="24"/>
          <w:lang w:eastAsia="zh-CN"/>
        </w:rPr>
        <w:t>未遂事故都必须及时报告甲方属管业务团队、施工</w:t>
      </w:r>
      <w:r>
        <w:rPr>
          <w:rFonts w:hint="eastAsia" w:asciiTheme="minorEastAsia" w:hAnsiTheme="minorEastAsia" w:eastAsiaTheme="minorEastAsia"/>
          <w:szCs w:val="24"/>
          <w:lang w:eastAsia="zh-CN"/>
        </w:rPr>
        <w:t>/服务</w:t>
      </w:r>
      <w:r>
        <w:rPr>
          <w:rFonts w:asciiTheme="minorEastAsia" w:hAnsiTheme="minorEastAsia" w:eastAsiaTheme="minorEastAsia"/>
          <w:szCs w:val="24"/>
          <w:lang w:eastAsia="zh-CN"/>
        </w:rPr>
        <w:t>管理部门和HSE部，乙方应及时查清事故/事件原因、分享事故经验、整改存在的问题或落实预防控制措施。甲方保留对上述所有事故/事件进行直接调查的权力，乙方必须积极配合调查。</w:t>
      </w:r>
    </w:p>
    <w:p w14:paraId="2FD1E8A0">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若作业过程中，乙方发现有可能出现物料泄漏，污染环境时，应提前准备好接卸泄漏物料的设备后，才能继续进行作业，且所接卸的泄漏物料必须倒入甲方指定的地方，不得私自排放，造成环境污染。</w:t>
      </w:r>
    </w:p>
    <w:p w14:paraId="3F3DD6F2">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由乙方人员的责任造成的事故由乙方承担事故责任，由此给甲方造成的经济损失由乙方承担。</w:t>
      </w:r>
    </w:p>
    <w:p w14:paraId="3F3CDD0E">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 xml:space="preserve">甲方向乙方进行现场安全、作业交底，包括但不限于以下内容： </w:t>
      </w:r>
    </w:p>
    <w:p w14:paraId="732DC47B">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明确双方的职责、责任范围；</w:t>
      </w:r>
    </w:p>
    <w:p w14:paraId="5E1AE68A">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告知乙方作业需要遵守的工作规则和相关程序；</w:t>
      </w:r>
    </w:p>
    <w:p w14:paraId="0B3EA820">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告知乙方员工，作业前应进行JSA分析，在现场工作/作业识别的危害需要及时报告甲方现场监护人。如果其作业会带来严重的HSE危害时，应立即停止作业，并报告甲方现场监护人</w:t>
      </w:r>
      <w:r>
        <w:rPr>
          <w:rFonts w:hint="eastAsia" w:asciiTheme="minorEastAsia" w:hAnsiTheme="minorEastAsia" w:eastAsiaTheme="minorEastAsia"/>
          <w:szCs w:val="24"/>
          <w:lang w:eastAsia="zh-CN"/>
        </w:rPr>
        <w:t>，</w:t>
      </w:r>
      <w:r>
        <w:rPr>
          <w:rFonts w:asciiTheme="minorEastAsia" w:hAnsiTheme="minorEastAsia" w:eastAsiaTheme="minorEastAsia"/>
          <w:szCs w:val="24"/>
          <w:lang w:eastAsia="zh-CN"/>
        </w:rPr>
        <w:t>确保采取合适措施，并经相关部门评估后，才能继续作业</w:t>
      </w:r>
      <w:r>
        <w:rPr>
          <w:rFonts w:hint="eastAsia" w:asciiTheme="minorEastAsia" w:hAnsiTheme="minorEastAsia" w:eastAsiaTheme="minorEastAsia"/>
          <w:szCs w:val="24"/>
          <w:lang w:eastAsia="zh-CN"/>
        </w:rPr>
        <w:t>；</w:t>
      </w:r>
    </w:p>
    <w:p w14:paraId="71002DE2">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 xml:space="preserve">与乙方就绩效要求进行沟通，包括乙方人员的现场工作/作业自我监管的程序； </w:t>
      </w:r>
    </w:p>
    <w:p w14:paraId="1E365778">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 xml:space="preserve">告知乙方与其工作/作业有关的已知潜在的火灾、爆炸或有毒气体泄漏危险； </w:t>
      </w:r>
    </w:p>
    <w:p w14:paraId="61628D8A">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告知现场应急响应系统的相关规定，包括对现场操作的总体介绍，报告提醒/逃生通道。</w:t>
      </w:r>
    </w:p>
    <w:p w14:paraId="145468E5">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2.14</w:t>
      </w:r>
      <w:r>
        <w:rPr>
          <w:rFonts w:asciiTheme="minorEastAsia" w:hAnsiTheme="minorEastAsia" w:eastAsiaTheme="minorEastAsia"/>
          <w:szCs w:val="24"/>
          <w:lang w:eastAsia="zh-CN"/>
        </w:rPr>
        <w:t xml:space="preserve">场地清理与撤出 </w:t>
      </w:r>
    </w:p>
    <w:p w14:paraId="71E366BA">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乙方完成项目施工</w:t>
      </w:r>
      <w:r>
        <w:rPr>
          <w:rFonts w:hint="eastAsia" w:asciiTheme="minorEastAsia" w:hAnsiTheme="minorEastAsia" w:eastAsiaTheme="minorEastAsia"/>
          <w:szCs w:val="24"/>
          <w:lang w:eastAsia="zh-CN"/>
        </w:rPr>
        <w:t>/服务</w:t>
      </w:r>
      <w:r>
        <w:rPr>
          <w:rFonts w:asciiTheme="minorEastAsia" w:hAnsiTheme="minorEastAsia" w:eastAsiaTheme="minorEastAsia"/>
          <w:szCs w:val="24"/>
          <w:lang w:eastAsia="zh-CN"/>
        </w:rPr>
        <w:t>后应及时清理现场，撤出施工机具、剩余物料、垃圾，清洁作业场地，做到“工完、料尽、场地清”。</w:t>
      </w:r>
    </w:p>
    <w:p w14:paraId="7B4B9B5A">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乙方的施工机具及剩余物料需要出</w:t>
      </w:r>
      <w:r>
        <w:rPr>
          <w:rFonts w:hint="eastAsia" w:asciiTheme="minorEastAsia" w:hAnsiTheme="minorEastAsia" w:eastAsiaTheme="minorEastAsia"/>
          <w:szCs w:val="24"/>
          <w:lang w:eastAsia="zh-CN"/>
        </w:rPr>
        <w:t>厂区</w:t>
      </w:r>
      <w:r>
        <w:rPr>
          <w:rFonts w:asciiTheme="minorEastAsia" w:hAnsiTheme="minorEastAsia" w:eastAsiaTheme="minorEastAsia"/>
          <w:szCs w:val="24"/>
          <w:lang w:eastAsia="zh-CN"/>
        </w:rPr>
        <w:t>的，应按甲方的《物资出入管理标准》办理手续，经批准查验后准予放行。</w:t>
      </w:r>
    </w:p>
    <w:p w14:paraId="2CAA81D7">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项目完工后，乙方应将相关的人员入厂证、车辆通行证和作业票交还原办理单位。</w:t>
      </w:r>
    </w:p>
    <w:p w14:paraId="55190392">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2.15</w:t>
      </w:r>
      <w:r>
        <w:rPr>
          <w:rFonts w:asciiTheme="minorEastAsia" w:hAnsiTheme="minorEastAsia" w:eastAsiaTheme="minorEastAsia"/>
          <w:szCs w:val="24"/>
          <w:lang w:eastAsia="zh-CN"/>
        </w:rPr>
        <w:t>乙方HSE绩效考核</w:t>
      </w:r>
      <w:r>
        <w:rPr>
          <w:rFonts w:hint="eastAsia" w:asciiTheme="minorEastAsia" w:hAnsiTheme="minorEastAsia" w:eastAsiaTheme="minorEastAsia"/>
          <w:szCs w:val="24"/>
          <w:lang w:eastAsia="zh-CN"/>
        </w:rPr>
        <w:t>，执行甲方发布的</w:t>
      </w:r>
      <w:r>
        <w:fldChar w:fldCharType="begin"/>
      </w:r>
      <w:r>
        <w:instrText xml:space="preserve"> HYPERLINK "http://eip.frep.com/omis/oims三级程序文件/oims8.1第三方服务" </w:instrText>
      </w:r>
      <w:r>
        <w:fldChar w:fldCharType="separate"/>
      </w:r>
      <w:r>
        <w:rPr>
          <w:rFonts w:hint="eastAsia" w:asciiTheme="minorEastAsia" w:hAnsiTheme="minorEastAsia" w:eastAsiaTheme="minorEastAsia"/>
          <w:szCs w:val="24"/>
          <w:lang w:eastAsia="zh-CN"/>
        </w:rPr>
        <w:t>第三方服务</w:t>
      </w:r>
      <w:r>
        <w:rPr>
          <w:rFonts w:hint="eastAsia" w:asciiTheme="minorEastAsia" w:hAnsiTheme="minorEastAsia" w:eastAsiaTheme="minorEastAsia"/>
          <w:szCs w:val="24"/>
          <w:lang w:eastAsia="zh-CN"/>
        </w:rPr>
        <w:fldChar w:fldCharType="end"/>
      </w:r>
      <w:r>
        <w:rPr>
          <w:rFonts w:hint="eastAsia" w:asciiTheme="minorEastAsia" w:hAnsiTheme="minorEastAsia" w:eastAsiaTheme="minorEastAsia"/>
          <w:szCs w:val="24"/>
          <w:lang w:eastAsia="zh-CN"/>
        </w:rPr>
        <w:t>程序；</w:t>
      </w:r>
      <w:bookmarkStart w:id="88" w:name="_Toc463333753"/>
      <w:r>
        <w:rPr>
          <w:rFonts w:hint="eastAsia" w:asciiTheme="minorEastAsia" w:hAnsiTheme="minorEastAsia" w:eastAsiaTheme="minorEastAsia"/>
          <w:szCs w:val="24"/>
          <w:lang w:eastAsia="zh-CN"/>
        </w:rPr>
        <w:t xml:space="preserve">   </w:t>
      </w:r>
      <w:bookmarkEnd w:id="88"/>
    </w:p>
    <w:p w14:paraId="39D39972">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.16乙方应编制现场应急预案并与甲方进行分享，确保其编制的现场应急预案与甲方的应急预案互相衔接。</w:t>
      </w:r>
    </w:p>
    <w:p w14:paraId="383303FB">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.17一旦发生安全生产事故、突发事件和公共卫生事件，双方应密切配合，各自采取应急处置措施，防止事故扩散。</w:t>
      </w:r>
    </w:p>
    <w:p w14:paraId="7920D966">
      <w:pPr>
        <w:spacing w:line="380" w:lineRule="exact"/>
        <w:ind w:left="1" w:firstLine="426"/>
        <w:rPr>
          <w:rFonts w:asciiTheme="minorEastAsia" w:hAnsiTheme="minorEastAsia" w:eastAsiaTheme="minorEastAsia"/>
          <w:szCs w:val="24"/>
          <w:lang w:eastAsia="zh-CN"/>
        </w:rPr>
      </w:pP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.18若发生公共卫生事件（如传染性疾病、疫情等），乙方人员及乙方管理的第三方人员均应遵守政府及甲方的防疫管理规定。若违反规定，责任由乙方自行承担。</w:t>
      </w:r>
    </w:p>
    <w:p w14:paraId="610C1428">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2.19乙方提供的食品和饭菜(包括供应给乙方和甲方)采购、加工要符合《食品安全法》规定的安全卫生标准。乙方应当制定食品安全事故处置方案，定期检查其供应的各项食品安全防范措施的落实情况，及时消除事故隐患。如发生群体性中毒及传染病等情况，在通知医生的同时应立即报告市疾病控制中心和市卫生行政部门，并立即停止食品生产和供餐活动，并保留现场，封存可疑食品和各餐具，以便查清原因。乙方应承担全部责任并赔偿因此给甲方造成的一切损失。</w:t>
      </w:r>
    </w:p>
    <w:p w14:paraId="7F70E6A9">
      <w:pPr>
        <w:spacing w:line="380" w:lineRule="exact"/>
        <w:ind w:left="1" w:firstLine="480"/>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2.20</w:t>
      </w:r>
      <w:r>
        <w:rPr>
          <w:rFonts w:asciiTheme="minorEastAsia" w:hAnsiTheme="minorEastAsia" w:eastAsiaTheme="minorEastAsia"/>
          <w:szCs w:val="24"/>
          <w:lang w:eastAsia="zh-CN"/>
        </w:rPr>
        <w:t>乙方是</w:t>
      </w:r>
      <w:r>
        <w:rPr>
          <w:rFonts w:hint="eastAsia" w:asciiTheme="minorEastAsia" w:hAnsiTheme="minorEastAsia" w:eastAsiaTheme="minorEastAsia"/>
          <w:szCs w:val="24"/>
          <w:lang w:eastAsia="zh-CN"/>
        </w:rPr>
        <w:t>其</w:t>
      </w:r>
      <w:r>
        <w:rPr>
          <w:rFonts w:asciiTheme="minorEastAsia" w:hAnsiTheme="minorEastAsia" w:eastAsiaTheme="minorEastAsia"/>
          <w:szCs w:val="24"/>
          <w:lang w:eastAsia="zh-CN"/>
        </w:rPr>
        <w:t>职业健康管理及职业病防治的责任主体，应严格履行职业健康管理职责，组织员工进行职业健康检查。</w:t>
      </w:r>
      <w:r>
        <w:rPr>
          <w:rFonts w:hint="eastAsia" w:asciiTheme="minorEastAsia" w:hAnsiTheme="minorEastAsia" w:eastAsiaTheme="minorEastAsia"/>
          <w:szCs w:val="24"/>
          <w:lang w:eastAsia="zh-CN"/>
        </w:rPr>
        <w:t>乙方在甲方区域开展可能接触职业病危害因素（如硫化氢、苯、汽油、噪声等）的作业的，应定期安排人员进行职业健康检查，并建立职业健康监护档案。</w:t>
      </w:r>
    </w:p>
    <w:p w14:paraId="273CADB4">
      <w:pPr>
        <w:spacing w:line="380" w:lineRule="exact"/>
        <w:ind w:left="1" w:firstLine="480"/>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2.21发生事故时，乙方应积极组织抢险、服从统一指挥，避免事故进一步扩大，并按要求报告甲方。由此造成爆炸、火灾、环境等事故，以及处理这些事故、拆除损坏物或其他原因而引起的环境污染等，由此给甲方以及第三方的人身、财产造成损害的，乙方应承担全部责任并赔偿甲方的一切损失。</w:t>
      </w:r>
    </w:p>
    <w:p w14:paraId="309DD30A">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w:t>
      </w:r>
      <w:r>
        <w:rPr>
          <w:rFonts w:asciiTheme="minorEastAsia" w:hAnsiTheme="minorEastAsia" w:eastAsiaTheme="minorEastAsia"/>
          <w:szCs w:val="24"/>
          <w:lang w:eastAsia="zh-CN"/>
        </w:rPr>
        <w:t>2</w:t>
      </w:r>
      <w:r>
        <w:rPr>
          <w:rFonts w:hint="eastAsia" w:asciiTheme="minorEastAsia" w:hAnsiTheme="minorEastAsia" w:eastAsiaTheme="minorEastAsia"/>
          <w:szCs w:val="24"/>
          <w:lang w:eastAsia="zh-CN"/>
        </w:rPr>
        <w:t>.22 双方签署的各类合同、协议、技术要求、措施等文件，涉及HSSE方面的规定，双方均应遵守并切实履行，保证安全生产，杜绝事故发生。</w:t>
      </w:r>
    </w:p>
    <w:p w14:paraId="5772569F">
      <w:pPr>
        <w:spacing w:line="380" w:lineRule="exact"/>
        <w:ind w:left="1" w:firstLine="426"/>
        <w:rPr>
          <w:rFonts w:asciiTheme="minorEastAsia" w:hAnsiTheme="minorEastAsia" w:eastAsiaTheme="minorEastAsia"/>
          <w:b/>
          <w:szCs w:val="24"/>
          <w:lang w:eastAsia="zh-CN"/>
        </w:rPr>
      </w:pPr>
      <w:r>
        <w:rPr>
          <w:rFonts w:hint="eastAsia" w:asciiTheme="minorEastAsia" w:hAnsiTheme="minorEastAsia" w:eastAsiaTheme="minorEastAsia"/>
          <w:b/>
          <w:szCs w:val="24"/>
          <w:lang w:eastAsia="zh-CN"/>
        </w:rPr>
        <w:t>第三条   联络人及联络方式</w:t>
      </w:r>
    </w:p>
    <w:p w14:paraId="2ADC205E">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双方各自指定HSSE管理联络人，负责本协议各项工作的沟通和协调。</w:t>
      </w:r>
    </w:p>
    <w:p w14:paraId="0A6AD68E">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甲    方：</w:t>
      </w:r>
      <w:r>
        <w:rPr>
          <w:rFonts w:hint="eastAsia" w:asciiTheme="minorEastAsia" w:hAnsiTheme="minorEastAsia" w:eastAsiaTheme="minorEastAsia"/>
          <w:szCs w:val="24"/>
          <w:u w:val="single"/>
          <w:lang w:eastAsia="zh-CN"/>
        </w:rPr>
        <w:t xml:space="preserve">                   </w:t>
      </w:r>
    </w:p>
    <w:p w14:paraId="32A33EFA">
      <w:pPr>
        <w:spacing w:line="380" w:lineRule="exact"/>
        <w:ind w:left="1" w:firstLine="426"/>
        <w:rPr>
          <w:rFonts w:asciiTheme="minorEastAsia" w:hAnsiTheme="minorEastAsia" w:eastAsiaTheme="minorEastAsia"/>
          <w:szCs w:val="24"/>
          <w:u w:val="single"/>
          <w:lang w:eastAsia="zh-CN"/>
        </w:rPr>
      </w:pPr>
      <w:r>
        <w:rPr>
          <w:rFonts w:hint="eastAsia" w:asciiTheme="minorEastAsia" w:hAnsiTheme="minorEastAsia" w:eastAsiaTheme="minorEastAsia"/>
          <w:szCs w:val="24"/>
          <w:lang w:eastAsia="zh-CN"/>
        </w:rPr>
        <w:t>联络方式：</w:t>
      </w:r>
      <w:r>
        <w:rPr>
          <w:rFonts w:hint="eastAsia" w:asciiTheme="minorEastAsia" w:hAnsiTheme="minorEastAsia" w:eastAsiaTheme="minorEastAsia"/>
          <w:szCs w:val="24"/>
          <w:u w:val="single"/>
          <w:lang w:eastAsia="zh-CN"/>
        </w:rPr>
        <w:t xml:space="preserve">                   </w:t>
      </w:r>
    </w:p>
    <w:p w14:paraId="60D7A676">
      <w:pPr>
        <w:spacing w:line="380" w:lineRule="exact"/>
        <w:ind w:left="1" w:firstLine="426"/>
        <w:rPr>
          <w:rFonts w:asciiTheme="minorEastAsia" w:hAnsiTheme="minorEastAsia" w:eastAsiaTheme="minorEastAsia"/>
          <w:szCs w:val="24"/>
          <w:u w:val="single"/>
          <w:lang w:eastAsia="zh-CN"/>
        </w:rPr>
      </w:pPr>
    </w:p>
    <w:p w14:paraId="00086997">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乙    方：</w:t>
      </w:r>
      <w:r>
        <w:rPr>
          <w:rFonts w:hint="eastAsia" w:asciiTheme="minorEastAsia" w:hAnsiTheme="minorEastAsia" w:eastAsiaTheme="minorEastAsia"/>
          <w:szCs w:val="24"/>
          <w:u w:val="single"/>
          <w:lang w:eastAsia="zh-CN"/>
        </w:rPr>
        <w:t xml:space="preserve">                   </w:t>
      </w:r>
    </w:p>
    <w:p w14:paraId="1E6BD5E6">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联络方式：</w:t>
      </w:r>
      <w:r>
        <w:rPr>
          <w:rFonts w:hint="eastAsia"/>
          <w:u w:val="single"/>
          <w:lang w:eastAsia="zh-CN"/>
        </w:rPr>
        <w:t xml:space="preserve">                   </w:t>
      </w:r>
    </w:p>
    <w:p w14:paraId="6578EDBF">
      <w:pPr>
        <w:spacing w:line="380" w:lineRule="exact"/>
        <w:ind w:left="1" w:firstLine="426"/>
        <w:rPr>
          <w:rFonts w:asciiTheme="minorEastAsia" w:hAnsiTheme="minorEastAsia" w:eastAsiaTheme="minorEastAsia"/>
          <w:b/>
          <w:szCs w:val="24"/>
          <w:lang w:eastAsia="zh-CN"/>
        </w:rPr>
      </w:pPr>
      <w:r>
        <w:rPr>
          <w:rFonts w:hint="eastAsia" w:asciiTheme="minorEastAsia" w:hAnsiTheme="minorEastAsia" w:eastAsiaTheme="minorEastAsia"/>
          <w:b/>
          <w:szCs w:val="24"/>
          <w:lang w:eastAsia="zh-CN"/>
        </w:rPr>
        <w:t>第四条   通知</w:t>
      </w:r>
    </w:p>
    <w:p w14:paraId="29DA2E50">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4.1  任何与本协议有关的通知原则上以书面形式作出，由本协议一方以专人递送、传真、电子邮件、邮递方式发出。通知以专人递送的，于递交时视为送达；以传真方式发出的，于发件人传真机显示传真业已发出时视为送达；以邮件、短信方式发出的，于发件人邮箱或手机显示邮件、短信已发出时视为送达；以邮递方式发出的，于邮件寄出后的第5个工作日视为送达。任何通知一经送达即行生效。</w:t>
      </w:r>
    </w:p>
    <w:p w14:paraId="7C71984B">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4.2  在紧急情况下，一方可以采取口头形式发出通知，该通知与书面形式的通知具有同等法律效力，接收方在收到后立即视为送达，但通知方应在24小时以内以书面形式补发相关内容的通知。</w:t>
      </w:r>
    </w:p>
    <w:p w14:paraId="074634B7">
      <w:pPr>
        <w:spacing w:line="380" w:lineRule="exact"/>
        <w:ind w:left="1" w:firstLine="426"/>
        <w:rPr>
          <w:rFonts w:asciiTheme="minorEastAsia" w:hAnsiTheme="minorEastAsia" w:eastAsiaTheme="minorEastAsia"/>
          <w:b/>
          <w:szCs w:val="24"/>
          <w:lang w:eastAsia="zh-CN"/>
        </w:rPr>
      </w:pPr>
      <w:r>
        <w:rPr>
          <w:rFonts w:hint="eastAsia" w:asciiTheme="minorEastAsia" w:hAnsiTheme="minorEastAsia" w:eastAsiaTheme="minorEastAsia"/>
          <w:b/>
          <w:szCs w:val="24"/>
          <w:lang w:eastAsia="zh-CN"/>
        </w:rPr>
        <w:t>第五条  争议解决</w:t>
      </w:r>
    </w:p>
    <w:p w14:paraId="7A00100E">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本协议争议解决方式与主合同的约定保持一致。</w:t>
      </w:r>
    </w:p>
    <w:p w14:paraId="00F823B2">
      <w:pPr>
        <w:spacing w:line="380" w:lineRule="exact"/>
        <w:ind w:left="1" w:firstLine="426"/>
        <w:rPr>
          <w:rFonts w:asciiTheme="minorEastAsia" w:hAnsiTheme="minorEastAsia" w:eastAsiaTheme="minorEastAsia"/>
          <w:b/>
          <w:szCs w:val="24"/>
          <w:lang w:eastAsia="zh-CN"/>
        </w:rPr>
      </w:pPr>
      <w:r>
        <w:rPr>
          <w:rFonts w:hint="eastAsia" w:asciiTheme="minorEastAsia" w:hAnsiTheme="minorEastAsia" w:eastAsiaTheme="minorEastAsia"/>
          <w:b/>
          <w:szCs w:val="24"/>
          <w:lang w:eastAsia="zh-CN"/>
        </w:rPr>
        <w:t xml:space="preserve">第六条  </w:t>
      </w:r>
      <w:bookmarkStart w:id="89" w:name="_Hlk61445818"/>
      <w:bookmarkStart w:id="90" w:name="_Toc63329298"/>
      <w:r>
        <w:rPr>
          <w:rFonts w:hint="eastAsia" w:asciiTheme="minorEastAsia" w:hAnsiTheme="minorEastAsia" w:eastAsiaTheme="minorEastAsia"/>
          <w:b/>
          <w:szCs w:val="24"/>
          <w:lang w:eastAsia="zh-CN"/>
        </w:rPr>
        <w:t>协议履行期限</w:t>
      </w:r>
      <w:bookmarkEnd w:id="89"/>
      <w:bookmarkEnd w:id="90"/>
    </w:p>
    <w:p w14:paraId="69BBAE2B">
      <w:pPr>
        <w:spacing w:line="380" w:lineRule="exact"/>
        <w:ind w:left="1" w:firstLine="426"/>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本协议期限与主合同的期限一致。</w:t>
      </w:r>
    </w:p>
    <w:p w14:paraId="50CED09D">
      <w:pPr>
        <w:spacing w:line="380" w:lineRule="exact"/>
        <w:ind w:left="1" w:firstLine="426"/>
        <w:rPr>
          <w:rFonts w:asciiTheme="minorEastAsia" w:hAnsiTheme="minorEastAsia" w:eastAsiaTheme="minorEastAsia"/>
          <w:b/>
          <w:szCs w:val="24"/>
          <w:lang w:eastAsia="zh-CN"/>
        </w:rPr>
      </w:pPr>
      <w:r>
        <w:rPr>
          <w:rFonts w:hint="eastAsia" w:asciiTheme="minorEastAsia" w:hAnsiTheme="minorEastAsia" w:eastAsiaTheme="minorEastAsia"/>
          <w:b/>
          <w:szCs w:val="24"/>
          <w:lang w:eastAsia="zh-CN"/>
        </w:rPr>
        <w:t>第七条  附则</w:t>
      </w:r>
    </w:p>
    <w:p w14:paraId="20298363">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7.1  本协议未尽事宜或与国家和地方相关规定相悖的，按相关规定执行。如有法律法规重大变更或公司重大变更等，另行组织重新签订。</w:t>
      </w:r>
    </w:p>
    <w:p w14:paraId="6C9B7F4C">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7.2  本协议作为主合同的补充协议，与主合同具有同等效力。</w:t>
      </w:r>
    </w:p>
    <w:p w14:paraId="73F80EE0">
      <w:pPr>
        <w:spacing w:line="380" w:lineRule="exact"/>
        <w:ind w:left="1"/>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7.3  本协议经甲乙双方法定代表人或委托代理人签字并加盖公章或合同专用章后生效。</w:t>
      </w:r>
    </w:p>
    <w:p w14:paraId="3FCEB98E">
      <w:pPr>
        <w:spacing w:line="380" w:lineRule="exact"/>
        <w:rPr>
          <w:rFonts w:asciiTheme="minorEastAsia" w:hAnsiTheme="minorEastAsia" w:eastAsiaTheme="minorEastAsia"/>
          <w:szCs w:val="24"/>
          <w:lang w:eastAsia="zh-CN"/>
        </w:rPr>
      </w:pPr>
      <w:r>
        <w:rPr>
          <w:rFonts w:hint="eastAsia" w:asciiTheme="minorEastAsia" w:hAnsiTheme="minorEastAsia" w:eastAsiaTheme="minorEastAsia"/>
          <w:szCs w:val="24"/>
          <w:lang w:eastAsia="zh-CN"/>
        </w:rPr>
        <w:t xml:space="preserve">    7.4</w:t>
      </w:r>
      <w:r>
        <w:rPr>
          <w:rFonts w:asciiTheme="minorEastAsia" w:hAnsiTheme="minorEastAsia" w:eastAsiaTheme="minorEastAsia"/>
          <w:szCs w:val="24"/>
          <w:lang w:eastAsia="zh-CN"/>
        </w:rPr>
        <w:t>本协议</w:t>
      </w:r>
      <w:r>
        <w:rPr>
          <w:rFonts w:hint="eastAsia" w:asciiTheme="minorEastAsia" w:hAnsiTheme="minorEastAsia" w:eastAsiaTheme="minorEastAsia"/>
          <w:szCs w:val="24"/>
          <w:lang w:eastAsia="zh-CN"/>
        </w:rPr>
        <w:t>如</w:t>
      </w:r>
      <w:r>
        <w:rPr>
          <w:rFonts w:asciiTheme="minorEastAsia" w:hAnsiTheme="minorEastAsia" w:eastAsiaTheme="minorEastAsia"/>
          <w:szCs w:val="24"/>
          <w:lang w:eastAsia="zh-CN"/>
        </w:rPr>
        <w:t>以中文为准。</w:t>
      </w:r>
    </w:p>
    <w:p w14:paraId="237A8722">
      <w:pPr>
        <w:spacing w:line="380" w:lineRule="exact"/>
        <w:rPr>
          <w:rFonts w:ascii="宋体" w:hAnsi="宋体"/>
          <w:szCs w:val="24"/>
          <w:lang w:eastAsia="zh-CN"/>
        </w:rPr>
      </w:pPr>
    </w:p>
    <w:p w14:paraId="6DD68F50">
      <w:pPr>
        <w:spacing w:line="380" w:lineRule="exact"/>
        <w:rPr>
          <w:rFonts w:ascii="宋体" w:hAnsi="宋体"/>
          <w:szCs w:val="24"/>
          <w:lang w:eastAsia="zh-CN"/>
        </w:rPr>
      </w:pPr>
      <w:r>
        <w:rPr>
          <w:rFonts w:hint="eastAsia" w:ascii="宋体" w:hAnsi="宋体"/>
          <w:szCs w:val="24"/>
          <w:lang w:eastAsia="zh-CN"/>
        </w:rPr>
        <w:t xml:space="preserve">                                        乙方现场负责人：</w:t>
      </w:r>
    </w:p>
    <w:p w14:paraId="263CC080">
      <w:pPr>
        <w:spacing w:line="380" w:lineRule="exact"/>
        <w:rPr>
          <w:rFonts w:ascii="宋体" w:hAnsi="宋体"/>
          <w:szCs w:val="24"/>
          <w:lang w:eastAsia="zh-CN"/>
        </w:rPr>
      </w:pPr>
      <w:r>
        <w:rPr>
          <w:rFonts w:hint="eastAsia" w:ascii="宋体" w:hAnsi="宋体"/>
          <w:szCs w:val="24"/>
          <w:lang w:eastAsia="zh-CN"/>
        </w:rPr>
        <w:t xml:space="preserve">                 </w:t>
      </w:r>
      <w:r>
        <w:rPr>
          <w:rFonts w:ascii="宋体" w:hAnsi="宋体"/>
          <w:szCs w:val="24"/>
          <w:lang w:eastAsia="zh-CN"/>
        </w:rPr>
        <w:t xml:space="preserve">  </w:t>
      </w:r>
      <w:r>
        <w:rPr>
          <w:rFonts w:hint="eastAsia" w:ascii="宋体" w:hAnsi="宋体"/>
          <w:szCs w:val="24"/>
          <w:lang w:eastAsia="zh-CN"/>
        </w:rPr>
        <w:t xml:space="preserve">  </w:t>
      </w:r>
    </w:p>
    <w:p w14:paraId="729B2419">
      <w:pPr>
        <w:spacing w:line="380" w:lineRule="exact"/>
        <w:rPr>
          <w:rFonts w:ascii="宋体" w:hAnsi="宋体"/>
          <w:szCs w:val="24"/>
          <w:lang w:eastAsia="zh-CN"/>
        </w:rPr>
      </w:pPr>
      <w:r>
        <w:rPr>
          <w:rFonts w:hint="eastAsia" w:ascii="宋体" w:hAnsi="宋体"/>
          <w:szCs w:val="24"/>
          <w:lang w:eastAsia="zh-CN"/>
        </w:rPr>
        <w:t xml:space="preserve">                           </w:t>
      </w:r>
      <w:r>
        <w:rPr>
          <w:rFonts w:ascii="宋体" w:hAnsi="宋体"/>
          <w:szCs w:val="24"/>
          <w:lang w:eastAsia="zh-CN"/>
        </w:rPr>
        <w:t xml:space="preserve"> </w:t>
      </w:r>
      <w:r>
        <w:rPr>
          <w:rFonts w:hint="eastAsia" w:ascii="宋体" w:hAnsi="宋体"/>
          <w:szCs w:val="24"/>
          <w:lang w:eastAsia="zh-CN"/>
        </w:rPr>
        <w:t xml:space="preserve">            日期：</w:t>
      </w:r>
    </w:p>
    <w:p w14:paraId="6DAD7C76">
      <w:pPr>
        <w:spacing w:line="380" w:lineRule="exact"/>
        <w:rPr>
          <w:rFonts w:ascii="宋体" w:hAnsi="宋体"/>
          <w:szCs w:val="24"/>
          <w:lang w:eastAsia="zh-CN"/>
        </w:rPr>
      </w:pPr>
    </w:p>
    <w:bookmarkEnd w:id="75"/>
    <w:bookmarkEnd w:id="85"/>
    <w:p w14:paraId="23D6CD8D">
      <w:pPr>
        <w:spacing w:line="380" w:lineRule="exact"/>
        <w:rPr>
          <w:rFonts w:ascii="宋体" w:hAnsi="宋体"/>
          <w:szCs w:val="24"/>
          <w:lang w:eastAsia="zh-CN"/>
        </w:rPr>
      </w:pPr>
      <w:r>
        <w:rPr>
          <w:rFonts w:hint="eastAsia" w:ascii="宋体" w:hAnsi="宋体"/>
          <w:szCs w:val="24"/>
          <w:lang w:eastAsia="zh-CN"/>
        </w:rPr>
        <w:t xml:space="preserve">甲方（盖章）：福建联合石油化工有限公司 </w:t>
      </w:r>
      <w:r>
        <w:rPr>
          <w:rFonts w:ascii="宋体" w:hAnsi="宋体"/>
          <w:szCs w:val="24"/>
          <w:lang w:eastAsia="zh-CN"/>
        </w:rPr>
        <w:t xml:space="preserve"> </w:t>
      </w:r>
      <w:r>
        <w:rPr>
          <w:rFonts w:hint="eastAsia" w:ascii="宋体" w:hAnsi="宋体"/>
          <w:szCs w:val="24"/>
          <w:lang w:eastAsia="zh-CN"/>
        </w:rPr>
        <w:t>乙方（盖章）：</w:t>
      </w:r>
      <w:r>
        <w:rPr>
          <w:rFonts w:ascii="宋体" w:hAnsi="宋体"/>
          <w:szCs w:val="24"/>
          <w:lang w:eastAsia="zh-CN"/>
        </w:rPr>
        <w:t xml:space="preserve"> </w:t>
      </w:r>
    </w:p>
    <w:p w14:paraId="7D705BB2">
      <w:pPr>
        <w:spacing w:line="380" w:lineRule="exact"/>
        <w:rPr>
          <w:rFonts w:ascii="宋体" w:hAnsi="宋体"/>
          <w:szCs w:val="24"/>
          <w:lang w:eastAsia="zh-CN"/>
        </w:rPr>
      </w:pPr>
      <w:r>
        <w:rPr>
          <w:rFonts w:ascii="宋体" w:hAnsi="宋体"/>
          <w:szCs w:val="24"/>
          <w:lang w:eastAsia="zh-CN"/>
        </w:rPr>
        <w:t xml:space="preserve"> </w:t>
      </w:r>
    </w:p>
    <w:p w14:paraId="560736B0">
      <w:pPr>
        <w:spacing w:line="380" w:lineRule="exact"/>
        <w:rPr>
          <w:rFonts w:ascii="宋体" w:hAnsi="宋体"/>
          <w:szCs w:val="24"/>
          <w:lang w:eastAsia="zh-CN"/>
        </w:rPr>
      </w:pPr>
      <w:r>
        <w:rPr>
          <w:rFonts w:hint="eastAsia" w:ascii="宋体" w:hAnsi="宋体"/>
          <w:szCs w:val="24"/>
          <w:lang w:eastAsia="zh-CN"/>
        </w:rPr>
        <w:t xml:space="preserve">甲方施工/服务                          </w:t>
      </w:r>
      <w:r>
        <w:rPr>
          <w:rFonts w:ascii="宋体" w:hAnsi="宋体"/>
          <w:szCs w:val="24"/>
          <w:lang w:eastAsia="zh-CN"/>
        </w:rPr>
        <w:t xml:space="preserve"> </w:t>
      </w:r>
      <w:r>
        <w:rPr>
          <w:rFonts w:hint="eastAsia" w:ascii="宋体" w:hAnsi="宋体"/>
          <w:szCs w:val="24"/>
          <w:lang w:eastAsia="zh-CN"/>
        </w:rPr>
        <w:t>法定代表人：</w:t>
      </w:r>
    </w:p>
    <w:p w14:paraId="49ED1C6C">
      <w:pPr>
        <w:spacing w:line="380" w:lineRule="exact"/>
        <w:rPr>
          <w:rFonts w:ascii="宋体" w:hAnsi="宋体"/>
          <w:szCs w:val="24"/>
          <w:lang w:eastAsia="zh-CN"/>
        </w:rPr>
      </w:pPr>
      <w:r>
        <w:rPr>
          <w:rFonts w:hint="eastAsia" w:ascii="宋体" w:hAnsi="宋体"/>
          <w:szCs w:val="24"/>
          <w:lang w:eastAsia="zh-CN"/>
        </w:rPr>
        <w:t>主管部门总经理：</w:t>
      </w:r>
    </w:p>
    <w:p w14:paraId="09669376">
      <w:pPr>
        <w:spacing w:line="380" w:lineRule="exact"/>
        <w:rPr>
          <w:rFonts w:ascii="宋体" w:hAnsi="宋体"/>
          <w:szCs w:val="24"/>
          <w:lang w:eastAsia="zh-CN"/>
        </w:rPr>
      </w:pPr>
      <w:r>
        <w:rPr>
          <w:rFonts w:hint="eastAsia" w:ascii="宋体" w:hAnsi="宋体"/>
          <w:szCs w:val="24"/>
          <w:lang w:eastAsia="zh-CN"/>
        </w:rPr>
        <w:t xml:space="preserve">                                     </w:t>
      </w:r>
      <w:r>
        <w:rPr>
          <w:rFonts w:ascii="宋体" w:hAnsi="宋体"/>
          <w:szCs w:val="24"/>
          <w:lang w:eastAsia="zh-CN"/>
        </w:rPr>
        <w:t xml:space="preserve"> </w:t>
      </w:r>
      <w:r>
        <w:rPr>
          <w:rFonts w:hint="eastAsia" w:ascii="宋体" w:hAnsi="宋体"/>
          <w:szCs w:val="24"/>
          <w:lang w:eastAsia="zh-CN"/>
        </w:rPr>
        <w:t xml:space="preserve"> </w:t>
      </w:r>
      <w:r>
        <w:rPr>
          <w:rFonts w:ascii="宋体" w:hAnsi="宋体"/>
          <w:szCs w:val="24"/>
          <w:lang w:eastAsia="zh-CN"/>
        </w:rPr>
        <w:t xml:space="preserve"> </w:t>
      </w:r>
      <w:r>
        <w:rPr>
          <w:rFonts w:hint="eastAsia" w:ascii="宋体" w:hAnsi="宋体"/>
          <w:szCs w:val="24"/>
          <w:lang w:eastAsia="zh-CN"/>
        </w:rPr>
        <w:t>委托代理人（签字）：</w:t>
      </w:r>
    </w:p>
    <w:p w14:paraId="4360FE1B">
      <w:pPr>
        <w:spacing w:line="380" w:lineRule="exact"/>
        <w:rPr>
          <w:rFonts w:ascii="宋体" w:hAnsi="宋体"/>
          <w:szCs w:val="24"/>
          <w:lang w:eastAsia="zh-CN"/>
        </w:rPr>
      </w:pPr>
    </w:p>
    <w:p w14:paraId="6BBB77D1">
      <w:pPr>
        <w:spacing w:line="380" w:lineRule="exact"/>
        <w:rPr>
          <w:rFonts w:ascii="宋体" w:hAnsi="宋体"/>
          <w:szCs w:val="24"/>
          <w:lang w:eastAsia="zh-CN"/>
        </w:rPr>
      </w:pPr>
      <w:r>
        <w:rPr>
          <w:rFonts w:hint="eastAsia" w:ascii="宋体" w:hAnsi="宋体"/>
          <w:szCs w:val="24"/>
          <w:lang w:eastAsia="zh-CN"/>
        </w:rPr>
        <w:t xml:space="preserve">日期：                                </w:t>
      </w:r>
      <w:r>
        <w:rPr>
          <w:rFonts w:ascii="宋体" w:hAnsi="宋体"/>
          <w:szCs w:val="24"/>
          <w:lang w:eastAsia="zh-CN"/>
        </w:rPr>
        <w:t xml:space="preserve">  </w:t>
      </w:r>
      <w:r>
        <w:rPr>
          <w:rFonts w:hint="eastAsia" w:ascii="宋体" w:hAnsi="宋体"/>
          <w:szCs w:val="24"/>
          <w:lang w:eastAsia="zh-CN"/>
        </w:rPr>
        <w:t>日期：</w:t>
      </w:r>
    </w:p>
    <w:p w14:paraId="4EF20264">
      <w:pPr>
        <w:spacing w:line="380" w:lineRule="exact"/>
        <w:rPr>
          <w:rFonts w:ascii="宋体" w:hAnsi="宋体"/>
          <w:szCs w:val="24"/>
          <w:lang w:eastAsia="zh-CN"/>
        </w:rPr>
      </w:pPr>
    </w:p>
    <w:p w14:paraId="694853D3">
      <w:pPr>
        <w:spacing w:line="240" w:lineRule="auto"/>
        <w:jc w:val="left"/>
        <w:rPr>
          <w:b/>
          <w:caps/>
          <w:sz w:val="28"/>
          <w:lang w:eastAsia="zh-CN"/>
        </w:rPr>
      </w:pPr>
    </w:p>
    <w:p w14:paraId="6DE5368E">
      <w:pPr>
        <w:spacing w:line="240" w:lineRule="auto"/>
        <w:jc w:val="left"/>
        <w:rPr>
          <w:b/>
          <w:caps/>
          <w:sz w:val="28"/>
          <w:lang w:eastAsia="zh-CN"/>
        </w:rPr>
      </w:pPr>
      <w:r>
        <w:rPr>
          <w:b/>
          <w:caps/>
          <w:sz w:val="28"/>
          <w:lang w:eastAsia="zh-CN"/>
        </w:rPr>
        <w:br w:type="page"/>
      </w:r>
    </w:p>
    <w:p w14:paraId="4E8E3809">
      <w:pPr>
        <w:pStyle w:val="2"/>
        <w:spacing w:before="120" w:after="120"/>
        <w:jc w:val="center"/>
        <w:rPr>
          <w:szCs w:val="28"/>
          <w:lang w:eastAsia="zh-CN"/>
        </w:rPr>
      </w:pPr>
      <w:bookmarkStart w:id="91" w:name="_Toc30254"/>
      <w:r>
        <w:rPr>
          <w:rFonts w:hint="eastAsia"/>
          <w:szCs w:val="28"/>
          <w:lang w:eastAsia="zh-CN"/>
        </w:rPr>
        <w:t>附件D  诚信与合规声明</w:t>
      </w:r>
      <w:bookmarkEnd w:id="91"/>
    </w:p>
    <w:p w14:paraId="1AF24597">
      <w:pPr>
        <w:spacing w:line="240" w:lineRule="auto"/>
        <w:jc w:val="left"/>
        <w:rPr>
          <w:b/>
          <w:caps/>
          <w:sz w:val="28"/>
          <w:lang w:eastAsia="zh-CN"/>
        </w:rPr>
      </w:pPr>
    </w:p>
    <w:p w14:paraId="559B5B12">
      <w:pPr>
        <w:spacing w:line="440" w:lineRule="exact"/>
        <w:rPr>
          <w:rFonts w:ascii="宋体" w:hAnsi="宋体"/>
          <w:b/>
          <w:bCs/>
          <w:lang w:eastAsia="zh-CN"/>
        </w:rPr>
      </w:pPr>
      <w:r>
        <w:rPr>
          <w:rFonts w:hint="eastAsia" w:ascii="宋体" w:hAnsi="宋体"/>
          <w:b/>
          <w:bCs/>
          <w:lang w:eastAsia="zh-CN"/>
        </w:rPr>
        <w:t>致：福建联合石油化工有限公司</w:t>
      </w:r>
    </w:p>
    <w:p w14:paraId="497E476C">
      <w:pPr>
        <w:spacing w:line="440" w:lineRule="exact"/>
        <w:ind w:firstLine="560"/>
        <w:rPr>
          <w:rFonts w:ascii="宋体" w:hAnsi="宋体"/>
          <w:lang w:eastAsia="zh-CN"/>
        </w:rPr>
      </w:pPr>
    </w:p>
    <w:p w14:paraId="15DE43B0">
      <w:pPr>
        <w:spacing w:line="440" w:lineRule="exact"/>
        <w:ind w:firstLine="560"/>
        <w:rPr>
          <w:rFonts w:ascii="宋体" w:hAnsi="宋体"/>
          <w:lang w:eastAsia="zh-CN"/>
        </w:rPr>
      </w:pPr>
      <w:r>
        <w:rPr>
          <w:rFonts w:hint="eastAsia" w:ascii="宋体" w:hAnsi="宋体"/>
          <w:lang w:eastAsia="zh-CN"/>
        </w:rPr>
        <w:t>本声明是【</w:t>
      </w:r>
      <w:r>
        <w:rPr>
          <w:rFonts w:hint="eastAsia" w:ascii="宋体" w:hAnsi="宋体"/>
          <w:b/>
          <w:bCs/>
          <w:lang w:eastAsia="zh-CN"/>
        </w:rPr>
        <w:t>供应商</w:t>
      </w:r>
      <w:r>
        <w:rPr>
          <w:rFonts w:ascii="宋体" w:hAnsi="宋体"/>
          <w:b/>
          <w:bCs/>
          <w:lang w:eastAsia="zh-CN"/>
        </w:rPr>
        <w:t>/承包商</w:t>
      </w:r>
      <w:r>
        <w:rPr>
          <w:rFonts w:hint="eastAsia" w:ascii="宋体" w:hAnsi="宋体"/>
          <w:b/>
          <w:bCs/>
          <w:lang w:eastAsia="zh-CN"/>
        </w:rPr>
        <w:t>公司全称</w:t>
      </w:r>
      <w:r>
        <w:rPr>
          <w:rFonts w:hint="eastAsia" w:ascii="宋体" w:hAnsi="宋体"/>
          <w:lang w:eastAsia="zh-CN"/>
        </w:rPr>
        <w:t>】（以下简称“我方”）与</w:t>
      </w:r>
      <w:r>
        <w:rPr>
          <w:rFonts w:hint="eastAsia" w:ascii="宋体" w:hAnsi="宋体"/>
          <w:b/>
          <w:bCs/>
          <w:lang w:eastAsia="zh-CN"/>
        </w:rPr>
        <w:t>福建联合石油化工有限公司</w:t>
      </w:r>
      <w:r>
        <w:rPr>
          <w:rFonts w:hint="eastAsia" w:ascii="宋体" w:hAnsi="宋体"/>
          <w:lang w:eastAsia="zh-CN"/>
        </w:rPr>
        <w:t>（以下简称“</w:t>
      </w:r>
      <w:r>
        <w:rPr>
          <w:lang w:eastAsia="zh-CN"/>
        </w:rPr>
        <w:t>FREP</w:t>
      </w:r>
      <w:r>
        <w:rPr>
          <w:rFonts w:hint="eastAsia" w:ascii="宋体" w:hAnsi="宋体"/>
          <w:lang w:eastAsia="zh-CN"/>
        </w:rPr>
        <w:t>”）之间签订的任何合同、订单、协议或建立任何商业关系（统称“商业合作”）时不可分割的组成部分。一经我方签署，即对我方具有法律约束力。若商业合作的其他文件中的内容与本声明存在冲突，以本声明为准。</w:t>
      </w:r>
    </w:p>
    <w:p w14:paraId="5B1EB02D">
      <w:pPr>
        <w:spacing w:line="440" w:lineRule="exact"/>
        <w:rPr>
          <w:rFonts w:ascii="宋体" w:hAnsi="宋体"/>
          <w:lang w:eastAsia="zh-CN"/>
        </w:rPr>
      </w:pPr>
    </w:p>
    <w:p w14:paraId="29681F53">
      <w:pPr>
        <w:spacing w:line="440" w:lineRule="exact"/>
        <w:rPr>
          <w:rFonts w:ascii="宋体" w:hAnsi="宋体"/>
          <w:b/>
          <w:bCs/>
          <w:lang w:eastAsia="zh-CN"/>
        </w:rPr>
      </w:pPr>
      <w:r>
        <w:rPr>
          <w:rFonts w:hint="eastAsia" w:ascii="宋体" w:hAnsi="宋体"/>
          <w:b/>
          <w:bCs/>
          <w:lang w:eastAsia="zh-CN"/>
        </w:rPr>
        <w:t>一、总则与遵守范围</w:t>
      </w:r>
    </w:p>
    <w:p w14:paraId="28B99774">
      <w:pPr>
        <w:spacing w:line="440" w:lineRule="exact"/>
        <w:ind w:firstLine="560"/>
        <w:rPr>
          <w:rFonts w:ascii="宋体" w:hAnsi="宋体"/>
          <w:lang w:eastAsia="zh-CN"/>
        </w:rPr>
      </w:pPr>
      <w:r>
        <w:rPr>
          <w:rFonts w:hint="eastAsia" w:ascii="宋体" w:hAnsi="宋体"/>
          <w:lang w:eastAsia="zh-CN"/>
        </w:rPr>
        <w:t>我方承诺，在与</w:t>
      </w:r>
      <w:r>
        <w:rPr>
          <w:lang w:eastAsia="zh-CN"/>
        </w:rPr>
        <w:t>FREP</w:t>
      </w:r>
      <w:r>
        <w:rPr>
          <w:rFonts w:hint="eastAsia" w:ascii="宋体" w:hAnsi="宋体"/>
          <w:lang w:eastAsia="zh-CN"/>
        </w:rPr>
        <w:t>的商业合作全过程中，始终遵守以下所有要求：</w:t>
      </w:r>
    </w:p>
    <w:p w14:paraId="330B2F83">
      <w:pPr>
        <w:spacing w:line="440" w:lineRule="exact"/>
        <w:ind w:firstLine="560"/>
        <w:rPr>
          <w:rFonts w:ascii="宋体" w:hAnsi="宋体"/>
          <w:lang w:eastAsia="zh-CN"/>
        </w:rPr>
      </w:pPr>
      <w:r>
        <w:rPr>
          <w:lang w:eastAsia="zh-CN"/>
        </w:rPr>
        <w:t xml:space="preserve">1.1 </w:t>
      </w:r>
      <w:r>
        <w:rPr>
          <w:rFonts w:hint="eastAsia" w:ascii="宋体" w:hAnsi="宋体"/>
          <w:lang w:eastAsia="zh-CN"/>
        </w:rPr>
        <w:t>法律法规：遵守所有适用的中华人民共和国及业务所涉其他国家的法律、法规、规章及监管规定，特别是关于安全生产、环境保护、反腐败、反商业贿赂、反洗钱、反不正当竞争、出口管制、经济制裁、数据安全与个人信息保护、劳动用工领域的法律。</w:t>
      </w:r>
    </w:p>
    <w:p w14:paraId="624A7199">
      <w:pPr>
        <w:spacing w:line="440" w:lineRule="exact"/>
        <w:ind w:firstLine="560"/>
        <w:rPr>
          <w:rFonts w:ascii="宋体" w:hAnsi="宋体"/>
          <w:lang w:eastAsia="zh-CN"/>
        </w:rPr>
      </w:pPr>
      <w:r>
        <w:rPr>
          <w:lang w:eastAsia="zh-CN"/>
        </w:rPr>
        <w:t xml:space="preserve">1.2 </w:t>
      </w:r>
      <w:r>
        <w:rPr>
          <w:rFonts w:hint="eastAsia" w:ascii="宋体" w:hAnsi="宋体"/>
          <w:lang w:eastAsia="zh-CN"/>
        </w:rPr>
        <w:t>商业道德：恪守诚实信用原则，从事公平、透明的商业活动，杜绝任何形式的欺诈、胁迫、合谋或虚假陈述。</w:t>
      </w:r>
    </w:p>
    <w:p w14:paraId="7099CB1B">
      <w:pPr>
        <w:spacing w:line="440" w:lineRule="exact"/>
        <w:ind w:firstLine="560"/>
        <w:rPr>
          <w:rFonts w:ascii="宋体" w:hAnsi="宋体"/>
          <w:lang w:eastAsia="zh-CN"/>
        </w:rPr>
      </w:pPr>
      <w:r>
        <w:rPr>
          <w:lang w:eastAsia="zh-CN"/>
        </w:rPr>
        <w:t>1.3 FREP</w:t>
      </w:r>
      <w:r>
        <w:rPr>
          <w:rFonts w:hint="eastAsia" w:ascii="宋体" w:hAnsi="宋体"/>
          <w:lang w:eastAsia="zh-CN"/>
        </w:rPr>
        <w:t>政策：遵守</w:t>
      </w:r>
      <w:r>
        <w:rPr>
          <w:lang w:eastAsia="zh-CN"/>
        </w:rPr>
        <w:t>FREP</w:t>
      </w:r>
      <w:r>
        <w:rPr>
          <w:rFonts w:hint="eastAsia" w:ascii="宋体" w:hAnsi="宋体"/>
          <w:lang w:eastAsia="zh-CN"/>
        </w:rPr>
        <w:t>不时以书面形式通知我方的商业行为准则、道德政策及合规要求，包括本声明。</w:t>
      </w:r>
    </w:p>
    <w:p w14:paraId="18D67E50">
      <w:pPr>
        <w:spacing w:line="440" w:lineRule="exact"/>
        <w:ind w:firstLine="560"/>
        <w:rPr>
          <w:rFonts w:ascii="宋体" w:hAnsi="宋体"/>
          <w:lang w:eastAsia="zh-CN"/>
        </w:rPr>
      </w:pPr>
      <w:r>
        <w:rPr>
          <w:lang w:eastAsia="zh-CN"/>
        </w:rPr>
        <w:t xml:space="preserve">1.4 </w:t>
      </w:r>
      <w:r>
        <w:rPr>
          <w:rFonts w:hint="eastAsia" w:ascii="宋体" w:hAnsi="宋体"/>
          <w:lang w:eastAsia="zh-CN"/>
        </w:rPr>
        <w:t>社会责任：遵守所有适用的劳动法律法规，保障员工合法权益，杜绝使用童工、强迫劳动，禁止基于种族、性别等任何形式的歧视，提供安全健康的工作环境。</w:t>
      </w:r>
    </w:p>
    <w:p w14:paraId="0C4266D8">
      <w:pPr>
        <w:spacing w:line="440" w:lineRule="exact"/>
        <w:rPr>
          <w:rFonts w:ascii="宋体" w:hAnsi="宋体"/>
          <w:lang w:eastAsia="zh-CN"/>
        </w:rPr>
      </w:pPr>
    </w:p>
    <w:p w14:paraId="7553EDDD">
      <w:pPr>
        <w:spacing w:line="440" w:lineRule="exact"/>
        <w:rPr>
          <w:rFonts w:ascii="宋体" w:hAnsi="宋体"/>
          <w:b/>
          <w:bCs/>
          <w:lang w:eastAsia="zh-CN"/>
        </w:rPr>
      </w:pPr>
      <w:r>
        <w:rPr>
          <w:rFonts w:hint="eastAsia" w:ascii="宋体" w:hAnsi="宋体"/>
          <w:b/>
          <w:bCs/>
          <w:lang w:eastAsia="zh-CN"/>
        </w:rPr>
        <w:t>二、反腐败与反贿赂</w:t>
      </w:r>
    </w:p>
    <w:p w14:paraId="67549925">
      <w:pPr>
        <w:spacing w:line="440" w:lineRule="exact"/>
        <w:ind w:firstLine="560"/>
        <w:rPr>
          <w:rFonts w:ascii="宋体" w:hAnsi="宋体"/>
          <w:lang w:eastAsia="zh-CN"/>
        </w:rPr>
      </w:pPr>
      <w:r>
        <w:rPr>
          <w:rFonts w:hint="eastAsia" w:ascii="宋体" w:hAnsi="宋体"/>
          <w:lang w:eastAsia="zh-CN"/>
        </w:rPr>
        <w:t>我方郑重承诺并保证：</w:t>
      </w:r>
    </w:p>
    <w:p w14:paraId="7A74C2A6">
      <w:pPr>
        <w:spacing w:line="440" w:lineRule="exact"/>
        <w:ind w:firstLine="560"/>
        <w:rPr>
          <w:rFonts w:ascii="宋体" w:hAnsi="宋体"/>
          <w:lang w:eastAsia="zh-CN"/>
        </w:rPr>
      </w:pPr>
      <w:r>
        <w:rPr>
          <w:lang w:eastAsia="zh-CN"/>
        </w:rPr>
        <w:t xml:space="preserve">2.1 </w:t>
      </w:r>
      <w:r>
        <w:rPr>
          <w:rFonts w:hint="eastAsia" w:ascii="宋体" w:hAnsi="宋体"/>
          <w:lang w:eastAsia="zh-CN"/>
        </w:rPr>
        <w:t>对贿赂、腐败行为采取零容忍政策。禁止以任何形式提供、给予、索取或收受贿赂或其他不正当利益。</w:t>
      </w:r>
    </w:p>
    <w:p w14:paraId="0434AFE9">
      <w:pPr>
        <w:spacing w:line="440" w:lineRule="exact"/>
        <w:ind w:firstLine="560"/>
        <w:rPr>
          <w:rFonts w:ascii="宋体" w:hAnsi="宋体"/>
          <w:lang w:eastAsia="zh-CN"/>
        </w:rPr>
      </w:pPr>
      <w:r>
        <w:rPr>
          <w:lang w:eastAsia="zh-CN"/>
        </w:rPr>
        <w:t xml:space="preserve">2.2 </w:t>
      </w:r>
      <w:r>
        <w:rPr>
          <w:rFonts w:hint="eastAsia" w:ascii="宋体" w:hAnsi="宋体"/>
          <w:lang w:eastAsia="zh-CN"/>
        </w:rPr>
        <w:t>不得直接或间接地向以下任何人员提供或承诺提供任何有价值的物品（包括但不限于现金、礼品、礼券、娱乐、旅游、就业机会、不当服务等），以影响其行为从而为我方或任何第三方获取不正当的商业利益或优势：</w:t>
      </w:r>
    </w:p>
    <w:p w14:paraId="4EBE37CF">
      <w:pPr>
        <w:spacing w:line="440" w:lineRule="exact"/>
        <w:ind w:firstLine="560"/>
        <w:rPr>
          <w:rFonts w:ascii="宋体" w:hAnsi="宋体"/>
          <w:lang w:eastAsia="zh-CN"/>
        </w:rPr>
      </w:pPr>
      <w:r>
        <w:rPr>
          <w:lang w:eastAsia="zh-CN"/>
        </w:rPr>
        <w:t>(a) FREP</w:t>
      </w:r>
      <w:r>
        <w:rPr>
          <w:rFonts w:hint="eastAsia" w:ascii="宋体" w:hAnsi="宋体"/>
          <w:lang w:eastAsia="zh-CN"/>
        </w:rPr>
        <w:t>的任何董事、员工、代理人或授权代表；</w:t>
      </w:r>
    </w:p>
    <w:p w14:paraId="40925E91">
      <w:pPr>
        <w:spacing w:line="440" w:lineRule="exact"/>
        <w:ind w:firstLine="560"/>
        <w:rPr>
          <w:rFonts w:ascii="宋体" w:hAnsi="宋体"/>
          <w:lang w:eastAsia="zh-CN"/>
        </w:rPr>
      </w:pPr>
      <w:r>
        <w:rPr>
          <w:lang w:eastAsia="zh-CN"/>
        </w:rPr>
        <w:t xml:space="preserve">(b) </w:t>
      </w:r>
      <w:r>
        <w:rPr>
          <w:rFonts w:hint="eastAsia" w:ascii="宋体" w:hAnsi="宋体"/>
          <w:lang w:eastAsia="zh-CN"/>
        </w:rPr>
        <w:t>任何政府官员、公职人员、政党、政治组织或其官员、政治候选人；</w:t>
      </w:r>
    </w:p>
    <w:p w14:paraId="67594179">
      <w:pPr>
        <w:spacing w:line="440" w:lineRule="exact"/>
        <w:ind w:firstLine="560"/>
        <w:rPr>
          <w:rFonts w:ascii="宋体" w:hAnsi="宋体"/>
          <w:lang w:eastAsia="zh-CN"/>
        </w:rPr>
      </w:pPr>
      <w:r>
        <w:rPr>
          <w:lang w:eastAsia="zh-CN"/>
        </w:rPr>
        <w:t xml:space="preserve">(c) </w:t>
      </w:r>
      <w:r>
        <w:rPr>
          <w:rFonts w:hint="eastAsia" w:ascii="宋体" w:hAnsi="宋体"/>
          <w:lang w:eastAsia="zh-CN"/>
        </w:rPr>
        <w:t>任何与商业合作相关的客户、合作伙伴或第三方。</w:t>
      </w:r>
    </w:p>
    <w:p w14:paraId="5B4E3691">
      <w:pPr>
        <w:spacing w:line="440" w:lineRule="exact"/>
        <w:ind w:firstLine="560"/>
        <w:rPr>
          <w:rFonts w:ascii="宋体" w:hAnsi="宋体"/>
          <w:lang w:eastAsia="zh-CN"/>
        </w:rPr>
      </w:pPr>
      <w:r>
        <w:rPr>
          <w:lang w:eastAsia="zh-CN"/>
        </w:rPr>
        <w:t xml:space="preserve">2.3 </w:t>
      </w:r>
      <w:r>
        <w:rPr>
          <w:rFonts w:hAnsi="宋体"/>
          <w:lang w:eastAsia="zh-CN"/>
        </w:rPr>
        <w:t>所有与</w:t>
      </w:r>
      <w:r>
        <w:rPr>
          <w:lang w:eastAsia="zh-CN"/>
        </w:rPr>
        <w:t>FREP</w:t>
      </w:r>
      <w:r>
        <w:rPr>
          <w:rFonts w:hint="eastAsia" w:ascii="宋体" w:hAnsi="宋体"/>
          <w:lang w:eastAsia="zh-CN"/>
        </w:rPr>
        <w:t>业务相关的账簿、记录、票据和财务报告必须真实、准确、完整地反映实际发生的交易，严禁设立或使用账外账户、制作虚假记录或凭证。</w:t>
      </w:r>
    </w:p>
    <w:p w14:paraId="2693D4D8">
      <w:pPr>
        <w:spacing w:line="440" w:lineRule="exact"/>
        <w:ind w:firstLine="560"/>
        <w:rPr>
          <w:rFonts w:ascii="宋体" w:hAnsi="宋体"/>
          <w:lang w:eastAsia="zh-CN"/>
        </w:rPr>
      </w:pPr>
    </w:p>
    <w:p w14:paraId="200C6284">
      <w:pPr>
        <w:spacing w:line="440" w:lineRule="exact"/>
        <w:rPr>
          <w:rFonts w:ascii="宋体" w:hAnsi="宋体"/>
          <w:b/>
          <w:bCs/>
          <w:lang w:eastAsia="zh-CN"/>
        </w:rPr>
      </w:pPr>
      <w:r>
        <w:rPr>
          <w:rFonts w:hint="eastAsia" w:ascii="宋体" w:hAnsi="宋体"/>
          <w:b/>
          <w:bCs/>
          <w:lang w:eastAsia="zh-CN"/>
        </w:rPr>
        <w:t>三、利益冲突</w:t>
      </w:r>
    </w:p>
    <w:p w14:paraId="60BD7986">
      <w:pPr>
        <w:spacing w:line="440" w:lineRule="exact"/>
        <w:ind w:firstLine="560"/>
        <w:rPr>
          <w:rFonts w:ascii="宋体" w:hAnsi="宋体"/>
          <w:lang w:eastAsia="zh-CN"/>
        </w:rPr>
      </w:pPr>
      <w:r>
        <w:rPr>
          <w:lang w:eastAsia="zh-CN"/>
        </w:rPr>
        <w:t xml:space="preserve">3.1 </w:t>
      </w:r>
      <w:r>
        <w:rPr>
          <w:rFonts w:hint="eastAsia" w:ascii="宋体" w:hAnsi="宋体"/>
          <w:lang w:eastAsia="zh-CN"/>
        </w:rPr>
        <w:t>我方应积极识别并避免任何可能影响其公正、专业地履行对FREP义务的实际或潜在利益冲突。</w:t>
      </w:r>
    </w:p>
    <w:p w14:paraId="604DA2E7">
      <w:pPr>
        <w:spacing w:line="440" w:lineRule="exact"/>
        <w:ind w:firstLine="560"/>
        <w:rPr>
          <w:rFonts w:ascii="宋体" w:hAnsi="宋体"/>
          <w:lang w:eastAsia="zh-CN"/>
        </w:rPr>
      </w:pPr>
      <w:r>
        <w:rPr>
          <w:lang w:eastAsia="zh-CN"/>
        </w:rPr>
        <w:t xml:space="preserve">3.2 </w:t>
      </w:r>
      <w:r>
        <w:rPr>
          <w:rFonts w:hint="eastAsia" w:ascii="宋体" w:hAnsi="宋体"/>
          <w:lang w:eastAsia="zh-CN"/>
        </w:rPr>
        <w:t>如我方或其董事、员工、</w:t>
      </w:r>
      <w:r>
        <w:rPr>
          <w:rFonts w:hAnsi="宋体"/>
          <w:lang w:eastAsia="zh-CN"/>
        </w:rPr>
        <w:t>关联方与</w:t>
      </w:r>
      <w:r>
        <w:rPr>
          <w:lang w:eastAsia="zh-CN"/>
        </w:rPr>
        <w:t>FREP</w:t>
      </w:r>
      <w:r>
        <w:rPr>
          <w:rFonts w:hint="eastAsia" w:ascii="宋体" w:hAnsi="宋体"/>
          <w:lang w:eastAsia="zh-CN"/>
        </w:rPr>
        <w:t>员工或其近亲属之间存在可能构成利益冲突的关系（如亲属关系、重大经济往来、投资关系、雇佣关系等），应主动向</w:t>
      </w:r>
      <w:r>
        <w:rPr>
          <w:lang w:eastAsia="zh-CN"/>
        </w:rPr>
        <w:t>FREP</w:t>
      </w:r>
      <w:r>
        <w:rPr>
          <w:rFonts w:hint="eastAsia" w:ascii="宋体" w:hAnsi="宋体"/>
          <w:lang w:eastAsia="zh-CN"/>
        </w:rPr>
        <w:t>披露。</w:t>
      </w:r>
    </w:p>
    <w:p w14:paraId="7C009D5D">
      <w:pPr>
        <w:spacing w:line="440" w:lineRule="exact"/>
        <w:ind w:firstLine="560"/>
        <w:rPr>
          <w:rFonts w:ascii="宋体" w:hAnsi="宋体"/>
          <w:lang w:eastAsia="zh-CN"/>
        </w:rPr>
      </w:pPr>
    </w:p>
    <w:p w14:paraId="3881A38F">
      <w:pPr>
        <w:spacing w:line="440" w:lineRule="exact"/>
        <w:rPr>
          <w:rFonts w:ascii="宋体" w:hAnsi="宋体"/>
          <w:b/>
          <w:bCs/>
          <w:lang w:eastAsia="zh-CN"/>
        </w:rPr>
      </w:pPr>
      <w:r>
        <w:rPr>
          <w:rFonts w:hint="eastAsia" w:ascii="宋体" w:hAnsi="宋体"/>
          <w:b/>
          <w:bCs/>
          <w:lang w:eastAsia="zh-CN"/>
        </w:rPr>
        <w:t>四、信息真实与保密</w:t>
      </w:r>
    </w:p>
    <w:p w14:paraId="7CBF603C">
      <w:pPr>
        <w:spacing w:line="440" w:lineRule="exact"/>
        <w:ind w:firstLine="560"/>
        <w:rPr>
          <w:rFonts w:ascii="宋体" w:hAnsi="宋体"/>
          <w:lang w:eastAsia="zh-CN"/>
        </w:rPr>
      </w:pPr>
      <w:r>
        <w:rPr>
          <w:lang w:eastAsia="zh-CN"/>
        </w:rPr>
        <w:t xml:space="preserve">4.1 </w:t>
      </w:r>
      <w:r>
        <w:rPr>
          <w:rFonts w:hAnsi="宋体"/>
          <w:lang w:eastAsia="zh-CN"/>
        </w:rPr>
        <w:t>我方向</w:t>
      </w:r>
      <w:r>
        <w:rPr>
          <w:lang w:eastAsia="zh-CN"/>
        </w:rPr>
        <w:t>FREP</w:t>
      </w:r>
      <w:r>
        <w:rPr>
          <w:rFonts w:hint="eastAsia" w:ascii="宋体" w:hAnsi="宋体"/>
          <w:lang w:eastAsia="zh-CN"/>
        </w:rPr>
        <w:t>提供或披露的所有信息、陈述、报告及数据均应保证真实、准确、完整、及时。</w:t>
      </w:r>
    </w:p>
    <w:p w14:paraId="3E78587F">
      <w:pPr>
        <w:spacing w:line="440" w:lineRule="exact"/>
        <w:ind w:firstLine="560"/>
        <w:rPr>
          <w:rFonts w:ascii="宋体" w:hAnsi="宋体"/>
          <w:lang w:eastAsia="zh-CN"/>
        </w:rPr>
      </w:pPr>
      <w:r>
        <w:rPr>
          <w:lang w:eastAsia="zh-CN"/>
        </w:rPr>
        <w:t>4.2 我方</w:t>
      </w:r>
      <w:r>
        <w:rPr>
          <w:rFonts w:hAnsi="宋体"/>
          <w:lang w:eastAsia="zh-CN"/>
        </w:rPr>
        <w:t>对在合作中知悉的</w:t>
      </w:r>
      <w:r>
        <w:rPr>
          <w:lang w:eastAsia="zh-CN"/>
        </w:rPr>
        <w:t>FREP</w:t>
      </w:r>
      <w:r>
        <w:rPr>
          <w:rFonts w:hint="eastAsia" w:ascii="宋体" w:hAnsi="宋体"/>
          <w:lang w:eastAsia="zh-CN"/>
        </w:rPr>
        <w:t>所有商业秘密、技术信息、经营数据及其他未公开信息负有严格保密义务，仅限用于履行本次合作之目的，并采取必要措施防止信息泄露。</w:t>
      </w:r>
    </w:p>
    <w:p w14:paraId="4E47FA43">
      <w:pPr>
        <w:spacing w:line="440" w:lineRule="exact"/>
        <w:ind w:firstLine="560"/>
        <w:rPr>
          <w:rFonts w:ascii="宋体" w:hAnsi="宋体"/>
          <w:lang w:eastAsia="zh-CN"/>
        </w:rPr>
      </w:pPr>
    </w:p>
    <w:p w14:paraId="09D386E0">
      <w:pPr>
        <w:spacing w:line="440" w:lineRule="exact"/>
        <w:rPr>
          <w:rFonts w:ascii="宋体" w:hAnsi="宋体"/>
          <w:b/>
          <w:bCs/>
          <w:lang w:eastAsia="zh-CN"/>
        </w:rPr>
      </w:pPr>
      <w:r>
        <w:rPr>
          <w:rFonts w:hint="eastAsia" w:ascii="宋体" w:hAnsi="宋体"/>
          <w:b/>
          <w:bCs/>
          <w:lang w:eastAsia="zh-CN"/>
        </w:rPr>
        <w:t>五、保证、披露与配合审计</w:t>
      </w:r>
    </w:p>
    <w:p w14:paraId="7827C601">
      <w:pPr>
        <w:spacing w:line="440" w:lineRule="exact"/>
        <w:ind w:firstLine="560"/>
        <w:rPr>
          <w:rFonts w:ascii="宋体" w:hAnsi="宋体"/>
          <w:lang w:eastAsia="zh-CN"/>
        </w:rPr>
      </w:pPr>
      <w:r>
        <w:rPr>
          <w:lang w:eastAsia="zh-CN"/>
        </w:rPr>
        <w:t xml:space="preserve">5.1 </w:t>
      </w:r>
      <w:r>
        <w:rPr>
          <w:rFonts w:hint="eastAsia" w:ascii="宋体" w:hAnsi="宋体"/>
          <w:lang w:eastAsia="zh-CN"/>
        </w:rPr>
        <w:t>持续保证：我方声明并保证，我方及其关联方（包括董事、高级管理人员、员工、代理人、分包商等）过去及现在均完全遵守本声明。此保证在商业合作存续期间持续有效。</w:t>
      </w:r>
    </w:p>
    <w:p w14:paraId="3F77CB0A">
      <w:pPr>
        <w:spacing w:line="440" w:lineRule="exact"/>
        <w:ind w:firstLine="560"/>
        <w:rPr>
          <w:rFonts w:ascii="宋体" w:hAnsi="宋体"/>
          <w:lang w:eastAsia="zh-CN"/>
        </w:rPr>
      </w:pPr>
      <w:r>
        <w:rPr>
          <w:lang w:eastAsia="zh-CN"/>
        </w:rPr>
        <w:t xml:space="preserve">5.2 </w:t>
      </w:r>
      <w:r>
        <w:rPr>
          <w:rFonts w:hint="eastAsia" w:ascii="宋体" w:hAnsi="宋体"/>
          <w:lang w:eastAsia="zh-CN"/>
        </w:rPr>
        <w:t>主动披露：若我方知悉或合理怀疑任何违反本声明的行为已经或可能发生，或我方及其关联方因涉嫌腐败、欺诈等违法行为受到任何司法、行政调查或处罚，应立即书面通知</w:t>
      </w:r>
      <w:r>
        <w:rPr>
          <w:lang w:eastAsia="zh-CN"/>
        </w:rPr>
        <w:t>FREP</w:t>
      </w:r>
      <w:r>
        <w:rPr>
          <w:rFonts w:hint="eastAsia" w:ascii="宋体" w:hAnsi="宋体"/>
          <w:lang w:eastAsia="zh-CN"/>
        </w:rPr>
        <w:t>。</w:t>
      </w:r>
    </w:p>
    <w:p w14:paraId="1E550056">
      <w:pPr>
        <w:spacing w:line="440" w:lineRule="exact"/>
        <w:ind w:firstLine="560"/>
        <w:rPr>
          <w:rFonts w:ascii="宋体" w:hAnsi="宋体"/>
          <w:lang w:eastAsia="zh-CN"/>
        </w:rPr>
      </w:pPr>
      <w:r>
        <w:rPr>
          <w:lang w:eastAsia="zh-CN"/>
        </w:rPr>
        <w:t xml:space="preserve">5.3 </w:t>
      </w:r>
      <w:r>
        <w:rPr>
          <w:rFonts w:hint="eastAsia" w:ascii="宋体" w:hAnsi="宋体"/>
          <w:lang w:eastAsia="zh-CN"/>
        </w:rPr>
        <w:t>审计与检查权：</w:t>
      </w:r>
      <w:r>
        <w:rPr>
          <w:lang w:eastAsia="zh-CN"/>
        </w:rPr>
        <w:t>FREP</w:t>
      </w:r>
      <w:r>
        <w:rPr>
          <w:rFonts w:hint="eastAsia" w:ascii="宋体" w:hAnsi="宋体"/>
          <w:lang w:eastAsia="zh-CN"/>
        </w:rPr>
        <w:t>有权在合理书面通知后，对我方遵守本声明的情况进行审计、检查或访谈。我方承诺提供必要配合，包括查阅相关账簿、记录、文件及接触相关人员。</w:t>
      </w:r>
    </w:p>
    <w:p w14:paraId="31F456AE">
      <w:pPr>
        <w:spacing w:line="440" w:lineRule="exact"/>
        <w:ind w:firstLine="560"/>
        <w:rPr>
          <w:rFonts w:ascii="宋体" w:hAnsi="宋体"/>
          <w:lang w:eastAsia="zh-CN"/>
        </w:rPr>
      </w:pPr>
    </w:p>
    <w:p w14:paraId="5624CE26">
      <w:pPr>
        <w:spacing w:line="440" w:lineRule="exact"/>
        <w:rPr>
          <w:rFonts w:ascii="宋体" w:hAnsi="宋体"/>
          <w:b/>
          <w:bCs/>
          <w:lang w:eastAsia="zh-CN"/>
        </w:rPr>
      </w:pPr>
      <w:r>
        <w:rPr>
          <w:rFonts w:hint="eastAsia" w:ascii="宋体" w:hAnsi="宋体"/>
          <w:b/>
          <w:bCs/>
          <w:lang w:eastAsia="zh-CN"/>
        </w:rPr>
        <w:t>六、违约后果</w:t>
      </w:r>
    </w:p>
    <w:p w14:paraId="473025AE">
      <w:pPr>
        <w:spacing w:line="440" w:lineRule="exact"/>
        <w:ind w:firstLine="560"/>
        <w:rPr>
          <w:rFonts w:ascii="宋体" w:hAnsi="宋体"/>
          <w:lang w:eastAsia="zh-CN"/>
        </w:rPr>
      </w:pPr>
      <w:r>
        <w:rPr>
          <w:lang w:eastAsia="zh-CN"/>
        </w:rPr>
        <w:t xml:space="preserve">6.1 </w:t>
      </w:r>
      <w:r>
        <w:rPr>
          <w:rFonts w:hint="eastAsia" w:ascii="宋体" w:hAnsi="宋体"/>
          <w:lang w:eastAsia="zh-CN"/>
        </w:rPr>
        <w:t>我方违反本声明任何条款，即构成对相关商业合作的根本违约。</w:t>
      </w:r>
    </w:p>
    <w:p w14:paraId="4CE37EF1">
      <w:pPr>
        <w:spacing w:line="440" w:lineRule="exact"/>
        <w:ind w:firstLine="560"/>
        <w:rPr>
          <w:rFonts w:ascii="宋体" w:hAnsi="宋体"/>
          <w:lang w:eastAsia="zh-CN"/>
        </w:rPr>
      </w:pPr>
      <w:r>
        <w:rPr>
          <w:lang w:eastAsia="zh-CN"/>
        </w:rPr>
        <w:t xml:space="preserve">6.2 </w:t>
      </w:r>
      <w:r>
        <w:rPr>
          <w:rFonts w:hint="eastAsia" w:ascii="宋体" w:hAnsi="宋体"/>
          <w:lang w:eastAsia="zh-CN"/>
        </w:rPr>
        <w:t>发生根本违约时，</w:t>
      </w:r>
      <w:r>
        <w:rPr>
          <w:lang w:eastAsia="zh-CN"/>
        </w:rPr>
        <w:t>FREP</w:t>
      </w:r>
      <w:r>
        <w:rPr>
          <w:rFonts w:hint="eastAsia" w:ascii="宋体" w:hAnsi="宋体"/>
          <w:lang w:eastAsia="zh-CN"/>
        </w:rPr>
        <w:t>有权在不影响其他权利的前提下，单方采取以下一项或多项措施：</w:t>
      </w:r>
    </w:p>
    <w:p w14:paraId="5516ED64">
      <w:pPr>
        <w:spacing w:line="440" w:lineRule="exact"/>
        <w:ind w:firstLine="560"/>
        <w:rPr>
          <w:lang w:eastAsia="zh-CN"/>
        </w:rPr>
      </w:pPr>
      <w:r>
        <w:rPr>
          <w:lang w:eastAsia="zh-CN"/>
        </w:rPr>
        <w:t xml:space="preserve">(a) </w:t>
      </w:r>
      <w:r>
        <w:rPr>
          <w:rFonts w:hAnsi="宋体"/>
          <w:lang w:eastAsia="zh-CN"/>
        </w:rPr>
        <w:t>立即单方解除双方之间相关的所有合同、订单或协议，且无需承担任何违约责任；</w:t>
      </w:r>
    </w:p>
    <w:p w14:paraId="4E55F3B2">
      <w:pPr>
        <w:spacing w:line="440" w:lineRule="exact"/>
        <w:ind w:firstLine="560"/>
        <w:rPr>
          <w:lang w:eastAsia="zh-CN"/>
        </w:rPr>
      </w:pPr>
      <w:r>
        <w:rPr>
          <w:lang w:eastAsia="zh-CN"/>
        </w:rPr>
        <w:t xml:space="preserve">(b) </w:t>
      </w:r>
      <w:r>
        <w:rPr>
          <w:rFonts w:hAnsi="宋体"/>
          <w:lang w:eastAsia="zh-CN"/>
        </w:rPr>
        <w:t>要求我方赔偿因此给</w:t>
      </w:r>
      <w:r>
        <w:rPr>
          <w:lang w:eastAsia="zh-CN"/>
        </w:rPr>
        <w:t>FREP</w:t>
      </w:r>
      <w:r>
        <w:rPr>
          <w:rFonts w:hAnsi="宋体"/>
          <w:lang w:eastAsia="zh-CN"/>
        </w:rPr>
        <w:t>造成的一切损失（包括直接经济损失、商誉损失、以及</w:t>
      </w:r>
      <w:r>
        <w:rPr>
          <w:lang w:eastAsia="zh-CN"/>
        </w:rPr>
        <w:t>FREP</w:t>
      </w:r>
      <w:r>
        <w:rPr>
          <w:rFonts w:hAnsi="宋体"/>
          <w:lang w:eastAsia="zh-CN"/>
        </w:rPr>
        <w:t>为追究责任所支出的合理律师费、调查费等）；</w:t>
      </w:r>
    </w:p>
    <w:p w14:paraId="7B1A40F9">
      <w:pPr>
        <w:spacing w:line="440" w:lineRule="exact"/>
        <w:ind w:firstLine="560"/>
        <w:rPr>
          <w:lang w:eastAsia="zh-CN"/>
        </w:rPr>
      </w:pPr>
      <w:r>
        <w:rPr>
          <w:lang w:eastAsia="zh-CN"/>
        </w:rPr>
        <w:t xml:space="preserve">(c) </w:t>
      </w:r>
      <w:r>
        <w:rPr>
          <w:rFonts w:hAnsi="宋体"/>
          <w:lang w:eastAsia="zh-CN"/>
        </w:rPr>
        <w:t>将我方列入黑名单，并终止双方之间现有及未来的任何合作。</w:t>
      </w:r>
    </w:p>
    <w:p w14:paraId="018D2FCF">
      <w:pPr>
        <w:spacing w:line="440" w:lineRule="exact"/>
        <w:rPr>
          <w:rFonts w:ascii="宋体" w:hAnsi="宋体"/>
          <w:lang w:eastAsia="zh-CN"/>
        </w:rPr>
      </w:pPr>
    </w:p>
    <w:p w14:paraId="6532A872">
      <w:pPr>
        <w:spacing w:line="440" w:lineRule="exact"/>
        <w:ind w:firstLine="560"/>
        <w:rPr>
          <w:rFonts w:ascii="宋体" w:hAnsi="宋体"/>
          <w:b/>
          <w:bCs/>
          <w:lang w:eastAsia="zh-CN"/>
        </w:rPr>
      </w:pPr>
      <w:r>
        <w:rPr>
          <w:rFonts w:hint="eastAsia" w:ascii="宋体" w:hAnsi="宋体"/>
          <w:b/>
          <w:bCs/>
          <w:lang w:eastAsia="zh-CN"/>
        </w:rPr>
        <w:t>我方确认已充分阅读、理解本声明全部条款的含义及法律后果，并自愿接受其约束。</w:t>
      </w:r>
    </w:p>
    <w:p w14:paraId="6FDA862A">
      <w:pPr>
        <w:spacing w:line="440" w:lineRule="exact"/>
        <w:ind w:firstLine="560"/>
        <w:rPr>
          <w:rFonts w:ascii="宋体" w:hAnsi="宋体"/>
          <w:b/>
          <w:bCs/>
          <w:lang w:eastAsia="zh-CN"/>
        </w:rPr>
      </w:pPr>
    </w:p>
    <w:p w14:paraId="62AEFB8A">
      <w:pPr>
        <w:spacing w:line="440" w:lineRule="exact"/>
        <w:ind w:firstLine="560"/>
        <w:rPr>
          <w:rFonts w:ascii="宋体" w:hAnsi="宋体"/>
          <w:b/>
          <w:bCs/>
          <w:lang w:eastAsia="zh-CN"/>
        </w:rPr>
      </w:pPr>
    </w:p>
    <w:p w14:paraId="78ED8FCA">
      <w:pPr>
        <w:spacing w:line="440" w:lineRule="exact"/>
        <w:ind w:firstLine="560"/>
        <w:rPr>
          <w:rFonts w:ascii="宋体" w:hAnsi="宋体"/>
          <w:b/>
          <w:bCs/>
          <w:lang w:eastAsia="zh-CN"/>
        </w:rPr>
      </w:pPr>
      <w:r>
        <w:rPr>
          <w:rFonts w:hint="eastAsia" w:ascii="宋体" w:hAnsi="宋体"/>
          <w:b/>
          <w:bCs/>
          <w:lang w:eastAsia="zh-CN"/>
        </w:rPr>
        <w:t>【供应商</w:t>
      </w:r>
      <w:r>
        <w:rPr>
          <w:rFonts w:ascii="宋体" w:hAnsi="宋体"/>
          <w:b/>
          <w:bCs/>
          <w:lang w:eastAsia="zh-CN"/>
        </w:rPr>
        <w:t>/承包商公司全称】</w:t>
      </w:r>
      <w:r>
        <w:rPr>
          <w:rFonts w:hint="eastAsia" w:ascii="宋体" w:hAnsi="宋体"/>
          <w:b/>
          <w:bCs/>
          <w:lang w:eastAsia="zh-CN"/>
        </w:rPr>
        <w:t>（盖章）：</w:t>
      </w:r>
    </w:p>
    <w:p w14:paraId="36EF7249">
      <w:pPr>
        <w:spacing w:line="440" w:lineRule="exact"/>
        <w:ind w:firstLine="560"/>
        <w:rPr>
          <w:rFonts w:ascii="宋体" w:hAnsi="宋体"/>
          <w:lang w:eastAsia="zh-CN"/>
        </w:rPr>
      </w:pPr>
      <w:r>
        <w:rPr>
          <w:rFonts w:hint="eastAsia" w:ascii="宋体" w:hAnsi="宋体"/>
          <w:lang w:eastAsia="zh-CN"/>
        </w:rPr>
        <w:t>统一社会信用代码：________________</w:t>
      </w:r>
    </w:p>
    <w:p w14:paraId="200EB5C7">
      <w:pPr>
        <w:spacing w:line="440" w:lineRule="exact"/>
        <w:ind w:firstLine="560"/>
        <w:rPr>
          <w:rFonts w:ascii="宋体" w:hAnsi="宋体"/>
          <w:lang w:eastAsia="zh-CN"/>
        </w:rPr>
      </w:pPr>
      <w:r>
        <w:rPr>
          <w:rFonts w:hint="eastAsia" w:ascii="宋体" w:hAnsi="宋体"/>
          <w:lang w:eastAsia="zh-CN"/>
        </w:rPr>
        <w:t>授权代表签字：____________________</w:t>
      </w:r>
    </w:p>
    <w:p w14:paraId="6CC17E0F">
      <w:pPr>
        <w:spacing w:line="440" w:lineRule="exact"/>
        <w:ind w:firstLine="560"/>
        <w:rPr>
          <w:rFonts w:ascii="宋体" w:hAnsi="宋体"/>
        </w:rPr>
      </w:pPr>
      <w:r>
        <w:rPr>
          <w:rFonts w:hint="eastAsia" w:ascii="宋体" w:hAnsi="宋体"/>
        </w:rPr>
        <w:t>签署日期：________________________</w:t>
      </w:r>
    </w:p>
    <w:p w14:paraId="39049BF9">
      <w:pPr>
        <w:spacing w:line="240" w:lineRule="auto"/>
        <w:jc w:val="left"/>
        <w:rPr>
          <w:b/>
          <w:caps/>
          <w:sz w:val="28"/>
          <w:lang w:eastAsia="zh-CN"/>
        </w:rPr>
      </w:pPr>
    </w:p>
    <w:sectPr>
      <w:pgSz w:w="12242" w:h="15842"/>
      <w:pgMar w:top="1440" w:right="1080" w:bottom="1440" w:left="1080" w:header="680" w:footer="454" w:gutter="0"/>
      <w:cols w:space="567"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8B95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E0356">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3668E9DF">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89973">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116368427"/>
      <w:docPartObj>
        <w:docPartGallery w:val="autotext"/>
      </w:docPartObj>
    </w:sdtPr>
    <w:sdtEndPr>
      <w:rPr>
        <w:sz w:val="21"/>
        <w:szCs w:val="21"/>
      </w:rPr>
    </w:sdtEndPr>
    <w:sdtContent>
      <w:p w14:paraId="7D6823F8">
        <w:pPr>
          <w:pStyle w:val="11"/>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24</w:t>
        </w:r>
        <w:r>
          <w:rPr>
            <w:sz w:val="21"/>
            <w:szCs w:val="21"/>
          </w:rPr>
          <w:fldChar w:fldCharType="end"/>
        </w:r>
      </w:p>
    </w:sdtContent>
  </w:sdt>
  <w:p w14:paraId="6DC8D612">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p>
  </w:footnote>
  <w:footnote w:type="continuationSeparator" w:id="1">
    <w:p>
      <w:pPr>
        <w:spacing w:line="36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406E2">
    <w:pPr>
      <w:pStyle w:val="12"/>
      <w:rPr>
        <w:sz w:val="18"/>
        <w:szCs w:val="18"/>
        <w:lang w:eastAsia="zh-CN"/>
      </w:rPr>
    </w:pPr>
    <w:r>
      <w:rPr>
        <w:rFonts w:hint="eastAsia"/>
        <w:sz w:val="18"/>
        <w:szCs w:val="18"/>
        <w:lang w:eastAsia="zh-CN"/>
      </w:rPr>
      <w:drawing>
        <wp:anchor distT="0" distB="0" distL="114300" distR="114300" simplePos="0" relativeHeight="251659264" behindDoc="0" locked="0" layoutInCell="1" allowOverlap="1">
          <wp:simplePos x="0" y="0"/>
          <wp:positionH relativeFrom="column">
            <wp:posOffset>5632450</wp:posOffset>
          </wp:positionH>
          <wp:positionV relativeFrom="paragraph">
            <wp:posOffset>-191135</wp:posOffset>
          </wp:positionV>
          <wp:extent cx="596900" cy="304800"/>
          <wp:effectExtent l="19050" t="0" r="0" b="0"/>
          <wp:wrapSquare wrapText="bothSides"/>
          <wp:docPr id="2" name="图片 0" descr="保密标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保密标识.jpeg"/>
                  <pic:cNvPicPr>
                    <a:picLocks noChangeAspect="1"/>
                  </pic:cNvPicPr>
                </pic:nvPicPr>
                <pic:blipFill>
                  <a:blip r:embed="rId1"/>
                  <a:stretch>
                    <a:fillRect/>
                  </a:stretch>
                </pic:blipFill>
                <pic:spPr>
                  <a:xfrm>
                    <a:off x="0" y="0"/>
                    <a:ext cx="596900" cy="304800"/>
                  </a:xfrm>
                  <a:prstGeom prst="rect">
                    <a:avLst/>
                  </a:prstGeom>
                </pic:spPr>
              </pic:pic>
            </a:graphicData>
          </a:graphic>
        </wp:anchor>
      </w:drawing>
    </w:r>
    <w:r>
      <w:rPr>
        <w:rFonts w:hint="eastAsia"/>
        <w:sz w:val="18"/>
        <w:szCs w:val="18"/>
        <w:lang w:eastAsia="zh-CN"/>
      </w:rPr>
      <w:t>服务合同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30FEB">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3CDCC">
    <w:pPr>
      <w:pStyle w:val="12"/>
    </w:pPr>
    <w:r>
      <w:tab/>
    </w:r>
    <w:r>
      <w:tab/>
    </w:r>
  </w:p>
  <w:p w14:paraId="0ED4BB83">
    <w:pPr>
      <w:pStyle w:val="12"/>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F533C"/>
    <w:multiLevelType w:val="multilevel"/>
    <w:tmpl w:val="05EF533C"/>
    <w:lvl w:ilvl="0" w:tentative="0">
      <w:start w:val="1"/>
      <w:numFmt w:val="lowerLetter"/>
      <w:lvlText w:val="%1)"/>
      <w:lvlJc w:val="left"/>
      <w:pPr>
        <w:ind w:left="1320" w:hanging="420"/>
      </w:pPr>
      <w:rPr>
        <w:rFonts w:hint="default" w:ascii="Times New Roman" w:hAnsi="Times New Roman" w:cs="Times New Roman"/>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
    <w:nsid w:val="06C61C7A"/>
    <w:multiLevelType w:val="multilevel"/>
    <w:tmpl w:val="06C61C7A"/>
    <w:lvl w:ilvl="0" w:tentative="0">
      <w:start w:val="1"/>
      <w:numFmt w:val="lowerLetter"/>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
    <w:nsid w:val="0D8D1001"/>
    <w:multiLevelType w:val="multilevel"/>
    <w:tmpl w:val="0D8D1001"/>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3232A70"/>
    <w:multiLevelType w:val="multilevel"/>
    <w:tmpl w:val="23232A70"/>
    <w:lvl w:ilvl="0" w:tentative="0">
      <w:start w:val="1"/>
      <w:numFmt w:val="upperLetter"/>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240C2D9B"/>
    <w:multiLevelType w:val="singleLevel"/>
    <w:tmpl w:val="240C2D9B"/>
    <w:lvl w:ilvl="0" w:tentative="0">
      <w:start w:val="1"/>
      <w:numFmt w:val="decimal"/>
      <w:lvlText w:val="(%1)"/>
      <w:lvlJc w:val="left"/>
      <w:pPr>
        <w:ind w:left="425" w:hanging="425"/>
      </w:pPr>
      <w:rPr>
        <w:rFonts w:hint="default"/>
      </w:rPr>
    </w:lvl>
  </w:abstractNum>
  <w:abstractNum w:abstractNumId="5">
    <w:nsid w:val="2BCF6AC5"/>
    <w:multiLevelType w:val="multilevel"/>
    <w:tmpl w:val="2BCF6AC5"/>
    <w:lvl w:ilvl="0" w:tentative="0">
      <w:start w:val="1"/>
      <w:numFmt w:val="upperLetter"/>
      <w:lvlText w:val="%1."/>
      <w:lvlJc w:val="left"/>
      <w:pPr>
        <w:ind w:left="1140" w:hanging="420"/>
      </w:pPr>
      <w:rPr>
        <w:rFonts w:hint="default" w:ascii="Times New Roman" w:hAnsi="Times New Roman" w:cs="Times New Roman"/>
        <w:i w:val="0"/>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6">
    <w:nsid w:val="316775D2"/>
    <w:multiLevelType w:val="multilevel"/>
    <w:tmpl w:val="316775D2"/>
    <w:lvl w:ilvl="0" w:tentative="0">
      <w:start w:val="1"/>
      <w:numFmt w:val="bullet"/>
      <w:lvlText w:val=""/>
      <w:lvlJc w:val="left"/>
      <w:pPr>
        <w:ind w:left="1680" w:hanging="420"/>
      </w:pPr>
      <w:rPr>
        <w:rFonts w:hint="default" w:ascii="Wingdings" w:hAnsi="Wingdings"/>
      </w:rPr>
    </w:lvl>
    <w:lvl w:ilvl="1" w:tentative="0">
      <w:start w:val="1"/>
      <w:numFmt w:val="bullet"/>
      <w:lvlText w:val=""/>
      <w:lvlJc w:val="left"/>
      <w:pPr>
        <w:ind w:left="2100" w:hanging="420"/>
      </w:pPr>
      <w:rPr>
        <w:rFonts w:hint="default" w:ascii="Wingdings" w:hAnsi="Wingdings"/>
      </w:rPr>
    </w:lvl>
    <w:lvl w:ilvl="2" w:tentative="0">
      <w:start w:val="1"/>
      <w:numFmt w:val="bullet"/>
      <w:lvlText w:val=""/>
      <w:lvlJc w:val="left"/>
      <w:pPr>
        <w:ind w:left="2520" w:hanging="420"/>
      </w:pPr>
      <w:rPr>
        <w:rFonts w:hint="default" w:ascii="Wingdings" w:hAnsi="Wingdings"/>
      </w:rPr>
    </w:lvl>
    <w:lvl w:ilvl="3" w:tentative="0">
      <w:start w:val="1"/>
      <w:numFmt w:val="bullet"/>
      <w:lvlText w:val=""/>
      <w:lvlJc w:val="left"/>
      <w:pPr>
        <w:ind w:left="2940" w:hanging="420"/>
      </w:pPr>
      <w:rPr>
        <w:rFonts w:hint="default" w:ascii="Wingdings" w:hAnsi="Wingdings"/>
      </w:rPr>
    </w:lvl>
    <w:lvl w:ilvl="4" w:tentative="0">
      <w:start w:val="1"/>
      <w:numFmt w:val="bullet"/>
      <w:lvlText w:val=""/>
      <w:lvlJc w:val="left"/>
      <w:pPr>
        <w:ind w:left="3360" w:hanging="420"/>
      </w:pPr>
      <w:rPr>
        <w:rFonts w:hint="default" w:ascii="Wingdings" w:hAnsi="Wingdings"/>
      </w:rPr>
    </w:lvl>
    <w:lvl w:ilvl="5" w:tentative="0">
      <w:start w:val="1"/>
      <w:numFmt w:val="bullet"/>
      <w:lvlText w:val=""/>
      <w:lvlJc w:val="left"/>
      <w:pPr>
        <w:ind w:left="3780" w:hanging="420"/>
      </w:pPr>
      <w:rPr>
        <w:rFonts w:hint="default" w:ascii="Wingdings" w:hAnsi="Wingdings"/>
      </w:rPr>
    </w:lvl>
    <w:lvl w:ilvl="6" w:tentative="0">
      <w:start w:val="1"/>
      <w:numFmt w:val="bullet"/>
      <w:lvlText w:val=""/>
      <w:lvlJc w:val="left"/>
      <w:pPr>
        <w:ind w:left="4200" w:hanging="420"/>
      </w:pPr>
      <w:rPr>
        <w:rFonts w:hint="default" w:ascii="Wingdings" w:hAnsi="Wingdings"/>
      </w:rPr>
    </w:lvl>
    <w:lvl w:ilvl="7" w:tentative="0">
      <w:start w:val="1"/>
      <w:numFmt w:val="bullet"/>
      <w:lvlText w:val=""/>
      <w:lvlJc w:val="left"/>
      <w:pPr>
        <w:ind w:left="4620" w:hanging="420"/>
      </w:pPr>
      <w:rPr>
        <w:rFonts w:hint="default" w:ascii="Wingdings" w:hAnsi="Wingdings"/>
      </w:rPr>
    </w:lvl>
    <w:lvl w:ilvl="8" w:tentative="0">
      <w:start w:val="1"/>
      <w:numFmt w:val="bullet"/>
      <w:lvlText w:val=""/>
      <w:lvlJc w:val="left"/>
      <w:pPr>
        <w:ind w:left="5040" w:hanging="420"/>
      </w:pPr>
      <w:rPr>
        <w:rFonts w:hint="default" w:ascii="Wingdings" w:hAnsi="Wingdings"/>
      </w:rPr>
    </w:lvl>
  </w:abstractNum>
  <w:abstractNum w:abstractNumId="7">
    <w:nsid w:val="367C044E"/>
    <w:multiLevelType w:val="multilevel"/>
    <w:tmpl w:val="367C044E"/>
    <w:lvl w:ilvl="0" w:tentative="0">
      <w:start w:val="1"/>
      <w:numFmt w:val="bullet"/>
      <w:lvlText w:val=""/>
      <w:lvlJc w:val="left"/>
      <w:pPr>
        <w:ind w:left="2100" w:hanging="420"/>
      </w:pPr>
      <w:rPr>
        <w:rFonts w:hint="default" w:ascii="Wingdings" w:hAnsi="Wingdings"/>
      </w:rPr>
    </w:lvl>
    <w:lvl w:ilvl="1" w:tentative="0">
      <w:start w:val="1"/>
      <w:numFmt w:val="bullet"/>
      <w:lvlText w:val=""/>
      <w:lvlJc w:val="left"/>
      <w:pPr>
        <w:ind w:left="2520" w:hanging="420"/>
      </w:pPr>
      <w:rPr>
        <w:rFonts w:hint="default" w:ascii="Wingdings" w:hAnsi="Wingdings"/>
      </w:rPr>
    </w:lvl>
    <w:lvl w:ilvl="2" w:tentative="0">
      <w:start w:val="1"/>
      <w:numFmt w:val="bullet"/>
      <w:lvlText w:val=""/>
      <w:lvlJc w:val="left"/>
      <w:pPr>
        <w:ind w:left="2940" w:hanging="420"/>
      </w:pPr>
      <w:rPr>
        <w:rFonts w:hint="default" w:ascii="Wingdings" w:hAnsi="Wingdings"/>
      </w:rPr>
    </w:lvl>
    <w:lvl w:ilvl="3" w:tentative="0">
      <w:start w:val="1"/>
      <w:numFmt w:val="bullet"/>
      <w:lvlText w:val=""/>
      <w:lvlJc w:val="left"/>
      <w:pPr>
        <w:ind w:left="3360" w:hanging="420"/>
      </w:pPr>
      <w:rPr>
        <w:rFonts w:hint="default" w:ascii="Wingdings" w:hAnsi="Wingdings"/>
      </w:rPr>
    </w:lvl>
    <w:lvl w:ilvl="4" w:tentative="0">
      <w:start w:val="1"/>
      <w:numFmt w:val="bullet"/>
      <w:lvlText w:val=""/>
      <w:lvlJc w:val="left"/>
      <w:pPr>
        <w:ind w:left="3780" w:hanging="420"/>
      </w:pPr>
      <w:rPr>
        <w:rFonts w:hint="default" w:ascii="Wingdings" w:hAnsi="Wingdings"/>
      </w:rPr>
    </w:lvl>
    <w:lvl w:ilvl="5" w:tentative="0">
      <w:start w:val="1"/>
      <w:numFmt w:val="bullet"/>
      <w:lvlText w:val=""/>
      <w:lvlJc w:val="left"/>
      <w:pPr>
        <w:ind w:left="4200" w:hanging="420"/>
      </w:pPr>
      <w:rPr>
        <w:rFonts w:hint="default" w:ascii="Wingdings" w:hAnsi="Wingdings"/>
      </w:rPr>
    </w:lvl>
    <w:lvl w:ilvl="6" w:tentative="0">
      <w:start w:val="1"/>
      <w:numFmt w:val="bullet"/>
      <w:lvlText w:val=""/>
      <w:lvlJc w:val="left"/>
      <w:pPr>
        <w:ind w:left="4620" w:hanging="420"/>
      </w:pPr>
      <w:rPr>
        <w:rFonts w:hint="default" w:ascii="Wingdings" w:hAnsi="Wingdings"/>
      </w:rPr>
    </w:lvl>
    <w:lvl w:ilvl="7" w:tentative="0">
      <w:start w:val="1"/>
      <w:numFmt w:val="bullet"/>
      <w:lvlText w:val=""/>
      <w:lvlJc w:val="left"/>
      <w:pPr>
        <w:ind w:left="5040" w:hanging="420"/>
      </w:pPr>
      <w:rPr>
        <w:rFonts w:hint="default" w:ascii="Wingdings" w:hAnsi="Wingdings"/>
      </w:rPr>
    </w:lvl>
    <w:lvl w:ilvl="8" w:tentative="0">
      <w:start w:val="1"/>
      <w:numFmt w:val="bullet"/>
      <w:lvlText w:val=""/>
      <w:lvlJc w:val="left"/>
      <w:pPr>
        <w:ind w:left="5460" w:hanging="420"/>
      </w:pPr>
      <w:rPr>
        <w:rFonts w:hint="default" w:ascii="Wingdings" w:hAnsi="Wingdings"/>
      </w:rPr>
    </w:lvl>
  </w:abstractNum>
  <w:abstractNum w:abstractNumId="8">
    <w:nsid w:val="3A9E7989"/>
    <w:multiLevelType w:val="multilevel"/>
    <w:tmpl w:val="3A9E7989"/>
    <w:lvl w:ilvl="0" w:tentative="0">
      <w:start w:val="1"/>
      <w:numFmt w:val="decimal"/>
      <w:lvlText w:val="(%1)"/>
      <w:lvlJc w:val="left"/>
      <w:pPr>
        <w:tabs>
          <w:tab w:val="left" w:pos="1382"/>
        </w:tabs>
        <w:ind w:left="1382" w:hanging="390"/>
      </w:pPr>
      <w:rPr>
        <w:rFonts w:hint="default"/>
      </w:rPr>
    </w:lvl>
    <w:lvl w:ilvl="1" w:tentative="0">
      <w:start w:val="1"/>
      <w:numFmt w:val="lowerLetter"/>
      <w:lvlText w:val="%2)"/>
      <w:lvlJc w:val="left"/>
      <w:pPr>
        <w:tabs>
          <w:tab w:val="left" w:pos="1832"/>
        </w:tabs>
        <w:ind w:left="1832" w:hanging="420"/>
      </w:pPr>
    </w:lvl>
    <w:lvl w:ilvl="2" w:tentative="0">
      <w:start w:val="1"/>
      <w:numFmt w:val="lowerRoman"/>
      <w:lvlText w:val="%3."/>
      <w:lvlJc w:val="right"/>
      <w:pPr>
        <w:tabs>
          <w:tab w:val="left" w:pos="2252"/>
        </w:tabs>
        <w:ind w:left="2252" w:hanging="420"/>
      </w:pPr>
    </w:lvl>
    <w:lvl w:ilvl="3" w:tentative="0">
      <w:start w:val="1"/>
      <w:numFmt w:val="decimal"/>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abstractNum w:abstractNumId="9">
    <w:nsid w:val="3E726D48"/>
    <w:multiLevelType w:val="multilevel"/>
    <w:tmpl w:val="3E726D48"/>
    <w:lvl w:ilvl="0" w:tentative="0">
      <w:start w:val="1"/>
      <w:numFmt w:val="lowerLetter"/>
      <w:lvlText w:val="%1)"/>
      <w:lvlJc w:val="left"/>
      <w:pPr>
        <w:ind w:left="1560" w:hanging="420"/>
      </w:pPr>
    </w:lvl>
    <w:lvl w:ilvl="1" w:tentative="0">
      <w:start w:val="1"/>
      <w:numFmt w:val="lowerLetter"/>
      <w:lvlText w:val="%2)"/>
      <w:lvlJc w:val="left"/>
      <w:pPr>
        <w:ind w:left="1980" w:hanging="420"/>
      </w:pPr>
    </w:lvl>
    <w:lvl w:ilvl="2" w:tentative="0">
      <w:start w:val="1"/>
      <w:numFmt w:val="lowerRoman"/>
      <w:lvlText w:val="%3."/>
      <w:lvlJc w:val="right"/>
      <w:pPr>
        <w:ind w:left="2400" w:hanging="420"/>
      </w:pPr>
    </w:lvl>
    <w:lvl w:ilvl="3" w:tentative="0">
      <w:start w:val="1"/>
      <w:numFmt w:val="decimal"/>
      <w:lvlText w:val="%4."/>
      <w:lvlJc w:val="left"/>
      <w:pPr>
        <w:ind w:left="2820" w:hanging="420"/>
      </w:pPr>
    </w:lvl>
    <w:lvl w:ilvl="4" w:tentative="0">
      <w:start w:val="1"/>
      <w:numFmt w:val="lowerLetter"/>
      <w:lvlText w:val="%5)"/>
      <w:lvlJc w:val="left"/>
      <w:pPr>
        <w:ind w:left="3240" w:hanging="420"/>
      </w:pPr>
    </w:lvl>
    <w:lvl w:ilvl="5" w:tentative="0">
      <w:start w:val="1"/>
      <w:numFmt w:val="lowerRoman"/>
      <w:lvlText w:val="%6."/>
      <w:lvlJc w:val="right"/>
      <w:pPr>
        <w:ind w:left="3660" w:hanging="420"/>
      </w:pPr>
    </w:lvl>
    <w:lvl w:ilvl="6" w:tentative="0">
      <w:start w:val="1"/>
      <w:numFmt w:val="decimal"/>
      <w:lvlText w:val="%7."/>
      <w:lvlJc w:val="left"/>
      <w:pPr>
        <w:ind w:left="4080" w:hanging="420"/>
      </w:pPr>
    </w:lvl>
    <w:lvl w:ilvl="7" w:tentative="0">
      <w:start w:val="1"/>
      <w:numFmt w:val="lowerLetter"/>
      <w:lvlText w:val="%8)"/>
      <w:lvlJc w:val="left"/>
      <w:pPr>
        <w:ind w:left="4500" w:hanging="420"/>
      </w:pPr>
    </w:lvl>
    <w:lvl w:ilvl="8" w:tentative="0">
      <w:start w:val="1"/>
      <w:numFmt w:val="lowerRoman"/>
      <w:lvlText w:val="%9."/>
      <w:lvlJc w:val="right"/>
      <w:pPr>
        <w:ind w:left="4920" w:hanging="420"/>
      </w:pPr>
    </w:lvl>
  </w:abstractNum>
  <w:abstractNum w:abstractNumId="10">
    <w:nsid w:val="43152BE3"/>
    <w:multiLevelType w:val="multilevel"/>
    <w:tmpl w:val="43152BE3"/>
    <w:lvl w:ilvl="0" w:tentative="0">
      <w:start w:val="1"/>
      <w:numFmt w:val="lowerLetter"/>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1">
    <w:nsid w:val="479C7801"/>
    <w:multiLevelType w:val="multilevel"/>
    <w:tmpl w:val="479C7801"/>
    <w:lvl w:ilvl="0" w:tentative="0">
      <w:start w:val="1"/>
      <w:numFmt w:val="upperLetter"/>
      <w:lvlText w:val="%1."/>
      <w:lvlJc w:val="left"/>
      <w:pPr>
        <w:ind w:left="1555" w:hanging="420"/>
      </w:pPr>
    </w:lvl>
    <w:lvl w:ilvl="1" w:tentative="0">
      <w:start w:val="1"/>
      <w:numFmt w:val="lowerLetter"/>
      <w:lvlText w:val="%2)"/>
      <w:lvlJc w:val="left"/>
      <w:pPr>
        <w:ind w:left="1975" w:hanging="420"/>
      </w:pPr>
    </w:lvl>
    <w:lvl w:ilvl="2" w:tentative="0">
      <w:start w:val="1"/>
      <w:numFmt w:val="lowerRoman"/>
      <w:lvlText w:val="%3."/>
      <w:lvlJc w:val="right"/>
      <w:pPr>
        <w:ind w:left="2395" w:hanging="420"/>
      </w:pPr>
    </w:lvl>
    <w:lvl w:ilvl="3" w:tentative="0">
      <w:start w:val="1"/>
      <w:numFmt w:val="decimal"/>
      <w:lvlText w:val="%4."/>
      <w:lvlJc w:val="left"/>
      <w:pPr>
        <w:ind w:left="2815" w:hanging="420"/>
      </w:pPr>
    </w:lvl>
    <w:lvl w:ilvl="4" w:tentative="0">
      <w:start w:val="1"/>
      <w:numFmt w:val="lowerLetter"/>
      <w:lvlText w:val="%5)"/>
      <w:lvlJc w:val="left"/>
      <w:pPr>
        <w:ind w:left="3235" w:hanging="420"/>
      </w:pPr>
    </w:lvl>
    <w:lvl w:ilvl="5" w:tentative="0">
      <w:start w:val="1"/>
      <w:numFmt w:val="lowerRoman"/>
      <w:lvlText w:val="%6."/>
      <w:lvlJc w:val="right"/>
      <w:pPr>
        <w:ind w:left="3655" w:hanging="420"/>
      </w:pPr>
    </w:lvl>
    <w:lvl w:ilvl="6" w:tentative="0">
      <w:start w:val="1"/>
      <w:numFmt w:val="decimal"/>
      <w:lvlText w:val="%7."/>
      <w:lvlJc w:val="left"/>
      <w:pPr>
        <w:ind w:left="4075" w:hanging="420"/>
      </w:pPr>
    </w:lvl>
    <w:lvl w:ilvl="7" w:tentative="0">
      <w:start w:val="1"/>
      <w:numFmt w:val="lowerLetter"/>
      <w:lvlText w:val="%8)"/>
      <w:lvlJc w:val="left"/>
      <w:pPr>
        <w:ind w:left="4495" w:hanging="420"/>
      </w:pPr>
    </w:lvl>
    <w:lvl w:ilvl="8" w:tentative="0">
      <w:start w:val="1"/>
      <w:numFmt w:val="lowerRoman"/>
      <w:lvlText w:val="%9."/>
      <w:lvlJc w:val="right"/>
      <w:pPr>
        <w:ind w:left="4915" w:hanging="420"/>
      </w:pPr>
    </w:lvl>
  </w:abstractNum>
  <w:abstractNum w:abstractNumId="12">
    <w:nsid w:val="4EB25910"/>
    <w:multiLevelType w:val="multilevel"/>
    <w:tmpl w:val="4EB2591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25F5E46"/>
    <w:multiLevelType w:val="multilevel"/>
    <w:tmpl w:val="525F5E46"/>
    <w:lvl w:ilvl="0" w:tentative="0">
      <w:start w:val="1"/>
      <w:numFmt w:val="decimal"/>
      <w:lvlText w:val="%1"/>
      <w:lvlJc w:val="left"/>
      <w:pPr>
        <w:tabs>
          <w:tab w:val="left" w:pos="645"/>
        </w:tabs>
        <w:ind w:left="645" w:hanging="645"/>
      </w:pPr>
      <w:rPr>
        <w:rFonts w:hint="default" w:ascii="Times New Roman" w:hAnsi="Times New Roman" w:cs="Times New Roman"/>
        <w:sz w:val="28"/>
        <w:szCs w:val="28"/>
      </w:rPr>
    </w:lvl>
    <w:lvl w:ilvl="1" w:tentative="0">
      <w:start w:val="1"/>
      <w:numFmt w:val="decimal"/>
      <w:pStyle w:val="7"/>
      <w:lvlText w:val="%1.%2"/>
      <w:lvlJc w:val="left"/>
      <w:pPr>
        <w:tabs>
          <w:tab w:val="left" w:pos="1135"/>
        </w:tabs>
        <w:ind w:left="1135" w:hanging="645"/>
      </w:pPr>
      <w:rPr>
        <w:rFonts w:hint="default" w:ascii="Times New Roman" w:hAnsi="Times New Roman" w:cs="Times New Roman"/>
        <w:b w:val="0"/>
        <w:sz w:val="24"/>
        <w:szCs w:val="24"/>
      </w:rPr>
    </w:lvl>
    <w:lvl w:ilvl="2" w:tentative="0">
      <w:start w:val="1"/>
      <w:numFmt w:val="decimal"/>
      <w:lvlText w:val="%1.%2.%3"/>
      <w:lvlJc w:val="left"/>
      <w:pPr>
        <w:tabs>
          <w:tab w:val="left" w:pos="1700"/>
        </w:tabs>
        <w:ind w:left="1700" w:hanging="720"/>
      </w:pPr>
      <w:rPr>
        <w:rFonts w:hint="default"/>
        <w:b w:val="0"/>
        <w:sz w:val="24"/>
        <w:szCs w:val="24"/>
      </w:rPr>
    </w:lvl>
    <w:lvl w:ilvl="3" w:tentative="0">
      <w:start w:val="1"/>
      <w:numFmt w:val="decimal"/>
      <w:lvlText w:val="%1.%2.%3.%4"/>
      <w:lvlJc w:val="left"/>
      <w:pPr>
        <w:tabs>
          <w:tab w:val="left" w:pos="2190"/>
        </w:tabs>
        <w:ind w:left="2190" w:hanging="720"/>
      </w:pPr>
      <w:rPr>
        <w:rFonts w:hint="default"/>
      </w:rPr>
    </w:lvl>
    <w:lvl w:ilvl="4" w:tentative="0">
      <w:start w:val="1"/>
      <w:numFmt w:val="decimal"/>
      <w:lvlText w:val="%1.%2.%3.%4.%5"/>
      <w:lvlJc w:val="left"/>
      <w:pPr>
        <w:tabs>
          <w:tab w:val="left" w:pos="3040"/>
        </w:tabs>
        <w:ind w:left="3040" w:hanging="1080"/>
      </w:pPr>
      <w:rPr>
        <w:rFonts w:hint="default"/>
      </w:rPr>
    </w:lvl>
    <w:lvl w:ilvl="5" w:tentative="0">
      <w:start w:val="1"/>
      <w:numFmt w:val="decimal"/>
      <w:lvlText w:val="%1.%2.%3.%4.%5.%6"/>
      <w:lvlJc w:val="left"/>
      <w:pPr>
        <w:tabs>
          <w:tab w:val="left" w:pos="3530"/>
        </w:tabs>
        <w:ind w:left="3530" w:hanging="1080"/>
      </w:pPr>
      <w:rPr>
        <w:rFonts w:hint="default"/>
      </w:rPr>
    </w:lvl>
    <w:lvl w:ilvl="6" w:tentative="0">
      <w:start w:val="1"/>
      <w:numFmt w:val="decimal"/>
      <w:lvlText w:val="%1.%2.%3.%4.%5.%6.%7"/>
      <w:lvlJc w:val="left"/>
      <w:pPr>
        <w:tabs>
          <w:tab w:val="left" w:pos="4380"/>
        </w:tabs>
        <w:ind w:left="4380" w:hanging="1440"/>
      </w:pPr>
      <w:rPr>
        <w:rFonts w:hint="default"/>
      </w:rPr>
    </w:lvl>
    <w:lvl w:ilvl="7" w:tentative="0">
      <w:start w:val="1"/>
      <w:numFmt w:val="decimal"/>
      <w:lvlText w:val="%1.%2.%3.%4.%5.%6.%7.%8"/>
      <w:lvlJc w:val="left"/>
      <w:pPr>
        <w:tabs>
          <w:tab w:val="left" w:pos="4870"/>
        </w:tabs>
        <w:ind w:left="4870" w:hanging="1440"/>
      </w:pPr>
      <w:rPr>
        <w:rFonts w:hint="default"/>
      </w:rPr>
    </w:lvl>
    <w:lvl w:ilvl="8" w:tentative="0">
      <w:start w:val="1"/>
      <w:numFmt w:val="decimal"/>
      <w:lvlText w:val="%1.%2.%3.%4.%5.%6.%7.%8.%9"/>
      <w:lvlJc w:val="left"/>
      <w:pPr>
        <w:tabs>
          <w:tab w:val="left" w:pos="5720"/>
        </w:tabs>
        <w:ind w:left="5720" w:hanging="1800"/>
      </w:pPr>
      <w:rPr>
        <w:rFonts w:hint="default"/>
      </w:rPr>
    </w:lvl>
  </w:abstractNum>
  <w:abstractNum w:abstractNumId="14">
    <w:nsid w:val="5B1D3CAE"/>
    <w:multiLevelType w:val="multilevel"/>
    <w:tmpl w:val="5B1D3CAE"/>
    <w:lvl w:ilvl="0" w:tentative="0">
      <w:start w:val="1"/>
      <w:numFmt w:val="decimal"/>
      <w:lvlText w:val="3.%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5F046847"/>
    <w:multiLevelType w:val="multilevel"/>
    <w:tmpl w:val="5F046847"/>
    <w:lvl w:ilvl="0" w:tentative="0">
      <w:start w:val="1"/>
      <w:numFmt w:val="lowerLetter"/>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6">
    <w:nsid w:val="61BC41AA"/>
    <w:multiLevelType w:val="multilevel"/>
    <w:tmpl w:val="61BC41AA"/>
    <w:lvl w:ilvl="0" w:tentative="0">
      <w:start w:val="1"/>
      <w:numFmt w:val="decimal"/>
      <w:lvlText w:val="%1."/>
      <w:lvlJc w:val="left"/>
      <w:pPr>
        <w:ind w:left="1080" w:hanging="36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7">
    <w:nsid w:val="6C1FD62A"/>
    <w:multiLevelType w:val="singleLevel"/>
    <w:tmpl w:val="6C1FD62A"/>
    <w:lvl w:ilvl="0" w:tentative="0">
      <w:start w:val="1"/>
      <w:numFmt w:val="decimal"/>
      <w:suff w:val="nothing"/>
      <w:lvlText w:val="2.1.%1"/>
      <w:lvlJc w:val="left"/>
      <w:pPr>
        <w:ind w:left="0" w:firstLine="403"/>
      </w:pPr>
      <w:rPr>
        <w:rFonts w:hint="default"/>
      </w:rPr>
    </w:lvl>
  </w:abstractNum>
  <w:abstractNum w:abstractNumId="18">
    <w:nsid w:val="6DE370C9"/>
    <w:multiLevelType w:val="multilevel"/>
    <w:tmpl w:val="6DE370C9"/>
    <w:lvl w:ilvl="0" w:tentative="0">
      <w:start w:val="1"/>
      <w:numFmt w:val="decimal"/>
      <w:lvlText w:val="%1"/>
      <w:lvlJc w:val="left"/>
      <w:pPr>
        <w:tabs>
          <w:tab w:val="left" w:pos="425"/>
        </w:tabs>
        <w:ind w:left="425" w:hanging="425"/>
      </w:pPr>
      <w:rPr>
        <w:rFonts w:hint="default"/>
      </w:rPr>
    </w:lvl>
    <w:lvl w:ilvl="1" w:tentative="0">
      <w:start w:val="1"/>
      <w:numFmt w:val="decimal"/>
      <w:lvlText w:val="%1.%2"/>
      <w:lvlJc w:val="left"/>
      <w:pPr>
        <w:tabs>
          <w:tab w:val="left" w:pos="992"/>
        </w:tabs>
        <w:ind w:left="992" w:hanging="567"/>
      </w:pPr>
      <w:rPr>
        <w:rFonts w:hint="default"/>
        <w:b w:val="0"/>
        <w:i w:val="0"/>
        <w:sz w:val="24"/>
        <w:szCs w:val="24"/>
      </w:rPr>
    </w:lvl>
    <w:lvl w:ilvl="2" w:tentative="0">
      <w:start w:val="1"/>
      <w:numFmt w:val="decimal"/>
      <w:lvlText w:val="%1.%2.%3"/>
      <w:lvlJc w:val="left"/>
      <w:pPr>
        <w:tabs>
          <w:tab w:val="left" w:pos="1418"/>
        </w:tabs>
        <w:ind w:left="1418" w:hanging="567"/>
      </w:pPr>
      <w:rPr>
        <w:rFonts w:hint="default"/>
      </w:rPr>
    </w:lvl>
    <w:lvl w:ilvl="3" w:tentative="0">
      <w:start w:val="1"/>
      <w:numFmt w:val="decimal"/>
      <w:lvlText w:val="%1.%2.%3.%4"/>
      <w:lvlJc w:val="left"/>
      <w:pPr>
        <w:tabs>
          <w:tab w:val="left" w:pos="1984"/>
        </w:tabs>
        <w:ind w:left="1984" w:hanging="708"/>
      </w:pPr>
      <w:rPr>
        <w:rFonts w:hint="default"/>
      </w:rPr>
    </w:lvl>
    <w:lvl w:ilvl="4" w:tentative="0">
      <w:start w:val="1"/>
      <w:numFmt w:val="decimal"/>
      <w:lvlText w:val="%1.%2.%3.%4.%5"/>
      <w:lvlJc w:val="left"/>
      <w:pPr>
        <w:tabs>
          <w:tab w:val="left" w:pos="2551"/>
        </w:tabs>
        <w:ind w:left="2551" w:hanging="850"/>
      </w:pPr>
      <w:rPr>
        <w:rFonts w:hint="default"/>
      </w:rPr>
    </w:lvl>
    <w:lvl w:ilvl="5" w:tentative="0">
      <w:start w:val="1"/>
      <w:numFmt w:val="decimal"/>
      <w:lvlText w:val="%1.%2.%3.%4.%5.%6"/>
      <w:lvlJc w:val="left"/>
      <w:pPr>
        <w:tabs>
          <w:tab w:val="left" w:pos="3260"/>
        </w:tabs>
        <w:ind w:left="3260" w:hanging="1134"/>
      </w:pPr>
      <w:rPr>
        <w:rFonts w:hint="default"/>
      </w:rPr>
    </w:lvl>
    <w:lvl w:ilvl="6" w:tentative="0">
      <w:start w:val="1"/>
      <w:numFmt w:val="decimal"/>
      <w:lvlText w:val="%1.%2.%3.%4.%5.%6.%7"/>
      <w:lvlJc w:val="left"/>
      <w:pPr>
        <w:tabs>
          <w:tab w:val="left" w:pos="3827"/>
        </w:tabs>
        <w:ind w:left="3827" w:hanging="1276"/>
      </w:pPr>
      <w:rPr>
        <w:rFonts w:hint="default"/>
      </w:rPr>
    </w:lvl>
    <w:lvl w:ilvl="7" w:tentative="0">
      <w:start w:val="1"/>
      <w:numFmt w:val="decimal"/>
      <w:lvlText w:val="%1.%2.%3.%4.%5.%6.%7.%8"/>
      <w:lvlJc w:val="left"/>
      <w:pPr>
        <w:tabs>
          <w:tab w:val="left" w:pos="4394"/>
        </w:tabs>
        <w:ind w:left="4394" w:hanging="1418"/>
      </w:pPr>
      <w:rPr>
        <w:rFonts w:hint="default"/>
      </w:rPr>
    </w:lvl>
    <w:lvl w:ilvl="8" w:tentative="0">
      <w:start w:val="1"/>
      <w:numFmt w:val="decimal"/>
      <w:lvlText w:val="%1.%2.%3.%4.%5.%6.%7.%8.%9"/>
      <w:lvlJc w:val="left"/>
      <w:pPr>
        <w:tabs>
          <w:tab w:val="left" w:pos="5102"/>
        </w:tabs>
        <w:ind w:left="5102" w:hanging="1700"/>
      </w:pPr>
      <w:rPr>
        <w:rFonts w:hint="default"/>
      </w:rPr>
    </w:lvl>
  </w:abstractNum>
  <w:abstractNum w:abstractNumId="19">
    <w:nsid w:val="77B65E8F"/>
    <w:multiLevelType w:val="multilevel"/>
    <w:tmpl w:val="77B65E8F"/>
    <w:lvl w:ilvl="0" w:tentative="0">
      <w:start w:val="1"/>
      <w:numFmt w:val="bullet"/>
      <w:lvlText w:val=""/>
      <w:lvlJc w:val="left"/>
      <w:pPr>
        <w:ind w:left="1740" w:hanging="420"/>
      </w:pPr>
      <w:rPr>
        <w:rFonts w:hint="default" w:ascii="Wingdings" w:hAnsi="Wingdings"/>
      </w:rPr>
    </w:lvl>
    <w:lvl w:ilvl="1" w:tentative="0">
      <w:start w:val="1"/>
      <w:numFmt w:val="bullet"/>
      <w:lvlText w:val=""/>
      <w:lvlJc w:val="left"/>
      <w:pPr>
        <w:ind w:left="2160" w:hanging="420"/>
      </w:pPr>
      <w:rPr>
        <w:rFonts w:hint="default" w:ascii="Wingdings" w:hAnsi="Wingdings"/>
      </w:rPr>
    </w:lvl>
    <w:lvl w:ilvl="2" w:tentative="0">
      <w:start w:val="1"/>
      <w:numFmt w:val="bullet"/>
      <w:lvlText w:val=""/>
      <w:lvlJc w:val="left"/>
      <w:pPr>
        <w:ind w:left="2580" w:hanging="420"/>
      </w:pPr>
      <w:rPr>
        <w:rFonts w:hint="default" w:ascii="Wingdings" w:hAnsi="Wingdings"/>
      </w:rPr>
    </w:lvl>
    <w:lvl w:ilvl="3" w:tentative="0">
      <w:start w:val="1"/>
      <w:numFmt w:val="bullet"/>
      <w:lvlText w:val=""/>
      <w:lvlJc w:val="left"/>
      <w:pPr>
        <w:ind w:left="3000" w:hanging="420"/>
      </w:pPr>
      <w:rPr>
        <w:rFonts w:hint="default" w:ascii="Wingdings" w:hAnsi="Wingdings"/>
      </w:rPr>
    </w:lvl>
    <w:lvl w:ilvl="4" w:tentative="0">
      <w:start w:val="1"/>
      <w:numFmt w:val="bullet"/>
      <w:lvlText w:val=""/>
      <w:lvlJc w:val="left"/>
      <w:pPr>
        <w:ind w:left="3420" w:hanging="420"/>
      </w:pPr>
      <w:rPr>
        <w:rFonts w:hint="default" w:ascii="Wingdings" w:hAnsi="Wingdings"/>
      </w:rPr>
    </w:lvl>
    <w:lvl w:ilvl="5" w:tentative="0">
      <w:start w:val="1"/>
      <w:numFmt w:val="bullet"/>
      <w:lvlText w:val=""/>
      <w:lvlJc w:val="left"/>
      <w:pPr>
        <w:ind w:left="3840" w:hanging="420"/>
      </w:pPr>
      <w:rPr>
        <w:rFonts w:hint="default" w:ascii="Wingdings" w:hAnsi="Wingdings"/>
      </w:rPr>
    </w:lvl>
    <w:lvl w:ilvl="6" w:tentative="0">
      <w:start w:val="1"/>
      <w:numFmt w:val="bullet"/>
      <w:lvlText w:val=""/>
      <w:lvlJc w:val="left"/>
      <w:pPr>
        <w:ind w:left="4260" w:hanging="420"/>
      </w:pPr>
      <w:rPr>
        <w:rFonts w:hint="default" w:ascii="Wingdings" w:hAnsi="Wingdings"/>
      </w:rPr>
    </w:lvl>
    <w:lvl w:ilvl="7" w:tentative="0">
      <w:start w:val="1"/>
      <w:numFmt w:val="bullet"/>
      <w:lvlText w:val=""/>
      <w:lvlJc w:val="left"/>
      <w:pPr>
        <w:ind w:left="4680" w:hanging="420"/>
      </w:pPr>
      <w:rPr>
        <w:rFonts w:hint="default" w:ascii="Wingdings" w:hAnsi="Wingdings"/>
      </w:rPr>
    </w:lvl>
    <w:lvl w:ilvl="8" w:tentative="0">
      <w:start w:val="1"/>
      <w:numFmt w:val="bullet"/>
      <w:lvlText w:val=""/>
      <w:lvlJc w:val="left"/>
      <w:pPr>
        <w:ind w:left="5100" w:hanging="420"/>
      </w:pPr>
      <w:rPr>
        <w:rFonts w:hint="default" w:ascii="Wingdings" w:hAnsi="Wingdings"/>
      </w:rPr>
    </w:lvl>
  </w:abstractNum>
  <w:abstractNum w:abstractNumId="20">
    <w:nsid w:val="7BE421B9"/>
    <w:multiLevelType w:val="multilevel"/>
    <w:tmpl w:val="7BE421B9"/>
    <w:lvl w:ilvl="0" w:tentative="0">
      <w:start w:val="2"/>
      <w:numFmt w:val="decimal"/>
      <w:lvlText w:val="%1"/>
      <w:lvlJc w:val="left"/>
      <w:pPr>
        <w:tabs>
          <w:tab w:val="left" w:pos="645"/>
        </w:tabs>
        <w:ind w:left="645" w:hanging="645"/>
      </w:pPr>
      <w:rPr>
        <w:rFonts w:hint="default"/>
      </w:rPr>
    </w:lvl>
    <w:lvl w:ilvl="1" w:tentative="0">
      <w:start w:val="1"/>
      <w:numFmt w:val="decimal"/>
      <w:lvlText w:val="%1.%2"/>
      <w:lvlJc w:val="left"/>
      <w:pPr>
        <w:tabs>
          <w:tab w:val="left" w:pos="1135"/>
        </w:tabs>
        <w:ind w:left="1135" w:hanging="645"/>
      </w:pPr>
      <w:rPr>
        <w:rFonts w:hint="default"/>
        <w:b w:val="0"/>
        <w:i w:val="0"/>
        <w:sz w:val="24"/>
        <w:szCs w:val="24"/>
      </w:rPr>
    </w:lvl>
    <w:lvl w:ilvl="2" w:tentative="0">
      <w:start w:val="1"/>
      <w:numFmt w:val="decimal"/>
      <w:lvlText w:val="%1.%2.%3"/>
      <w:lvlJc w:val="left"/>
      <w:pPr>
        <w:tabs>
          <w:tab w:val="left" w:pos="1700"/>
        </w:tabs>
        <w:ind w:left="1700" w:hanging="720"/>
      </w:pPr>
      <w:rPr>
        <w:rFonts w:hint="default"/>
      </w:rPr>
    </w:lvl>
    <w:lvl w:ilvl="3" w:tentative="0">
      <w:start w:val="1"/>
      <w:numFmt w:val="decimal"/>
      <w:lvlText w:val="%1.%2.%3.%4"/>
      <w:lvlJc w:val="left"/>
      <w:pPr>
        <w:tabs>
          <w:tab w:val="left" w:pos="2190"/>
        </w:tabs>
        <w:ind w:left="2190" w:hanging="720"/>
      </w:pPr>
      <w:rPr>
        <w:rFonts w:hint="default"/>
      </w:rPr>
    </w:lvl>
    <w:lvl w:ilvl="4" w:tentative="0">
      <w:start w:val="1"/>
      <w:numFmt w:val="decimal"/>
      <w:lvlText w:val="%1.%2.%3.%4.%5"/>
      <w:lvlJc w:val="left"/>
      <w:pPr>
        <w:tabs>
          <w:tab w:val="left" w:pos="3040"/>
        </w:tabs>
        <w:ind w:left="3040" w:hanging="1080"/>
      </w:pPr>
      <w:rPr>
        <w:rFonts w:hint="default"/>
      </w:rPr>
    </w:lvl>
    <w:lvl w:ilvl="5" w:tentative="0">
      <w:start w:val="1"/>
      <w:numFmt w:val="decimal"/>
      <w:lvlText w:val="%1.%2.%3.%4.%5.%6"/>
      <w:lvlJc w:val="left"/>
      <w:pPr>
        <w:tabs>
          <w:tab w:val="left" w:pos="3530"/>
        </w:tabs>
        <w:ind w:left="3530" w:hanging="1080"/>
      </w:pPr>
      <w:rPr>
        <w:rFonts w:hint="default"/>
      </w:rPr>
    </w:lvl>
    <w:lvl w:ilvl="6" w:tentative="0">
      <w:start w:val="1"/>
      <w:numFmt w:val="decimal"/>
      <w:lvlText w:val="%1.%2.%3.%4.%5.%6.%7"/>
      <w:lvlJc w:val="left"/>
      <w:pPr>
        <w:tabs>
          <w:tab w:val="left" w:pos="4380"/>
        </w:tabs>
        <w:ind w:left="4380" w:hanging="1440"/>
      </w:pPr>
      <w:rPr>
        <w:rFonts w:hint="default"/>
      </w:rPr>
    </w:lvl>
    <w:lvl w:ilvl="7" w:tentative="0">
      <w:start w:val="1"/>
      <w:numFmt w:val="decimal"/>
      <w:lvlText w:val="%1.%2.%3.%4.%5.%6.%7.%8"/>
      <w:lvlJc w:val="left"/>
      <w:pPr>
        <w:tabs>
          <w:tab w:val="left" w:pos="4870"/>
        </w:tabs>
        <w:ind w:left="4870" w:hanging="1440"/>
      </w:pPr>
      <w:rPr>
        <w:rFonts w:hint="default"/>
      </w:rPr>
    </w:lvl>
    <w:lvl w:ilvl="8" w:tentative="0">
      <w:start w:val="1"/>
      <w:numFmt w:val="decimal"/>
      <w:lvlText w:val="%1.%2.%3.%4.%5.%6.%7.%8.%9"/>
      <w:lvlJc w:val="left"/>
      <w:pPr>
        <w:tabs>
          <w:tab w:val="left" w:pos="5720"/>
        </w:tabs>
        <w:ind w:left="5720" w:hanging="1800"/>
      </w:pPr>
      <w:rPr>
        <w:rFonts w:hint="default"/>
      </w:rPr>
    </w:lvl>
  </w:abstractNum>
  <w:num w:numId="1">
    <w:abstractNumId w:val="13"/>
  </w:num>
  <w:num w:numId="2">
    <w:abstractNumId w:val="12"/>
  </w:num>
  <w:num w:numId="3">
    <w:abstractNumId w:val="14"/>
  </w:num>
  <w:num w:numId="4">
    <w:abstractNumId w:val="1"/>
  </w:num>
  <w:num w:numId="5">
    <w:abstractNumId w:val="15"/>
  </w:num>
  <w:num w:numId="6">
    <w:abstractNumId w:val="11"/>
  </w:num>
  <w:num w:numId="7">
    <w:abstractNumId w:val="10"/>
  </w:num>
  <w:num w:numId="8">
    <w:abstractNumId w:val="5"/>
  </w:num>
  <w:num w:numId="9">
    <w:abstractNumId w:val="0"/>
  </w:num>
  <w:num w:numId="10">
    <w:abstractNumId w:val="19"/>
  </w:num>
  <w:num w:numId="11">
    <w:abstractNumId w:val="7"/>
  </w:num>
  <w:num w:numId="12">
    <w:abstractNumId w:val="6"/>
  </w:num>
  <w:num w:numId="13">
    <w:abstractNumId w:val="9"/>
  </w:num>
  <w:num w:numId="14">
    <w:abstractNumId w:val="16"/>
  </w:num>
  <w:num w:numId="15">
    <w:abstractNumId w:val="3"/>
  </w:num>
  <w:num w:numId="16">
    <w:abstractNumId w:val="18"/>
  </w:num>
  <w:num w:numId="17">
    <w:abstractNumId w:val="4"/>
  </w:num>
  <w:num w:numId="18">
    <w:abstractNumId w:val="17"/>
  </w:num>
  <w:num w:numId="19">
    <w:abstractNumId w:val="8"/>
  </w:num>
  <w:num w:numId="20">
    <w:abstractNumId w:val="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71292"/>
    <w:rsid w:val="000005C9"/>
    <w:rsid w:val="00002E9B"/>
    <w:rsid w:val="00003E2A"/>
    <w:rsid w:val="00003E90"/>
    <w:rsid w:val="00005C0F"/>
    <w:rsid w:val="00006D03"/>
    <w:rsid w:val="00010C5B"/>
    <w:rsid w:val="00010F36"/>
    <w:rsid w:val="000129A0"/>
    <w:rsid w:val="00015EE4"/>
    <w:rsid w:val="000163C3"/>
    <w:rsid w:val="00016FF6"/>
    <w:rsid w:val="00020003"/>
    <w:rsid w:val="00021210"/>
    <w:rsid w:val="00022618"/>
    <w:rsid w:val="00022FF7"/>
    <w:rsid w:val="00024834"/>
    <w:rsid w:val="000258BB"/>
    <w:rsid w:val="000260F7"/>
    <w:rsid w:val="000268D0"/>
    <w:rsid w:val="0002708C"/>
    <w:rsid w:val="00027182"/>
    <w:rsid w:val="000275E5"/>
    <w:rsid w:val="0003006E"/>
    <w:rsid w:val="00030ADD"/>
    <w:rsid w:val="00031BC8"/>
    <w:rsid w:val="00032E11"/>
    <w:rsid w:val="0003408F"/>
    <w:rsid w:val="00034F79"/>
    <w:rsid w:val="00035C0A"/>
    <w:rsid w:val="00035E73"/>
    <w:rsid w:val="00037608"/>
    <w:rsid w:val="00037BFA"/>
    <w:rsid w:val="0004204A"/>
    <w:rsid w:val="0004211E"/>
    <w:rsid w:val="000438FC"/>
    <w:rsid w:val="00044986"/>
    <w:rsid w:val="000452D3"/>
    <w:rsid w:val="00045DF1"/>
    <w:rsid w:val="0004739C"/>
    <w:rsid w:val="000478C2"/>
    <w:rsid w:val="00047CCA"/>
    <w:rsid w:val="000506D6"/>
    <w:rsid w:val="00053C61"/>
    <w:rsid w:val="00056699"/>
    <w:rsid w:val="00056721"/>
    <w:rsid w:val="00057526"/>
    <w:rsid w:val="00057E67"/>
    <w:rsid w:val="00060D7E"/>
    <w:rsid w:val="000622FA"/>
    <w:rsid w:val="000630EF"/>
    <w:rsid w:val="00063E81"/>
    <w:rsid w:val="000653A4"/>
    <w:rsid w:val="00065699"/>
    <w:rsid w:val="00070848"/>
    <w:rsid w:val="00071265"/>
    <w:rsid w:val="00071AF1"/>
    <w:rsid w:val="00072A8F"/>
    <w:rsid w:val="0007402D"/>
    <w:rsid w:val="000745A4"/>
    <w:rsid w:val="00076588"/>
    <w:rsid w:val="00076787"/>
    <w:rsid w:val="000768DA"/>
    <w:rsid w:val="00080AA1"/>
    <w:rsid w:val="00085EB7"/>
    <w:rsid w:val="00086567"/>
    <w:rsid w:val="00086F1E"/>
    <w:rsid w:val="00087104"/>
    <w:rsid w:val="00090657"/>
    <w:rsid w:val="00090833"/>
    <w:rsid w:val="00094EB2"/>
    <w:rsid w:val="0009535B"/>
    <w:rsid w:val="00095A38"/>
    <w:rsid w:val="00096D94"/>
    <w:rsid w:val="000A06C5"/>
    <w:rsid w:val="000A0EC2"/>
    <w:rsid w:val="000A0F90"/>
    <w:rsid w:val="000A489D"/>
    <w:rsid w:val="000A7339"/>
    <w:rsid w:val="000A7D9B"/>
    <w:rsid w:val="000B04FC"/>
    <w:rsid w:val="000B1025"/>
    <w:rsid w:val="000B3CBA"/>
    <w:rsid w:val="000B4E84"/>
    <w:rsid w:val="000B50C1"/>
    <w:rsid w:val="000B7B7F"/>
    <w:rsid w:val="000C35C4"/>
    <w:rsid w:val="000C4A11"/>
    <w:rsid w:val="000C579F"/>
    <w:rsid w:val="000C6955"/>
    <w:rsid w:val="000C7813"/>
    <w:rsid w:val="000D01C0"/>
    <w:rsid w:val="000D065A"/>
    <w:rsid w:val="000D0C31"/>
    <w:rsid w:val="000D1F4C"/>
    <w:rsid w:val="000D31EB"/>
    <w:rsid w:val="000D3525"/>
    <w:rsid w:val="000D3966"/>
    <w:rsid w:val="000D3DB9"/>
    <w:rsid w:val="000D4052"/>
    <w:rsid w:val="000D47DB"/>
    <w:rsid w:val="000D51E6"/>
    <w:rsid w:val="000D5CB5"/>
    <w:rsid w:val="000E00DD"/>
    <w:rsid w:val="000E05EF"/>
    <w:rsid w:val="000E0BDB"/>
    <w:rsid w:val="000E1215"/>
    <w:rsid w:val="000E1D9A"/>
    <w:rsid w:val="000E391D"/>
    <w:rsid w:val="000E7300"/>
    <w:rsid w:val="000E79EC"/>
    <w:rsid w:val="000F04F7"/>
    <w:rsid w:val="000F0C38"/>
    <w:rsid w:val="000F3456"/>
    <w:rsid w:val="000F3A94"/>
    <w:rsid w:val="000F4243"/>
    <w:rsid w:val="000F556B"/>
    <w:rsid w:val="000F6A22"/>
    <w:rsid w:val="00100A34"/>
    <w:rsid w:val="00101032"/>
    <w:rsid w:val="001027C8"/>
    <w:rsid w:val="0010310F"/>
    <w:rsid w:val="0010508B"/>
    <w:rsid w:val="00105760"/>
    <w:rsid w:val="00105F4C"/>
    <w:rsid w:val="00106942"/>
    <w:rsid w:val="00107185"/>
    <w:rsid w:val="00107C7B"/>
    <w:rsid w:val="00111EFD"/>
    <w:rsid w:val="00113578"/>
    <w:rsid w:val="00113E4C"/>
    <w:rsid w:val="00114E8A"/>
    <w:rsid w:val="00114F8A"/>
    <w:rsid w:val="001151B8"/>
    <w:rsid w:val="00116D83"/>
    <w:rsid w:val="001175FD"/>
    <w:rsid w:val="001215AA"/>
    <w:rsid w:val="001233CC"/>
    <w:rsid w:val="00123467"/>
    <w:rsid w:val="00123FA5"/>
    <w:rsid w:val="00125428"/>
    <w:rsid w:val="00125525"/>
    <w:rsid w:val="001256E3"/>
    <w:rsid w:val="0012670F"/>
    <w:rsid w:val="00127A73"/>
    <w:rsid w:val="001307CC"/>
    <w:rsid w:val="00131C81"/>
    <w:rsid w:val="00134292"/>
    <w:rsid w:val="00134A5C"/>
    <w:rsid w:val="00134F41"/>
    <w:rsid w:val="00135659"/>
    <w:rsid w:val="00135CA5"/>
    <w:rsid w:val="00136E40"/>
    <w:rsid w:val="00136FD2"/>
    <w:rsid w:val="001404A2"/>
    <w:rsid w:val="001413A7"/>
    <w:rsid w:val="001417B7"/>
    <w:rsid w:val="00142A26"/>
    <w:rsid w:val="00144042"/>
    <w:rsid w:val="001457E0"/>
    <w:rsid w:val="0015129A"/>
    <w:rsid w:val="001516C2"/>
    <w:rsid w:val="00153D35"/>
    <w:rsid w:val="00157665"/>
    <w:rsid w:val="00161781"/>
    <w:rsid w:val="001641C2"/>
    <w:rsid w:val="00164C0C"/>
    <w:rsid w:val="00164D26"/>
    <w:rsid w:val="00170044"/>
    <w:rsid w:val="001701F6"/>
    <w:rsid w:val="0017275B"/>
    <w:rsid w:val="001728B5"/>
    <w:rsid w:val="00176942"/>
    <w:rsid w:val="00177957"/>
    <w:rsid w:val="0018187C"/>
    <w:rsid w:val="00181F99"/>
    <w:rsid w:val="00182189"/>
    <w:rsid w:val="00182EF9"/>
    <w:rsid w:val="0018311D"/>
    <w:rsid w:val="001831A0"/>
    <w:rsid w:val="00183807"/>
    <w:rsid w:val="00183915"/>
    <w:rsid w:val="00186300"/>
    <w:rsid w:val="00186807"/>
    <w:rsid w:val="00186F33"/>
    <w:rsid w:val="00187CF6"/>
    <w:rsid w:val="001922B1"/>
    <w:rsid w:val="00192CD6"/>
    <w:rsid w:val="00197FF6"/>
    <w:rsid w:val="001A0427"/>
    <w:rsid w:val="001A1A45"/>
    <w:rsid w:val="001A42EB"/>
    <w:rsid w:val="001A5B79"/>
    <w:rsid w:val="001A604A"/>
    <w:rsid w:val="001B2821"/>
    <w:rsid w:val="001B3A64"/>
    <w:rsid w:val="001B4B55"/>
    <w:rsid w:val="001B57E8"/>
    <w:rsid w:val="001C1013"/>
    <w:rsid w:val="001C13E3"/>
    <w:rsid w:val="001C16F4"/>
    <w:rsid w:val="001C1E68"/>
    <w:rsid w:val="001C2C0F"/>
    <w:rsid w:val="001C2F22"/>
    <w:rsid w:val="001C453E"/>
    <w:rsid w:val="001C5541"/>
    <w:rsid w:val="001C5C2E"/>
    <w:rsid w:val="001C6816"/>
    <w:rsid w:val="001D0BD2"/>
    <w:rsid w:val="001D311E"/>
    <w:rsid w:val="001D4E3C"/>
    <w:rsid w:val="001D570C"/>
    <w:rsid w:val="001D724E"/>
    <w:rsid w:val="001D7FDF"/>
    <w:rsid w:val="001E0244"/>
    <w:rsid w:val="001E1439"/>
    <w:rsid w:val="001E1E94"/>
    <w:rsid w:val="001E4BC9"/>
    <w:rsid w:val="001E586A"/>
    <w:rsid w:val="001E65B2"/>
    <w:rsid w:val="001E7225"/>
    <w:rsid w:val="001E7AFC"/>
    <w:rsid w:val="001F1750"/>
    <w:rsid w:val="001F277A"/>
    <w:rsid w:val="00201B6E"/>
    <w:rsid w:val="002036E8"/>
    <w:rsid w:val="00203A3A"/>
    <w:rsid w:val="002057FD"/>
    <w:rsid w:val="002062FB"/>
    <w:rsid w:val="00206643"/>
    <w:rsid w:val="002068A0"/>
    <w:rsid w:val="002105DD"/>
    <w:rsid w:val="00210868"/>
    <w:rsid w:val="00211277"/>
    <w:rsid w:val="00211D1C"/>
    <w:rsid w:val="002138CE"/>
    <w:rsid w:val="00213E02"/>
    <w:rsid w:val="00215EA8"/>
    <w:rsid w:val="00216FD7"/>
    <w:rsid w:val="00217642"/>
    <w:rsid w:val="002211CB"/>
    <w:rsid w:val="0022258E"/>
    <w:rsid w:val="00222E06"/>
    <w:rsid w:val="00223D06"/>
    <w:rsid w:val="002243A4"/>
    <w:rsid w:val="00224634"/>
    <w:rsid w:val="00226B47"/>
    <w:rsid w:val="002316D8"/>
    <w:rsid w:val="00231D28"/>
    <w:rsid w:val="00233327"/>
    <w:rsid w:val="0023371B"/>
    <w:rsid w:val="00236270"/>
    <w:rsid w:val="00236858"/>
    <w:rsid w:val="00236A65"/>
    <w:rsid w:val="0024096A"/>
    <w:rsid w:val="00241C6F"/>
    <w:rsid w:val="00242FBD"/>
    <w:rsid w:val="002435C9"/>
    <w:rsid w:val="00244242"/>
    <w:rsid w:val="00244E3C"/>
    <w:rsid w:val="00244EF7"/>
    <w:rsid w:val="00245570"/>
    <w:rsid w:val="002503EC"/>
    <w:rsid w:val="00250987"/>
    <w:rsid w:val="00252E1D"/>
    <w:rsid w:val="00253458"/>
    <w:rsid w:val="00253776"/>
    <w:rsid w:val="002542F9"/>
    <w:rsid w:val="00255029"/>
    <w:rsid w:val="00256104"/>
    <w:rsid w:val="002564B1"/>
    <w:rsid w:val="00256D36"/>
    <w:rsid w:val="00256DAF"/>
    <w:rsid w:val="00256DE6"/>
    <w:rsid w:val="0025748C"/>
    <w:rsid w:val="002579A3"/>
    <w:rsid w:val="0026055E"/>
    <w:rsid w:val="00260671"/>
    <w:rsid w:val="00261092"/>
    <w:rsid w:val="002617D0"/>
    <w:rsid w:val="00261897"/>
    <w:rsid w:val="002620E9"/>
    <w:rsid w:val="00262546"/>
    <w:rsid w:val="00262EEE"/>
    <w:rsid w:val="00264BAD"/>
    <w:rsid w:val="00264E56"/>
    <w:rsid w:val="00265D84"/>
    <w:rsid w:val="00266656"/>
    <w:rsid w:val="00267476"/>
    <w:rsid w:val="00270D9B"/>
    <w:rsid w:val="00271A66"/>
    <w:rsid w:val="002722FF"/>
    <w:rsid w:val="0027380A"/>
    <w:rsid w:val="00273A70"/>
    <w:rsid w:val="00274CB0"/>
    <w:rsid w:val="00274FB2"/>
    <w:rsid w:val="00276FCE"/>
    <w:rsid w:val="0027768F"/>
    <w:rsid w:val="002804C4"/>
    <w:rsid w:val="002808D0"/>
    <w:rsid w:val="0028135A"/>
    <w:rsid w:val="00282440"/>
    <w:rsid w:val="002829DA"/>
    <w:rsid w:val="00282B24"/>
    <w:rsid w:val="00282EAC"/>
    <w:rsid w:val="00283016"/>
    <w:rsid w:val="0028315B"/>
    <w:rsid w:val="0028352B"/>
    <w:rsid w:val="002847D7"/>
    <w:rsid w:val="00284FBB"/>
    <w:rsid w:val="00286929"/>
    <w:rsid w:val="00286BAE"/>
    <w:rsid w:val="00287177"/>
    <w:rsid w:val="00287BB6"/>
    <w:rsid w:val="002902F5"/>
    <w:rsid w:val="00290676"/>
    <w:rsid w:val="00290BFA"/>
    <w:rsid w:val="0029401B"/>
    <w:rsid w:val="00295AB9"/>
    <w:rsid w:val="002A06A4"/>
    <w:rsid w:val="002A0E7B"/>
    <w:rsid w:val="002A23D1"/>
    <w:rsid w:val="002A27D6"/>
    <w:rsid w:val="002A3913"/>
    <w:rsid w:val="002A3ABD"/>
    <w:rsid w:val="002A5860"/>
    <w:rsid w:val="002B008F"/>
    <w:rsid w:val="002B275C"/>
    <w:rsid w:val="002B5987"/>
    <w:rsid w:val="002C16EE"/>
    <w:rsid w:val="002C48D5"/>
    <w:rsid w:val="002C4DCD"/>
    <w:rsid w:val="002C67DB"/>
    <w:rsid w:val="002C68CF"/>
    <w:rsid w:val="002C6C13"/>
    <w:rsid w:val="002D020D"/>
    <w:rsid w:val="002D12CC"/>
    <w:rsid w:val="002D348F"/>
    <w:rsid w:val="002D4233"/>
    <w:rsid w:val="002D5363"/>
    <w:rsid w:val="002D55E8"/>
    <w:rsid w:val="002D6B85"/>
    <w:rsid w:val="002E22AD"/>
    <w:rsid w:val="002E2823"/>
    <w:rsid w:val="002E2CCC"/>
    <w:rsid w:val="002E3A0E"/>
    <w:rsid w:val="002E46DB"/>
    <w:rsid w:val="002E4CFE"/>
    <w:rsid w:val="002E71D2"/>
    <w:rsid w:val="002E788B"/>
    <w:rsid w:val="002F0901"/>
    <w:rsid w:val="002F1517"/>
    <w:rsid w:val="002F1896"/>
    <w:rsid w:val="002F1D12"/>
    <w:rsid w:val="002F1FDE"/>
    <w:rsid w:val="002F28DF"/>
    <w:rsid w:val="002F36B5"/>
    <w:rsid w:val="002F78AE"/>
    <w:rsid w:val="0030129D"/>
    <w:rsid w:val="003054E5"/>
    <w:rsid w:val="003055E1"/>
    <w:rsid w:val="00306851"/>
    <w:rsid w:val="0030737A"/>
    <w:rsid w:val="00311729"/>
    <w:rsid w:val="003139FD"/>
    <w:rsid w:val="00316F07"/>
    <w:rsid w:val="00317CDE"/>
    <w:rsid w:val="003203A6"/>
    <w:rsid w:val="00321816"/>
    <w:rsid w:val="003233BF"/>
    <w:rsid w:val="00324256"/>
    <w:rsid w:val="003246BF"/>
    <w:rsid w:val="00324DD3"/>
    <w:rsid w:val="00325824"/>
    <w:rsid w:val="003266CA"/>
    <w:rsid w:val="0032704A"/>
    <w:rsid w:val="00330539"/>
    <w:rsid w:val="003306CA"/>
    <w:rsid w:val="003312AA"/>
    <w:rsid w:val="0033229C"/>
    <w:rsid w:val="00332CFF"/>
    <w:rsid w:val="00333D4B"/>
    <w:rsid w:val="00336D2A"/>
    <w:rsid w:val="00337054"/>
    <w:rsid w:val="00337737"/>
    <w:rsid w:val="00337DAF"/>
    <w:rsid w:val="00340189"/>
    <w:rsid w:val="00342EBC"/>
    <w:rsid w:val="00342F54"/>
    <w:rsid w:val="00344E7D"/>
    <w:rsid w:val="0034705A"/>
    <w:rsid w:val="003476EB"/>
    <w:rsid w:val="003502D5"/>
    <w:rsid w:val="0035205D"/>
    <w:rsid w:val="00352293"/>
    <w:rsid w:val="0035247C"/>
    <w:rsid w:val="00354057"/>
    <w:rsid w:val="00354B33"/>
    <w:rsid w:val="00354DA6"/>
    <w:rsid w:val="00362605"/>
    <w:rsid w:val="00364119"/>
    <w:rsid w:val="0036462C"/>
    <w:rsid w:val="00365181"/>
    <w:rsid w:val="00365EE7"/>
    <w:rsid w:val="003705B0"/>
    <w:rsid w:val="00370BC4"/>
    <w:rsid w:val="0037225A"/>
    <w:rsid w:val="00372A90"/>
    <w:rsid w:val="003745E9"/>
    <w:rsid w:val="00375075"/>
    <w:rsid w:val="00375DBD"/>
    <w:rsid w:val="003768B5"/>
    <w:rsid w:val="00376F43"/>
    <w:rsid w:val="00376FC7"/>
    <w:rsid w:val="00381608"/>
    <w:rsid w:val="00381F5B"/>
    <w:rsid w:val="00382082"/>
    <w:rsid w:val="00382980"/>
    <w:rsid w:val="003832BE"/>
    <w:rsid w:val="00383A50"/>
    <w:rsid w:val="0038501E"/>
    <w:rsid w:val="00385397"/>
    <w:rsid w:val="00387AF6"/>
    <w:rsid w:val="00387B0C"/>
    <w:rsid w:val="0039289C"/>
    <w:rsid w:val="00393557"/>
    <w:rsid w:val="00393717"/>
    <w:rsid w:val="0039564F"/>
    <w:rsid w:val="00395890"/>
    <w:rsid w:val="003A0E98"/>
    <w:rsid w:val="003A1AE8"/>
    <w:rsid w:val="003A29BE"/>
    <w:rsid w:val="003A2F1E"/>
    <w:rsid w:val="003A33FF"/>
    <w:rsid w:val="003A342C"/>
    <w:rsid w:val="003A4086"/>
    <w:rsid w:val="003A409A"/>
    <w:rsid w:val="003A432F"/>
    <w:rsid w:val="003A4AB9"/>
    <w:rsid w:val="003A67F3"/>
    <w:rsid w:val="003B0A99"/>
    <w:rsid w:val="003B14E9"/>
    <w:rsid w:val="003B2B51"/>
    <w:rsid w:val="003B2D49"/>
    <w:rsid w:val="003B40AA"/>
    <w:rsid w:val="003B41D3"/>
    <w:rsid w:val="003B4692"/>
    <w:rsid w:val="003C01BD"/>
    <w:rsid w:val="003C1DF2"/>
    <w:rsid w:val="003C25DD"/>
    <w:rsid w:val="003C3291"/>
    <w:rsid w:val="003C3302"/>
    <w:rsid w:val="003C40E0"/>
    <w:rsid w:val="003D124C"/>
    <w:rsid w:val="003D12F2"/>
    <w:rsid w:val="003D4C60"/>
    <w:rsid w:val="003D5331"/>
    <w:rsid w:val="003D571E"/>
    <w:rsid w:val="003D5F22"/>
    <w:rsid w:val="003D76DB"/>
    <w:rsid w:val="003E0999"/>
    <w:rsid w:val="003E206F"/>
    <w:rsid w:val="003E2CF7"/>
    <w:rsid w:val="003E36A3"/>
    <w:rsid w:val="003E37E3"/>
    <w:rsid w:val="003E5718"/>
    <w:rsid w:val="003E66F2"/>
    <w:rsid w:val="003E7968"/>
    <w:rsid w:val="003E7C63"/>
    <w:rsid w:val="003F0728"/>
    <w:rsid w:val="003F165B"/>
    <w:rsid w:val="003F2493"/>
    <w:rsid w:val="003F2DC0"/>
    <w:rsid w:val="003F3082"/>
    <w:rsid w:val="003F3B14"/>
    <w:rsid w:val="003F64A5"/>
    <w:rsid w:val="003F6991"/>
    <w:rsid w:val="003F744B"/>
    <w:rsid w:val="003F798B"/>
    <w:rsid w:val="003F7A37"/>
    <w:rsid w:val="003F7D50"/>
    <w:rsid w:val="00400D80"/>
    <w:rsid w:val="00402B83"/>
    <w:rsid w:val="00403C66"/>
    <w:rsid w:val="00404214"/>
    <w:rsid w:val="004047F1"/>
    <w:rsid w:val="004056AC"/>
    <w:rsid w:val="00405EB2"/>
    <w:rsid w:val="00406352"/>
    <w:rsid w:val="004063D1"/>
    <w:rsid w:val="00407476"/>
    <w:rsid w:val="00407E16"/>
    <w:rsid w:val="00410A20"/>
    <w:rsid w:val="00413543"/>
    <w:rsid w:val="00413BB7"/>
    <w:rsid w:val="00415213"/>
    <w:rsid w:val="00415567"/>
    <w:rsid w:val="00415D9C"/>
    <w:rsid w:val="00416296"/>
    <w:rsid w:val="0041637E"/>
    <w:rsid w:val="00416BF9"/>
    <w:rsid w:val="00416D15"/>
    <w:rsid w:val="0041709E"/>
    <w:rsid w:val="00417569"/>
    <w:rsid w:val="0042266D"/>
    <w:rsid w:val="00422E81"/>
    <w:rsid w:val="0042405F"/>
    <w:rsid w:val="00425123"/>
    <w:rsid w:val="004261F7"/>
    <w:rsid w:val="004262E4"/>
    <w:rsid w:val="00427232"/>
    <w:rsid w:val="00431550"/>
    <w:rsid w:val="0043281B"/>
    <w:rsid w:val="00432FFD"/>
    <w:rsid w:val="00434348"/>
    <w:rsid w:val="004347AF"/>
    <w:rsid w:val="00435B0F"/>
    <w:rsid w:val="00435BB4"/>
    <w:rsid w:val="00437794"/>
    <w:rsid w:val="004441CC"/>
    <w:rsid w:val="00444F90"/>
    <w:rsid w:val="00445CEF"/>
    <w:rsid w:val="00445E8D"/>
    <w:rsid w:val="00446C9F"/>
    <w:rsid w:val="00450367"/>
    <w:rsid w:val="004503FE"/>
    <w:rsid w:val="004508AA"/>
    <w:rsid w:val="00450A77"/>
    <w:rsid w:val="004515BA"/>
    <w:rsid w:val="00451F50"/>
    <w:rsid w:val="0045200D"/>
    <w:rsid w:val="004531C2"/>
    <w:rsid w:val="00456B3F"/>
    <w:rsid w:val="00456C7B"/>
    <w:rsid w:val="00460206"/>
    <w:rsid w:val="004604CB"/>
    <w:rsid w:val="004605D7"/>
    <w:rsid w:val="0046111E"/>
    <w:rsid w:val="00461ACF"/>
    <w:rsid w:val="00463372"/>
    <w:rsid w:val="00463445"/>
    <w:rsid w:val="00463C03"/>
    <w:rsid w:val="0046670D"/>
    <w:rsid w:val="00470065"/>
    <w:rsid w:val="00470356"/>
    <w:rsid w:val="00475E76"/>
    <w:rsid w:val="00476735"/>
    <w:rsid w:val="00480D80"/>
    <w:rsid w:val="0048189C"/>
    <w:rsid w:val="004827DD"/>
    <w:rsid w:val="0048366A"/>
    <w:rsid w:val="00483CE7"/>
    <w:rsid w:val="00487059"/>
    <w:rsid w:val="0048705F"/>
    <w:rsid w:val="00487A4F"/>
    <w:rsid w:val="00487C8A"/>
    <w:rsid w:val="00490571"/>
    <w:rsid w:val="0049300B"/>
    <w:rsid w:val="00493075"/>
    <w:rsid w:val="00493365"/>
    <w:rsid w:val="00493521"/>
    <w:rsid w:val="00496D29"/>
    <w:rsid w:val="00496DD3"/>
    <w:rsid w:val="004A091C"/>
    <w:rsid w:val="004A1B6C"/>
    <w:rsid w:val="004A3261"/>
    <w:rsid w:val="004A43A8"/>
    <w:rsid w:val="004A5546"/>
    <w:rsid w:val="004A7CDC"/>
    <w:rsid w:val="004A7FAC"/>
    <w:rsid w:val="004B1080"/>
    <w:rsid w:val="004B1ADA"/>
    <w:rsid w:val="004B2A3B"/>
    <w:rsid w:val="004B2D2C"/>
    <w:rsid w:val="004B3246"/>
    <w:rsid w:val="004B3B36"/>
    <w:rsid w:val="004B4AE9"/>
    <w:rsid w:val="004B5156"/>
    <w:rsid w:val="004B51D6"/>
    <w:rsid w:val="004B6341"/>
    <w:rsid w:val="004B6657"/>
    <w:rsid w:val="004B7209"/>
    <w:rsid w:val="004B7879"/>
    <w:rsid w:val="004B79E9"/>
    <w:rsid w:val="004C068D"/>
    <w:rsid w:val="004C2D20"/>
    <w:rsid w:val="004C35BB"/>
    <w:rsid w:val="004C533A"/>
    <w:rsid w:val="004C5421"/>
    <w:rsid w:val="004C58DB"/>
    <w:rsid w:val="004C5AFF"/>
    <w:rsid w:val="004C6293"/>
    <w:rsid w:val="004C676D"/>
    <w:rsid w:val="004C7867"/>
    <w:rsid w:val="004C7A84"/>
    <w:rsid w:val="004C7FDD"/>
    <w:rsid w:val="004D052C"/>
    <w:rsid w:val="004D1549"/>
    <w:rsid w:val="004D306C"/>
    <w:rsid w:val="004D30F6"/>
    <w:rsid w:val="004D371E"/>
    <w:rsid w:val="004D43F5"/>
    <w:rsid w:val="004D4FEF"/>
    <w:rsid w:val="004D61E6"/>
    <w:rsid w:val="004E04C7"/>
    <w:rsid w:val="004E0766"/>
    <w:rsid w:val="004E26F0"/>
    <w:rsid w:val="004E4C40"/>
    <w:rsid w:val="004E59E5"/>
    <w:rsid w:val="004E5D6F"/>
    <w:rsid w:val="004E639E"/>
    <w:rsid w:val="004E6880"/>
    <w:rsid w:val="004E70B0"/>
    <w:rsid w:val="004E77A5"/>
    <w:rsid w:val="004F0389"/>
    <w:rsid w:val="004F044A"/>
    <w:rsid w:val="004F469D"/>
    <w:rsid w:val="004F5ECA"/>
    <w:rsid w:val="004F66FB"/>
    <w:rsid w:val="004F6BCD"/>
    <w:rsid w:val="00501EA5"/>
    <w:rsid w:val="005023AD"/>
    <w:rsid w:val="00506F3B"/>
    <w:rsid w:val="00507C1A"/>
    <w:rsid w:val="00512524"/>
    <w:rsid w:val="00512D2C"/>
    <w:rsid w:val="00513E00"/>
    <w:rsid w:val="00514830"/>
    <w:rsid w:val="00515CC9"/>
    <w:rsid w:val="00517694"/>
    <w:rsid w:val="0052032F"/>
    <w:rsid w:val="005210AF"/>
    <w:rsid w:val="005211B5"/>
    <w:rsid w:val="00521707"/>
    <w:rsid w:val="00523535"/>
    <w:rsid w:val="00523D57"/>
    <w:rsid w:val="0053037C"/>
    <w:rsid w:val="005306D1"/>
    <w:rsid w:val="005307C3"/>
    <w:rsid w:val="0053164A"/>
    <w:rsid w:val="00531CD4"/>
    <w:rsid w:val="0053266F"/>
    <w:rsid w:val="00532D7A"/>
    <w:rsid w:val="005332A0"/>
    <w:rsid w:val="005337D5"/>
    <w:rsid w:val="00534565"/>
    <w:rsid w:val="00534E55"/>
    <w:rsid w:val="0053513D"/>
    <w:rsid w:val="00537A92"/>
    <w:rsid w:val="00540BD7"/>
    <w:rsid w:val="005441C7"/>
    <w:rsid w:val="00545513"/>
    <w:rsid w:val="00552B4B"/>
    <w:rsid w:val="0055380A"/>
    <w:rsid w:val="00554075"/>
    <w:rsid w:val="005554AB"/>
    <w:rsid w:val="005556EE"/>
    <w:rsid w:val="00560BA9"/>
    <w:rsid w:val="00560DEF"/>
    <w:rsid w:val="00560EC4"/>
    <w:rsid w:val="00561E60"/>
    <w:rsid w:val="00564C3B"/>
    <w:rsid w:val="00564DD4"/>
    <w:rsid w:val="0056543F"/>
    <w:rsid w:val="0056557F"/>
    <w:rsid w:val="00567E8B"/>
    <w:rsid w:val="00570470"/>
    <w:rsid w:val="00571551"/>
    <w:rsid w:val="005719B4"/>
    <w:rsid w:val="00572FAF"/>
    <w:rsid w:val="00573325"/>
    <w:rsid w:val="005765C1"/>
    <w:rsid w:val="00576E5D"/>
    <w:rsid w:val="005772C8"/>
    <w:rsid w:val="005777D9"/>
    <w:rsid w:val="005779CA"/>
    <w:rsid w:val="00577D0E"/>
    <w:rsid w:val="0058122D"/>
    <w:rsid w:val="00582228"/>
    <w:rsid w:val="005826E6"/>
    <w:rsid w:val="00582D00"/>
    <w:rsid w:val="005844EC"/>
    <w:rsid w:val="0058540D"/>
    <w:rsid w:val="0058635B"/>
    <w:rsid w:val="00586EFF"/>
    <w:rsid w:val="0058776C"/>
    <w:rsid w:val="00590D1A"/>
    <w:rsid w:val="00590F6F"/>
    <w:rsid w:val="00591025"/>
    <w:rsid w:val="00591BD6"/>
    <w:rsid w:val="00592315"/>
    <w:rsid w:val="00594EC0"/>
    <w:rsid w:val="00595CF7"/>
    <w:rsid w:val="00595FDA"/>
    <w:rsid w:val="005963FF"/>
    <w:rsid w:val="005A0D0C"/>
    <w:rsid w:val="005A10E7"/>
    <w:rsid w:val="005A1589"/>
    <w:rsid w:val="005A2009"/>
    <w:rsid w:val="005A3C8F"/>
    <w:rsid w:val="005A509F"/>
    <w:rsid w:val="005A639E"/>
    <w:rsid w:val="005B34EE"/>
    <w:rsid w:val="005B3FBF"/>
    <w:rsid w:val="005B50C4"/>
    <w:rsid w:val="005B7249"/>
    <w:rsid w:val="005B7477"/>
    <w:rsid w:val="005B77A6"/>
    <w:rsid w:val="005C105E"/>
    <w:rsid w:val="005C1093"/>
    <w:rsid w:val="005C10DE"/>
    <w:rsid w:val="005C1542"/>
    <w:rsid w:val="005C32F3"/>
    <w:rsid w:val="005C3B20"/>
    <w:rsid w:val="005C5AE2"/>
    <w:rsid w:val="005C6A49"/>
    <w:rsid w:val="005C798F"/>
    <w:rsid w:val="005C7EFC"/>
    <w:rsid w:val="005D0674"/>
    <w:rsid w:val="005D0E50"/>
    <w:rsid w:val="005D2635"/>
    <w:rsid w:val="005D377E"/>
    <w:rsid w:val="005D400C"/>
    <w:rsid w:val="005D40A1"/>
    <w:rsid w:val="005D4F27"/>
    <w:rsid w:val="005D7248"/>
    <w:rsid w:val="005D7678"/>
    <w:rsid w:val="005D7E93"/>
    <w:rsid w:val="005E0644"/>
    <w:rsid w:val="005E0F0A"/>
    <w:rsid w:val="005E112F"/>
    <w:rsid w:val="005E1325"/>
    <w:rsid w:val="005E2BC5"/>
    <w:rsid w:val="005E3F69"/>
    <w:rsid w:val="005E697E"/>
    <w:rsid w:val="005E6D3B"/>
    <w:rsid w:val="005E7CDC"/>
    <w:rsid w:val="005F0C7E"/>
    <w:rsid w:val="005F152B"/>
    <w:rsid w:val="00601965"/>
    <w:rsid w:val="00601C53"/>
    <w:rsid w:val="006040D0"/>
    <w:rsid w:val="006061E3"/>
    <w:rsid w:val="00607C8A"/>
    <w:rsid w:val="0061004C"/>
    <w:rsid w:val="00610C16"/>
    <w:rsid w:val="00610D51"/>
    <w:rsid w:val="00612D31"/>
    <w:rsid w:val="00613369"/>
    <w:rsid w:val="0061436C"/>
    <w:rsid w:val="00615AE5"/>
    <w:rsid w:val="00616921"/>
    <w:rsid w:val="00616B63"/>
    <w:rsid w:val="00616C0F"/>
    <w:rsid w:val="006171A6"/>
    <w:rsid w:val="0061784B"/>
    <w:rsid w:val="0062283D"/>
    <w:rsid w:val="00622EDA"/>
    <w:rsid w:val="00624ECD"/>
    <w:rsid w:val="0062552F"/>
    <w:rsid w:val="00631DB7"/>
    <w:rsid w:val="00634304"/>
    <w:rsid w:val="00635EFD"/>
    <w:rsid w:val="00637474"/>
    <w:rsid w:val="00637E12"/>
    <w:rsid w:val="006429A7"/>
    <w:rsid w:val="006441E0"/>
    <w:rsid w:val="00644670"/>
    <w:rsid w:val="00645E6A"/>
    <w:rsid w:val="0064645C"/>
    <w:rsid w:val="006468BE"/>
    <w:rsid w:val="00647179"/>
    <w:rsid w:val="00647C9F"/>
    <w:rsid w:val="00647FE3"/>
    <w:rsid w:val="00650349"/>
    <w:rsid w:val="0065320A"/>
    <w:rsid w:val="006542FB"/>
    <w:rsid w:val="006550BD"/>
    <w:rsid w:val="00655AC5"/>
    <w:rsid w:val="00655D64"/>
    <w:rsid w:val="00656715"/>
    <w:rsid w:val="0065673D"/>
    <w:rsid w:val="00656F61"/>
    <w:rsid w:val="0066062F"/>
    <w:rsid w:val="006614CD"/>
    <w:rsid w:val="0066173F"/>
    <w:rsid w:val="0066262E"/>
    <w:rsid w:val="0066275D"/>
    <w:rsid w:val="00663B6B"/>
    <w:rsid w:val="00663B97"/>
    <w:rsid w:val="00665D12"/>
    <w:rsid w:val="00667906"/>
    <w:rsid w:val="00667D61"/>
    <w:rsid w:val="0067053E"/>
    <w:rsid w:val="00670D02"/>
    <w:rsid w:val="00671D65"/>
    <w:rsid w:val="00673098"/>
    <w:rsid w:val="0067412F"/>
    <w:rsid w:val="00674371"/>
    <w:rsid w:val="00681C21"/>
    <w:rsid w:val="00681E3D"/>
    <w:rsid w:val="00682137"/>
    <w:rsid w:val="00683D42"/>
    <w:rsid w:val="006851A9"/>
    <w:rsid w:val="006866F2"/>
    <w:rsid w:val="006868D5"/>
    <w:rsid w:val="00686C9D"/>
    <w:rsid w:val="00687004"/>
    <w:rsid w:val="00687638"/>
    <w:rsid w:val="00687985"/>
    <w:rsid w:val="00687CE1"/>
    <w:rsid w:val="006906EE"/>
    <w:rsid w:val="00690B71"/>
    <w:rsid w:val="00690C36"/>
    <w:rsid w:val="00690C44"/>
    <w:rsid w:val="0069124F"/>
    <w:rsid w:val="00694D12"/>
    <w:rsid w:val="006951A5"/>
    <w:rsid w:val="00695273"/>
    <w:rsid w:val="00695DAF"/>
    <w:rsid w:val="00695EF9"/>
    <w:rsid w:val="00697290"/>
    <w:rsid w:val="006976EB"/>
    <w:rsid w:val="0069794E"/>
    <w:rsid w:val="00697C95"/>
    <w:rsid w:val="00697CD8"/>
    <w:rsid w:val="006A1905"/>
    <w:rsid w:val="006A1A67"/>
    <w:rsid w:val="006A471C"/>
    <w:rsid w:val="006A4F30"/>
    <w:rsid w:val="006A6566"/>
    <w:rsid w:val="006A78FD"/>
    <w:rsid w:val="006A7927"/>
    <w:rsid w:val="006B6815"/>
    <w:rsid w:val="006B78D2"/>
    <w:rsid w:val="006C00FF"/>
    <w:rsid w:val="006C0833"/>
    <w:rsid w:val="006C3D5B"/>
    <w:rsid w:val="006C4EF4"/>
    <w:rsid w:val="006C6A24"/>
    <w:rsid w:val="006C772F"/>
    <w:rsid w:val="006D0356"/>
    <w:rsid w:val="006D2319"/>
    <w:rsid w:val="006D39B7"/>
    <w:rsid w:val="006D6349"/>
    <w:rsid w:val="006E08D0"/>
    <w:rsid w:val="006E1B32"/>
    <w:rsid w:val="006E3C6C"/>
    <w:rsid w:val="006E479E"/>
    <w:rsid w:val="006E5E73"/>
    <w:rsid w:val="006E72FA"/>
    <w:rsid w:val="006E762D"/>
    <w:rsid w:val="006F0D70"/>
    <w:rsid w:val="006F1662"/>
    <w:rsid w:val="006F287C"/>
    <w:rsid w:val="006F2B18"/>
    <w:rsid w:val="006F3EE7"/>
    <w:rsid w:val="006F3FC6"/>
    <w:rsid w:val="006F4E2D"/>
    <w:rsid w:val="006F52CA"/>
    <w:rsid w:val="006F570C"/>
    <w:rsid w:val="006F5A66"/>
    <w:rsid w:val="006F610E"/>
    <w:rsid w:val="006F6A81"/>
    <w:rsid w:val="006F7224"/>
    <w:rsid w:val="006F7AFA"/>
    <w:rsid w:val="006F7B7D"/>
    <w:rsid w:val="00700232"/>
    <w:rsid w:val="0070237A"/>
    <w:rsid w:val="0070699E"/>
    <w:rsid w:val="0071064D"/>
    <w:rsid w:val="00715160"/>
    <w:rsid w:val="00716255"/>
    <w:rsid w:val="00716B7B"/>
    <w:rsid w:val="00716C88"/>
    <w:rsid w:val="00716D82"/>
    <w:rsid w:val="00717FAB"/>
    <w:rsid w:val="00720D6A"/>
    <w:rsid w:val="00721EF3"/>
    <w:rsid w:val="0072212E"/>
    <w:rsid w:val="00722EAB"/>
    <w:rsid w:val="00723FEE"/>
    <w:rsid w:val="0072507D"/>
    <w:rsid w:val="00725497"/>
    <w:rsid w:val="00726982"/>
    <w:rsid w:val="00730CDB"/>
    <w:rsid w:val="00731148"/>
    <w:rsid w:val="00732538"/>
    <w:rsid w:val="00733E64"/>
    <w:rsid w:val="00734790"/>
    <w:rsid w:val="00734B49"/>
    <w:rsid w:val="00735683"/>
    <w:rsid w:val="00735875"/>
    <w:rsid w:val="007369B8"/>
    <w:rsid w:val="00736A04"/>
    <w:rsid w:val="0073727F"/>
    <w:rsid w:val="00737F81"/>
    <w:rsid w:val="00740664"/>
    <w:rsid w:val="00740AF7"/>
    <w:rsid w:val="00742030"/>
    <w:rsid w:val="007435F2"/>
    <w:rsid w:val="00743E43"/>
    <w:rsid w:val="00743F40"/>
    <w:rsid w:val="00744174"/>
    <w:rsid w:val="00744A65"/>
    <w:rsid w:val="007478AC"/>
    <w:rsid w:val="007509BF"/>
    <w:rsid w:val="00750DF7"/>
    <w:rsid w:val="00750EEF"/>
    <w:rsid w:val="0075106C"/>
    <w:rsid w:val="00751D2C"/>
    <w:rsid w:val="007530B3"/>
    <w:rsid w:val="00754437"/>
    <w:rsid w:val="007550A8"/>
    <w:rsid w:val="0075680C"/>
    <w:rsid w:val="00757563"/>
    <w:rsid w:val="00761482"/>
    <w:rsid w:val="007626D9"/>
    <w:rsid w:val="0076583D"/>
    <w:rsid w:val="00765B31"/>
    <w:rsid w:val="007660A9"/>
    <w:rsid w:val="0077002F"/>
    <w:rsid w:val="00771BFB"/>
    <w:rsid w:val="007725AA"/>
    <w:rsid w:val="00773D2D"/>
    <w:rsid w:val="00775316"/>
    <w:rsid w:val="00776D3E"/>
    <w:rsid w:val="007776BD"/>
    <w:rsid w:val="007776D3"/>
    <w:rsid w:val="00784E56"/>
    <w:rsid w:val="007859D8"/>
    <w:rsid w:val="00785FF0"/>
    <w:rsid w:val="00787980"/>
    <w:rsid w:val="00787F2B"/>
    <w:rsid w:val="007906DE"/>
    <w:rsid w:val="00790A76"/>
    <w:rsid w:val="00793FC3"/>
    <w:rsid w:val="00795C79"/>
    <w:rsid w:val="00797B61"/>
    <w:rsid w:val="007A03C3"/>
    <w:rsid w:val="007A15C0"/>
    <w:rsid w:val="007A18D5"/>
    <w:rsid w:val="007A3F78"/>
    <w:rsid w:val="007A678E"/>
    <w:rsid w:val="007A6D56"/>
    <w:rsid w:val="007A7F55"/>
    <w:rsid w:val="007B00DE"/>
    <w:rsid w:val="007B01FF"/>
    <w:rsid w:val="007B1411"/>
    <w:rsid w:val="007B3840"/>
    <w:rsid w:val="007B3D67"/>
    <w:rsid w:val="007B6FC9"/>
    <w:rsid w:val="007B7593"/>
    <w:rsid w:val="007C1F28"/>
    <w:rsid w:val="007C2806"/>
    <w:rsid w:val="007C36E7"/>
    <w:rsid w:val="007C3818"/>
    <w:rsid w:val="007C5248"/>
    <w:rsid w:val="007C731E"/>
    <w:rsid w:val="007C7951"/>
    <w:rsid w:val="007C7DC7"/>
    <w:rsid w:val="007D0617"/>
    <w:rsid w:val="007D07CC"/>
    <w:rsid w:val="007D10F6"/>
    <w:rsid w:val="007D13CA"/>
    <w:rsid w:val="007D1AFE"/>
    <w:rsid w:val="007D1F81"/>
    <w:rsid w:val="007D3F13"/>
    <w:rsid w:val="007D4466"/>
    <w:rsid w:val="007D5715"/>
    <w:rsid w:val="007D69FB"/>
    <w:rsid w:val="007D795E"/>
    <w:rsid w:val="007E0F8E"/>
    <w:rsid w:val="007E227E"/>
    <w:rsid w:val="007E2A93"/>
    <w:rsid w:val="007F5957"/>
    <w:rsid w:val="007F6B07"/>
    <w:rsid w:val="007F73AC"/>
    <w:rsid w:val="007F7F43"/>
    <w:rsid w:val="00800144"/>
    <w:rsid w:val="00801561"/>
    <w:rsid w:val="0080379F"/>
    <w:rsid w:val="00804E9C"/>
    <w:rsid w:val="00805512"/>
    <w:rsid w:val="00805886"/>
    <w:rsid w:val="008079E6"/>
    <w:rsid w:val="00811586"/>
    <w:rsid w:val="008119C2"/>
    <w:rsid w:val="00812483"/>
    <w:rsid w:val="00813C3A"/>
    <w:rsid w:val="0081401F"/>
    <w:rsid w:val="00814FDB"/>
    <w:rsid w:val="0081561F"/>
    <w:rsid w:val="00816425"/>
    <w:rsid w:val="00816468"/>
    <w:rsid w:val="008202C4"/>
    <w:rsid w:val="00822410"/>
    <w:rsid w:val="00822F6A"/>
    <w:rsid w:val="00823155"/>
    <w:rsid w:val="008236A4"/>
    <w:rsid w:val="00827AE8"/>
    <w:rsid w:val="008308CC"/>
    <w:rsid w:val="00830955"/>
    <w:rsid w:val="0083377D"/>
    <w:rsid w:val="0083420B"/>
    <w:rsid w:val="00835DFD"/>
    <w:rsid w:val="00837B8B"/>
    <w:rsid w:val="00841F4C"/>
    <w:rsid w:val="0084202C"/>
    <w:rsid w:val="00842192"/>
    <w:rsid w:val="00842298"/>
    <w:rsid w:val="00844D7B"/>
    <w:rsid w:val="00845065"/>
    <w:rsid w:val="0084662F"/>
    <w:rsid w:val="00846941"/>
    <w:rsid w:val="0084799C"/>
    <w:rsid w:val="00847CB2"/>
    <w:rsid w:val="0085069D"/>
    <w:rsid w:val="00850A6F"/>
    <w:rsid w:val="00850BB4"/>
    <w:rsid w:val="00850EB6"/>
    <w:rsid w:val="00851B73"/>
    <w:rsid w:val="00851C87"/>
    <w:rsid w:val="0085233D"/>
    <w:rsid w:val="008529FF"/>
    <w:rsid w:val="00852D3A"/>
    <w:rsid w:val="00854388"/>
    <w:rsid w:val="00854FEC"/>
    <w:rsid w:val="0085550D"/>
    <w:rsid w:val="00856CF2"/>
    <w:rsid w:val="008577B0"/>
    <w:rsid w:val="0086019B"/>
    <w:rsid w:val="00860428"/>
    <w:rsid w:val="00860B92"/>
    <w:rsid w:val="00864057"/>
    <w:rsid w:val="00864A3E"/>
    <w:rsid w:val="00864B0C"/>
    <w:rsid w:val="00864B6C"/>
    <w:rsid w:val="0086510C"/>
    <w:rsid w:val="0087077B"/>
    <w:rsid w:val="0087082E"/>
    <w:rsid w:val="008717AC"/>
    <w:rsid w:val="008746AB"/>
    <w:rsid w:val="00874D4D"/>
    <w:rsid w:val="00875110"/>
    <w:rsid w:val="0087559E"/>
    <w:rsid w:val="00875CD7"/>
    <w:rsid w:val="008770D1"/>
    <w:rsid w:val="00877EC4"/>
    <w:rsid w:val="008809EB"/>
    <w:rsid w:val="00881303"/>
    <w:rsid w:val="00881401"/>
    <w:rsid w:val="00881C35"/>
    <w:rsid w:val="00882080"/>
    <w:rsid w:val="00882229"/>
    <w:rsid w:val="00882ED7"/>
    <w:rsid w:val="00884CFF"/>
    <w:rsid w:val="00885BDD"/>
    <w:rsid w:val="00885F5F"/>
    <w:rsid w:val="0089111A"/>
    <w:rsid w:val="00892842"/>
    <w:rsid w:val="00896AFF"/>
    <w:rsid w:val="008A03B6"/>
    <w:rsid w:val="008A1061"/>
    <w:rsid w:val="008A149A"/>
    <w:rsid w:val="008A2CB7"/>
    <w:rsid w:val="008A3219"/>
    <w:rsid w:val="008A330A"/>
    <w:rsid w:val="008A389E"/>
    <w:rsid w:val="008A3D9C"/>
    <w:rsid w:val="008A46C5"/>
    <w:rsid w:val="008B0BC9"/>
    <w:rsid w:val="008B295A"/>
    <w:rsid w:val="008B3017"/>
    <w:rsid w:val="008B3E21"/>
    <w:rsid w:val="008B5308"/>
    <w:rsid w:val="008B621B"/>
    <w:rsid w:val="008B66E6"/>
    <w:rsid w:val="008C04AC"/>
    <w:rsid w:val="008C29EA"/>
    <w:rsid w:val="008C3071"/>
    <w:rsid w:val="008C48D4"/>
    <w:rsid w:val="008C4E30"/>
    <w:rsid w:val="008C4F90"/>
    <w:rsid w:val="008C523D"/>
    <w:rsid w:val="008C5587"/>
    <w:rsid w:val="008C5B50"/>
    <w:rsid w:val="008C5DAC"/>
    <w:rsid w:val="008C6370"/>
    <w:rsid w:val="008C6ABC"/>
    <w:rsid w:val="008C6FC4"/>
    <w:rsid w:val="008D1633"/>
    <w:rsid w:val="008D1683"/>
    <w:rsid w:val="008D1B4E"/>
    <w:rsid w:val="008D2E3D"/>
    <w:rsid w:val="008D343E"/>
    <w:rsid w:val="008D5746"/>
    <w:rsid w:val="008D641F"/>
    <w:rsid w:val="008D64DA"/>
    <w:rsid w:val="008D6866"/>
    <w:rsid w:val="008E148A"/>
    <w:rsid w:val="008E3989"/>
    <w:rsid w:val="008E5421"/>
    <w:rsid w:val="008E54ED"/>
    <w:rsid w:val="008E64B6"/>
    <w:rsid w:val="008E65B0"/>
    <w:rsid w:val="008E6979"/>
    <w:rsid w:val="008F1380"/>
    <w:rsid w:val="008F2A47"/>
    <w:rsid w:val="008F4CDA"/>
    <w:rsid w:val="008F6B29"/>
    <w:rsid w:val="00900719"/>
    <w:rsid w:val="009013E7"/>
    <w:rsid w:val="0090450F"/>
    <w:rsid w:val="0090500F"/>
    <w:rsid w:val="00907A59"/>
    <w:rsid w:val="0091037C"/>
    <w:rsid w:val="00912132"/>
    <w:rsid w:val="00912184"/>
    <w:rsid w:val="009126E9"/>
    <w:rsid w:val="00913DCB"/>
    <w:rsid w:val="00917B0E"/>
    <w:rsid w:val="0092270B"/>
    <w:rsid w:val="00923924"/>
    <w:rsid w:val="0092453C"/>
    <w:rsid w:val="00925091"/>
    <w:rsid w:val="009255AE"/>
    <w:rsid w:val="00925CD8"/>
    <w:rsid w:val="00926EBC"/>
    <w:rsid w:val="009273C5"/>
    <w:rsid w:val="00930945"/>
    <w:rsid w:val="00931602"/>
    <w:rsid w:val="0093223A"/>
    <w:rsid w:val="00933B4F"/>
    <w:rsid w:val="00934D86"/>
    <w:rsid w:val="00934F8F"/>
    <w:rsid w:val="009374FA"/>
    <w:rsid w:val="00937E1A"/>
    <w:rsid w:val="00940AB7"/>
    <w:rsid w:val="00940D81"/>
    <w:rsid w:val="00941FD7"/>
    <w:rsid w:val="00942D17"/>
    <w:rsid w:val="009434A7"/>
    <w:rsid w:val="009436AF"/>
    <w:rsid w:val="00944493"/>
    <w:rsid w:val="00944CEB"/>
    <w:rsid w:val="00946FE9"/>
    <w:rsid w:val="00947B13"/>
    <w:rsid w:val="00947FEC"/>
    <w:rsid w:val="00950990"/>
    <w:rsid w:val="009534FD"/>
    <w:rsid w:val="0095618A"/>
    <w:rsid w:val="009561E6"/>
    <w:rsid w:val="009571E0"/>
    <w:rsid w:val="00957BBA"/>
    <w:rsid w:val="00960287"/>
    <w:rsid w:val="00960CB5"/>
    <w:rsid w:val="00961219"/>
    <w:rsid w:val="00961B31"/>
    <w:rsid w:val="00961FAA"/>
    <w:rsid w:val="00963A9D"/>
    <w:rsid w:val="00963DB4"/>
    <w:rsid w:val="0096412A"/>
    <w:rsid w:val="0096511B"/>
    <w:rsid w:val="00965C29"/>
    <w:rsid w:val="00966ED5"/>
    <w:rsid w:val="00971094"/>
    <w:rsid w:val="00971292"/>
    <w:rsid w:val="00971B5D"/>
    <w:rsid w:val="009728DD"/>
    <w:rsid w:val="0097324C"/>
    <w:rsid w:val="009733D0"/>
    <w:rsid w:val="00973A1E"/>
    <w:rsid w:val="00974568"/>
    <w:rsid w:val="00974A5A"/>
    <w:rsid w:val="009778A4"/>
    <w:rsid w:val="009829BC"/>
    <w:rsid w:val="009830E4"/>
    <w:rsid w:val="0098487B"/>
    <w:rsid w:val="00984DBD"/>
    <w:rsid w:val="00984E2D"/>
    <w:rsid w:val="00984F27"/>
    <w:rsid w:val="00985AFA"/>
    <w:rsid w:val="00990EC3"/>
    <w:rsid w:val="00992117"/>
    <w:rsid w:val="009926A2"/>
    <w:rsid w:val="00993405"/>
    <w:rsid w:val="00993D1F"/>
    <w:rsid w:val="0099683E"/>
    <w:rsid w:val="009A0791"/>
    <w:rsid w:val="009A14EA"/>
    <w:rsid w:val="009A3201"/>
    <w:rsid w:val="009A34FC"/>
    <w:rsid w:val="009A432D"/>
    <w:rsid w:val="009A47A8"/>
    <w:rsid w:val="009A58F8"/>
    <w:rsid w:val="009A6659"/>
    <w:rsid w:val="009A66EF"/>
    <w:rsid w:val="009A6F1A"/>
    <w:rsid w:val="009A7797"/>
    <w:rsid w:val="009A793A"/>
    <w:rsid w:val="009B0924"/>
    <w:rsid w:val="009B205E"/>
    <w:rsid w:val="009B3107"/>
    <w:rsid w:val="009B33F6"/>
    <w:rsid w:val="009B48EE"/>
    <w:rsid w:val="009B5171"/>
    <w:rsid w:val="009B6867"/>
    <w:rsid w:val="009C0721"/>
    <w:rsid w:val="009C196E"/>
    <w:rsid w:val="009C3E37"/>
    <w:rsid w:val="009C4E95"/>
    <w:rsid w:val="009C52F9"/>
    <w:rsid w:val="009C54E8"/>
    <w:rsid w:val="009D1483"/>
    <w:rsid w:val="009D374C"/>
    <w:rsid w:val="009D4DDC"/>
    <w:rsid w:val="009D719E"/>
    <w:rsid w:val="009D794E"/>
    <w:rsid w:val="009E2214"/>
    <w:rsid w:val="009E29E2"/>
    <w:rsid w:val="009E2EC8"/>
    <w:rsid w:val="009E470F"/>
    <w:rsid w:val="009E5AF6"/>
    <w:rsid w:val="009E633A"/>
    <w:rsid w:val="009E64AD"/>
    <w:rsid w:val="009E6F85"/>
    <w:rsid w:val="009E7A45"/>
    <w:rsid w:val="009F0711"/>
    <w:rsid w:val="009F168B"/>
    <w:rsid w:val="009F16F7"/>
    <w:rsid w:val="009F1DA2"/>
    <w:rsid w:val="009F209B"/>
    <w:rsid w:val="009F20A1"/>
    <w:rsid w:val="009F28C6"/>
    <w:rsid w:val="009F30EF"/>
    <w:rsid w:val="009F3A79"/>
    <w:rsid w:val="009F5D8A"/>
    <w:rsid w:val="00A00498"/>
    <w:rsid w:val="00A01322"/>
    <w:rsid w:val="00A02764"/>
    <w:rsid w:val="00A02A61"/>
    <w:rsid w:val="00A10D22"/>
    <w:rsid w:val="00A142A5"/>
    <w:rsid w:val="00A15151"/>
    <w:rsid w:val="00A17301"/>
    <w:rsid w:val="00A219B9"/>
    <w:rsid w:val="00A21ACA"/>
    <w:rsid w:val="00A22C6A"/>
    <w:rsid w:val="00A234CB"/>
    <w:rsid w:val="00A23E1F"/>
    <w:rsid w:val="00A24FD1"/>
    <w:rsid w:val="00A253F3"/>
    <w:rsid w:val="00A26D72"/>
    <w:rsid w:val="00A27F62"/>
    <w:rsid w:val="00A3014B"/>
    <w:rsid w:val="00A30271"/>
    <w:rsid w:val="00A30898"/>
    <w:rsid w:val="00A32944"/>
    <w:rsid w:val="00A33BD5"/>
    <w:rsid w:val="00A36850"/>
    <w:rsid w:val="00A37686"/>
    <w:rsid w:val="00A403EF"/>
    <w:rsid w:val="00A40BE2"/>
    <w:rsid w:val="00A4128C"/>
    <w:rsid w:val="00A4172D"/>
    <w:rsid w:val="00A41823"/>
    <w:rsid w:val="00A440D2"/>
    <w:rsid w:val="00A4631A"/>
    <w:rsid w:val="00A50D40"/>
    <w:rsid w:val="00A51DA9"/>
    <w:rsid w:val="00A520EE"/>
    <w:rsid w:val="00A53F4A"/>
    <w:rsid w:val="00A54E93"/>
    <w:rsid w:val="00A56B40"/>
    <w:rsid w:val="00A56C59"/>
    <w:rsid w:val="00A606F6"/>
    <w:rsid w:val="00A61B55"/>
    <w:rsid w:val="00A629D4"/>
    <w:rsid w:val="00A65187"/>
    <w:rsid w:val="00A671C7"/>
    <w:rsid w:val="00A7091A"/>
    <w:rsid w:val="00A72937"/>
    <w:rsid w:val="00A7570B"/>
    <w:rsid w:val="00A75F13"/>
    <w:rsid w:val="00A7645E"/>
    <w:rsid w:val="00A800EC"/>
    <w:rsid w:val="00A81C84"/>
    <w:rsid w:val="00A82CB3"/>
    <w:rsid w:val="00A8389C"/>
    <w:rsid w:val="00A83CB1"/>
    <w:rsid w:val="00A84D7A"/>
    <w:rsid w:val="00A8642F"/>
    <w:rsid w:val="00A8709D"/>
    <w:rsid w:val="00A87AD2"/>
    <w:rsid w:val="00A87BAF"/>
    <w:rsid w:val="00A90668"/>
    <w:rsid w:val="00A90EF4"/>
    <w:rsid w:val="00A91D99"/>
    <w:rsid w:val="00A92C1E"/>
    <w:rsid w:val="00A9458A"/>
    <w:rsid w:val="00A94634"/>
    <w:rsid w:val="00A9493D"/>
    <w:rsid w:val="00A94AE2"/>
    <w:rsid w:val="00A94FF3"/>
    <w:rsid w:val="00A968F6"/>
    <w:rsid w:val="00A96D1E"/>
    <w:rsid w:val="00A97032"/>
    <w:rsid w:val="00A97073"/>
    <w:rsid w:val="00AA0A07"/>
    <w:rsid w:val="00AA0E67"/>
    <w:rsid w:val="00AA12DF"/>
    <w:rsid w:val="00AA14D3"/>
    <w:rsid w:val="00AA1A5C"/>
    <w:rsid w:val="00AA3BAC"/>
    <w:rsid w:val="00AA4078"/>
    <w:rsid w:val="00AA6C0A"/>
    <w:rsid w:val="00AB2331"/>
    <w:rsid w:val="00AB5A94"/>
    <w:rsid w:val="00AB6A83"/>
    <w:rsid w:val="00AC0D3D"/>
    <w:rsid w:val="00AC180D"/>
    <w:rsid w:val="00AC2382"/>
    <w:rsid w:val="00AC758C"/>
    <w:rsid w:val="00AC7A37"/>
    <w:rsid w:val="00AD3F69"/>
    <w:rsid w:val="00AD6347"/>
    <w:rsid w:val="00AD6DC8"/>
    <w:rsid w:val="00AD73C5"/>
    <w:rsid w:val="00AE26AC"/>
    <w:rsid w:val="00AE6790"/>
    <w:rsid w:val="00AF1105"/>
    <w:rsid w:val="00AF28F8"/>
    <w:rsid w:val="00AF35C7"/>
    <w:rsid w:val="00AF3BE5"/>
    <w:rsid w:val="00AF5409"/>
    <w:rsid w:val="00AF6226"/>
    <w:rsid w:val="00AF7373"/>
    <w:rsid w:val="00B02AF4"/>
    <w:rsid w:val="00B02EF7"/>
    <w:rsid w:val="00B04B95"/>
    <w:rsid w:val="00B04E08"/>
    <w:rsid w:val="00B0625E"/>
    <w:rsid w:val="00B06B64"/>
    <w:rsid w:val="00B06F5D"/>
    <w:rsid w:val="00B070F7"/>
    <w:rsid w:val="00B074F7"/>
    <w:rsid w:val="00B1123C"/>
    <w:rsid w:val="00B11D08"/>
    <w:rsid w:val="00B13849"/>
    <w:rsid w:val="00B15644"/>
    <w:rsid w:val="00B159F1"/>
    <w:rsid w:val="00B15B7F"/>
    <w:rsid w:val="00B164E8"/>
    <w:rsid w:val="00B17B72"/>
    <w:rsid w:val="00B20E49"/>
    <w:rsid w:val="00B226B5"/>
    <w:rsid w:val="00B22D88"/>
    <w:rsid w:val="00B22E6C"/>
    <w:rsid w:val="00B25022"/>
    <w:rsid w:val="00B25064"/>
    <w:rsid w:val="00B2549A"/>
    <w:rsid w:val="00B262E7"/>
    <w:rsid w:val="00B27031"/>
    <w:rsid w:val="00B30DD1"/>
    <w:rsid w:val="00B33E58"/>
    <w:rsid w:val="00B33FB5"/>
    <w:rsid w:val="00B35511"/>
    <w:rsid w:val="00B37F04"/>
    <w:rsid w:val="00B417BA"/>
    <w:rsid w:val="00B41B5F"/>
    <w:rsid w:val="00B4235E"/>
    <w:rsid w:val="00B46F81"/>
    <w:rsid w:val="00B5166A"/>
    <w:rsid w:val="00B51A02"/>
    <w:rsid w:val="00B51C46"/>
    <w:rsid w:val="00B52707"/>
    <w:rsid w:val="00B53790"/>
    <w:rsid w:val="00B53E0D"/>
    <w:rsid w:val="00B56640"/>
    <w:rsid w:val="00B56F12"/>
    <w:rsid w:val="00B57058"/>
    <w:rsid w:val="00B57E43"/>
    <w:rsid w:val="00B60522"/>
    <w:rsid w:val="00B6124C"/>
    <w:rsid w:val="00B61826"/>
    <w:rsid w:val="00B62B02"/>
    <w:rsid w:val="00B63A9C"/>
    <w:rsid w:val="00B6537D"/>
    <w:rsid w:val="00B65BF4"/>
    <w:rsid w:val="00B66FB2"/>
    <w:rsid w:val="00B67182"/>
    <w:rsid w:val="00B67CBF"/>
    <w:rsid w:val="00B709F0"/>
    <w:rsid w:val="00B72E28"/>
    <w:rsid w:val="00B74820"/>
    <w:rsid w:val="00B7623C"/>
    <w:rsid w:val="00B77D31"/>
    <w:rsid w:val="00B803AC"/>
    <w:rsid w:val="00B8269D"/>
    <w:rsid w:val="00B8304A"/>
    <w:rsid w:val="00B83BF5"/>
    <w:rsid w:val="00B84189"/>
    <w:rsid w:val="00B84902"/>
    <w:rsid w:val="00B8640B"/>
    <w:rsid w:val="00B8661E"/>
    <w:rsid w:val="00B86C48"/>
    <w:rsid w:val="00B87C13"/>
    <w:rsid w:val="00B92681"/>
    <w:rsid w:val="00B936F3"/>
    <w:rsid w:val="00B95929"/>
    <w:rsid w:val="00B95E81"/>
    <w:rsid w:val="00B964CC"/>
    <w:rsid w:val="00B96BEE"/>
    <w:rsid w:val="00B96DC9"/>
    <w:rsid w:val="00B97E6E"/>
    <w:rsid w:val="00BA1B26"/>
    <w:rsid w:val="00BA216B"/>
    <w:rsid w:val="00BA33A4"/>
    <w:rsid w:val="00BA3462"/>
    <w:rsid w:val="00BA47D6"/>
    <w:rsid w:val="00BA4812"/>
    <w:rsid w:val="00BA5934"/>
    <w:rsid w:val="00BA5DBB"/>
    <w:rsid w:val="00BA5F99"/>
    <w:rsid w:val="00BA6892"/>
    <w:rsid w:val="00BA78E3"/>
    <w:rsid w:val="00BB0C3B"/>
    <w:rsid w:val="00BB31D8"/>
    <w:rsid w:val="00BB6CC4"/>
    <w:rsid w:val="00BB6E87"/>
    <w:rsid w:val="00BB75F5"/>
    <w:rsid w:val="00BC0EDD"/>
    <w:rsid w:val="00BC110F"/>
    <w:rsid w:val="00BC2F06"/>
    <w:rsid w:val="00BC5430"/>
    <w:rsid w:val="00BD1E03"/>
    <w:rsid w:val="00BD2798"/>
    <w:rsid w:val="00BD517C"/>
    <w:rsid w:val="00BD59A5"/>
    <w:rsid w:val="00BD59D8"/>
    <w:rsid w:val="00BD60C4"/>
    <w:rsid w:val="00BD681C"/>
    <w:rsid w:val="00BD7372"/>
    <w:rsid w:val="00BD7B5C"/>
    <w:rsid w:val="00BE0706"/>
    <w:rsid w:val="00BE379D"/>
    <w:rsid w:val="00BF0A43"/>
    <w:rsid w:val="00BF1289"/>
    <w:rsid w:val="00BF2E91"/>
    <w:rsid w:val="00BF4883"/>
    <w:rsid w:val="00BF52B5"/>
    <w:rsid w:val="00BF6478"/>
    <w:rsid w:val="00BF7409"/>
    <w:rsid w:val="00C00ABF"/>
    <w:rsid w:val="00C00C25"/>
    <w:rsid w:val="00C00F75"/>
    <w:rsid w:val="00C0117C"/>
    <w:rsid w:val="00C02687"/>
    <w:rsid w:val="00C0485B"/>
    <w:rsid w:val="00C05794"/>
    <w:rsid w:val="00C05B2E"/>
    <w:rsid w:val="00C070F2"/>
    <w:rsid w:val="00C07241"/>
    <w:rsid w:val="00C0782F"/>
    <w:rsid w:val="00C07ECB"/>
    <w:rsid w:val="00C107F9"/>
    <w:rsid w:val="00C11F88"/>
    <w:rsid w:val="00C1243B"/>
    <w:rsid w:val="00C14525"/>
    <w:rsid w:val="00C15A16"/>
    <w:rsid w:val="00C161A6"/>
    <w:rsid w:val="00C16BD6"/>
    <w:rsid w:val="00C17596"/>
    <w:rsid w:val="00C21A9D"/>
    <w:rsid w:val="00C229B7"/>
    <w:rsid w:val="00C2403A"/>
    <w:rsid w:val="00C24101"/>
    <w:rsid w:val="00C24D78"/>
    <w:rsid w:val="00C27668"/>
    <w:rsid w:val="00C307E5"/>
    <w:rsid w:val="00C3143C"/>
    <w:rsid w:val="00C31894"/>
    <w:rsid w:val="00C32B70"/>
    <w:rsid w:val="00C32C50"/>
    <w:rsid w:val="00C3638F"/>
    <w:rsid w:val="00C36A18"/>
    <w:rsid w:val="00C412E0"/>
    <w:rsid w:val="00C42947"/>
    <w:rsid w:val="00C43404"/>
    <w:rsid w:val="00C43C42"/>
    <w:rsid w:val="00C448B6"/>
    <w:rsid w:val="00C4586A"/>
    <w:rsid w:val="00C45AAC"/>
    <w:rsid w:val="00C5067E"/>
    <w:rsid w:val="00C51BCC"/>
    <w:rsid w:val="00C54215"/>
    <w:rsid w:val="00C577C7"/>
    <w:rsid w:val="00C57898"/>
    <w:rsid w:val="00C615D5"/>
    <w:rsid w:val="00C62286"/>
    <w:rsid w:val="00C63216"/>
    <w:rsid w:val="00C632E6"/>
    <w:rsid w:val="00C669DC"/>
    <w:rsid w:val="00C70B16"/>
    <w:rsid w:val="00C719B2"/>
    <w:rsid w:val="00C736EE"/>
    <w:rsid w:val="00C7413B"/>
    <w:rsid w:val="00C74A86"/>
    <w:rsid w:val="00C7683C"/>
    <w:rsid w:val="00C779FE"/>
    <w:rsid w:val="00C80AF5"/>
    <w:rsid w:val="00C80B92"/>
    <w:rsid w:val="00C831D8"/>
    <w:rsid w:val="00C8344A"/>
    <w:rsid w:val="00C855B3"/>
    <w:rsid w:val="00C85725"/>
    <w:rsid w:val="00C8788E"/>
    <w:rsid w:val="00C905BD"/>
    <w:rsid w:val="00C91ABF"/>
    <w:rsid w:val="00C9335C"/>
    <w:rsid w:val="00C93D8F"/>
    <w:rsid w:val="00C94A40"/>
    <w:rsid w:val="00C953D1"/>
    <w:rsid w:val="00C95541"/>
    <w:rsid w:val="00C95A08"/>
    <w:rsid w:val="00C96756"/>
    <w:rsid w:val="00C9760F"/>
    <w:rsid w:val="00C97A24"/>
    <w:rsid w:val="00CA0AFD"/>
    <w:rsid w:val="00CA2613"/>
    <w:rsid w:val="00CA3DE6"/>
    <w:rsid w:val="00CA56A8"/>
    <w:rsid w:val="00CA5D24"/>
    <w:rsid w:val="00CB33C2"/>
    <w:rsid w:val="00CB3C18"/>
    <w:rsid w:val="00CB4D04"/>
    <w:rsid w:val="00CB5916"/>
    <w:rsid w:val="00CC001D"/>
    <w:rsid w:val="00CC0B49"/>
    <w:rsid w:val="00CC3B9E"/>
    <w:rsid w:val="00CC43A9"/>
    <w:rsid w:val="00CC493D"/>
    <w:rsid w:val="00CC63C0"/>
    <w:rsid w:val="00CC73B0"/>
    <w:rsid w:val="00CC7F23"/>
    <w:rsid w:val="00CD2496"/>
    <w:rsid w:val="00CD2E73"/>
    <w:rsid w:val="00CD365B"/>
    <w:rsid w:val="00CD3C49"/>
    <w:rsid w:val="00CD64E8"/>
    <w:rsid w:val="00CD75AD"/>
    <w:rsid w:val="00CD7806"/>
    <w:rsid w:val="00CD7E2A"/>
    <w:rsid w:val="00CE07F9"/>
    <w:rsid w:val="00CE130B"/>
    <w:rsid w:val="00CE21F4"/>
    <w:rsid w:val="00CE3BF1"/>
    <w:rsid w:val="00CE3C68"/>
    <w:rsid w:val="00CE4C19"/>
    <w:rsid w:val="00CE4D93"/>
    <w:rsid w:val="00CE4DDA"/>
    <w:rsid w:val="00CE6201"/>
    <w:rsid w:val="00CE627A"/>
    <w:rsid w:val="00CE6DB1"/>
    <w:rsid w:val="00CE6E50"/>
    <w:rsid w:val="00CE7F65"/>
    <w:rsid w:val="00CF01E5"/>
    <w:rsid w:val="00CF0240"/>
    <w:rsid w:val="00CF0D43"/>
    <w:rsid w:val="00CF1749"/>
    <w:rsid w:val="00CF1CFB"/>
    <w:rsid w:val="00CF2680"/>
    <w:rsid w:val="00CF2A94"/>
    <w:rsid w:val="00CF2E30"/>
    <w:rsid w:val="00CF5D35"/>
    <w:rsid w:val="00CF7582"/>
    <w:rsid w:val="00D003E1"/>
    <w:rsid w:val="00D0051F"/>
    <w:rsid w:val="00D00FD1"/>
    <w:rsid w:val="00D01A3D"/>
    <w:rsid w:val="00D02613"/>
    <w:rsid w:val="00D03335"/>
    <w:rsid w:val="00D03C1D"/>
    <w:rsid w:val="00D03F4A"/>
    <w:rsid w:val="00D0470A"/>
    <w:rsid w:val="00D0573B"/>
    <w:rsid w:val="00D06125"/>
    <w:rsid w:val="00D07CCB"/>
    <w:rsid w:val="00D1053A"/>
    <w:rsid w:val="00D11058"/>
    <w:rsid w:val="00D11CF3"/>
    <w:rsid w:val="00D1380B"/>
    <w:rsid w:val="00D13B68"/>
    <w:rsid w:val="00D13C1A"/>
    <w:rsid w:val="00D1432A"/>
    <w:rsid w:val="00D14AFF"/>
    <w:rsid w:val="00D14C0F"/>
    <w:rsid w:val="00D14CC3"/>
    <w:rsid w:val="00D15250"/>
    <w:rsid w:val="00D159DD"/>
    <w:rsid w:val="00D167B4"/>
    <w:rsid w:val="00D16DC5"/>
    <w:rsid w:val="00D204F4"/>
    <w:rsid w:val="00D207F5"/>
    <w:rsid w:val="00D20A6C"/>
    <w:rsid w:val="00D20E62"/>
    <w:rsid w:val="00D21937"/>
    <w:rsid w:val="00D228D7"/>
    <w:rsid w:val="00D22FC6"/>
    <w:rsid w:val="00D24708"/>
    <w:rsid w:val="00D24DC2"/>
    <w:rsid w:val="00D26568"/>
    <w:rsid w:val="00D27F30"/>
    <w:rsid w:val="00D30720"/>
    <w:rsid w:val="00D337EE"/>
    <w:rsid w:val="00D338DB"/>
    <w:rsid w:val="00D34849"/>
    <w:rsid w:val="00D34BC1"/>
    <w:rsid w:val="00D359A5"/>
    <w:rsid w:val="00D35EEF"/>
    <w:rsid w:val="00D363E6"/>
    <w:rsid w:val="00D368E6"/>
    <w:rsid w:val="00D37C4D"/>
    <w:rsid w:val="00D40308"/>
    <w:rsid w:val="00D404C3"/>
    <w:rsid w:val="00D4131C"/>
    <w:rsid w:val="00D42297"/>
    <w:rsid w:val="00D429CA"/>
    <w:rsid w:val="00D4392C"/>
    <w:rsid w:val="00D44040"/>
    <w:rsid w:val="00D4406B"/>
    <w:rsid w:val="00D44144"/>
    <w:rsid w:val="00D44A3D"/>
    <w:rsid w:val="00D461A2"/>
    <w:rsid w:val="00D466FC"/>
    <w:rsid w:val="00D46786"/>
    <w:rsid w:val="00D468B5"/>
    <w:rsid w:val="00D472EE"/>
    <w:rsid w:val="00D47A9E"/>
    <w:rsid w:val="00D47C22"/>
    <w:rsid w:val="00D5002D"/>
    <w:rsid w:val="00D50F98"/>
    <w:rsid w:val="00D51662"/>
    <w:rsid w:val="00D51A1A"/>
    <w:rsid w:val="00D51EB5"/>
    <w:rsid w:val="00D53F9E"/>
    <w:rsid w:val="00D54EA4"/>
    <w:rsid w:val="00D54EC8"/>
    <w:rsid w:val="00D55BE2"/>
    <w:rsid w:val="00D57E18"/>
    <w:rsid w:val="00D60012"/>
    <w:rsid w:val="00D60AC2"/>
    <w:rsid w:val="00D619F7"/>
    <w:rsid w:val="00D61CA9"/>
    <w:rsid w:val="00D63B29"/>
    <w:rsid w:val="00D64207"/>
    <w:rsid w:val="00D64AB5"/>
    <w:rsid w:val="00D66E84"/>
    <w:rsid w:val="00D67392"/>
    <w:rsid w:val="00D70E4D"/>
    <w:rsid w:val="00D71DFE"/>
    <w:rsid w:val="00D72DE4"/>
    <w:rsid w:val="00D76A16"/>
    <w:rsid w:val="00D77CF0"/>
    <w:rsid w:val="00D77D26"/>
    <w:rsid w:val="00D77F94"/>
    <w:rsid w:val="00D80E3A"/>
    <w:rsid w:val="00D81817"/>
    <w:rsid w:val="00D822E0"/>
    <w:rsid w:val="00D830D8"/>
    <w:rsid w:val="00D8352E"/>
    <w:rsid w:val="00D83FA7"/>
    <w:rsid w:val="00D847CA"/>
    <w:rsid w:val="00D8564D"/>
    <w:rsid w:val="00D86F14"/>
    <w:rsid w:val="00D87AAA"/>
    <w:rsid w:val="00D90298"/>
    <w:rsid w:val="00D90BD6"/>
    <w:rsid w:val="00D90E01"/>
    <w:rsid w:val="00D95776"/>
    <w:rsid w:val="00D964A1"/>
    <w:rsid w:val="00D968B0"/>
    <w:rsid w:val="00DA5098"/>
    <w:rsid w:val="00DA5243"/>
    <w:rsid w:val="00DA690A"/>
    <w:rsid w:val="00DA6ADC"/>
    <w:rsid w:val="00DB0EE6"/>
    <w:rsid w:val="00DB1DA0"/>
    <w:rsid w:val="00DB2A7D"/>
    <w:rsid w:val="00DB3113"/>
    <w:rsid w:val="00DB3826"/>
    <w:rsid w:val="00DB3D55"/>
    <w:rsid w:val="00DB49B3"/>
    <w:rsid w:val="00DB4B16"/>
    <w:rsid w:val="00DB51D7"/>
    <w:rsid w:val="00DC00C3"/>
    <w:rsid w:val="00DC0673"/>
    <w:rsid w:val="00DC0C4B"/>
    <w:rsid w:val="00DC120A"/>
    <w:rsid w:val="00DC1355"/>
    <w:rsid w:val="00DC2ABE"/>
    <w:rsid w:val="00DC3A46"/>
    <w:rsid w:val="00DC6940"/>
    <w:rsid w:val="00DD09DF"/>
    <w:rsid w:val="00DD0B31"/>
    <w:rsid w:val="00DD0FA1"/>
    <w:rsid w:val="00DD4A0F"/>
    <w:rsid w:val="00DD797D"/>
    <w:rsid w:val="00DD7A5D"/>
    <w:rsid w:val="00DE1598"/>
    <w:rsid w:val="00DE15BE"/>
    <w:rsid w:val="00DE2F5B"/>
    <w:rsid w:val="00DE5493"/>
    <w:rsid w:val="00DE5550"/>
    <w:rsid w:val="00DE5C8F"/>
    <w:rsid w:val="00DE6A51"/>
    <w:rsid w:val="00DE7770"/>
    <w:rsid w:val="00DF2590"/>
    <w:rsid w:val="00DF3B47"/>
    <w:rsid w:val="00DF4CC2"/>
    <w:rsid w:val="00DF5B1D"/>
    <w:rsid w:val="00DF5B3E"/>
    <w:rsid w:val="00DF6337"/>
    <w:rsid w:val="00DF69F0"/>
    <w:rsid w:val="00E00421"/>
    <w:rsid w:val="00E033F1"/>
    <w:rsid w:val="00E03A29"/>
    <w:rsid w:val="00E03B97"/>
    <w:rsid w:val="00E04632"/>
    <w:rsid w:val="00E0499B"/>
    <w:rsid w:val="00E07FB5"/>
    <w:rsid w:val="00E12FD2"/>
    <w:rsid w:val="00E149C7"/>
    <w:rsid w:val="00E177DF"/>
    <w:rsid w:val="00E1785D"/>
    <w:rsid w:val="00E21104"/>
    <w:rsid w:val="00E21EDE"/>
    <w:rsid w:val="00E22AF4"/>
    <w:rsid w:val="00E2313E"/>
    <w:rsid w:val="00E23748"/>
    <w:rsid w:val="00E23A19"/>
    <w:rsid w:val="00E241B7"/>
    <w:rsid w:val="00E24FC5"/>
    <w:rsid w:val="00E2533D"/>
    <w:rsid w:val="00E263F8"/>
    <w:rsid w:val="00E266F6"/>
    <w:rsid w:val="00E26D0A"/>
    <w:rsid w:val="00E27385"/>
    <w:rsid w:val="00E30645"/>
    <w:rsid w:val="00E30987"/>
    <w:rsid w:val="00E3240E"/>
    <w:rsid w:val="00E32433"/>
    <w:rsid w:val="00E3309A"/>
    <w:rsid w:val="00E33702"/>
    <w:rsid w:val="00E33F30"/>
    <w:rsid w:val="00E35E24"/>
    <w:rsid w:val="00E37052"/>
    <w:rsid w:val="00E37955"/>
    <w:rsid w:val="00E40753"/>
    <w:rsid w:val="00E413D2"/>
    <w:rsid w:val="00E41E5D"/>
    <w:rsid w:val="00E422B7"/>
    <w:rsid w:val="00E43CC5"/>
    <w:rsid w:val="00E4575D"/>
    <w:rsid w:val="00E45C08"/>
    <w:rsid w:val="00E45D42"/>
    <w:rsid w:val="00E47E43"/>
    <w:rsid w:val="00E508EA"/>
    <w:rsid w:val="00E5110B"/>
    <w:rsid w:val="00E51325"/>
    <w:rsid w:val="00E51EF0"/>
    <w:rsid w:val="00E5293A"/>
    <w:rsid w:val="00E55863"/>
    <w:rsid w:val="00E5596E"/>
    <w:rsid w:val="00E55D88"/>
    <w:rsid w:val="00E565FE"/>
    <w:rsid w:val="00E56C91"/>
    <w:rsid w:val="00E56D6F"/>
    <w:rsid w:val="00E572E0"/>
    <w:rsid w:val="00E576F7"/>
    <w:rsid w:val="00E60519"/>
    <w:rsid w:val="00E61244"/>
    <w:rsid w:val="00E6167B"/>
    <w:rsid w:val="00E61B9B"/>
    <w:rsid w:val="00E63050"/>
    <w:rsid w:val="00E6496F"/>
    <w:rsid w:val="00E65488"/>
    <w:rsid w:val="00E661AE"/>
    <w:rsid w:val="00E66AAF"/>
    <w:rsid w:val="00E71B18"/>
    <w:rsid w:val="00E72ACF"/>
    <w:rsid w:val="00E745CE"/>
    <w:rsid w:val="00E75D76"/>
    <w:rsid w:val="00E75E80"/>
    <w:rsid w:val="00E7757B"/>
    <w:rsid w:val="00E778A3"/>
    <w:rsid w:val="00E8449B"/>
    <w:rsid w:val="00E87A5B"/>
    <w:rsid w:val="00E9184E"/>
    <w:rsid w:val="00E9190B"/>
    <w:rsid w:val="00E92AAE"/>
    <w:rsid w:val="00E92F70"/>
    <w:rsid w:val="00E93E46"/>
    <w:rsid w:val="00E93F3E"/>
    <w:rsid w:val="00E9602B"/>
    <w:rsid w:val="00E963B1"/>
    <w:rsid w:val="00E97B2C"/>
    <w:rsid w:val="00EA00AC"/>
    <w:rsid w:val="00EA1419"/>
    <w:rsid w:val="00EA30D1"/>
    <w:rsid w:val="00EA3975"/>
    <w:rsid w:val="00EA3F45"/>
    <w:rsid w:val="00EA5B05"/>
    <w:rsid w:val="00EA7C32"/>
    <w:rsid w:val="00EB2F73"/>
    <w:rsid w:val="00EB2FBC"/>
    <w:rsid w:val="00EB3585"/>
    <w:rsid w:val="00EB573B"/>
    <w:rsid w:val="00EB59D9"/>
    <w:rsid w:val="00EB62D9"/>
    <w:rsid w:val="00EB6404"/>
    <w:rsid w:val="00EB71A5"/>
    <w:rsid w:val="00EB73E3"/>
    <w:rsid w:val="00EB76D5"/>
    <w:rsid w:val="00EB7D83"/>
    <w:rsid w:val="00EB7DA8"/>
    <w:rsid w:val="00EC0D6D"/>
    <w:rsid w:val="00EC35C1"/>
    <w:rsid w:val="00EC41ED"/>
    <w:rsid w:val="00EC5AA5"/>
    <w:rsid w:val="00EC6AB7"/>
    <w:rsid w:val="00EC7942"/>
    <w:rsid w:val="00ED01A1"/>
    <w:rsid w:val="00ED1525"/>
    <w:rsid w:val="00ED19D7"/>
    <w:rsid w:val="00ED1F27"/>
    <w:rsid w:val="00ED32B6"/>
    <w:rsid w:val="00ED3D6C"/>
    <w:rsid w:val="00ED42E4"/>
    <w:rsid w:val="00ED5764"/>
    <w:rsid w:val="00ED5D17"/>
    <w:rsid w:val="00ED744D"/>
    <w:rsid w:val="00EE0D8D"/>
    <w:rsid w:val="00EE15DB"/>
    <w:rsid w:val="00EE1A51"/>
    <w:rsid w:val="00EE34E1"/>
    <w:rsid w:val="00EE4754"/>
    <w:rsid w:val="00EE59C5"/>
    <w:rsid w:val="00EE651C"/>
    <w:rsid w:val="00EE797E"/>
    <w:rsid w:val="00EF105C"/>
    <w:rsid w:val="00EF139C"/>
    <w:rsid w:val="00EF1ACE"/>
    <w:rsid w:val="00EF233C"/>
    <w:rsid w:val="00EF3248"/>
    <w:rsid w:val="00EF3EC8"/>
    <w:rsid w:val="00EF430F"/>
    <w:rsid w:val="00EF4A9D"/>
    <w:rsid w:val="00EF5E49"/>
    <w:rsid w:val="00EF71D1"/>
    <w:rsid w:val="00F00A33"/>
    <w:rsid w:val="00F00A9C"/>
    <w:rsid w:val="00F00B05"/>
    <w:rsid w:val="00F00CDA"/>
    <w:rsid w:val="00F0111F"/>
    <w:rsid w:val="00F029F9"/>
    <w:rsid w:val="00F03629"/>
    <w:rsid w:val="00F04F12"/>
    <w:rsid w:val="00F07625"/>
    <w:rsid w:val="00F07878"/>
    <w:rsid w:val="00F1002D"/>
    <w:rsid w:val="00F115CB"/>
    <w:rsid w:val="00F12CB3"/>
    <w:rsid w:val="00F141A4"/>
    <w:rsid w:val="00F14AA6"/>
    <w:rsid w:val="00F17CA9"/>
    <w:rsid w:val="00F20487"/>
    <w:rsid w:val="00F22D80"/>
    <w:rsid w:val="00F23EB0"/>
    <w:rsid w:val="00F2529D"/>
    <w:rsid w:val="00F25ACC"/>
    <w:rsid w:val="00F25E7A"/>
    <w:rsid w:val="00F26D42"/>
    <w:rsid w:val="00F27DB2"/>
    <w:rsid w:val="00F30839"/>
    <w:rsid w:val="00F31AE0"/>
    <w:rsid w:val="00F3279D"/>
    <w:rsid w:val="00F33543"/>
    <w:rsid w:val="00F34FE2"/>
    <w:rsid w:val="00F352FA"/>
    <w:rsid w:val="00F357D1"/>
    <w:rsid w:val="00F37BCB"/>
    <w:rsid w:val="00F37ED3"/>
    <w:rsid w:val="00F404C1"/>
    <w:rsid w:val="00F40F80"/>
    <w:rsid w:val="00F41C89"/>
    <w:rsid w:val="00F41E49"/>
    <w:rsid w:val="00F4228D"/>
    <w:rsid w:val="00F4321E"/>
    <w:rsid w:val="00F43A50"/>
    <w:rsid w:val="00F444FF"/>
    <w:rsid w:val="00F4525D"/>
    <w:rsid w:val="00F475E9"/>
    <w:rsid w:val="00F50ED0"/>
    <w:rsid w:val="00F51A7A"/>
    <w:rsid w:val="00F53881"/>
    <w:rsid w:val="00F53A5F"/>
    <w:rsid w:val="00F5490D"/>
    <w:rsid w:val="00F5563B"/>
    <w:rsid w:val="00F56D4C"/>
    <w:rsid w:val="00F57BEE"/>
    <w:rsid w:val="00F60C9E"/>
    <w:rsid w:val="00F62191"/>
    <w:rsid w:val="00F62AC5"/>
    <w:rsid w:val="00F62CBF"/>
    <w:rsid w:val="00F66A34"/>
    <w:rsid w:val="00F70223"/>
    <w:rsid w:val="00F71F51"/>
    <w:rsid w:val="00F72BEF"/>
    <w:rsid w:val="00F74A12"/>
    <w:rsid w:val="00F776CE"/>
    <w:rsid w:val="00F77F61"/>
    <w:rsid w:val="00F815E5"/>
    <w:rsid w:val="00F83FE0"/>
    <w:rsid w:val="00F86858"/>
    <w:rsid w:val="00F872FE"/>
    <w:rsid w:val="00F87547"/>
    <w:rsid w:val="00F9168E"/>
    <w:rsid w:val="00F91951"/>
    <w:rsid w:val="00F92D05"/>
    <w:rsid w:val="00F937B9"/>
    <w:rsid w:val="00F939A1"/>
    <w:rsid w:val="00F94748"/>
    <w:rsid w:val="00F951B1"/>
    <w:rsid w:val="00F95C40"/>
    <w:rsid w:val="00F97F0D"/>
    <w:rsid w:val="00FA1964"/>
    <w:rsid w:val="00FA59EC"/>
    <w:rsid w:val="00FA60C9"/>
    <w:rsid w:val="00FA619B"/>
    <w:rsid w:val="00FA7368"/>
    <w:rsid w:val="00FB0371"/>
    <w:rsid w:val="00FB3474"/>
    <w:rsid w:val="00FB3FFA"/>
    <w:rsid w:val="00FB6668"/>
    <w:rsid w:val="00FB6E11"/>
    <w:rsid w:val="00FB78F3"/>
    <w:rsid w:val="00FC0BB1"/>
    <w:rsid w:val="00FC0FFC"/>
    <w:rsid w:val="00FC1515"/>
    <w:rsid w:val="00FC198C"/>
    <w:rsid w:val="00FC28A0"/>
    <w:rsid w:val="00FC310E"/>
    <w:rsid w:val="00FC3616"/>
    <w:rsid w:val="00FC3B8F"/>
    <w:rsid w:val="00FC61C8"/>
    <w:rsid w:val="00FC6773"/>
    <w:rsid w:val="00FD162E"/>
    <w:rsid w:val="00FD302C"/>
    <w:rsid w:val="00FD7059"/>
    <w:rsid w:val="00FD7593"/>
    <w:rsid w:val="00FE087F"/>
    <w:rsid w:val="00FE131D"/>
    <w:rsid w:val="00FE178B"/>
    <w:rsid w:val="00FE2667"/>
    <w:rsid w:val="00FE31B5"/>
    <w:rsid w:val="00FE3B3C"/>
    <w:rsid w:val="00FE424E"/>
    <w:rsid w:val="00FE50C3"/>
    <w:rsid w:val="00FE755E"/>
    <w:rsid w:val="00FE7B4A"/>
    <w:rsid w:val="00FF0E1B"/>
    <w:rsid w:val="00FF292D"/>
    <w:rsid w:val="00FF2F9A"/>
    <w:rsid w:val="00FF30D8"/>
    <w:rsid w:val="00FF3C13"/>
    <w:rsid w:val="00FF4D20"/>
    <w:rsid w:val="00FF54DD"/>
    <w:rsid w:val="00FF6051"/>
    <w:rsid w:val="00FF64DE"/>
    <w:rsid w:val="00FF70EC"/>
    <w:rsid w:val="05C3236B"/>
    <w:rsid w:val="08123D6F"/>
    <w:rsid w:val="0A527C6E"/>
    <w:rsid w:val="0B247F12"/>
    <w:rsid w:val="0C1F0E48"/>
    <w:rsid w:val="0E3830A7"/>
    <w:rsid w:val="1427636E"/>
    <w:rsid w:val="17393EFC"/>
    <w:rsid w:val="18AA553C"/>
    <w:rsid w:val="1FCA0286"/>
    <w:rsid w:val="20340EE7"/>
    <w:rsid w:val="24025479"/>
    <w:rsid w:val="256C0AAC"/>
    <w:rsid w:val="25723AA6"/>
    <w:rsid w:val="2AF0077A"/>
    <w:rsid w:val="2B0D11EA"/>
    <w:rsid w:val="41F769A0"/>
    <w:rsid w:val="457075BB"/>
    <w:rsid w:val="4AC06C6A"/>
    <w:rsid w:val="4B3432E8"/>
    <w:rsid w:val="509279B0"/>
    <w:rsid w:val="53462624"/>
    <w:rsid w:val="5395352A"/>
    <w:rsid w:val="54261A12"/>
    <w:rsid w:val="57BE5435"/>
    <w:rsid w:val="620B4B5F"/>
    <w:rsid w:val="66BA6D89"/>
    <w:rsid w:val="683D7144"/>
    <w:rsid w:val="69BF0D02"/>
    <w:rsid w:val="6A8A46FA"/>
    <w:rsid w:val="70A46847"/>
    <w:rsid w:val="77C25504"/>
    <w:rsid w:val="79F36747"/>
    <w:rsid w:val="7BDE0C48"/>
    <w:rsid w:val="7DCA5B84"/>
    <w:rsid w:val="7F6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eastAsia="宋体" w:cs="Times New Roman"/>
      <w:sz w:val="24"/>
      <w:lang w:val="en-US" w:eastAsia="en-US" w:bidi="ar-SA"/>
    </w:rPr>
  </w:style>
  <w:style w:type="paragraph" w:styleId="2">
    <w:name w:val="heading 1"/>
    <w:basedOn w:val="1"/>
    <w:next w:val="1"/>
    <w:link w:val="30"/>
    <w:qFormat/>
    <w:uiPriority w:val="0"/>
    <w:pPr>
      <w:spacing w:beforeLines="50" w:afterLines="50"/>
      <w:outlineLvl w:val="0"/>
    </w:pPr>
    <w:rPr>
      <w:b/>
      <w:caps/>
      <w:sz w:val="28"/>
    </w:rPr>
  </w:style>
  <w:style w:type="paragraph" w:styleId="3">
    <w:name w:val="heading 2"/>
    <w:basedOn w:val="1"/>
    <w:next w:val="1"/>
    <w:qFormat/>
    <w:uiPriority w:val="0"/>
    <w:pPr>
      <w:tabs>
        <w:tab w:val="left" w:pos="9073"/>
      </w:tabs>
      <w:outlineLvl w:val="1"/>
    </w:pPr>
    <w:rPr>
      <w:b/>
      <w:caps/>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qFormat/>
    <w:uiPriority w:val="0"/>
    <w:pPr>
      <w:spacing w:line="240" w:lineRule="auto"/>
      <w:jc w:val="left"/>
    </w:pPr>
  </w:style>
  <w:style w:type="paragraph" w:styleId="6">
    <w:name w:val="Body Text"/>
    <w:basedOn w:val="1"/>
    <w:qFormat/>
    <w:uiPriority w:val="0"/>
    <w:pPr>
      <w:tabs>
        <w:tab w:val="left" w:pos="720"/>
        <w:tab w:val="left" w:pos="1440"/>
        <w:tab w:val="left" w:pos="2160"/>
      </w:tabs>
      <w:ind w:right="-1440"/>
    </w:pPr>
  </w:style>
  <w:style w:type="paragraph" w:styleId="7">
    <w:name w:val="toc 5"/>
    <w:basedOn w:val="1"/>
    <w:autoRedefine/>
    <w:semiHidden/>
    <w:qFormat/>
    <w:uiPriority w:val="0"/>
    <w:pPr>
      <w:numPr>
        <w:ilvl w:val="1"/>
        <w:numId w:val="1"/>
      </w:numPr>
      <w:ind w:left="240" w:right="240"/>
    </w:pPr>
    <w:rPr>
      <w:szCs w:val="24"/>
      <w:lang w:eastAsia="zh-CN"/>
    </w:rPr>
  </w:style>
  <w:style w:type="paragraph" w:styleId="8">
    <w:name w:val="toc 3"/>
    <w:basedOn w:val="1"/>
    <w:next w:val="1"/>
    <w:autoRedefine/>
    <w:qFormat/>
    <w:uiPriority w:val="39"/>
    <w:pPr>
      <w:ind w:left="840" w:leftChars="400"/>
    </w:pPr>
  </w:style>
  <w:style w:type="paragraph" w:styleId="9">
    <w:name w:val="Date"/>
    <w:basedOn w:val="1"/>
    <w:next w:val="1"/>
    <w:link w:val="29"/>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28"/>
    <w:qFormat/>
    <w:uiPriority w:val="99"/>
    <w:pPr>
      <w:tabs>
        <w:tab w:val="center" w:pos="4320"/>
        <w:tab w:val="right" w:pos="8640"/>
      </w:tabs>
    </w:pPr>
  </w:style>
  <w:style w:type="paragraph" w:styleId="12">
    <w:name w:val="header"/>
    <w:basedOn w:val="1"/>
    <w:qFormat/>
    <w:uiPriority w:val="0"/>
    <w:pPr>
      <w:tabs>
        <w:tab w:val="center" w:pos="4320"/>
        <w:tab w:val="right" w:pos="8640"/>
      </w:tabs>
    </w:pPr>
  </w:style>
  <w:style w:type="paragraph" w:styleId="13">
    <w:name w:val="toc 1"/>
    <w:basedOn w:val="1"/>
    <w:next w:val="1"/>
    <w:autoRedefine/>
    <w:qFormat/>
    <w:uiPriority w:val="39"/>
    <w:pPr>
      <w:tabs>
        <w:tab w:val="left" w:pos="360"/>
        <w:tab w:val="right" w:leader="dot" w:pos="10078"/>
      </w:tabs>
    </w:pPr>
  </w:style>
  <w:style w:type="paragraph" w:styleId="14">
    <w:name w:val="footnote text"/>
    <w:basedOn w:val="1"/>
    <w:semiHidden/>
    <w:qFormat/>
    <w:uiPriority w:val="0"/>
    <w:rPr>
      <w:sz w:val="20"/>
    </w:rPr>
  </w:style>
  <w:style w:type="paragraph" w:styleId="15">
    <w:name w:val="toc 2"/>
    <w:basedOn w:val="1"/>
    <w:next w:val="1"/>
    <w:autoRedefine/>
    <w:qFormat/>
    <w:uiPriority w:val="39"/>
    <w:pPr>
      <w:ind w:left="420" w:leftChars="200"/>
    </w:pPr>
  </w:style>
  <w:style w:type="paragraph" w:styleId="16">
    <w:name w:val="Body Text 2"/>
    <w:basedOn w:val="1"/>
    <w:qFormat/>
    <w:uiPriority w:val="0"/>
    <w:pPr>
      <w:tabs>
        <w:tab w:val="left" w:pos="720"/>
        <w:tab w:val="left" w:pos="1440"/>
        <w:tab w:val="left" w:pos="1620"/>
        <w:tab w:val="left" w:pos="2160"/>
      </w:tabs>
      <w:ind w:right="634"/>
    </w:pPr>
  </w:style>
  <w:style w:type="paragraph" w:styleId="17">
    <w:name w:val="annotation subject"/>
    <w:basedOn w:val="5"/>
    <w:next w:val="5"/>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qFormat/>
    <w:uiPriority w:val="0"/>
  </w:style>
  <w:style w:type="character" w:styleId="22">
    <w:name w:val="FollowedHyperlink"/>
    <w:qFormat/>
    <w:uiPriority w:val="0"/>
    <w:rPr>
      <w:rFonts w:eastAsia="宋体"/>
      <w:color w:val="800080"/>
      <w:sz w:val="24"/>
      <w:u w:val="single"/>
      <w:lang w:val="en-US" w:eastAsia="en-US" w:bidi="ar-SA"/>
    </w:rPr>
  </w:style>
  <w:style w:type="character" w:styleId="23">
    <w:name w:val="Hyperlink"/>
    <w:qFormat/>
    <w:uiPriority w:val="99"/>
    <w:rPr>
      <w:rFonts w:eastAsia="宋体"/>
      <w:color w:val="0000FF"/>
      <w:sz w:val="24"/>
      <w:u w:val="single"/>
      <w:lang w:val="en-US" w:eastAsia="en-US" w:bidi="ar-SA"/>
    </w:rPr>
  </w:style>
  <w:style w:type="character" w:styleId="24">
    <w:name w:val="annotation reference"/>
    <w:semiHidden/>
    <w:qFormat/>
    <w:uiPriority w:val="0"/>
    <w:rPr>
      <w:rFonts w:eastAsia="宋体"/>
      <w:sz w:val="21"/>
      <w:szCs w:val="21"/>
      <w:lang w:val="en-US" w:eastAsia="en-US" w:bidi="ar-SA"/>
    </w:rPr>
  </w:style>
  <w:style w:type="paragraph" w:customStyle="1" w:styleId="25">
    <w:name w:val="Char Char Char Char Char Char Char"/>
    <w:basedOn w:val="1"/>
    <w:qFormat/>
    <w:uiPriority w:val="0"/>
    <w:pPr>
      <w:spacing w:after="160" w:line="240" w:lineRule="exact"/>
    </w:pPr>
  </w:style>
  <w:style w:type="paragraph" w:customStyle="1" w:styleId="26">
    <w:name w:val="Char"/>
    <w:basedOn w:val="1"/>
    <w:qFormat/>
    <w:uiPriority w:val="0"/>
    <w:pPr>
      <w:spacing w:after="160" w:line="240" w:lineRule="exact"/>
    </w:pPr>
  </w:style>
  <w:style w:type="paragraph" w:styleId="27">
    <w:name w:val="List Paragraph"/>
    <w:basedOn w:val="1"/>
    <w:qFormat/>
    <w:uiPriority w:val="34"/>
    <w:pPr>
      <w:ind w:firstLine="420" w:firstLineChars="200"/>
    </w:pPr>
  </w:style>
  <w:style w:type="character" w:customStyle="1" w:styleId="28">
    <w:name w:val="页脚 Char"/>
    <w:basedOn w:val="20"/>
    <w:link w:val="11"/>
    <w:qFormat/>
    <w:uiPriority w:val="99"/>
    <w:rPr>
      <w:sz w:val="24"/>
      <w:lang w:eastAsia="en-US"/>
    </w:rPr>
  </w:style>
  <w:style w:type="character" w:customStyle="1" w:styleId="29">
    <w:name w:val="日期 Char"/>
    <w:basedOn w:val="20"/>
    <w:link w:val="9"/>
    <w:qFormat/>
    <w:uiPriority w:val="0"/>
    <w:rPr>
      <w:sz w:val="24"/>
      <w:lang w:eastAsia="en-US"/>
    </w:rPr>
  </w:style>
  <w:style w:type="character" w:customStyle="1" w:styleId="30">
    <w:name w:val="标题 1 Char"/>
    <w:basedOn w:val="20"/>
    <w:link w:val="2"/>
    <w:qFormat/>
    <w:uiPriority w:val="0"/>
    <w:rPr>
      <w:b/>
      <w:caps/>
      <w:sz w:val="2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A82F868639CE3448BAF1C8E6A24D217C" ma:contentTypeVersion="5" ma:contentTypeDescription="新建文档。" ma:contentTypeScope="" ma:versionID="b8152ea9e176cfd5f473b6beba11ad31">
  <xsd:schema xmlns:xsd="http://www.w3.org/2001/XMLSchema" xmlns:p="http://schemas.microsoft.com/office/2006/metadata/properties" xmlns:ns2="2b2922a4-abd9-4124-8744-08a64200b590" targetNamespace="http://schemas.microsoft.com/office/2006/metadata/properties" ma:root="true" ma:fieldsID="fffb42a6c57997bcdc7dbf901c98ffd3" ns2:_="">
    <xsd:import namespace="2b2922a4-abd9-4124-8744-08a64200b590"/>
    <xsd:element name="properties">
      <xsd:complexType>
        <xsd:sequence>
          <xsd:element name="documentManagement">
            <xsd:complexType>
              <xsd:all>
                <xsd:element ref="ns2:EngTitle" minOccurs="0"/>
              </xsd:all>
            </xsd:complexType>
          </xsd:element>
        </xsd:sequence>
      </xsd:complexType>
    </xsd:element>
  </xsd:schema>
  <xsd:schema xmlns:xsd="http://www.w3.org/2001/XMLSchema" xmlns:dms="http://schemas.microsoft.com/office/2006/documentManagement/types" targetNamespace="2b2922a4-abd9-4124-8744-08a64200b590" elementFormDefault="qualified">
    <xsd:import namespace="http://schemas.microsoft.com/office/2006/documentManagement/types"/>
    <xsd:element name="EngTitle" ma:index="8" nillable="true" ma:displayName="English Title" ma:default="" ma:internalName="Eng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ma:readOnly="true"/>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EngTitle xmlns="2b2922a4-abd9-4124-8744-08a64200b590"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F38BBF-CFD3-4B83-8969-9D63984D9608}">
  <ds:schemaRefs/>
</ds:datastoreItem>
</file>

<file path=customXml/itemProps2.xml><?xml version="1.0" encoding="utf-8"?>
<ds:datastoreItem xmlns:ds="http://schemas.openxmlformats.org/officeDocument/2006/customXml" ds:itemID="{08A374A5-88C7-4127-8A4D-F48C890D5733}">
  <ds:schemaRefs/>
</ds:datastoreItem>
</file>

<file path=customXml/itemProps3.xml><?xml version="1.0" encoding="utf-8"?>
<ds:datastoreItem xmlns:ds="http://schemas.openxmlformats.org/officeDocument/2006/customXml" ds:itemID="{57E0A703-0168-4B11-99F7-07CFAA0108AD}">
  <ds:schemaRefs/>
</ds:datastoreItem>
</file>

<file path=customXml/itemProps4.xml><?xml version="1.0" encoding="utf-8"?>
<ds:datastoreItem xmlns:ds="http://schemas.openxmlformats.org/officeDocument/2006/customXml" ds:itemID="{94B4C29B-E4A9-48E6-9A4A-D82128E32E5A}">
  <ds:schemaRefs/>
</ds:datastoreItem>
</file>

<file path=customXml/itemProps5.xml><?xml version="1.0" encoding="utf-8"?>
<ds:datastoreItem xmlns:ds="http://schemas.openxmlformats.org/officeDocument/2006/customXml" ds:itemID="{79B40414-0B1A-4B3F-ACAE-80DCECA7F042}">
  <ds:schemaRefs/>
</ds:datastoreItem>
</file>

<file path=docProps/app.xml><?xml version="1.0" encoding="utf-8"?>
<Properties xmlns="http://schemas.openxmlformats.org/officeDocument/2006/extended-properties" xmlns:vt="http://schemas.openxmlformats.org/officeDocument/2006/docPropsVTypes">
  <Template>Normal</Template>
  <Company>w</Company>
  <Pages>37</Pages>
  <Words>3670</Words>
  <Characters>20925</Characters>
  <Lines>174</Lines>
  <Paragraphs>49</Paragraphs>
  <TotalTime>0</TotalTime>
  <ScaleCrop>false</ScaleCrop>
  <LinksUpToDate>false</LinksUpToDate>
  <CharactersWithSpaces>24546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2020-08-12T07:29:00Z</dcterms:created>
  <dc:creator>w</dc:creator>
  <cp:lastModifiedBy>huangdongmei1</cp:lastModifiedBy>
  <dcterms:modified xsi:type="dcterms:W3CDTF">2026-07-21T06:37:21Z</dcterms:modified>
  <dc:title>SERVICES AGREEMENT</dc:title>
  <cp:revision>414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文档</vt:lpwstr>
  </property>
  <property fmtid="{D5CDD505-2E9C-101B-9397-08002B2CF9AE}" pid="3" name="MSIP_Label_9c700311-1b20-487f-9129-30717d50ca8e_Enabled">
    <vt:lpwstr>True</vt:lpwstr>
  </property>
  <property fmtid="{D5CDD505-2E9C-101B-9397-08002B2CF9AE}" pid="4" name="MSIP_Label_9c700311-1b20-487f-9129-30717d50ca8e_SiteId">
    <vt:lpwstr>76e3921f-489b-4b7e-9547-9ea297add9b5</vt:lpwstr>
  </property>
  <property fmtid="{D5CDD505-2E9C-101B-9397-08002B2CF9AE}" pid="5" name="MSIP_Label_9c700311-1b20-487f-9129-30717d50ca8e_Owner">
    <vt:lpwstr>yi.chen@willistowerswatson.com</vt:lpwstr>
  </property>
  <property fmtid="{D5CDD505-2E9C-101B-9397-08002B2CF9AE}" pid="6" name="MSIP_Label_9c700311-1b20-487f-9129-30717d50ca8e_SetDate">
    <vt:lpwstr>2020-07-15T09:49:56.2581467Z</vt:lpwstr>
  </property>
  <property fmtid="{D5CDD505-2E9C-101B-9397-08002B2CF9AE}" pid="7" name="MSIP_Label_9c700311-1b20-487f-9129-30717d50ca8e_Name">
    <vt:lpwstr>Confidential</vt:lpwstr>
  </property>
  <property fmtid="{D5CDD505-2E9C-101B-9397-08002B2CF9AE}" pid="8" name="MSIP_Label_9c700311-1b20-487f-9129-30717d50ca8e_Application">
    <vt:lpwstr>Microsoft Azure Information Protection</vt:lpwstr>
  </property>
  <property fmtid="{D5CDD505-2E9C-101B-9397-08002B2CF9AE}" pid="9" name="MSIP_Label_9c700311-1b20-487f-9129-30717d50ca8e_ActionId">
    <vt:lpwstr>da66c5a1-fe3e-4011-a2c7-5e8b4cff8e69</vt:lpwstr>
  </property>
  <property fmtid="{D5CDD505-2E9C-101B-9397-08002B2CF9AE}" pid="10" name="MSIP_Label_9c700311-1b20-487f-9129-30717d50ca8e_Extended_MSFT_Method">
    <vt:lpwstr>Automatic</vt:lpwstr>
  </property>
  <property fmtid="{D5CDD505-2E9C-101B-9397-08002B2CF9AE}" pid="11" name="MSIP_Label_d347b247-e90e-43a3-9d7b-004f14ae6873_Enabled">
    <vt:lpwstr>True</vt:lpwstr>
  </property>
  <property fmtid="{D5CDD505-2E9C-101B-9397-08002B2CF9AE}" pid="12" name="MSIP_Label_d347b247-e90e-43a3-9d7b-004f14ae6873_SiteId">
    <vt:lpwstr>76e3921f-489b-4b7e-9547-9ea297add9b5</vt:lpwstr>
  </property>
  <property fmtid="{D5CDD505-2E9C-101B-9397-08002B2CF9AE}" pid="13" name="MSIP_Label_d347b247-e90e-43a3-9d7b-004f14ae6873_Owner">
    <vt:lpwstr>yi.chen@willistowerswatson.com</vt:lpwstr>
  </property>
  <property fmtid="{D5CDD505-2E9C-101B-9397-08002B2CF9AE}" pid="14" name="MSIP_Label_d347b247-e90e-43a3-9d7b-004f14ae6873_SetDate">
    <vt:lpwstr>2020-07-15T09:49:56.2581467Z</vt:lpwstr>
  </property>
  <property fmtid="{D5CDD505-2E9C-101B-9397-08002B2CF9AE}" pid="15" name="MSIP_Label_d347b247-e90e-43a3-9d7b-004f14ae6873_Name">
    <vt:lpwstr>Anyone (No Protection)</vt:lpwstr>
  </property>
  <property fmtid="{D5CDD505-2E9C-101B-9397-08002B2CF9AE}" pid="16" name="MSIP_Label_d347b247-e90e-43a3-9d7b-004f14ae6873_Application">
    <vt:lpwstr>Microsoft Azure Information Protection</vt:lpwstr>
  </property>
  <property fmtid="{D5CDD505-2E9C-101B-9397-08002B2CF9AE}" pid="17" name="MSIP_Label_d347b247-e90e-43a3-9d7b-004f14ae6873_ActionId">
    <vt:lpwstr>da66c5a1-fe3e-4011-a2c7-5e8b4cff8e69</vt:lpwstr>
  </property>
  <property fmtid="{D5CDD505-2E9C-101B-9397-08002B2CF9AE}" pid="18" name="MSIP_Label_d347b247-e90e-43a3-9d7b-004f14ae6873_Parent">
    <vt:lpwstr>9c700311-1b20-487f-9129-30717d50ca8e</vt:lpwstr>
  </property>
  <property fmtid="{D5CDD505-2E9C-101B-9397-08002B2CF9AE}" pid="19" name="MSIP_Label_d347b247-e90e-43a3-9d7b-004f14ae6873_Extended_MSFT_Method">
    <vt:lpwstr>Automatic</vt:lpwstr>
  </property>
  <property fmtid="{D5CDD505-2E9C-101B-9397-08002B2CF9AE}" pid="20" name="Sensitivity">
    <vt:lpwstr>Confidential Anyone (No Protection)</vt:lpwstr>
  </property>
  <property fmtid="{D5CDD505-2E9C-101B-9397-08002B2CF9AE}" pid="21" name="KSOProductBuildVer">
    <vt:lpwstr>2052-12.1.0.24657</vt:lpwstr>
  </property>
  <property fmtid="{D5CDD505-2E9C-101B-9397-08002B2CF9AE}" pid="22" name="ICV">
    <vt:lpwstr>A574B7BFF5244B31B906455970F9CAF1_12</vt:lpwstr>
  </property>
</Properties>
</file>