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440233-2026-00875</w:t>
      </w:r>
    </w:p>
    <w:p>
      <w:pPr>
        <w:pStyle w:val="null3"/>
        <w:jc w:val="center"/>
        <w:outlineLvl w:val="3"/>
      </w:pPr>
      <w:r>
        <w:rPr>
          <w:sz w:val="24"/>
          <w:b/>
        </w:rPr>
        <w:t>采购项目编号：</w:t>
      </w:r>
      <w:r>
        <w:rPr>
          <w:sz w:val="24"/>
          <w:b/>
        </w:rPr>
        <w:t>FSZB-2026-021</w:t>
      </w:r>
    </w:p>
    <w:p>
      <w:pPr>
        <w:pStyle w:val="null3"/>
        <w:jc w:val="center"/>
        <w:outlineLvl w:val="3"/>
      </w:pPr>
      <w:r>
        <w:rPr>
          <w:sz w:val="24"/>
          <w:b/>
        </w:rPr>
        <w:t>项目名称：</w:t>
      </w:r>
      <w:r>
        <w:rPr>
          <w:sz w:val="24"/>
          <w:b/>
        </w:rPr>
        <w:t>广东省韶关市新丰县2026年中央财政林草有害生物防治项目</w:t>
      </w:r>
    </w:p>
    <w:p>
      <w:pPr>
        <w:pStyle w:val="null3"/>
        <w:jc w:val="center"/>
        <w:outlineLvl w:val="3"/>
      </w:pPr>
      <w:r>
        <w:rPr>
          <w:sz w:val="24"/>
          <w:b/>
        </w:rPr>
        <w:t>采购人：</w:t>
      </w:r>
      <w:r>
        <w:rPr>
          <w:sz w:val="24"/>
          <w:b/>
        </w:rPr>
        <w:t>新丰县林业局</w:t>
      </w:r>
    </w:p>
    <w:p>
      <w:pPr>
        <w:pStyle w:val="null3"/>
        <w:jc w:val="center"/>
        <w:outlineLvl w:val="3"/>
      </w:pPr>
      <w:r>
        <w:rPr>
          <w:sz w:val="24"/>
          <w:b/>
        </w:rPr>
        <w:t>采购代理机构：</w:t>
      </w:r>
      <w:r>
        <w:rPr>
          <w:sz w:val="24"/>
          <w:b/>
        </w:rPr>
        <w:t>韶关市繁盛项目管理有限公司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韶关市繁盛项目管理有限公司</w:t>
      </w:r>
      <w:r>
        <w:rPr/>
        <w:t>受</w:t>
      </w:r>
      <w:r>
        <w:rPr/>
        <w:t>新丰县林业局</w:t>
      </w:r>
      <w:r>
        <w:rPr/>
        <w:t>的委托，采用</w:t>
      </w:r>
      <w:r>
        <w:rPr/>
        <w:t>公开招标</w:t>
      </w:r>
      <w:r>
        <w:rPr/>
        <w:t>方式组织采购</w:t>
      </w:r>
      <w:r>
        <w:rPr/>
        <w:t>广东省韶关市新丰县2026年中央财政林草有害生物防治项目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广东省韶关市新丰县2026年中央财政林草有害生物防治项目</w:t>
      </w:r>
    </w:p>
    <w:p>
      <w:pPr>
        <w:pStyle w:val="null3"/>
        <w:ind w:firstLine="480"/>
      </w:pPr>
      <w:r>
        <w:rPr/>
        <w:t>采购计划编号：</w:t>
      </w:r>
      <w:r>
        <w:rPr/>
        <w:t>440233-2026-00875</w:t>
      </w:r>
    </w:p>
    <w:p>
      <w:pPr>
        <w:pStyle w:val="null3"/>
        <w:ind w:firstLine="480"/>
      </w:pPr>
      <w:r>
        <w:rPr/>
        <w:t>采购项目编号：</w:t>
      </w:r>
      <w:r>
        <w:rPr/>
        <w:t>FSZB-2026-021</w:t>
      </w:r>
    </w:p>
    <w:p>
      <w:pPr>
        <w:pStyle w:val="null3"/>
        <w:ind w:firstLine="480"/>
      </w:pPr>
      <w:r>
        <w:rPr/>
        <w:t>采购方式：</w:t>
      </w:r>
      <w:r>
        <w:rPr/>
        <w:t>公开招标</w:t>
      </w:r>
    </w:p>
    <w:p>
      <w:pPr>
        <w:pStyle w:val="null3"/>
        <w:ind w:firstLine="480"/>
      </w:pPr>
      <w:r>
        <w:rPr/>
        <w:t>预算金额：</w:t>
      </w:r>
      <w:r>
        <w:rPr/>
        <w:t>3,634,000.00</w:t>
      </w:r>
      <w:r>
        <w:rPr/>
        <w:t>元</w:t>
      </w:r>
    </w:p>
    <w:p>
      <w:pPr>
        <w:pStyle w:val="null3"/>
        <w:outlineLvl w:val="3"/>
      </w:pPr>
      <w:r>
        <w:rPr>
          <w:sz w:val="24"/>
          <w:b/>
        </w:rPr>
        <w:t>2.项目内容及需求情况（采购项目技术规格、参数及要求）</w:t>
      </w:r>
    </w:p>
    <w:p>
      <w:pPr>
        <w:pStyle w:val="null3"/>
      </w:pPr>
      <w:r>
        <w:rPr/>
        <w:t>采购包1(广东省韶关市新丰县2026年中央财政林草有害生物防治项目):</w:t>
      </w:r>
    </w:p>
    <w:p>
      <w:pPr>
        <w:pStyle w:val="null3"/>
      </w:pPr>
      <w:r>
        <w:rPr/>
        <w:t>采购包预算金额：3,634,000.00元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林业有害生物防治服务</w:t>
            </w:r>
          </w:p>
        </w:tc>
        <w:tc>
          <w:tcPr>
            <w:tcW w:type="dxa" w:w="2136"/>
          </w:tcPr>
          <w:p>
            <w:pPr>
              <w:pStyle w:val="null3"/>
            </w:pPr>
            <w:r>
              <w:rPr/>
              <w:t>广东省韶关市新丰县2026年中央财政林草有害生物防治项目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合同履行期限：自合同签订之日起至2027年8月31日。（实际以合同为准，项目时间12个月）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w:t>
      </w:r>
    </w:p>
    <w:p>
      <w:pPr>
        <w:pStyle w:val="null3"/>
      </w:pPr>
      <w:r>
        <w:rPr/>
        <w:t>3）具有良好的商业信誉和健全的财务会计制度：投标文件中提供《资格条件承诺函》。</w:t>
      </w:r>
    </w:p>
    <w:p>
      <w:pPr>
        <w:pStyle w:val="null3"/>
      </w:pPr>
      <w:r>
        <w:rPr/>
        <w:t>4）履行合同所必需的设备和专业技术能力：投标文件中提供《资格条件承诺函》。</w:t>
      </w:r>
    </w:p>
    <w:p>
      <w:pPr>
        <w:pStyle w:val="null3"/>
      </w:pPr>
      <w:r>
        <w:rPr/>
        <w:t>5）参加采购活动前3年内，在经营活动中没有重大违法记录：在投标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采购包1（广东省韶关市新丰县2026年中央财政林草有害生物防治项目）：</w:t>
      </w:r>
      <w:r>
        <w:rPr/>
        <w:t>采购包整体专门面向中小企业采购。投标人须符合本项目采购标的对应行业（本项目行业为：农、林、牧、渔业）的政策划分标准。监狱企业、残疾人福利单位视同小型、微型企业。【注：中小企业以投标人填写的《中小企业声明函》为判定标准，残疾人福利性单位以供应商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采购包1（广东省韶关市新丰县2026年中央财政林草有害生物防治项目）：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新丰县林业局</w:t>
      </w:r>
    </w:p>
    <w:p>
      <w:pPr>
        <w:pStyle w:val="null3"/>
        <w:ind w:firstLine="480"/>
      </w:pPr>
      <w:r>
        <w:rPr/>
        <w:t xml:space="preserve"> 地址：</w:t>
      </w:r>
      <w:r>
        <w:rPr/>
        <w:t>新丰县人民东路21号</w:t>
      </w:r>
    </w:p>
    <w:p>
      <w:pPr>
        <w:pStyle w:val="null3"/>
        <w:ind w:firstLine="480"/>
      </w:pPr>
      <w:r>
        <w:rPr/>
        <w:t xml:space="preserve"> 联系方式：</w:t>
      </w:r>
      <w:r>
        <w:rPr/>
        <w:t>0751-6846822</w:t>
      </w:r>
    </w:p>
    <w:p>
      <w:pPr>
        <w:pStyle w:val="null3"/>
        <w:outlineLvl w:val="3"/>
      </w:pPr>
      <w:r>
        <w:rPr>
          <w:sz w:val="24"/>
          <w:b/>
        </w:rPr>
        <w:t xml:space="preserve"> 2.采购代理机构信息</w:t>
      </w:r>
    </w:p>
    <w:p>
      <w:pPr>
        <w:pStyle w:val="null3"/>
        <w:ind w:firstLine="480"/>
      </w:pPr>
      <w:r>
        <w:rPr/>
        <w:t xml:space="preserve"> 名称：</w:t>
      </w:r>
      <w:r>
        <w:rPr/>
        <w:t>韶关市繁盛项目管理有限公司</w:t>
      </w:r>
    </w:p>
    <w:p>
      <w:pPr>
        <w:pStyle w:val="null3"/>
        <w:ind w:firstLine="480"/>
      </w:pPr>
      <w:r>
        <w:rPr/>
        <w:t xml:space="preserve"> 地址：</w:t>
      </w:r>
      <w:r>
        <w:rPr/>
        <w:t>广东省韶关市曲江区韶关市曲江区马坝镇马坝村委下街村民小组安置房1号楼5楼自编502号</w:t>
      </w:r>
    </w:p>
    <w:p>
      <w:pPr>
        <w:pStyle w:val="null3"/>
        <w:ind w:firstLine="480"/>
      </w:pPr>
      <w:r>
        <w:rPr/>
        <w:t xml:space="preserve"> 联系方式：</w:t>
      </w:r>
      <w:r>
        <w:rPr/>
        <w:t>0751-8896636</w:t>
      </w:r>
    </w:p>
    <w:p>
      <w:pPr>
        <w:pStyle w:val="null3"/>
        <w:outlineLvl w:val="3"/>
      </w:pPr>
      <w:r>
        <w:rPr>
          <w:sz w:val="24"/>
          <w:b/>
        </w:rPr>
        <w:t xml:space="preserve"> 3.项目联系方式</w:t>
      </w:r>
    </w:p>
    <w:p>
      <w:pPr>
        <w:pStyle w:val="null3"/>
        <w:ind w:firstLine="480"/>
      </w:pPr>
      <w:r>
        <w:rPr/>
        <w:t xml:space="preserve"> 项目联系人：</w:t>
      </w:r>
      <w:r>
        <w:rPr/>
        <w:t>范工</w:t>
      </w:r>
    </w:p>
    <w:p>
      <w:pPr>
        <w:pStyle w:val="null3"/>
        <w:ind w:firstLine="480"/>
      </w:pPr>
      <w:r>
        <w:rPr/>
        <w:t xml:space="preserve"> 电话：</w:t>
      </w:r>
      <w:r>
        <w:rPr/>
        <w:t>0751-8896636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韶关市繁盛项目管理有限公司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一、项目概况：</w:t>
      </w:r>
    </w:p>
    <w:p>
      <w:pPr>
        <w:pStyle w:val="null3"/>
        <w:ind w:firstLine="420"/>
        <w:jc w:val="both"/>
      </w:pPr>
      <w:r>
        <w:rPr>
          <w:sz w:val="21"/>
        </w:rPr>
        <w:t>1.采购项目名称：</w:t>
      </w:r>
      <w:r>
        <w:rPr>
          <w:sz w:val="21"/>
        </w:rPr>
        <w:t>广东省韶关市新丰县</w:t>
      </w:r>
      <w:r>
        <w:rPr>
          <w:sz w:val="21"/>
        </w:rPr>
        <w:t>2026年中央财政林草有害生物防治项目</w:t>
      </w:r>
    </w:p>
    <w:p>
      <w:pPr>
        <w:pStyle w:val="null3"/>
        <w:ind w:firstLine="420"/>
        <w:jc w:val="both"/>
      </w:pPr>
      <w:r>
        <w:rPr>
          <w:sz w:val="21"/>
        </w:rPr>
        <w:t>2.采购预算：</w:t>
      </w:r>
      <w:r>
        <w:rPr>
          <w:sz w:val="21"/>
        </w:rPr>
        <w:t>¥</w:t>
      </w:r>
      <w:r>
        <w:rPr>
          <w:sz w:val="21"/>
        </w:rPr>
        <w:t>3634</w:t>
      </w:r>
      <w:r>
        <w:rPr>
          <w:sz w:val="21"/>
        </w:rPr>
        <w:t>000.00</w:t>
      </w:r>
      <w:r>
        <w:rPr>
          <w:sz w:val="21"/>
        </w:rPr>
        <w:t>元</w:t>
      </w:r>
    </w:p>
    <w:p>
      <w:pPr>
        <w:pStyle w:val="null3"/>
        <w:ind w:firstLine="420"/>
        <w:jc w:val="both"/>
      </w:pPr>
      <w:r>
        <w:rPr>
          <w:sz w:val="21"/>
        </w:rPr>
        <w:t>3.采购项目概况</w:t>
      </w:r>
      <w:r>
        <w:rPr>
          <w:sz w:val="21"/>
        </w:rPr>
        <w:t>：项目资金合计</w:t>
      </w:r>
      <w:r>
        <w:rPr>
          <w:sz w:val="21"/>
        </w:rPr>
        <w:t>431.936万元，其中直接费用363.4</w:t>
      </w:r>
      <w:r>
        <w:rPr>
          <w:sz w:val="21"/>
        </w:rPr>
        <w:t>万元，用于以下三项实施内容</w:t>
      </w:r>
      <w:r>
        <w:rPr>
          <w:sz w:val="21"/>
        </w:rPr>
        <w:t>:一是对全县松材线虫病疫情发生面积1.32万亩，实施疫木清理；二是对全县交通干道两侧可视范围内非疫情小班</w:t>
      </w:r>
      <w:r>
        <w:rPr>
          <w:sz w:val="21"/>
        </w:rPr>
        <w:t>松树蛀干害虫防治</w:t>
      </w:r>
      <w:r>
        <w:rPr>
          <w:sz w:val="21"/>
        </w:rPr>
        <w:t>，进行预防性清理。三是国家级中心测报点建设，设立固定标准地</w:t>
      </w:r>
      <w:r>
        <w:rPr>
          <w:sz w:val="21"/>
        </w:rPr>
        <w:t>20个（松褐天牛10个、薇甘菊10个），按照监测对象发生规律进行定点监测。</w:t>
      </w:r>
    </w:p>
    <w:p>
      <w:pPr>
        <w:pStyle w:val="null3"/>
        <w:jc w:val="both"/>
      </w:pPr>
      <w:r>
        <w:rPr>
          <w:sz w:val="21"/>
          <w:b/>
        </w:rPr>
        <w:t>二、异常低价审查：</w:t>
      </w:r>
    </w:p>
    <w:p>
      <w:pPr>
        <w:pStyle w:val="null3"/>
        <w:ind w:firstLine="420"/>
        <w:jc w:val="left"/>
      </w:pPr>
      <w:r>
        <w:rPr>
          <w:sz w:val="21"/>
        </w:rPr>
        <w:t>1.根据《关于推动解决政府采购异常低价问题的通知》（财库〔2026〕2号）等相关规定，政府采购评审中出现下列情形之一的，评审委员会应当启动异常低价投标（响应）审查程序，异常低价投标（响应）审查程序应当在</w:t>
      </w:r>
      <w:r>
        <w:rPr>
          <w:sz w:val="21"/>
        </w:rPr>
        <w:t>符合性审查阶段审查</w:t>
      </w:r>
      <w:r>
        <w:rPr>
          <w:sz w:val="21"/>
        </w:rPr>
        <w:t>：</w:t>
      </w:r>
    </w:p>
    <w:p>
      <w:pPr>
        <w:pStyle w:val="null3"/>
        <w:jc w:val="left"/>
      </w:pPr>
      <w:r>
        <w:rPr>
          <w:sz w:val="21"/>
        </w:rPr>
        <w:t>（</w:t>
      </w:r>
      <w:r>
        <w:rPr>
          <w:sz w:val="21"/>
        </w:rPr>
        <w:t>1）投标（响应）报价低于全部通过符合性审查供应商投标（响应）报价平均值50%的，即投标（响应）报价&lt;全部通过符合性审查供应商投标（响应）报价平均值×50%。</w:t>
      </w:r>
    </w:p>
    <w:p>
      <w:pPr>
        <w:pStyle w:val="null3"/>
        <w:jc w:val="left"/>
      </w:pPr>
      <w:r>
        <w:rPr>
          <w:sz w:val="21"/>
        </w:rPr>
        <w:t>（</w:t>
      </w:r>
      <w:r>
        <w:rPr>
          <w:sz w:val="21"/>
        </w:rPr>
        <w:t>2）投标（响应）报价低于通过符合性审查且报价次低供应商投标（响应）报价50%的，即投标（响应）报价&lt;通过符合性审查且报价次低供应商投标（响应）报价×50%。</w:t>
      </w:r>
    </w:p>
    <w:p>
      <w:pPr>
        <w:pStyle w:val="null3"/>
        <w:jc w:val="left"/>
      </w:pPr>
      <w:r>
        <w:rPr>
          <w:sz w:val="21"/>
        </w:rPr>
        <w:t>（</w:t>
      </w:r>
      <w:r>
        <w:rPr>
          <w:sz w:val="21"/>
        </w:rPr>
        <w:t>3）投标（响应）报价低于最高限价45%的，即投标（响应）报价&lt;最高限价×45%。</w:t>
      </w:r>
    </w:p>
    <w:p>
      <w:pPr>
        <w:pStyle w:val="null3"/>
        <w:jc w:val="left"/>
      </w:pPr>
      <w:r>
        <w:rPr>
          <w:sz w:val="21"/>
        </w:rPr>
        <w:t>（</w:t>
      </w:r>
      <w:r>
        <w:rPr>
          <w:sz w:val="21"/>
        </w:rPr>
        <w:t>4）其他评审委员会认为供应商报价过低，有可能影响产品质量或者不能诚信履约的情形。</w:t>
      </w:r>
    </w:p>
    <w:p>
      <w:pPr>
        <w:pStyle w:val="null3"/>
        <w:ind w:firstLine="420"/>
        <w:jc w:val="left"/>
      </w:pPr>
      <w:r>
        <w:rPr>
          <w:sz w:val="21"/>
        </w:rPr>
        <w:t>2.评审委员会启动异常低价投标（响应）审查后，响应供应商属于前述第（1）项至第（4）项情形的，应当要求相关供应商在评审现场30分钟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w:t>
      </w:r>
    </w:p>
    <w:p>
      <w:pPr>
        <w:pStyle w:val="null3"/>
        <w:ind w:firstLine="420"/>
        <w:jc w:val="left"/>
      </w:pPr>
      <w:r>
        <w:rPr>
          <w:sz w:val="21"/>
        </w:rPr>
        <w:t>3.被启动异常低价投标（响应）审查的供应商，不能提供书面说明、证明材料，或者提供的书面说明、证明材料不能证明其报价合理性的，</w:t>
      </w:r>
      <w:r>
        <w:rPr>
          <w:sz w:val="21"/>
          <w:b/>
        </w:rPr>
        <w:t>评审委员会应当将其作为无效投标（响应）处理。</w:t>
      </w:r>
    </w:p>
    <w:p>
      <w:pPr>
        <w:pStyle w:val="null3"/>
        <w:ind w:firstLine="420"/>
        <w:jc w:val="left"/>
      </w:pPr>
      <w:r>
        <w:rPr>
          <w:sz w:val="21"/>
        </w:rPr>
        <w:t>4.通过异常低价投标（响应）审查的不足3家，不得进入详细评审。资格性审查、符合性审查、异常低价投标（响应）审查中凡有其中任意一项未通过的供应商按无效投标处理。</w:t>
      </w:r>
    </w:p>
    <w:p>
      <w:pPr>
        <w:pStyle w:val="null3"/>
        <w:jc w:val="both"/>
      </w:pPr>
      <w:r>
        <w:rPr>
          <w:sz w:val="21"/>
        </w:rPr>
        <w:t>5.对各供应商进行资格审查、符合性审查、异常低价投标（响应）审查过程中，对初步被认定为无效响应者，由评审委员会组长或采购人代表将集体意见及时告知响应当事人。采购代理机构应在评审报告中以书面形式解释其排除的具体原因。</w:t>
      </w:r>
    </w:p>
    <w:p>
      <w:pPr>
        <w:pStyle w:val="null3"/>
      </w:pPr>
      <w:r>
        <w:rPr/>
        <w:t>采购包1（广东省韶关市新丰县2026年中央财政林草有害生物防治项目）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自合同签订之日起至2027年8月31日。（实际以合同为准，项目时间12个月）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支付比例40%，中标人与采购人签订合同后1个月内，采购人在财政资金到位后通知开发票，并在收到发票后支付40%（其中30%拨入农民工工资专用账户、10%拨入成交除治施工公司账号）。中标人凭合同、正式发票、中标通知书到林业局办理支付手续。</w:t>
            </w:r>
          </w:p>
          <w:p>
            <w:pPr>
              <w:pStyle w:val="null3"/>
            </w:pPr>
            <w:r>
              <w:rPr/>
              <w:t>2期：支付比例30%,支付比例30%到农民工工资专用账户，在项目服务期间，中标人组织阶段性验收后，并凭监理单位的支付意见提交进度款支付申请，采购人审核无误并收到等额发票后10个工作日内可办理支付手续。中标人凭合同、正式发票、证明材料、中标通知书到林业局办理支付手续。</w:t>
            </w:r>
          </w:p>
          <w:p>
            <w:pPr>
              <w:pStyle w:val="null3"/>
            </w:pPr>
            <w:r>
              <w:rPr/>
              <w:t>3期：支付比例30%,支付比例30%，项目服务期结束后，中标人通过采购人组织完工验收合格并提供等额发票后5个工作日内，采购人向中标人支付合同金额的30%款项。中标人凭合同、正式发票、验收报告、中标通知书到林业局办理支付手续。 说明：在每期付款前，乙方向甲方提供与当期应付金额相等的合法有效的税务发票及符合甲方要求的请款资料，甲方收到前述资料后在规定的付款时间向财政部门提出办理支付申请手续。因甲方使用的是财政资金，甲方在前款规定的付款时间为向政府采购支付部门提出办理财政支付申请手续的时间（不含政府财政支付部门审核的时间），在规定时间内提出支付申请手续后即视为甲方已经按期支付。本合同执行中相关的一切税费均由乙方负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项目实施时监理单位全程监督、采购人进行抽查，松材线虫病疫区松科植物只能进行除治性采伐。严防借疫木采伐之名过度采伐，禁止疫区开展除治性采伐以外的其他疫木采伐活动。项目完成后，采购人先进行全面自查。 （1）采购人对中标人在合同实施期内的各项作业随时检查，发现问题，要及时纠正，项目结束后组织全面自查，随时接受市级以上检查核查。 （2）采购人应按照批复的项目相关设计文件和有关合同对项目完成情况进行自查。项目实施必须按批复后的项目作业设计文件经采购人自查验收合格。 （3）验收过程中所产生的一切费用均由中标人承担。 （4）有下列情况出现的不能进行竣工验收：规模、质量达不到作业设计要求；未经批准擅自调整项目规模、服务地点和服务内容；财务管理混乱，未按要求做好资金核算，违规使用项目资金；档案资料不健全。 2.验收材料包括作业日志、图片、视频、总结报告、项目实施情况等。</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p>
          <w:p>
            <w:pPr>
              <w:pStyle w:val="null3"/>
            </w:pPr>
            <w:r>
              <w:rPr/>
              <w:t>说明：1.履约担保形式：通过银行保函、项目保证保险保单、专业担保公司保函等形式。 2.履约担保金额：合同金额的10%。 3.担保期限：采购人和中标人双方签订的合同生效之日起至本项目完成质保期施工任务，验收合格并结清工人工资后，由中标人提出申请1个月内无息退还，首次担保期限不低于合同工期且不低于1年。若在保函有效期满后项目尚未完工，中标人须办理续保手续，续保费用由中标人承担。 4.递交期限：签订合同后15个工作日内。 5.其他说明：中标人必须把履约担保的保函（保单）按时交给采购人。 6.履约保证金不退还的情形：（1）未履行合同义务；（2）拖欠工人工资。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林业有害生物防治服务</w:t>
            </w:r>
          </w:p>
        </w:tc>
        <w:tc>
          <w:tcPr>
            <w:tcW w:type="dxa" w:w="933"/>
          </w:tcPr>
          <w:p>
            <w:pPr>
              <w:pStyle w:val="null3"/>
              <w:jc w:val="left"/>
            </w:pPr>
            <w:r>
              <w:rPr/>
              <w:t>广东省韶关市新丰县2026年中央财政林草有害生物防治项目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3,634,000.00</w:t>
            </w:r>
          </w:p>
        </w:tc>
        <w:tc>
          <w:tcPr>
            <w:tcW w:type="dxa" w:w="933"/>
          </w:tcPr>
          <w:p>
            <w:pPr>
              <w:pStyle w:val="null3"/>
              <w:jc w:val="right"/>
            </w:pPr>
            <w:r>
              <w:rPr/>
              <w:t>3,634,000.00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广东省韶关市新丰县2026年中央财政林草有害生物防治项目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一、项目概况</w:t>
            </w:r>
          </w:p>
          <w:p>
            <w:pPr>
              <w:pStyle w:val="null3"/>
              <w:ind w:firstLine="420"/>
              <w:jc w:val="left"/>
            </w:pPr>
            <w:r>
              <w:rPr>
                <w:sz w:val="21"/>
              </w:rPr>
              <w:t>项目资金合计</w:t>
            </w:r>
            <w:r>
              <w:rPr>
                <w:sz w:val="21"/>
              </w:rPr>
              <w:t>431.936万元，其中直接费用363.4万元，用于以下三项实施内容:一是对全县松材线虫病疫情发生面积1.32万亩，实施疫木清理；二是对</w:t>
            </w:r>
            <w:r>
              <w:rPr>
                <w:sz w:val="21"/>
              </w:rPr>
              <w:t>全县交通干道两侧可视范围内非疫情小班</w:t>
            </w:r>
            <w:r>
              <w:rPr>
                <w:sz w:val="21"/>
              </w:rPr>
              <w:t>松树蛀干害虫防治</w:t>
            </w:r>
            <w:r>
              <w:rPr>
                <w:sz w:val="21"/>
              </w:rPr>
              <w:t>，进行预防性清理</w:t>
            </w:r>
            <w:r>
              <w:rPr>
                <w:sz w:val="21"/>
              </w:rPr>
              <w:t>。三是国家级中心测报点建设，设立固定标准地</w:t>
            </w:r>
            <w:r>
              <w:rPr>
                <w:sz w:val="21"/>
              </w:rPr>
              <w:t>20个（松褐天牛10个、薇甘菊10个），按照监测对象发生规律进行定点监测。</w:t>
            </w:r>
          </w:p>
          <w:p>
            <w:pPr>
              <w:pStyle w:val="null3"/>
              <w:jc w:val="left"/>
            </w:pPr>
            <w:r>
              <w:rPr>
                <w:sz w:val="21"/>
                <w:b/>
              </w:rPr>
              <w:t>二、服务内容</w:t>
            </w:r>
          </w:p>
          <w:p>
            <w:pPr>
              <w:pStyle w:val="null3"/>
              <w:ind w:firstLine="420"/>
              <w:jc w:val="left"/>
            </w:pPr>
            <w:r>
              <w:rPr>
                <w:sz w:val="21"/>
              </w:rPr>
              <w:t>1.完成松材线虫病疫木清理面积1.32万亩；</w:t>
            </w:r>
          </w:p>
          <w:p>
            <w:pPr>
              <w:pStyle w:val="null3"/>
              <w:ind w:firstLine="420"/>
              <w:jc w:val="left"/>
            </w:pPr>
            <w:r>
              <w:rPr>
                <w:sz w:val="21"/>
              </w:rPr>
              <w:t>2.完成</w:t>
            </w:r>
            <w:r>
              <w:rPr>
                <w:sz w:val="21"/>
              </w:rPr>
              <w:t>全县交通干道两侧可视范围内非疫情小班</w:t>
            </w:r>
            <w:r>
              <w:rPr>
                <w:sz w:val="21"/>
              </w:rPr>
              <w:t>松树蛀干害虫防治</w:t>
            </w:r>
            <w:r>
              <w:rPr>
                <w:sz w:val="21"/>
              </w:rPr>
              <w:t>，进行预防性清理</w:t>
            </w:r>
            <w:r>
              <w:rPr>
                <w:sz w:val="21"/>
              </w:rPr>
              <w:t>；</w:t>
            </w:r>
          </w:p>
          <w:p>
            <w:pPr>
              <w:pStyle w:val="null3"/>
              <w:ind w:firstLine="420"/>
              <w:jc w:val="left"/>
            </w:pPr>
            <w:r>
              <w:rPr>
                <w:sz w:val="21"/>
              </w:rPr>
              <w:t>3.完成国家级中心测报报点建设工作1个。</w:t>
            </w:r>
          </w:p>
          <w:p>
            <w:pPr>
              <w:pStyle w:val="null3"/>
              <w:jc w:val="both"/>
            </w:pPr>
            <w:r>
              <w:rPr>
                <w:sz w:val="21"/>
                <w:b/>
              </w:rPr>
              <w:t>三、服务</w:t>
            </w:r>
            <w:r>
              <w:rPr>
                <w:sz w:val="21"/>
                <w:b/>
              </w:rPr>
              <w:t>期限</w:t>
            </w:r>
          </w:p>
          <w:p>
            <w:pPr>
              <w:pStyle w:val="null3"/>
              <w:ind w:firstLine="420"/>
              <w:jc w:val="both"/>
            </w:pPr>
            <w:r>
              <w:rPr>
                <w:sz w:val="21"/>
              </w:rPr>
              <w:t>1.松材线虫病疫木清理：清理期2026年9月-12月，质保期：2027年1月-8月；</w:t>
            </w:r>
          </w:p>
          <w:p>
            <w:pPr>
              <w:pStyle w:val="null3"/>
              <w:ind w:firstLine="420"/>
              <w:jc w:val="both"/>
            </w:pPr>
            <w:r>
              <w:rPr>
                <w:sz w:val="21"/>
              </w:rPr>
              <w:t>2.松树蛀干害虫防治：清理期2026年9月-12月，质保期：2027年1月-8月；</w:t>
            </w:r>
          </w:p>
          <w:p>
            <w:pPr>
              <w:pStyle w:val="null3"/>
              <w:ind w:firstLine="420"/>
              <w:jc w:val="both"/>
            </w:pPr>
            <w:r>
              <w:rPr>
                <w:sz w:val="21"/>
              </w:rPr>
              <w:t>3.国家级中心测报点建设：2026年9月-2027年8月。</w:t>
            </w:r>
          </w:p>
          <w:p>
            <w:pPr>
              <w:pStyle w:val="null3"/>
              <w:jc w:val="left"/>
            </w:pPr>
            <w:r>
              <w:rPr>
                <w:sz w:val="21"/>
                <w:b/>
              </w:rPr>
              <w:t>四、</w:t>
            </w:r>
            <w:r>
              <w:rPr>
                <w:sz w:val="21"/>
                <w:b/>
              </w:rPr>
              <w:t>项目技术要求</w:t>
            </w:r>
          </w:p>
          <w:p>
            <w:pPr>
              <w:pStyle w:val="null3"/>
              <w:ind w:firstLine="422"/>
              <w:jc w:val="left"/>
            </w:pPr>
            <w:r>
              <w:rPr>
                <w:sz w:val="21"/>
                <w:b/>
              </w:rPr>
              <w:t>（</w:t>
            </w:r>
            <w:r>
              <w:rPr>
                <w:sz w:val="21"/>
                <w:b/>
              </w:rPr>
              <w:t>一</w:t>
            </w:r>
            <w:r>
              <w:rPr>
                <w:sz w:val="21"/>
                <w:b/>
              </w:rPr>
              <w:t>）</w:t>
            </w:r>
            <w:r>
              <w:rPr>
                <w:sz w:val="21"/>
                <w:b/>
              </w:rPr>
              <w:t>松材线虫病疫木清</w:t>
            </w:r>
            <w:r>
              <w:rPr>
                <w:sz w:val="21"/>
                <w:b/>
              </w:rPr>
              <w:t>理</w:t>
            </w:r>
          </w:p>
          <w:p>
            <w:pPr>
              <w:pStyle w:val="null3"/>
              <w:ind w:firstLine="420"/>
              <w:jc w:val="left"/>
            </w:pPr>
            <w:r>
              <w:rPr>
                <w:sz w:val="21"/>
              </w:rPr>
              <w:t>1.防治范围：对</w:t>
            </w:r>
            <w:r>
              <w:rPr>
                <w:sz w:val="21"/>
              </w:rPr>
              <w:t>松材线虫病发生面积</w:t>
            </w:r>
            <w:r>
              <w:rPr>
                <w:sz w:val="21"/>
              </w:rPr>
              <w:t>1.32</w:t>
            </w:r>
            <w:r>
              <w:rPr>
                <w:sz w:val="21"/>
              </w:rPr>
              <w:t>万亩，涉及疫点乡镇有黄磜镇、梅坑镇、马头镇、遥田镇、沙田镇、丰城街道（含亚婆髻林场、岳城林场、雪山林场、林科所、云髻山省级自然保护区、鲁古河国家湿地公园和鲁古河市级自然保护区）共</w:t>
            </w:r>
            <w:r>
              <w:rPr>
                <w:sz w:val="21"/>
              </w:rPr>
              <w:t>6个镇（街），涉及小班</w:t>
            </w:r>
            <w:r>
              <w:rPr>
                <w:sz w:val="21"/>
              </w:rPr>
              <w:t>117</w:t>
            </w:r>
            <w:r>
              <w:rPr>
                <w:sz w:val="21"/>
              </w:rPr>
              <w:t>个开展疫木清理</w:t>
            </w:r>
            <w:r>
              <w:rPr>
                <w:sz w:val="21"/>
              </w:rPr>
              <w:t>。</w:t>
            </w:r>
          </w:p>
          <w:p>
            <w:pPr>
              <w:pStyle w:val="null3"/>
              <w:ind w:firstLine="420"/>
              <w:jc w:val="left"/>
            </w:pPr>
            <w:r>
              <w:rPr>
                <w:sz w:val="21"/>
              </w:rPr>
              <w:t>2.清理对象：所有病死松树、濒死松树及疑似染病松树。</w:t>
            </w:r>
          </w:p>
          <w:p>
            <w:pPr>
              <w:pStyle w:val="null3"/>
              <w:ind w:firstLine="420"/>
              <w:jc w:val="left"/>
            </w:pPr>
            <w:r>
              <w:rPr>
                <w:sz w:val="21"/>
              </w:rPr>
              <w:t>3.作业模式：采取“即死即清”与“集中清理”相结合，确保疫木不流失、疫情不扩散。</w:t>
            </w:r>
          </w:p>
          <w:p>
            <w:pPr>
              <w:pStyle w:val="null3"/>
              <w:ind w:firstLine="420"/>
              <w:jc w:val="left"/>
            </w:pPr>
            <w:r>
              <w:rPr>
                <w:sz w:val="21"/>
              </w:rPr>
              <w:t>4.防治方式：主要采取套袋消杀或变性处理。</w:t>
            </w:r>
          </w:p>
          <w:p>
            <w:pPr>
              <w:pStyle w:val="null3"/>
              <w:ind w:firstLine="420"/>
              <w:jc w:val="left"/>
            </w:pPr>
            <w:r>
              <w:rPr>
                <w:sz w:val="21"/>
              </w:rPr>
              <w:t>①</w:t>
            </w:r>
            <w:r>
              <w:rPr>
                <w:sz w:val="21"/>
              </w:rPr>
              <w:t>套袋消杀：山高坡陡、不通道路、人迹罕至、林下草灌丰富、通行困难的非</w:t>
            </w:r>
            <w:r>
              <w:rPr>
                <w:sz w:val="21"/>
              </w:rPr>
              <w:t>“四旁五边”区域，将病死树主干及直径 1 厘米以上的枝丫截断放入密封塑料袋（或环保袋）中加放56%磷化铝片剂消杀药物进行除害处理。套袋消杀要有“危险”警示标识，内容包括除治地点、除治面积和株数、除治方式、作业单位、监督电话等信息。</w:t>
            </w:r>
          </w:p>
          <w:p>
            <w:pPr>
              <w:pStyle w:val="null3"/>
              <w:ind w:firstLine="420"/>
              <w:jc w:val="left"/>
            </w:pPr>
            <w:r>
              <w:rPr>
                <w:sz w:val="21"/>
              </w:rPr>
              <w:t>②</w:t>
            </w:r>
            <w:r>
              <w:rPr>
                <w:sz w:val="21"/>
              </w:rPr>
              <w:t>变性处理：交通方便的使用汽车送新丰县就近乡镇疫木定点加工厂变性处理。</w:t>
            </w:r>
          </w:p>
          <w:p>
            <w:pPr>
              <w:pStyle w:val="null3"/>
              <w:ind w:firstLine="420"/>
              <w:jc w:val="left"/>
            </w:pPr>
            <w:r>
              <w:rPr>
                <w:sz w:val="21"/>
              </w:rPr>
              <w:t>伐</w:t>
            </w:r>
            <w:r>
              <w:rPr>
                <w:sz w:val="21"/>
              </w:rPr>
              <w:t>桩处理：高度不得超过</w:t>
            </w:r>
            <w:r>
              <w:rPr>
                <w:sz w:val="21"/>
              </w:rPr>
              <w:t>5厘米</w:t>
            </w:r>
            <w:r>
              <w:rPr>
                <w:sz w:val="21"/>
              </w:rPr>
              <w:t>，可不做处理。</w:t>
            </w:r>
          </w:p>
          <w:p>
            <w:pPr>
              <w:pStyle w:val="null3"/>
              <w:ind w:firstLine="422"/>
              <w:jc w:val="left"/>
            </w:pPr>
            <w:r>
              <w:rPr>
                <w:sz w:val="21"/>
                <w:b/>
              </w:rPr>
              <w:t>（</w:t>
            </w:r>
            <w:r>
              <w:rPr>
                <w:sz w:val="21"/>
                <w:b/>
              </w:rPr>
              <w:t>二</w:t>
            </w:r>
            <w:r>
              <w:rPr>
                <w:sz w:val="21"/>
                <w:b/>
              </w:rPr>
              <w:t>）</w:t>
            </w:r>
            <w:r>
              <w:rPr>
                <w:sz w:val="21"/>
                <w:b/>
              </w:rPr>
              <w:t>松树蛀干害虫防治</w:t>
            </w:r>
          </w:p>
          <w:p>
            <w:pPr>
              <w:pStyle w:val="null3"/>
              <w:ind w:firstLine="420"/>
              <w:jc w:val="left"/>
            </w:pPr>
            <w:r>
              <w:rPr>
                <w:sz w:val="21"/>
              </w:rPr>
              <w:t>1.防治</w:t>
            </w:r>
            <w:r>
              <w:rPr>
                <w:sz w:val="21"/>
              </w:rPr>
              <w:t>范围：对</w:t>
            </w:r>
            <w:r>
              <w:rPr>
                <w:sz w:val="21"/>
              </w:rPr>
              <w:t>全县交通干道两侧可视范围内非疫情小班</w:t>
            </w:r>
            <w:r>
              <w:rPr>
                <w:sz w:val="21"/>
              </w:rPr>
              <w:t>松树蛀干害虫防治</w:t>
            </w:r>
            <w:r>
              <w:rPr>
                <w:sz w:val="21"/>
              </w:rPr>
              <w:t>，进行预防性清理</w:t>
            </w:r>
            <w:r>
              <w:rPr>
                <w:sz w:val="21"/>
              </w:rPr>
              <w:t>。</w:t>
            </w:r>
          </w:p>
          <w:p>
            <w:pPr>
              <w:pStyle w:val="null3"/>
              <w:ind w:firstLine="420"/>
              <w:jc w:val="left"/>
            </w:pPr>
            <w:r>
              <w:rPr>
                <w:sz w:val="21"/>
              </w:rPr>
              <w:t>2.防治方式：主要采取套袋消杀或变性处理。具体技术措施参考松材线虫病疫木清理的技术措施。</w:t>
            </w:r>
          </w:p>
          <w:p>
            <w:pPr>
              <w:pStyle w:val="null3"/>
              <w:ind w:firstLine="420"/>
              <w:jc w:val="both"/>
            </w:pPr>
            <w:r>
              <w:rPr>
                <w:sz w:val="21"/>
              </w:rPr>
              <w:t>3.防治目标：清除枯死松树，降低虫口密度，维护重点生态景观带安全，构筑疫情隔离缓冲带。</w:t>
            </w:r>
          </w:p>
          <w:p>
            <w:pPr>
              <w:pStyle w:val="null3"/>
              <w:ind w:firstLine="422"/>
              <w:jc w:val="left"/>
            </w:pPr>
            <w:r>
              <w:rPr>
                <w:sz w:val="21"/>
                <w:b/>
              </w:rPr>
              <w:t>（三）国家级中心测报点建设</w:t>
            </w:r>
          </w:p>
          <w:p>
            <w:pPr>
              <w:pStyle w:val="null3"/>
              <w:ind w:firstLine="420"/>
              <w:jc w:val="left"/>
            </w:pPr>
            <w:r>
              <w:rPr>
                <w:sz w:val="21"/>
              </w:rPr>
              <w:t>依托国家级中心测报点，设立固定标准地</w:t>
            </w:r>
            <w:r>
              <w:rPr>
                <w:sz w:val="21"/>
              </w:rPr>
              <w:t>20个（松褐天牛10个、薇甘菊10个），按照监测对象发生规律进行定点监测，通过《林业有害生物防治信息管理系统》上报虫情动态和短期预报，定期发布中长期预测预报。采取踏查和诱捕方式开展监测工作，为全省预警提供数据支撑。</w:t>
            </w:r>
          </w:p>
          <w:p>
            <w:pPr>
              <w:pStyle w:val="null3"/>
              <w:ind w:firstLine="420"/>
              <w:jc w:val="left"/>
            </w:pPr>
            <w:r>
              <w:rPr>
                <w:sz w:val="21"/>
              </w:rPr>
              <w:t>1.</w:t>
            </w:r>
            <w:r>
              <w:rPr>
                <w:sz w:val="21"/>
              </w:rPr>
              <w:t>监测内容</w:t>
            </w:r>
          </w:p>
          <w:p>
            <w:pPr>
              <w:pStyle w:val="null3"/>
              <w:ind w:firstLine="420"/>
              <w:jc w:val="left"/>
            </w:pPr>
            <w:r>
              <w:rPr>
                <w:sz w:val="21"/>
              </w:rPr>
              <w:t>确立松褐天牛、薇甘菊为县级主测报对象。针对松褐天牛，重点监测其成虫发生期、种群密度及带虫率；针对薇甘菊，重点监测其发生面积、危害等级及入侵生境。通过建立固定监测网络，全面掌握两种有害生物的发生发展规律，确保测报数据的准确性和时效性。</w:t>
            </w:r>
          </w:p>
          <w:p>
            <w:pPr>
              <w:pStyle w:val="null3"/>
              <w:ind w:firstLine="420"/>
              <w:jc w:val="left"/>
            </w:pPr>
            <w:r>
              <w:rPr>
                <w:sz w:val="21"/>
              </w:rPr>
              <w:t>2.</w:t>
            </w:r>
            <w:r>
              <w:rPr>
                <w:sz w:val="21"/>
              </w:rPr>
              <w:t>监测范围</w:t>
            </w:r>
          </w:p>
          <w:p>
            <w:pPr>
              <w:pStyle w:val="null3"/>
              <w:ind w:firstLine="420"/>
              <w:jc w:val="left"/>
            </w:pPr>
            <w:r>
              <w:rPr>
                <w:sz w:val="21"/>
              </w:rPr>
              <w:t>松褐天牛固定标准地</w:t>
            </w:r>
            <w:r>
              <w:rPr>
                <w:sz w:val="21"/>
              </w:rPr>
              <w:t>10个，其中丰城街道2个、马头镇2个、沙田镇2个、遥田镇2个、回龙镇2个</w:t>
            </w:r>
            <w:r>
              <w:rPr>
                <w:sz w:val="21"/>
              </w:rPr>
              <w:t>。</w:t>
            </w:r>
          </w:p>
          <w:p>
            <w:pPr>
              <w:pStyle w:val="null3"/>
              <w:ind w:firstLine="420"/>
              <w:jc w:val="left"/>
            </w:pPr>
            <w:r>
              <w:rPr>
                <w:sz w:val="21"/>
              </w:rPr>
              <w:t>薇甘菊固定标准地</w:t>
            </w:r>
            <w:r>
              <w:rPr>
                <w:sz w:val="21"/>
              </w:rPr>
              <w:t>10</w:t>
            </w:r>
            <w:r>
              <w:rPr>
                <w:sz w:val="21"/>
              </w:rPr>
              <w:t>个，回龙镇</w:t>
            </w:r>
            <w:r>
              <w:rPr>
                <w:sz w:val="21"/>
              </w:rPr>
              <w:t>3个、沙田</w:t>
            </w:r>
            <w:r>
              <w:rPr>
                <w:sz w:val="21"/>
              </w:rPr>
              <w:t>镇</w:t>
            </w:r>
            <w:r>
              <w:rPr>
                <w:sz w:val="21"/>
              </w:rPr>
              <w:t>3个、遥田</w:t>
            </w:r>
            <w:r>
              <w:rPr>
                <w:sz w:val="21"/>
              </w:rPr>
              <w:t>镇</w:t>
            </w:r>
            <w:r>
              <w:rPr>
                <w:sz w:val="21"/>
              </w:rPr>
              <w:t>2个、马头</w:t>
            </w:r>
            <w:r>
              <w:rPr>
                <w:sz w:val="21"/>
              </w:rPr>
              <w:t>镇</w:t>
            </w:r>
            <w:r>
              <w:rPr>
                <w:sz w:val="21"/>
              </w:rPr>
              <w:t>2个。</w:t>
            </w:r>
          </w:p>
          <w:p>
            <w:pPr>
              <w:pStyle w:val="null3"/>
              <w:ind w:firstLine="420"/>
              <w:jc w:val="left"/>
            </w:pPr>
            <w:r>
              <w:rPr>
                <w:sz w:val="21"/>
              </w:rPr>
              <w:t>3.</w:t>
            </w:r>
            <w:r>
              <w:rPr>
                <w:sz w:val="21"/>
              </w:rPr>
              <w:t>监测方法</w:t>
            </w:r>
          </w:p>
          <w:p>
            <w:pPr>
              <w:pStyle w:val="null3"/>
              <w:ind w:firstLine="420"/>
              <w:jc w:val="left"/>
            </w:pPr>
            <w:r>
              <w:rPr>
                <w:sz w:val="21"/>
              </w:rPr>
              <w:t>针对松褐天牛，在发生区构建</w:t>
            </w:r>
            <w:r>
              <w:rPr>
                <w:sz w:val="21"/>
              </w:rPr>
              <w:t>“定点诱捕+网格巡查”的双轨监测体系：于每年5月至9月羽化期内，按每50亩1套的标准全域布设专用诱捕器，</w:t>
            </w:r>
            <w:r>
              <w:rPr>
                <w:sz w:val="21"/>
              </w:rPr>
              <w:t>选取松褐天牛的羽化期，每三个月一次收集虫类，总共</w:t>
            </w:r>
            <w:r>
              <w:rPr>
                <w:sz w:val="21"/>
              </w:rPr>
              <w:t>开展</w:t>
            </w:r>
            <w:r>
              <w:rPr>
                <w:sz w:val="21"/>
              </w:rPr>
              <w:t>四</w:t>
            </w:r>
            <w:r>
              <w:rPr>
                <w:sz w:val="21"/>
              </w:rPr>
              <w:t>次成虫收集与数据统计，精准锁定羽化高峰期以指导防治时机</w:t>
            </w:r>
            <w:r>
              <w:rPr>
                <w:sz w:val="21"/>
              </w:rPr>
              <w:t>。</w:t>
            </w:r>
          </w:p>
          <w:p>
            <w:pPr>
              <w:pStyle w:val="null3"/>
              <w:ind w:firstLine="420"/>
              <w:jc w:val="left"/>
            </w:pPr>
            <w:r>
              <w:rPr>
                <w:sz w:val="21"/>
              </w:rPr>
              <w:t>针对薇甘菊，</w:t>
            </w:r>
            <w:r>
              <w:rPr>
                <w:sz w:val="21"/>
              </w:rPr>
              <w:t>开展</w:t>
            </w:r>
            <w:r>
              <w:rPr>
                <w:sz w:val="21"/>
              </w:rPr>
              <w:t>“</w:t>
            </w:r>
            <w:r>
              <w:rPr>
                <w:sz w:val="21"/>
              </w:rPr>
              <w:t>9月-</w:t>
            </w:r>
            <w:r>
              <w:rPr>
                <w:sz w:val="21"/>
              </w:rPr>
              <w:t>10月结实期</w:t>
            </w:r>
            <w:r>
              <w:rPr>
                <w:sz w:val="21"/>
              </w:rPr>
              <w:t>、翌年</w:t>
            </w:r>
            <w:r>
              <w:rPr>
                <w:sz w:val="21"/>
              </w:rPr>
              <w:t>5月</w:t>
            </w:r>
            <w:r>
              <w:rPr>
                <w:sz w:val="21"/>
              </w:rPr>
              <w:t>-6月</w:t>
            </w:r>
            <w:r>
              <w:rPr>
                <w:sz w:val="21"/>
              </w:rPr>
              <w:t>萌发期、</w:t>
            </w:r>
            <w:r>
              <w:rPr>
                <w:sz w:val="21"/>
              </w:rPr>
              <w:t>翌年</w:t>
            </w:r>
            <w:r>
              <w:rPr>
                <w:sz w:val="21"/>
              </w:rPr>
              <w:t>7月</w:t>
            </w:r>
            <w:r>
              <w:rPr>
                <w:sz w:val="21"/>
              </w:rPr>
              <w:t>-</w:t>
            </w:r>
            <w:r>
              <w:rPr>
                <w:sz w:val="21"/>
              </w:rPr>
              <w:t>8月盛花期”的递进</w:t>
            </w:r>
            <w:r>
              <w:rPr>
                <w:sz w:val="21"/>
              </w:rPr>
              <w:t>式动态监测机制，详细调查薇甘菊对乔灌木的覆盖及攀援高度，严防繁殖体随基质或苗木隐性扩散，科学划分轻、中、重度发生等级，确保监测数据的时空连续性与详实可靠性，为精准除治与生态修复提供定点数据支撑。</w:t>
            </w:r>
          </w:p>
          <w:p>
            <w:pPr>
              <w:pStyle w:val="null3"/>
              <w:jc w:val="left"/>
            </w:pPr>
            <w:r>
              <w:rPr>
                <w:sz w:val="21"/>
                <w:b/>
              </w:rPr>
              <w:t>五、</w:t>
            </w:r>
            <w:r>
              <w:rPr>
                <w:sz w:val="21"/>
                <w:b/>
              </w:rPr>
              <w:t>检查与验收</w:t>
            </w:r>
          </w:p>
          <w:p>
            <w:pPr>
              <w:pStyle w:val="null3"/>
              <w:ind w:firstLine="420"/>
              <w:jc w:val="both"/>
            </w:pPr>
            <w:r>
              <w:rPr>
                <w:sz w:val="21"/>
              </w:rPr>
              <w:t>项目建设时监理单位全程监督、采购人进行抽查，松材线虫病疫区松科植物只能进行除治性采伐。严防借疫木采伐之名过度采伐，禁止疫区开展除治性采伐以外的其他疫木采伐活动。项目完成后，采购人先进行全面自查。</w:t>
            </w:r>
          </w:p>
          <w:p>
            <w:pPr>
              <w:pStyle w:val="null3"/>
              <w:ind w:firstLine="420"/>
              <w:jc w:val="both"/>
            </w:pPr>
            <w:r>
              <w:rPr>
                <w:sz w:val="21"/>
              </w:rPr>
              <w:t>1.</w:t>
            </w:r>
            <w:r>
              <w:rPr>
                <w:sz w:val="21"/>
              </w:rPr>
              <w:t>采购人对成交供应商在服务期内的各项作业随时检查，发现问题，要及时纠正，项目结束后组织全面自查、自查合格申报市级检查，后期还需接受省级及国家核查。</w:t>
            </w:r>
          </w:p>
          <w:p>
            <w:pPr>
              <w:pStyle w:val="null3"/>
              <w:ind w:firstLine="420"/>
              <w:jc w:val="both"/>
            </w:pPr>
            <w:r>
              <w:rPr>
                <w:sz w:val="21"/>
              </w:rPr>
              <w:t>2.</w:t>
            </w:r>
            <w:r>
              <w:rPr>
                <w:sz w:val="21"/>
              </w:rPr>
              <w:t>采购人应按照批复的项目相关设计文件和有关合同对项目完成情况进行自查。项目建设必须按批复后的项目作业设计经采购人组织专家验收合格。</w:t>
            </w:r>
          </w:p>
          <w:p>
            <w:pPr>
              <w:pStyle w:val="null3"/>
              <w:jc w:val="both"/>
            </w:pPr>
            <w:r>
              <w:rPr>
                <w:sz w:val="21"/>
              </w:rPr>
              <w:t>有下列情况出现的不能进行竣工验收：</w:t>
            </w:r>
          </w:p>
          <w:p>
            <w:pPr>
              <w:pStyle w:val="null3"/>
              <w:ind w:firstLine="420"/>
              <w:jc w:val="both"/>
            </w:pPr>
            <w:r>
              <w:rPr>
                <w:sz w:val="21"/>
              </w:rPr>
              <w:t>（</w:t>
            </w:r>
            <w:r>
              <w:rPr>
                <w:sz w:val="21"/>
              </w:rPr>
              <w:t>1</w:t>
            </w:r>
            <w:r>
              <w:rPr>
                <w:sz w:val="21"/>
              </w:rPr>
              <w:t>）规模、质量达不到作业设计要求；</w:t>
            </w:r>
          </w:p>
          <w:p>
            <w:pPr>
              <w:pStyle w:val="null3"/>
              <w:ind w:firstLine="420"/>
              <w:jc w:val="both"/>
            </w:pPr>
            <w:r>
              <w:rPr>
                <w:sz w:val="21"/>
              </w:rPr>
              <w:t>（</w:t>
            </w:r>
            <w:r>
              <w:rPr>
                <w:sz w:val="21"/>
              </w:rPr>
              <w:t>2</w:t>
            </w:r>
            <w:r>
              <w:rPr>
                <w:sz w:val="21"/>
              </w:rPr>
              <w:t>）未经批准擅自调整作业地点和作业内容；</w:t>
            </w:r>
          </w:p>
          <w:p>
            <w:pPr>
              <w:pStyle w:val="null3"/>
              <w:ind w:firstLine="420"/>
              <w:jc w:val="both"/>
            </w:pPr>
            <w:r>
              <w:rPr>
                <w:sz w:val="21"/>
              </w:rPr>
              <w:t>（</w:t>
            </w:r>
            <w:r>
              <w:rPr>
                <w:sz w:val="21"/>
              </w:rPr>
              <w:t>3</w:t>
            </w:r>
            <w:r>
              <w:rPr>
                <w:sz w:val="21"/>
              </w:rPr>
              <w:t>）档案资料不健全。</w:t>
            </w:r>
          </w:p>
          <w:p>
            <w:pPr>
              <w:pStyle w:val="null3"/>
              <w:jc w:val="both"/>
            </w:pPr>
            <w:r>
              <w:rPr>
                <w:sz w:val="21"/>
                <w:b/>
              </w:rPr>
              <w:t>六、其他要求</w:t>
            </w:r>
          </w:p>
          <w:p>
            <w:pPr>
              <w:pStyle w:val="null3"/>
              <w:ind w:firstLine="420"/>
              <w:jc w:val="both"/>
            </w:pPr>
            <w:r>
              <w:rPr>
                <w:sz w:val="21"/>
              </w:rPr>
              <w:t>1.对项目的熟悉程度及重难点分析：包括对项目的熟悉程度、重难点分析、应对措施等。</w:t>
            </w:r>
          </w:p>
          <w:p>
            <w:pPr>
              <w:pStyle w:val="null3"/>
              <w:ind w:firstLine="420"/>
              <w:jc w:val="both"/>
            </w:pPr>
            <w:r>
              <w:rPr>
                <w:sz w:val="21"/>
              </w:rPr>
              <w:t>2.项目防治实施方案：包括防治实施方案、进度计划、技术措施等。</w:t>
            </w:r>
          </w:p>
          <w:p>
            <w:pPr>
              <w:pStyle w:val="null3"/>
              <w:ind w:firstLine="420"/>
              <w:jc w:val="both"/>
            </w:pPr>
            <w:r>
              <w:rPr>
                <w:sz w:val="21"/>
              </w:rPr>
              <w:t>3.质量管理与保证措施：包括质量管理</w:t>
            </w:r>
            <w:r>
              <w:rPr>
                <w:sz w:val="21"/>
              </w:rPr>
              <w:t>、</w:t>
            </w:r>
            <w:r>
              <w:rPr>
                <w:sz w:val="21"/>
              </w:rPr>
              <w:t>质量保证措施</w:t>
            </w:r>
            <w:r>
              <w:rPr>
                <w:sz w:val="21"/>
              </w:rPr>
              <w:t>、</w:t>
            </w:r>
            <w:r>
              <w:rPr>
                <w:sz w:val="21"/>
              </w:rPr>
              <w:t>质量控制过程所使用的方法、风险预防等。</w:t>
            </w:r>
          </w:p>
          <w:p>
            <w:pPr>
              <w:pStyle w:val="null3"/>
              <w:ind w:firstLine="420"/>
              <w:jc w:val="both"/>
            </w:pPr>
            <w:r>
              <w:rPr>
                <w:sz w:val="21"/>
              </w:rPr>
              <w:t>4.安全防护管理方案及应急处理预案：包括安全防护管理方案</w:t>
            </w:r>
            <w:r>
              <w:rPr>
                <w:sz w:val="21"/>
              </w:rPr>
              <w:t>、</w:t>
            </w:r>
            <w:r>
              <w:rPr>
                <w:sz w:val="21"/>
              </w:rPr>
              <w:t>应急处理预案</w:t>
            </w:r>
            <w:r>
              <w:rPr>
                <w:sz w:val="21"/>
              </w:rPr>
              <w:t>、</w:t>
            </w:r>
            <w:r>
              <w:rPr>
                <w:sz w:val="21"/>
              </w:rPr>
              <w:t>应急设备配置等。</w:t>
            </w:r>
          </w:p>
          <w:p>
            <w:pPr>
              <w:pStyle w:val="null3"/>
              <w:ind w:firstLine="420"/>
              <w:jc w:val="both"/>
            </w:pPr>
            <w:r>
              <w:rPr>
                <w:sz w:val="21"/>
              </w:rPr>
              <w:t>5.人员培训管理方案：包括项目配置人员的在职培训内容、实施培训方案、内部培训等。</w:t>
            </w:r>
          </w:p>
          <w:p>
            <w:pPr>
              <w:pStyle w:val="null3"/>
              <w:ind w:firstLine="420"/>
              <w:jc w:val="both"/>
            </w:pPr>
            <w:r>
              <w:rPr>
                <w:sz w:val="21"/>
              </w:rPr>
              <w:t>6.类似项目业绩：应承接过</w:t>
            </w:r>
            <w:r>
              <w:rPr>
                <w:sz w:val="21"/>
              </w:rPr>
              <w:t>类似</w:t>
            </w:r>
            <w:r>
              <w:rPr>
                <w:sz w:val="21"/>
              </w:rPr>
              <w:t>项目业绩。</w:t>
            </w:r>
          </w:p>
          <w:p>
            <w:pPr>
              <w:pStyle w:val="null3"/>
              <w:ind w:firstLine="420"/>
              <w:jc w:val="both"/>
            </w:pPr>
            <w:r>
              <w:rPr>
                <w:sz w:val="21"/>
              </w:rPr>
              <w:t>7.投入本项目技术力量：如项目负责人、</w:t>
            </w:r>
            <w:r>
              <w:rPr>
                <w:sz w:val="21"/>
              </w:rPr>
              <w:t>团队管理人员、团队技术人员</w:t>
            </w:r>
            <w:r>
              <w:rPr>
                <w:sz w:val="21"/>
              </w:rPr>
              <w:t>。</w:t>
            </w:r>
          </w:p>
          <w:p>
            <w:pPr>
              <w:pStyle w:val="null3"/>
              <w:jc w:val="both"/>
            </w:pPr>
            <w:r>
              <w:rPr>
                <w:sz w:val="21"/>
              </w:rPr>
              <w:t xml:space="preserve">      8.有害生物防治设施设备：如</w:t>
            </w:r>
            <w:r>
              <w:rPr>
                <w:sz w:val="21"/>
              </w:rPr>
              <w:t>油锯、</w:t>
            </w:r>
            <w:r>
              <w:rPr>
                <w:sz w:val="21"/>
              </w:rPr>
              <w:t>小型疫木粉碎机、</w:t>
            </w:r>
            <w:r>
              <w:rPr>
                <w:sz w:val="21"/>
              </w:rPr>
              <w:t>无人机等。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1.采购代理机构：本项目是指韶关市繁盛项目管理有限公司，负责整个采购活动的组织，依法负责编制和发布招标文件，对招标文件拥有最终的解释权，不以任何身份出任评标委员会成员。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新丰县林业局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采购人授权评标委员会按照评审原则直接确定中标（成交）人。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采购机构代理服务收费标准：招标代理费参照《关于印发&lt;招标代理服务收费管理暂行办法&gt;的通知》（计价格[2002]1980号）以中标金额为基数计算收取。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韶关市繁盛项目管理有限公司</w:t>
      </w:r>
      <w:r>
        <w:rPr/>
        <w:t>代收。具体操作要求详见</w:t>
      </w:r>
      <w:r>
        <w:rPr/>
        <w:t>韶关市繁盛项目管理有限公司</w:t>
      </w:r>
      <w:r>
        <w:rPr/>
        <w:t>有关指引，递交事宜请自行咨询</w:t>
      </w:r>
      <w:r>
        <w:rPr/>
        <w:t>韶关市繁盛项目管理有限公司</w:t>
      </w:r>
      <w:r>
        <w:rPr/>
        <w:t>；请各投标人在投标文件递交截止时间前按须知前附表规定的金额递交至</w:t>
      </w:r>
      <w:r>
        <w:rPr/>
        <w:t>韶关市繁盛项目管理有限公司</w:t>
      </w:r>
      <w:r>
        <w:rPr/>
        <w:t>，到账情况以开标时</w:t>
      </w:r>
      <w:r>
        <w:rPr/>
        <w:t>韶关市繁盛项目管理有限公司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范工</w:t>
      </w:r>
    </w:p>
    <w:p>
      <w:pPr>
        <w:pStyle w:val="null3"/>
        <w:ind w:firstLine="480"/>
      </w:pPr>
      <w:r>
        <w:rPr/>
        <w:t>电话：</w:t>
      </w:r>
      <w:r>
        <w:rPr/>
        <w:t>0751-8896636</w:t>
      </w:r>
    </w:p>
    <w:p>
      <w:pPr>
        <w:pStyle w:val="null3"/>
        <w:ind w:firstLine="480"/>
      </w:pPr>
      <w:r>
        <w:rPr/>
        <w:t>传真：</w:t>
      </w:r>
      <w:r>
        <w:rPr/>
        <w:t>0751-8896636</w:t>
      </w:r>
    </w:p>
    <w:p>
      <w:pPr>
        <w:pStyle w:val="null3"/>
        <w:ind w:firstLine="480"/>
      </w:pPr>
      <w:r>
        <w:rPr/>
        <w:t>邮箱：</w:t>
      </w:r>
      <w:r>
        <w:rPr/>
        <w:t>sgsfsgs@163.com</w:t>
      </w:r>
    </w:p>
    <w:p>
      <w:pPr>
        <w:pStyle w:val="null3"/>
        <w:ind w:firstLine="480"/>
      </w:pPr>
      <w:r>
        <w:rPr/>
        <w:t>地址：</w:t>
      </w:r>
      <w:r>
        <w:rPr/>
        <w:t>韶关市曲江区马坝镇马坝村委下街村民小组安置房1号楼5楼自编502号</w:t>
      </w:r>
    </w:p>
    <w:p>
      <w:pPr>
        <w:pStyle w:val="null3"/>
        <w:ind w:firstLine="480"/>
      </w:pPr>
      <w:r>
        <w:rPr/>
        <w:t>邮编：</w:t>
      </w:r>
      <w:r>
        <w:rPr/>
        <w:t>512100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政府采购监督管理机构名称：韶关市新丰县财政局（政府采购管理办公室）</w:t>
      </w:r>
    </w:p>
    <w:p>
      <w:pPr>
        <w:pStyle w:val="null3"/>
      </w:pPr>
      <w:r>
        <w:rPr/>
        <w:t>地 址：新丰县丰城街道新龙大道2号财政局</w:t>
      </w:r>
    </w:p>
    <w:p>
      <w:pPr>
        <w:pStyle w:val="null3"/>
      </w:pPr>
      <w:r>
        <w:rPr/>
        <w:t>电 话：0751-2280081</w:t>
      </w:r>
    </w:p>
    <w:p>
      <w:pPr>
        <w:pStyle w:val="null3"/>
      </w:pPr>
      <w:r>
        <w:rPr/>
        <w:t>邮 编：511100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韶关市新丰县2026年中央财政林草有害生物防治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韶关市繁盛项目管理有限公司</w:t>
      </w:r>
      <w:r>
        <w:rPr/>
        <w:t>统一对外发布。</w:t>
      </w:r>
    </w:p>
    <w:p>
      <w:pPr>
        <w:pStyle w:val="null3"/>
        <w:ind w:firstLine="480"/>
      </w:pPr>
      <w:r>
        <w:rPr/>
        <w:t>（2）对</w:t>
      </w:r>
      <w:r>
        <w:rPr/>
        <w:t>韶关市繁盛项目管理有限公司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采购包1（广东省韶关市新丰县2026年中央财政林草有害生物防治项目）：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采购包1（广东省韶关市新丰县2026年中央财政林草有害生物防治项目）：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投标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投标人必须符合法律、行政法规规定的其他条件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函相关承诺要求内容。</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采购。投标人须符合本项目采购标的对应行业（本项目行业为：农、林、牧、渔业）的政策划分标准。监狱企业、残疾人福利单位视同小型、微型企业。【注：中小企业以投标人填写的《中小企业声明函》为判定标准，残疾人福利性单位以供应商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采购包1（广东省韶关市新丰县2026年中央财政林草有害生物防治项目）：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投标文件按招标文件要求签署、盖章。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投标报价是固定价且是唯一的，未超过本项目的预算金额。</w:t>
            </w:r>
          </w:p>
        </w:tc>
      </w:tr>
      <w:tr>
        <w:tc>
          <w:tcPr>
            <w:tcW w:type="dxa" w:w="890"/>
          </w:tcPr>
          <w:p>
            <w:pPr>
              <w:pStyle w:val="null3"/>
            </w:pPr>
            <w:r>
              <w:rPr/>
              <w:t>3</w:t>
            </w:r>
          </w:p>
        </w:tc>
        <w:tc>
          <w:tcPr>
            <w:tcW w:type="dxa" w:w="3178"/>
          </w:tcPr>
          <w:p>
            <w:pPr>
              <w:pStyle w:val="null3"/>
            </w:pPr>
            <w:r>
              <w:rPr/>
              <w:t>异常低价审查</w:t>
            </w:r>
          </w:p>
        </w:tc>
        <w:tc>
          <w:tcPr>
            <w:tcW w:type="dxa" w:w="4238"/>
          </w:tcPr>
          <w:p>
            <w:pPr>
              <w:pStyle w:val="null3"/>
            </w:pPr>
            <w:r>
              <w:rPr/>
              <w:t>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被启动异常低价审查的供应商，如果不提供书面说明、证明材料，或者提供的书面说明、证明材料不能证明其报价合理性的，应当将其作为无效投标(响应)处理。</w:t>
            </w:r>
          </w:p>
        </w:tc>
      </w:tr>
      <w:tr>
        <w:tc>
          <w:tcPr>
            <w:tcW w:type="dxa" w:w="890"/>
          </w:tcPr>
          <w:p>
            <w:pPr>
              <w:pStyle w:val="null3"/>
            </w:pPr>
            <w:r>
              <w:rPr/>
              <w:t>4</w:t>
            </w:r>
          </w:p>
        </w:tc>
        <w:tc>
          <w:tcPr>
            <w:tcW w:type="dxa" w:w="3178"/>
          </w:tcPr>
          <w:p>
            <w:pPr>
              <w:pStyle w:val="null3"/>
            </w:pPr>
            <w:r>
              <w:rPr/>
              <w:t>实质性响应</w:t>
            </w:r>
          </w:p>
        </w:tc>
        <w:tc>
          <w:tcPr>
            <w:tcW w:type="dxa" w:w="4238"/>
          </w:tcPr>
          <w:p>
            <w:pPr>
              <w:pStyle w:val="null3"/>
            </w:pPr>
            <w:r>
              <w:rPr/>
              <w:t>投标文件满足招标文件中实质性响应★号条款。</w:t>
            </w:r>
          </w:p>
        </w:tc>
      </w:tr>
      <w:tr>
        <w:tc>
          <w:tcPr>
            <w:tcW w:type="dxa" w:w="890"/>
          </w:tcPr>
          <w:p>
            <w:pPr>
              <w:pStyle w:val="null3"/>
            </w:pPr>
            <w:r>
              <w:rPr/>
              <w:t>5</w:t>
            </w:r>
          </w:p>
        </w:tc>
        <w:tc>
          <w:tcPr>
            <w:tcW w:type="dxa" w:w="3178"/>
          </w:tcPr>
          <w:p>
            <w:pPr>
              <w:pStyle w:val="null3"/>
            </w:pPr>
            <w:r>
              <w:rPr/>
              <w:t>投标文件未含有采购人不可接受的附加条件。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6</w:t>
            </w:r>
          </w:p>
        </w:tc>
        <w:tc>
          <w:tcPr>
            <w:tcW w:type="dxa" w:w="3178"/>
          </w:tcPr>
          <w:p>
            <w:pPr>
              <w:pStyle w:val="null3"/>
            </w:pPr>
            <w:r>
              <w:rPr/>
              <w:t>未发现无效其他情形</w:t>
            </w:r>
          </w:p>
        </w:tc>
        <w:tc>
          <w:tcPr>
            <w:tcW w:type="dxa" w:w="4238"/>
          </w:tcPr>
          <w:p>
            <w:pPr>
              <w:pStyle w:val="null3"/>
            </w:pPr>
            <w:r>
              <w:rPr/>
              <w:t>未出现法律、法规和招标文件规定的其他无效情形。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采购包1(广东省韶关市新丰县2026年中央财政林草有害生物防治项目):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对项目的熟悉程度及重难点分析 (10.0分)</w:t>
            </w:r>
          </w:p>
        </w:tc>
        <w:tc>
          <w:tcPr>
            <w:tcW w:type="dxa" w:w="5076"/>
          </w:tcPr>
          <w:p>
            <w:pPr>
              <w:pStyle w:val="null3"/>
              <w:jc w:val="left"/>
            </w:pPr>
            <w:r>
              <w:rPr/>
              <w:t>根据投标人提供的对项目的熟悉程度及重难点分析（包括①对项目的熟悉程度；②对项目重难点分析；③应对措施）进行评审： 1、每包含上述内容一项得1分，最高得3分，不提供的得0分； 2、在上述内容的基础上进行评审： （1）投标人对项目的熟悉程度及重难点分析详细，可行性高，得7分； （2）投标人对项目的熟悉程度及重难点分析较详细，可行性较高，得4分； （3）投标人对项目的熟悉程度及重难点分析不够详细，可行性较低，得1分； （4）投标人未提供上述相关内容或其他情形，不得分。</w:t>
            </w:r>
          </w:p>
        </w:tc>
      </w:tr>
      <w:tr>
        <w:tc>
          <w:tcPr>
            <w:tcW w:type="dxa" w:w="922"/>
            <w:gridSpan w:val="2"/>
            <w:vMerge/>
          </w:tcPr>
          <w:p/>
        </w:tc>
        <w:tc>
          <w:tcPr>
            <w:tcW w:type="dxa" w:w="2307"/>
          </w:tcPr>
          <w:p>
            <w:pPr>
              <w:pStyle w:val="null3"/>
              <w:jc w:val="left"/>
            </w:pPr>
            <w:r>
              <w:rPr/>
              <w:t>项目防治实施方案 (10.0分)</w:t>
            </w:r>
          </w:p>
        </w:tc>
        <w:tc>
          <w:tcPr>
            <w:tcW w:type="dxa" w:w="5076"/>
          </w:tcPr>
          <w:p>
            <w:pPr>
              <w:pStyle w:val="null3"/>
              <w:jc w:val="left"/>
            </w:pPr>
            <w:r>
              <w:rPr/>
              <w:t>根据投标人提供的项目防治实施方案（包括①防治实施方案；②进度计划；③技术措施）进行评审： 1、每包含上述内容一项得1分，最高得3分，不提供的得0分； 2、在上述内容的基础上进行评审： （1）投标人提供的项目防治实施方案详细，可行性高，符合采购文件要求，得7分； （2）投标人提供的项目防治实施方案较详细，可行性较高，符合采购文件要求，得4分； （3）投标人提供的项目防治实施方案不够详细，可行性较低，符合采购文件要求，得1分； （4）投标人未提供上述相关内容或其他情形，不得分。</w:t>
            </w:r>
          </w:p>
        </w:tc>
      </w:tr>
      <w:tr>
        <w:tc>
          <w:tcPr>
            <w:tcW w:type="dxa" w:w="922"/>
            <w:gridSpan w:val="2"/>
            <w:vMerge/>
          </w:tcPr>
          <w:p/>
        </w:tc>
        <w:tc>
          <w:tcPr>
            <w:tcW w:type="dxa" w:w="2307"/>
          </w:tcPr>
          <w:p>
            <w:pPr>
              <w:pStyle w:val="null3"/>
              <w:jc w:val="left"/>
            </w:pPr>
            <w:r>
              <w:rPr/>
              <w:t>质量管理与保证措施 (10.0分)</w:t>
            </w:r>
          </w:p>
        </w:tc>
        <w:tc>
          <w:tcPr>
            <w:tcW w:type="dxa" w:w="5076"/>
          </w:tcPr>
          <w:p>
            <w:pPr>
              <w:pStyle w:val="null3"/>
              <w:jc w:val="left"/>
            </w:pPr>
            <w:r>
              <w:rPr/>
              <w:t>根据投标人提供的质量管理与保证措施（包括①质量管理；②质量保证措施；③质量控制过程所使用的方法、风险预防）进行评审： 1、每包含上述内容一项得1分，最高得3分，不提供的得0分； 2、在上述内容的基础上进行评审： （1）投标人提供的质量管理与保证措施详细，可行性高，得7分； （2）投标人提供的质量管理与保证措施较详细，可行性较高，得4分； （3）投标人提供的质量管理与保证措施不够详细，可行性较低，得1分； （4）投标人未提供上述相关内容或其他情形，不得分。</w:t>
            </w:r>
          </w:p>
        </w:tc>
      </w:tr>
      <w:tr>
        <w:tc>
          <w:tcPr>
            <w:tcW w:type="dxa" w:w="922"/>
            <w:gridSpan w:val="2"/>
            <w:vMerge/>
          </w:tcPr>
          <w:p/>
        </w:tc>
        <w:tc>
          <w:tcPr>
            <w:tcW w:type="dxa" w:w="2307"/>
          </w:tcPr>
          <w:p>
            <w:pPr>
              <w:pStyle w:val="null3"/>
              <w:jc w:val="left"/>
            </w:pPr>
            <w:r>
              <w:rPr/>
              <w:t>安全防护管理方案及应急处理预案 (10.0分)</w:t>
            </w:r>
          </w:p>
        </w:tc>
        <w:tc>
          <w:tcPr>
            <w:tcW w:type="dxa" w:w="5076"/>
          </w:tcPr>
          <w:p>
            <w:pPr>
              <w:pStyle w:val="null3"/>
              <w:jc w:val="left"/>
            </w:pPr>
            <w:r>
              <w:rPr/>
              <w:t>根据投标人提供的安全防护管理方案及应急处理预案（包括①安全防护管理方案；②应急处理预案；③应急设备配置）进行评审： 1、每包含上述内容一项得1分，最高得3分，不提供的得0分； 2、在上述内容的基础上进行评审： （1）投标人提供的安全防护管理方案及应急处理预案详细，可行性高，得7分； （2）投标人提供的安全防护管理方案及应急处理预案较详细，可行性较高，得4分； （3）投标人提供的安全防护管理方案及应急处理预案不够详细，可行性较低，得1分； （4）投标人未提供上述相关内容或其他情形，不得分。</w:t>
            </w:r>
          </w:p>
        </w:tc>
      </w:tr>
      <w:tr>
        <w:tc>
          <w:tcPr>
            <w:tcW w:type="dxa" w:w="922"/>
            <w:gridSpan w:val="2"/>
            <w:vMerge/>
          </w:tcPr>
          <w:p/>
        </w:tc>
        <w:tc>
          <w:tcPr>
            <w:tcW w:type="dxa" w:w="2307"/>
          </w:tcPr>
          <w:p>
            <w:pPr>
              <w:pStyle w:val="null3"/>
              <w:jc w:val="left"/>
            </w:pPr>
            <w:r>
              <w:rPr/>
              <w:t>人员培训管理方案 (10.0分)</w:t>
            </w:r>
          </w:p>
        </w:tc>
        <w:tc>
          <w:tcPr>
            <w:tcW w:type="dxa" w:w="5076"/>
          </w:tcPr>
          <w:p>
            <w:pPr>
              <w:pStyle w:val="null3"/>
              <w:jc w:val="left"/>
            </w:pPr>
            <w:r>
              <w:rPr/>
              <w:t>根据投标人提供的人员培训管理方案（包括①项目配置人员的在职培训内容、②实施培训方案、③内部培训）进行评审： 1、每包含上述内容一项得1分，最高得3分，不提供的得0分； 2、在上述内容的基础上进行评审： （1）投标人提供的人员培训方案内容完整、具体详细且切实可行的，得7分； （2）投标人提供的人员培训方案内容基本完整、能关联本项目实际需求制订，得4分； （3）投标人提供的人员培训方案内容一般，可行性低的，得1分； （4）投标人未提供上述相关内容或其他情形，不得分。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(9.0分)</w:t>
            </w:r>
          </w:p>
        </w:tc>
        <w:tc>
          <w:tcPr>
            <w:tcW w:type="dxa" w:w="5076"/>
          </w:tcPr>
          <w:p>
            <w:pPr>
              <w:pStyle w:val="null3"/>
              <w:jc w:val="left"/>
            </w:pPr>
            <w:r>
              <w:rPr/>
              <w:t>根据投标人完成同类项目业绩进行评分：投标人2021年1月1日至今（以合同签订时间为准）承担过同类项目业绩的，每项业绩得3分，本项最高得9分。 注：投标文件须提供合同关键页（含签订合同双方的单位名称、合同项目名称与含签订合同双方的落款盖章、签订日期的关键页）复印件并加盖投标人公章，未提供或提供不全不得分。</w:t>
            </w:r>
          </w:p>
        </w:tc>
      </w:tr>
      <w:tr>
        <w:tc>
          <w:tcPr>
            <w:tcW w:type="dxa" w:w="922"/>
            <w:gridSpan w:val="2"/>
            <w:vMerge/>
          </w:tcPr>
          <w:p/>
        </w:tc>
        <w:tc>
          <w:tcPr>
            <w:tcW w:type="dxa" w:w="2307"/>
          </w:tcPr>
          <w:p>
            <w:pPr>
              <w:pStyle w:val="null3"/>
              <w:jc w:val="left"/>
            </w:pPr>
            <w:r>
              <w:rPr/>
              <w:t>投入本项目技术力量 (16.0分)</w:t>
            </w:r>
          </w:p>
        </w:tc>
        <w:tc>
          <w:tcPr>
            <w:tcW w:type="dxa" w:w="5076"/>
          </w:tcPr>
          <w:p>
            <w:pPr>
              <w:pStyle w:val="null3"/>
              <w:jc w:val="left"/>
            </w:pPr>
            <w:r>
              <w:rPr/>
              <w:t>1.项目负责人（1人）：具有林业中级职称得2分；林业高级或以上职称，得4分。 2.团队管理人员（不含项目负责人）（1人）：具有林业中级或以上职称，得2分。 3.拟投入本项目的团队技术人员（不含项目负责人、团队管理人员）：林业有害生物防治员或森林病虫害防治员且同时具有林业初级或以上职称的，每提供一名得2分，最高得10分。 注：须提供上述人员有效资格（或职称）证书复印件、劳动合同复印件加盖单位公章；若技术人员为退休工人须提供退休证和劳动合同复印件加盖单位公章，不提供的不得分。</w:t>
            </w:r>
          </w:p>
        </w:tc>
      </w:tr>
      <w:tr>
        <w:tc>
          <w:tcPr>
            <w:tcW w:type="dxa" w:w="922"/>
            <w:gridSpan w:val="2"/>
            <w:vMerge/>
          </w:tcPr>
          <w:p/>
        </w:tc>
        <w:tc>
          <w:tcPr>
            <w:tcW w:type="dxa" w:w="2307"/>
          </w:tcPr>
          <w:p>
            <w:pPr>
              <w:pStyle w:val="null3"/>
              <w:jc w:val="left"/>
            </w:pPr>
            <w:r>
              <w:rPr/>
              <w:t>质量事故 (4.0分)</w:t>
            </w:r>
          </w:p>
        </w:tc>
        <w:tc>
          <w:tcPr>
            <w:tcW w:type="dxa" w:w="5076"/>
          </w:tcPr>
          <w:p>
            <w:pPr>
              <w:pStyle w:val="null3"/>
              <w:jc w:val="left"/>
            </w:pPr>
            <w:r>
              <w:rPr/>
              <w:t>2021年1月1日至今投标人未发生事故等级为一般事故及以上的生产安全事故和一般质量事故及以上的工程质量事故的，得4分；其他情况的不得分。 注：须提供响应投标人本单位承诺书（格式自定）并加盖响应投标人公章；否则不得分。</w:t>
            </w:r>
          </w:p>
        </w:tc>
      </w:tr>
      <w:tr>
        <w:tc>
          <w:tcPr>
            <w:tcW w:type="dxa" w:w="922"/>
            <w:gridSpan w:val="2"/>
            <w:vMerge/>
          </w:tcPr>
          <w:p/>
        </w:tc>
        <w:tc>
          <w:tcPr>
            <w:tcW w:type="dxa" w:w="2307"/>
          </w:tcPr>
          <w:p>
            <w:pPr>
              <w:pStyle w:val="null3"/>
              <w:jc w:val="left"/>
            </w:pPr>
            <w:r>
              <w:rPr/>
              <w:t>项目配置设备 (6.0分)</w:t>
            </w:r>
          </w:p>
        </w:tc>
        <w:tc>
          <w:tcPr>
            <w:tcW w:type="dxa" w:w="5076"/>
          </w:tcPr>
          <w:p>
            <w:pPr>
              <w:pStyle w:val="null3"/>
              <w:jc w:val="left"/>
            </w:pPr>
            <w:r>
              <w:rPr/>
              <w:t>拟投入本项目有害生物防治设施设备： 1.拟投入油锯1台，每提供一台得1分，最高得3分； 2.拟投入小型疫木粉碎机的，每提供一台得1分，最高得2分； 3.拟投入无人机1台，得1分，最高得1分； 4.不提供不得分。 注：投标人自有设备：提供设备发票复印件和实物照片；投标人租赁设备：提供租赁合同复印件，如租赁期不能覆盖合同期的，投标人还应提交承诺函（格式自拟），承诺租赁到期后将继续租赁（或购买）不低于投标时履行合同能力的设备。</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根据《关于优化政府采购信用评价工作的通知》（韶财采购[2024]5号）要求，对供应商的诚信状况（普通失信行为）进行评审，具体计算公式如下：投标（响应）供应商诚信记录得分=诚信记录得分×5% 。 注：①诚信记录得分以采购代理机构于投标（响应）截止时间当天通过广东政府采购网“其他监管检查公告”栏和韶关市财政局政务信息公开网站“政府采购”栏查询投标（响应）供应商诚信状况查询结果为准；②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广东省政府采购</w:t>
      </w:r>
    </w:p>
    <w:p>
      <w:pPr>
        <w:pStyle w:val="null3"/>
        <w:jc w:val="center"/>
      </w:pPr>
      <w:r>
        <w:rPr>
          <w:sz w:val="21"/>
          <w:b/>
        </w:rPr>
        <w:t xml:space="preserve"> </w:t>
      </w:r>
    </w:p>
    <w:p>
      <w:pPr>
        <w:pStyle w:val="null3"/>
        <w:jc w:val="center"/>
      </w:pPr>
      <w:r>
        <w:rPr>
          <w:sz w:val="32"/>
          <w:b/>
        </w:rPr>
        <w:t>合</w:t>
      </w:r>
      <w:r>
        <w:rPr>
          <w:sz w:val="32"/>
          <w:b/>
        </w:rPr>
        <w:t>同</w:t>
      </w:r>
      <w:r>
        <w:rPr>
          <w:sz w:val="32"/>
          <w:b/>
        </w:rPr>
        <w:t>书</w:t>
      </w:r>
    </w:p>
    <w:p>
      <w:pPr>
        <w:pStyle w:val="null3"/>
        <w:jc w:val="both"/>
      </w:pPr>
      <w:r>
        <w:rPr>
          <w:sz w:val="21"/>
          <w:b/>
        </w:rPr>
        <w:t xml:space="preserve"> </w:t>
      </w:r>
    </w:p>
    <w:p>
      <w:pPr>
        <w:pStyle w:val="null3"/>
        <w:jc w:val="center"/>
      </w:pPr>
      <w:r>
        <w:br/>
      </w:r>
      <w:r>
        <w:br/>
      </w:r>
    </w:p>
    <w:p>
      <w:pPr>
        <w:pStyle w:val="null3"/>
        <w:jc w:val="both"/>
      </w:pPr>
      <w:r>
        <w:rPr>
          <w:sz w:val="21"/>
          <w:shd w:fill="FFFFFF" w:val="clear"/>
        </w:rPr>
        <w:t xml:space="preserve"> </w:t>
      </w:r>
    </w:p>
    <w:p>
      <w:pPr>
        <w:pStyle w:val="null3"/>
        <w:ind w:firstLine="1890"/>
        <w:jc w:val="both"/>
      </w:pPr>
      <w:r>
        <w:rPr>
          <w:sz w:val="21"/>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ind w:firstLine="1890"/>
        <w:jc w:val="both"/>
      </w:pPr>
      <w:r>
        <w:rPr>
          <w:sz w:val="21"/>
          <w:shd w:fill="FFFFFF" w:val="clear"/>
        </w:rPr>
        <w:t>项目名称：</w:t>
      </w:r>
      <w:r>
        <w:rPr>
          <w:sz w:val="21"/>
          <w:shd w:fill="FFFFFF" w:val="clear"/>
        </w:rPr>
        <w:t xml:space="preserve">                             </w:t>
      </w:r>
    </w:p>
    <w:p>
      <w:pPr>
        <w:pStyle w:val="null3"/>
        <w:ind w:firstLine="480"/>
        <w:jc w:val="both"/>
      </w:pPr>
      <w:r>
        <w:rPr>
          <w:sz w:val="21"/>
          <w:b/>
        </w:rPr>
        <w:t>注：本合同仅为合同的参考文本，合同签订双方可根据项目的具体要求进行修订。</w:t>
      </w:r>
    </w:p>
    <w:p>
      <w:pPr>
        <w:pStyle w:val="null3"/>
        <w:jc w:val="both"/>
      </w:pPr>
      <w:r>
        <w:br/>
      </w:r>
      <w:r>
        <w:rPr>
          <w:sz w:val="21"/>
        </w:rPr>
        <w:t>甲方：</w:t>
      </w:r>
      <w:r>
        <w:rPr>
          <w:sz w:val="21"/>
        </w:rPr>
        <w:t xml:space="preserve">  </w:t>
      </w:r>
    </w:p>
    <w:p>
      <w:pPr>
        <w:pStyle w:val="null3"/>
      </w:pPr>
      <w:r>
        <w:rPr/>
        <w:t xml:space="preserve"> </w:t>
      </w:r>
    </w:p>
    <w:p>
      <w:pPr>
        <w:pStyle w:val="null3"/>
      </w:pPr>
      <w:r>
        <w:rPr>
          <w:sz w:val="21"/>
        </w:rPr>
        <w:t>电话：</w:t>
      </w:r>
      <w:r>
        <w:rPr>
          <w:sz w:val="21"/>
        </w:rPr>
        <w:t xml:space="preserve">  </w:t>
      </w:r>
      <w:r>
        <w:rPr>
          <w:sz w:val="21"/>
        </w:rPr>
        <w:t>传真</w:t>
      </w:r>
      <w:r>
        <w:rPr>
          <w:sz w:val="21"/>
        </w:rPr>
        <w:t>：</w:t>
      </w:r>
      <w:r>
        <w:rPr>
          <w:sz w:val="21"/>
        </w:rPr>
        <w:t xml:space="preserve">  </w:t>
      </w:r>
      <w:r>
        <w:rPr>
          <w:sz w:val="21"/>
        </w:rPr>
        <w:t>地址：</w:t>
      </w:r>
      <w:r>
        <w:rPr>
          <w:sz w:val="21"/>
        </w:rPr>
        <w:t xml:space="preserve">   </w:t>
      </w:r>
    </w:p>
    <w:p>
      <w:pPr>
        <w:pStyle w:val="null3"/>
      </w:pPr>
      <w:r>
        <w:rPr>
          <w:sz w:val="21"/>
        </w:rPr>
        <w:t>乙方：</w:t>
      </w:r>
      <w:r>
        <w:rPr>
          <w:sz w:val="21"/>
        </w:rPr>
        <w:t xml:space="preserve">  </w:t>
      </w:r>
    </w:p>
    <w:p>
      <w:pPr>
        <w:pStyle w:val="null3"/>
      </w:pPr>
      <w:r>
        <w:rPr>
          <w:sz w:val="21"/>
        </w:rPr>
        <w:t>电话：</w:t>
      </w:r>
      <w:r>
        <w:rPr>
          <w:sz w:val="21"/>
        </w:rPr>
        <w:t xml:space="preserve">   </w:t>
      </w:r>
      <w:r>
        <w:rPr>
          <w:sz w:val="21"/>
        </w:rPr>
        <w:t>传真：　　　</w:t>
      </w:r>
      <w:r>
        <w:rPr>
          <w:sz w:val="21"/>
        </w:rPr>
        <w:t xml:space="preserve">   </w:t>
      </w:r>
      <w:r>
        <w:rPr>
          <w:sz w:val="21"/>
        </w:rPr>
        <w:t>地址：</w:t>
      </w:r>
      <w:r>
        <w:rPr>
          <w:sz w:val="21"/>
        </w:rPr>
        <w:t xml:space="preserve">   </w:t>
      </w:r>
    </w:p>
    <w:p>
      <w:pPr>
        <w:pStyle w:val="null3"/>
      </w:pPr>
      <w:r>
        <w:rPr/>
        <w:t xml:space="preserve"> </w:t>
      </w:r>
    </w:p>
    <w:p>
      <w:pPr>
        <w:pStyle w:val="null3"/>
      </w:pPr>
      <w:r>
        <w:rPr>
          <w:sz w:val="21"/>
        </w:rPr>
        <w:t xml:space="preserve">  </w:t>
      </w:r>
      <w:r>
        <w:rPr>
          <w:sz w:val="21"/>
        </w:rPr>
        <w:t>根据</w:t>
      </w:r>
      <w:r>
        <w:rPr>
          <w:u w:val="single"/>
        </w:rPr>
        <w:t xml:space="preserve">          </w:t>
      </w:r>
      <w:r>
        <w:rPr>
          <w:sz w:val="21"/>
        </w:rPr>
        <w:t>项目</w:t>
      </w:r>
      <w:r>
        <w:rPr>
          <w:sz w:val="21"/>
        </w:rPr>
        <w:t>的采购结果，按照《中华人民共和国政府采购法》，《中华人民共和国民法典</w:t>
      </w:r>
      <w:r>
        <w:rPr>
          <w:sz w:val="21"/>
        </w:rPr>
        <w:t>(合同编)》的规定，经双方协商，本着平等互利和诚实信用的原则，一致同意遵守本合同如下。</w:t>
      </w:r>
    </w:p>
    <w:p>
      <w:pPr>
        <w:pStyle w:val="null3"/>
      </w:pPr>
      <w:r>
        <w:rPr>
          <w:sz w:val="21"/>
        </w:rPr>
        <w:t>一、合同金额</w:t>
      </w:r>
    </w:p>
    <w:p>
      <w:pPr>
        <w:pStyle w:val="null3"/>
        <w:ind w:firstLine="420"/>
      </w:pPr>
      <w:r>
        <w:rPr>
          <w:sz w:val="21"/>
        </w:rPr>
        <w:t>合同金额为（大写）：</w:t>
      </w:r>
      <w:r>
        <w:rPr>
          <w:sz w:val="21"/>
        </w:rPr>
        <w:t>_____________元（￥_________元）人民币。</w:t>
      </w:r>
    </w:p>
    <w:p>
      <w:pPr>
        <w:pStyle w:val="null3"/>
        <w:ind w:firstLine="420"/>
      </w:pPr>
      <w:r>
        <w:rPr>
          <w:sz w:val="21"/>
        </w:rPr>
        <w:t>二、服务范围</w:t>
      </w:r>
    </w:p>
    <w:p>
      <w:pPr>
        <w:pStyle w:val="null3"/>
      </w:pPr>
      <w:r>
        <w:rPr>
          <w:sz w:val="21"/>
        </w:rPr>
        <w:t>　　甲方聘请乙方提供以下服务：</w:t>
      </w:r>
    </w:p>
    <w:p>
      <w:pPr>
        <w:pStyle w:val="null3"/>
        <w:ind w:firstLine="420"/>
        <w:jc w:val="left"/>
      </w:pPr>
      <w:r>
        <w:rPr>
          <w:sz w:val="21"/>
        </w:rPr>
        <w:t>1.完成松材线虫病疫木清理面积1.32万亩；</w:t>
      </w:r>
    </w:p>
    <w:p>
      <w:pPr>
        <w:pStyle w:val="null3"/>
        <w:ind w:firstLine="420"/>
        <w:jc w:val="left"/>
      </w:pPr>
      <w:r>
        <w:rPr>
          <w:sz w:val="21"/>
        </w:rPr>
        <w:t>2.完成</w:t>
      </w:r>
      <w:r>
        <w:rPr>
          <w:sz w:val="21"/>
        </w:rPr>
        <w:t>全县交通干道两侧可视范围内非疫情小班</w:t>
      </w:r>
      <w:r>
        <w:rPr>
          <w:sz w:val="21"/>
        </w:rPr>
        <w:t>松树蛀干害虫防治</w:t>
      </w:r>
      <w:r>
        <w:rPr>
          <w:sz w:val="21"/>
        </w:rPr>
        <w:t>，进行预防性清理</w:t>
      </w:r>
      <w:r>
        <w:rPr>
          <w:sz w:val="21"/>
        </w:rPr>
        <w:t>；</w:t>
      </w:r>
    </w:p>
    <w:p>
      <w:pPr>
        <w:pStyle w:val="null3"/>
        <w:ind w:firstLine="420"/>
        <w:jc w:val="left"/>
      </w:pPr>
      <w:r>
        <w:rPr>
          <w:sz w:val="21"/>
        </w:rPr>
        <w:t>3.完成国家级中心测报报点建设工作1个。</w:t>
      </w:r>
    </w:p>
    <w:p>
      <w:pPr>
        <w:pStyle w:val="null3"/>
      </w:pPr>
      <w:r>
        <w:rPr>
          <w:sz w:val="21"/>
        </w:rPr>
        <w:t>...</w:t>
      </w:r>
    </w:p>
    <w:p>
      <w:pPr>
        <w:pStyle w:val="null3"/>
        <w:jc w:val="left"/>
      </w:pPr>
      <w:r>
        <w:rPr>
          <w:sz w:val="21"/>
        </w:rPr>
        <w:t>三、</w:t>
      </w:r>
      <w:r>
        <w:rPr>
          <w:sz w:val="21"/>
        </w:rPr>
        <w:t>服务技术要求</w:t>
      </w:r>
    </w:p>
    <w:p>
      <w:pPr>
        <w:pStyle w:val="null3"/>
        <w:ind w:firstLine="422"/>
        <w:jc w:val="left"/>
      </w:pPr>
      <w:r>
        <w:rPr>
          <w:sz w:val="21"/>
          <w:b/>
        </w:rPr>
        <w:t>（</w:t>
      </w:r>
      <w:r>
        <w:rPr>
          <w:sz w:val="21"/>
          <w:b/>
        </w:rPr>
        <w:t>一</w:t>
      </w:r>
      <w:r>
        <w:rPr>
          <w:sz w:val="21"/>
          <w:b/>
        </w:rPr>
        <w:t>）</w:t>
      </w:r>
      <w:r>
        <w:rPr>
          <w:sz w:val="21"/>
          <w:b/>
        </w:rPr>
        <w:t>松材线虫病疫木清</w:t>
      </w:r>
      <w:r>
        <w:rPr>
          <w:sz w:val="21"/>
          <w:b/>
        </w:rPr>
        <w:t>理</w:t>
      </w:r>
    </w:p>
    <w:p>
      <w:pPr>
        <w:pStyle w:val="null3"/>
        <w:ind w:firstLine="420"/>
        <w:jc w:val="left"/>
      </w:pPr>
      <w:r>
        <w:rPr>
          <w:sz w:val="21"/>
        </w:rPr>
        <w:t>1.防治范围：对</w:t>
      </w:r>
      <w:r>
        <w:rPr>
          <w:sz w:val="21"/>
        </w:rPr>
        <w:t>松材线虫病发生面积</w:t>
      </w:r>
      <w:r>
        <w:rPr>
          <w:sz w:val="21"/>
        </w:rPr>
        <w:t>1.32</w:t>
      </w:r>
      <w:r>
        <w:rPr>
          <w:sz w:val="21"/>
        </w:rPr>
        <w:t>万亩，涉及疫点乡镇有黄磜镇、梅坑镇、马头镇、遥田镇、沙田镇、丰城街道（含亚婆髻林场、岳城林场、雪山林场、林科所、云髻山省级自然保护区、鲁古河国家湿地公园和鲁古河市级自然保护区）共</w:t>
      </w:r>
      <w:r>
        <w:rPr>
          <w:sz w:val="21"/>
        </w:rPr>
        <w:t>6个镇（街），涉及小班</w:t>
      </w:r>
      <w:r>
        <w:rPr>
          <w:sz w:val="21"/>
        </w:rPr>
        <w:t>117</w:t>
      </w:r>
      <w:r>
        <w:rPr>
          <w:sz w:val="21"/>
        </w:rPr>
        <w:t>个开展疫木清理</w:t>
      </w:r>
      <w:r>
        <w:rPr>
          <w:sz w:val="21"/>
        </w:rPr>
        <w:t>。</w:t>
      </w:r>
    </w:p>
    <w:p>
      <w:pPr>
        <w:pStyle w:val="null3"/>
        <w:ind w:firstLine="420"/>
        <w:jc w:val="left"/>
      </w:pPr>
      <w:r>
        <w:rPr>
          <w:sz w:val="21"/>
        </w:rPr>
        <w:t>2.清理对象：所有病死松树、濒死松树及疑似染病松树。</w:t>
      </w:r>
    </w:p>
    <w:p>
      <w:pPr>
        <w:pStyle w:val="null3"/>
        <w:ind w:firstLine="420"/>
        <w:jc w:val="left"/>
      </w:pPr>
      <w:r>
        <w:rPr>
          <w:sz w:val="21"/>
        </w:rPr>
        <w:t>3.作业模式：采取“即死即清”与“集中清理”相结合，确保疫木不流失、疫情不扩散。</w:t>
      </w:r>
    </w:p>
    <w:p>
      <w:pPr>
        <w:pStyle w:val="null3"/>
        <w:ind w:firstLine="420"/>
        <w:jc w:val="left"/>
      </w:pPr>
      <w:r>
        <w:rPr>
          <w:sz w:val="21"/>
        </w:rPr>
        <w:t>4.防治方式：主要采取套袋消杀或变性处理。</w:t>
      </w:r>
    </w:p>
    <w:p>
      <w:pPr>
        <w:pStyle w:val="null3"/>
        <w:ind w:firstLine="420"/>
        <w:jc w:val="left"/>
      </w:pPr>
      <w:r>
        <w:rPr>
          <w:sz w:val="21"/>
        </w:rPr>
        <w:t>①套袋消杀：山高坡陡、不通道路、人迹罕至、林下草灌丰富、通行困难的非“四旁五边”区域，将病死树主干及直径 1 厘米以上的枝丫截断放入密封塑料袋（或环保袋）中加放56%磷化铝片剂消杀药物进行除害处理。套袋消杀要有“危险”警示标识，内容包括除治地点、除治面积和株数、除治方式、作业单位、监督电话等信息。</w:t>
      </w:r>
    </w:p>
    <w:p>
      <w:pPr>
        <w:pStyle w:val="null3"/>
        <w:ind w:firstLine="420"/>
        <w:jc w:val="left"/>
      </w:pPr>
      <w:r>
        <w:rPr>
          <w:sz w:val="21"/>
        </w:rPr>
        <w:t>②变性处理：交通方便的使用汽车送新丰县就近乡镇疫木定点加工厂变性处理。</w:t>
      </w:r>
    </w:p>
    <w:p>
      <w:pPr>
        <w:pStyle w:val="null3"/>
        <w:ind w:firstLine="420"/>
        <w:jc w:val="left"/>
      </w:pPr>
      <w:r>
        <w:rPr>
          <w:sz w:val="21"/>
        </w:rPr>
        <w:t>伐</w:t>
      </w:r>
      <w:r>
        <w:rPr>
          <w:sz w:val="21"/>
        </w:rPr>
        <w:t>桩处理：高度不得超过</w:t>
      </w:r>
      <w:r>
        <w:rPr>
          <w:sz w:val="21"/>
        </w:rPr>
        <w:t>5厘米</w:t>
      </w:r>
      <w:r>
        <w:rPr>
          <w:sz w:val="21"/>
        </w:rPr>
        <w:t>，可不做处理。</w:t>
      </w:r>
    </w:p>
    <w:p>
      <w:pPr>
        <w:pStyle w:val="null3"/>
        <w:ind w:firstLine="422"/>
        <w:jc w:val="left"/>
      </w:pPr>
      <w:r>
        <w:rPr>
          <w:sz w:val="21"/>
          <w:b/>
        </w:rPr>
        <w:t>（</w:t>
      </w:r>
      <w:r>
        <w:rPr>
          <w:sz w:val="21"/>
          <w:b/>
        </w:rPr>
        <w:t>二</w:t>
      </w:r>
      <w:r>
        <w:rPr>
          <w:sz w:val="21"/>
          <w:b/>
        </w:rPr>
        <w:t>）</w:t>
      </w:r>
      <w:r>
        <w:rPr>
          <w:sz w:val="21"/>
          <w:b/>
        </w:rPr>
        <w:t>松树蛀干害虫防治</w:t>
      </w:r>
    </w:p>
    <w:p>
      <w:pPr>
        <w:pStyle w:val="null3"/>
        <w:ind w:firstLine="420"/>
        <w:jc w:val="left"/>
      </w:pPr>
      <w:r>
        <w:rPr>
          <w:sz w:val="21"/>
        </w:rPr>
        <w:t>1.防治</w:t>
      </w:r>
      <w:r>
        <w:rPr>
          <w:sz w:val="21"/>
        </w:rPr>
        <w:t>范围：对</w:t>
      </w:r>
      <w:r>
        <w:rPr>
          <w:sz w:val="21"/>
        </w:rPr>
        <w:t>全县交通干道两侧可视范围内非疫情小班</w:t>
      </w:r>
      <w:r>
        <w:rPr>
          <w:sz w:val="21"/>
        </w:rPr>
        <w:t>松树蛀干害虫防治</w:t>
      </w:r>
      <w:r>
        <w:rPr>
          <w:sz w:val="21"/>
        </w:rPr>
        <w:t>，进行预防性清理</w:t>
      </w:r>
      <w:r>
        <w:rPr>
          <w:sz w:val="21"/>
        </w:rPr>
        <w:t>。</w:t>
      </w:r>
    </w:p>
    <w:p>
      <w:pPr>
        <w:pStyle w:val="null3"/>
        <w:ind w:firstLine="420"/>
        <w:jc w:val="left"/>
      </w:pPr>
      <w:r>
        <w:rPr>
          <w:sz w:val="21"/>
        </w:rPr>
        <w:t>2.防治方式：主要采取套袋消杀或变性处理。具体技术措施参考松材线虫病疫木清理的技术措施。</w:t>
      </w:r>
    </w:p>
    <w:p>
      <w:pPr>
        <w:pStyle w:val="null3"/>
        <w:ind w:firstLine="420"/>
        <w:jc w:val="both"/>
      </w:pPr>
      <w:r>
        <w:rPr>
          <w:sz w:val="21"/>
        </w:rPr>
        <w:t>3.防治目标：清除枯死松树，降低虫口密度，维护重点生态景观带安全，构筑疫情隔离缓冲带。</w:t>
      </w:r>
    </w:p>
    <w:p>
      <w:pPr>
        <w:pStyle w:val="null3"/>
        <w:ind w:firstLine="422"/>
        <w:jc w:val="left"/>
      </w:pPr>
      <w:r>
        <w:rPr>
          <w:sz w:val="21"/>
          <w:b/>
        </w:rPr>
        <w:t>（三）国家级中心测报点建设</w:t>
      </w:r>
    </w:p>
    <w:p>
      <w:pPr>
        <w:pStyle w:val="null3"/>
        <w:ind w:firstLine="420"/>
        <w:jc w:val="left"/>
      </w:pPr>
      <w:r>
        <w:rPr>
          <w:sz w:val="21"/>
        </w:rPr>
        <w:t>依托国家级中心测报点，设立固定标准地</w:t>
      </w:r>
      <w:r>
        <w:rPr>
          <w:sz w:val="21"/>
        </w:rPr>
        <w:t>20个（松褐天牛10个、薇甘菊10个），按照监测对象发生规律进行定点监测，通过《林业有害生物防治信息管理系统》上报虫情动态和短期预报，定期发布中长期预测预报。采取踏查和诱捕方式开展监测工作，为全省预警提供数据支撑。</w:t>
      </w:r>
    </w:p>
    <w:p>
      <w:pPr>
        <w:pStyle w:val="null3"/>
        <w:ind w:firstLine="420"/>
        <w:jc w:val="left"/>
      </w:pPr>
      <w:r>
        <w:rPr>
          <w:sz w:val="21"/>
        </w:rPr>
        <w:t>1.</w:t>
      </w:r>
      <w:r>
        <w:rPr>
          <w:sz w:val="21"/>
        </w:rPr>
        <w:t>监测内容</w:t>
      </w:r>
    </w:p>
    <w:p>
      <w:pPr>
        <w:pStyle w:val="null3"/>
        <w:ind w:firstLine="420"/>
        <w:jc w:val="left"/>
      </w:pPr>
      <w:r>
        <w:rPr>
          <w:sz w:val="21"/>
        </w:rPr>
        <w:t>确立松褐天牛、薇甘菊为县级主测报对象。针对松褐天牛，重点监测其成虫发生期、种群密度及带虫率；针对薇甘菊，重点监测其发生面积、危害等级及入侵生境。通过建立固定监测网络，全面掌握两种有害生物的发生发展规律，确保测报数据的准确性和时效性。</w:t>
      </w:r>
    </w:p>
    <w:p>
      <w:pPr>
        <w:pStyle w:val="null3"/>
        <w:ind w:firstLine="420"/>
        <w:jc w:val="left"/>
      </w:pPr>
      <w:r>
        <w:rPr>
          <w:sz w:val="21"/>
        </w:rPr>
        <w:t>2.</w:t>
      </w:r>
      <w:r>
        <w:rPr>
          <w:sz w:val="21"/>
        </w:rPr>
        <w:t>监测范围</w:t>
      </w:r>
    </w:p>
    <w:p>
      <w:pPr>
        <w:pStyle w:val="null3"/>
        <w:ind w:firstLine="420"/>
        <w:jc w:val="left"/>
      </w:pPr>
      <w:r>
        <w:rPr>
          <w:sz w:val="21"/>
        </w:rPr>
        <w:t>松褐天牛固定标准地</w:t>
      </w:r>
      <w:r>
        <w:rPr>
          <w:sz w:val="21"/>
        </w:rPr>
        <w:t>10个，其中丰城街道2个、马头镇2个、沙田镇2个、遥田镇2个、回龙镇2个</w:t>
      </w:r>
      <w:r>
        <w:rPr>
          <w:sz w:val="21"/>
        </w:rPr>
        <w:t>。</w:t>
      </w:r>
    </w:p>
    <w:p>
      <w:pPr>
        <w:pStyle w:val="null3"/>
        <w:ind w:firstLine="420"/>
        <w:jc w:val="left"/>
      </w:pPr>
      <w:r>
        <w:rPr>
          <w:sz w:val="21"/>
        </w:rPr>
        <w:t>薇甘菊固定标准地</w:t>
      </w:r>
      <w:r>
        <w:rPr>
          <w:sz w:val="21"/>
        </w:rPr>
        <w:t>10</w:t>
      </w:r>
      <w:r>
        <w:rPr>
          <w:sz w:val="21"/>
        </w:rPr>
        <w:t>个，回龙镇</w:t>
      </w:r>
      <w:r>
        <w:rPr>
          <w:sz w:val="21"/>
        </w:rPr>
        <w:t>3个、沙田</w:t>
      </w:r>
      <w:r>
        <w:rPr>
          <w:sz w:val="21"/>
        </w:rPr>
        <w:t>镇</w:t>
      </w:r>
      <w:r>
        <w:rPr>
          <w:sz w:val="21"/>
        </w:rPr>
        <w:t>3个、遥田</w:t>
      </w:r>
      <w:r>
        <w:rPr>
          <w:sz w:val="21"/>
        </w:rPr>
        <w:t>镇</w:t>
      </w:r>
      <w:r>
        <w:rPr>
          <w:sz w:val="21"/>
        </w:rPr>
        <w:t>2个、马头</w:t>
      </w:r>
      <w:r>
        <w:rPr>
          <w:sz w:val="21"/>
        </w:rPr>
        <w:t>镇</w:t>
      </w:r>
      <w:r>
        <w:rPr>
          <w:sz w:val="21"/>
        </w:rPr>
        <w:t>2个。</w:t>
      </w:r>
    </w:p>
    <w:p>
      <w:pPr>
        <w:pStyle w:val="null3"/>
        <w:ind w:firstLine="420"/>
        <w:jc w:val="left"/>
      </w:pPr>
      <w:r>
        <w:rPr>
          <w:sz w:val="21"/>
        </w:rPr>
        <w:t>3.</w:t>
      </w:r>
      <w:r>
        <w:rPr>
          <w:sz w:val="21"/>
        </w:rPr>
        <w:t>监测方法</w:t>
      </w:r>
    </w:p>
    <w:p>
      <w:pPr>
        <w:pStyle w:val="null3"/>
        <w:ind w:firstLine="420"/>
        <w:jc w:val="left"/>
      </w:pPr>
      <w:r>
        <w:rPr>
          <w:sz w:val="21"/>
        </w:rPr>
        <w:t>针对松褐天牛，在发生区构建</w:t>
      </w:r>
      <w:r>
        <w:rPr>
          <w:sz w:val="21"/>
        </w:rPr>
        <w:t>“定点诱捕+网格巡查”的双轨监测体系：于每年5月至9月羽化期内，按每50亩1套的标准全域布设专用诱捕器，</w:t>
      </w:r>
      <w:r>
        <w:rPr>
          <w:sz w:val="21"/>
        </w:rPr>
        <w:t>选取松褐天牛的羽化期，每三个月一次收集虫类，总共</w:t>
      </w:r>
      <w:r>
        <w:rPr>
          <w:sz w:val="21"/>
        </w:rPr>
        <w:t>开展</w:t>
      </w:r>
      <w:r>
        <w:rPr>
          <w:sz w:val="21"/>
        </w:rPr>
        <w:t>四</w:t>
      </w:r>
      <w:r>
        <w:rPr>
          <w:sz w:val="21"/>
        </w:rPr>
        <w:t>次成虫收集与数据统计，精准锁定羽化高峰期以指导防治时机</w:t>
      </w:r>
      <w:r>
        <w:rPr>
          <w:sz w:val="21"/>
        </w:rPr>
        <w:t>。</w:t>
      </w:r>
    </w:p>
    <w:p>
      <w:pPr>
        <w:pStyle w:val="null3"/>
        <w:ind w:firstLine="420"/>
      </w:pPr>
      <w:r>
        <w:rPr>
          <w:sz w:val="21"/>
        </w:rPr>
        <w:t>针对薇甘菊，</w:t>
      </w:r>
      <w:r>
        <w:rPr>
          <w:sz w:val="21"/>
        </w:rPr>
        <w:t>开展</w:t>
      </w:r>
      <w:r>
        <w:rPr>
          <w:sz w:val="21"/>
        </w:rPr>
        <w:t>“</w:t>
      </w:r>
      <w:r>
        <w:rPr>
          <w:sz w:val="21"/>
        </w:rPr>
        <w:t>9月-</w:t>
      </w:r>
      <w:r>
        <w:rPr>
          <w:sz w:val="21"/>
        </w:rPr>
        <w:t>10月结实期</w:t>
      </w:r>
      <w:r>
        <w:rPr>
          <w:sz w:val="21"/>
        </w:rPr>
        <w:t>、翌年</w:t>
      </w:r>
      <w:r>
        <w:rPr>
          <w:sz w:val="21"/>
        </w:rPr>
        <w:t>5月</w:t>
      </w:r>
      <w:r>
        <w:rPr>
          <w:sz w:val="21"/>
        </w:rPr>
        <w:t>-6月</w:t>
      </w:r>
      <w:r>
        <w:rPr>
          <w:sz w:val="21"/>
        </w:rPr>
        <w:t>萌发期、</w:t>
      </w:r>
      <w:r>
        <w:rPr>
          <w:sz w:val="21"/>
        </w:rPr>
        <w:t>翌年</w:t>
      </w:r>
      <w:r>
        <w:rPr>
          <w:sz w:val="21"/>
        </w:rPr>
        <w:t>7月</w:t>
      </w:r>
      <w:r>
        <w:rPr>
          <w:sz w:val="21"/>
        </w:rPr>
        <w:t>-</w:t>
      </w:r>
      <w:r>
        <w:rPr>
          <w:sz w:val="21"/>
        </w:rPr>
        <w:t>8月盛花期”的递进</w:t>
      </w:r>
      <w:r>
        <w:rPr>
          <w:sz w:val="21"/>
        </w:rPr>
        <w:t>式动态监测机制，详细调查薇甘菊对乔灌木的覆盖及攀援高度，严防繁殖体随基质或苗木隐性扩散，科学划分轻、中、重度发生等级，确保监测数据的时空连续性与详实可靠性，为精准除治与生态修复提供定点数据支撑。</w:t>
      </w:r>
    </w:p>
    <w:p>
      <w:pPr>
        <w:pStyle w:val="null3"/>
        <w:ind w:firstLine="420"/>
      </w:pPr>
      <w:r>
        <w:rPr>
          <w:sz w:val="21"/>
        </w:rPr>
        <w:t>....</w:t>
      </w:r>
    </w:p>
    <w:p>
      <w:pPr>
        <w:pStyle w:val="null3"/>
      </w:pPr>
      <w:r>
        <w:rPr>
          <w:sz w:val="21"/>
        </w:rPr>
        <w:t>四、服务期间（项目完成期限）</w:t>
      </w:r>
    </w:p>
    <w:p>
      <w:pPr>
        <w:pStyle w:val="null3"/>
        <w:ind w:firstLine="420"/>
      </w:pPr>
      <w:r>
        <w:rPr>
          <w:sz w:val="21"/>
        </w:rPr>
        <w:t>1.</w:t>
      </w:r>
      <w:r>
        <w:rPr>
          <w:sz w:val="21"/>
        </w:rPr>
        <w:t>自合同签订之日起至</w:t>
      </w:r>
      <w:r>
        <w:rPr>
          <w:sz w:val="21"/>
        </w:rPr>
        <w:t>2027年8月31日。（实际以合同为准，项目时间12个月）</w:t>
      </w:r>
    </w:p>
    <w:p>
      <w:pPr>
        <w:pStyle w:val="null3"/>
      </w:pPr>
      <w:r>
        <w:rPr>
          <w:sz w:val="21"/>
        </w:rPr>
        <w:t>五、付款方式</w:t>
      </w:r>
    </w:p>
    <w:p>
      <w:pPr>
        <w:pStyle w:val="null3"/>
        <w:ind w:firstLine="420"/>
        <w:jc w:val="left"/>
      </w:pPr>
      <w:r>
        <w:rPr>
          <w:sz w:val="21"/>
        </w:rPr>
        <w:t>1</w:t>
      </w:r>
      <w:r>
        <w:rPr>
          <w:sz w:val="21"/>
        </w:rPr>
        <w:t>期为</w:t>
      </w:r>
      <w:r>
        <w:rPr>
          <w:sz w:val="21"/>
        </w:rPr>
        <w:t>(</w:t>
      </w:r>
      <w:r>
        <w:rPr>
          <w:sz w:val="21"/>
        </w:rPr>
        <w:t>预付款</w:t>
      </w:r>
      <w:r>
        <w:rPr>
          <w:sz w:val="21"/>
        </w:rPr>
        <w:t>):</w:t>
      </w:r>
      <w:r>
        <w:rPr>
          <w:sz w:val="21"/>
        </w:rPr>
        <w:t>支付比例</w:t>
      </w:r>
      <w:r>
        <w:rPr>
          <w:sz w:val="21"/>
        </w:rPr>
        <w:t>40%</w:t>
      </w:r>
      <w:r>
        <w:rPr>
          <w:sz w:val="21"/>
        </w:rPr>
        <w:t>，中标人与采购人签订合同后</w:t>
      </w:r>
      <w:r>
        <w:rPr>
          <w:sz w:val="21"/>
        </w:rPr>
        <w:t>1</w:t>
      </w:r>
      <w:r>
        <w:rPr>
          <w:sz w:val="21"/>
        </w:rPr>
        <w:t>个月内，采购人</w:t>
      </w:r>
      <w:r>
        <w:rPr>
          <w:sz w:val="21"/>
        </w:rPr>
        <w:t>在财政资金到位后通知开发票，并在收到发票后</w:t>
      </w:r>
      <w:r>
        <w:rPr>
          <w:sz w:val="21"/>
        </w:rPr>
        <w:t>支付</w:t>
      </w:r>
      <w:r>
        <w:rPr>
          <w:sz w:val="21"/>
        </w:rPr>
        <w:t>40%（其中30%拨入</w:t>
      </w:r>
      <w:r>
        <w:rPr>
          <w:sz w:val="21"/>
        </w:rPr>
        <w:t>农民</w:t>
      </w:r>
      <w:r>
        <w:rPr>
          <w:sz w:val="21"/>
        </w:rPr>
        <w:t>工</w:t>
      </w:r>
      <w:r>
        <w:rPr>
          <w:sz w:val="21"/>
        </w:rPr>
        <w:t>工</w:t>
      </w:r>
      <w:r>
        <w:rPr>
          <w:sz w:val="21"/>
        </w:rPr>
        <w:t>资</w:t>
      </w:r>
      <w:r>
        <w:rPr>
          <w:sz w:val="21"/>
        </w:rPr>
        <w:t>专用</w:t>
      </w:r>
      <w:r>
        <w:rPr>
          <w:sz w:val="21"/>
        </w:rPr>
        <w:t>账</w:t>
      </w:r>
      <w:r>
        <w:rPr>
          <w:sz w:val="21"/>
        </w:rPr>
        <w:t>户</w:t>
      </w:r>
      <w:r>
        <w:rPr>
          <w:sz w:val="21"/>
        </w:rPr>
        <w:t>、</w:t>
      </w:r>
      <w:r>
        <w:rPr>
          <w:sz w:val="21"/>
        </w:rPr>
        <w:t>10%拨入成交</w:t>
      </w:r>
      <w:r>
        <w:rPr>
          <w:sz w:val="21"/>
        </w:rPr>
        <w:t>除治施工</w:t>
      </w:r>
      <w:r>
        <w:rPr>
          <w:sz w:val="21"/>
        </w:rPr>
        <w:t>公司账号）</w:t>
      </w:r>
      <w:r>
        <w:rPr>
          <w:sz w:val="21"/>
        </w:rPr>
        <w:t>。中标人凭合同、正式发票、中标通知书到林业局办理支付手续。</w:t>
      </w:r>
    </w:p>
    <w:p>
      <w:pPr>
        <w:pStyle w:val="null3"/>
        <w:ind w:firstLine="420"/>
        <w:jc w:val="both"/>
      </w:pPr>
      <w:r>
        <w:rPr>
          <w:sz w:val="21"/>
        </w:rPr>
        <w:t>2</w:t>
      </w:r>
      <w:r>
        <w:rPr>
          <w:sz w:val="21"/>
        </w:rPr>
        <w:t>期</w:t>
      </w:r>
      <w:r>
        <w:rPr>
          <w:sz w:val="21"/>
        </w:rPr>
        <w:t>(</w:t>
      </w:r>
      <w:r>
        <w:rPr>
          <w:sz w:val="21"/>
        </w:rPr>
        <w:t>进度款</w:t>
      </w:r>
      <w:r>
        <w:rPr>
          <w:sz w:val="21"/>
        </w:rPr>
        <w:t>):</w:t>
      </w:r>
      <w:r>
        <w:rPr>
          <w:sz w:val="21"/>
        </w:rPr>
        <w:t>支付比例</w:t>
      </w:r>
      <w:r>
        <w:rPr>
          <w:sz w:val="21"/>
        </w:rPr>
        <w:t>30%</w:t>
      </w:r>
      <w:r>
        <w:rPr>
          <w:sz w:val="21"/>
        </w:rPr>
        <w:t>到</w:t>
      </w:r>
      <w:r>
        <w:rPr>
          <w:sz w:val="21"/>
        </w:rPr>
        <w:t>农民</w:t>
      </w:r>
      <w:r>
        <w:rPr>
          <w:sz w:val="21"/>
        </w:rPr>
        <w:t>工</w:t>
      </w:r>
      <w:r>
        <w:rPr>
          <w:sz w:val="21"/>
        </w:rPr>
        <w:t>工</w:t>
      </w:r>
      <w:r>
        <w:rPr>
          <w:sz w:val="21"/>
        </w:rPr>
        <w:t>资</w:t>
      </w:r>
      <w:r>
        <w:rPr>
          <w:sz w:val="21"/>
        </w:rPr>
        <w:t>专用</w:t>
      </w:r>
      <w:r>
        <w:rPr>
          <w:sz w:val="21"/>
        </w:rPr>
        <w:t>账</w:t>
      </w:r>
      <w:r>
        <w:rPr>
          <w:sz w:val="21"/>
        </w:rPr>
        <w:t>户</w:t>
      </w:r>
      <w:r>
        <w:rPr>
          <w:sz w:val="21"/>
        </w:rPr>
        <w:t>，在项目服务期间，中标人组</w:t>
      </w:r>
      <w:r>
        <w:rPr>
          <w:sz w:val="21"/>
        </w:rPr>
        <w:t>织</w:t>
      </w:r>
      <w:r>
        <w:rPr>
          <w:sz w:val="21"/>
        </w:rPr>
        <w:t>阶段性验收</w:t>
      </w:r>
      <w:r>
        <w:rPr>
          <w:sz w:val="21"/>
        </w:rPr>
        <w:t>后，</w:t>
      </w:r>
      <w:r>
        <w:rPr>
          <w:sz w:val="21"/>
        </w:rPr>
        <w:t>并凭监理单位的支付意见提交进度款支付申请，采购人审核无误并收到等额发票后</w:t>
      </w:r>
      <w:r>
        <w:rPr>
          <w:sz w:val="21"/>
        </w:rPr>
        <w:t>10</w:t>
      </w:r>
      <w:r>
        <w:rPr>
          <w:sz w:val="21"/>
        </w:rPr>
        <w:t>个工作日内可办理支付手续。中标人凭合同、正式发票、证明材料、中标通知书到林业局办理支付手续。</w:t>
      </w:r>
    </w:p>
    <w:p>
      <w:pPr>
        <w:pStyle w:val="null3"/>
        <w:jc w:val="left"/>
      </w:pPr>
      <w:r>
        <w:rPr>
          <w:sz w:val="21"/>
        </w:rPr>
        <w:t>3</w:t>
      </w:r>
      <w:r>
        <w:rPr>
          <w:sz w:val="21"/>
        </w:rPr>
        <w:t>期</w:t>
      </w:r>
      <w:r>
        <w:rPr>
          <w:sz w:val="21"/>
        </w:rPr>
        <w:t>(</w:t>
      </w:r>
      <w:r>
        <w:rPr>
          <w:sz w:val="21"/>
        </w:rPr>
        <w:t>尾款</w:t>
      </w:r>
      <w:r>
        <w:rPr>
          <w:sz w:val="21"/>
        </w:rPr>
        <w:t>)</w:t>
      </w:r>
      <w:r>
        <w:rPr>
          <w:sz w:val="21"/>
        </w:rPr>
        <w:t>:</w:t>
      </w:r>
      <w:r>
        <w:rPr>
          <w:sz w:val="21"/>
        </w:rPr>
        <w:t>支付比例</w:t>
      </w:r>
      <w:r>
        <w:rPr>
          <w:sz w:val="21"/>
        </w:rPr>
        <w:t>3</w:t>
      </w:r>
      <w:r>
        <w:rPr>
          <w:sz w:val="21"/>
        </w:rPr>
        <w:t>0%</w:t>
      </w:r>
      <w:r>
        <w:rPr>
          <w:sz w:val="21"/>
        </w:rPr>
        <w:t>，项目服务期结束后，中标人通过采购人</w:t>
      </w:r>
      <w:r>
        <w:rPr>
          <w:sz w:val="21"/>
        </w:rPr>
        <w:t>组织完工</w:t>
      </w:r>
      <w:r>
        <w:rPr>
          <w:sz w:val="21"/>
        </w:rPr>
        <w:t>验收合格并提供等额发票后</w:t>
      </w:r>
      <w:r>
        <w:rPr>
          <w:sz w:val="21"/>
        </w:rPr>
        <w:t>5</w:t>
      </w:r>
      <w:r>
        <w:rPr>
          <w:sz w:val="21"/>
        </w:rPr>
        <w:t>个工作日内，采购人向中标人支付合同金额的</w:t>
      </w:r>
      <w:r>
        <w:rPr>
          <w:sz w:val="21"/>
        </w:rPr>
        <w:t>3</w:t>
      </w:r>
      <w:r>
        <w:rPr>
          <w:sz w:val="21"/>
        </w:rPr>
        <w:t>0%</w:t>
      </w:r>
      <w:r>
        <w:rPr>
          <w:sz w:val="21"/>
        </w:rPr>
        <w:t>款项。中标人凭合同、正式发票、验收报告、中标通知书到林业局办理支付手续。</w:t>
      </w:r>
    </w:p>
    <w:p>
      <w:pPr>
        <w:pStyle w:val="null3"/>
        <w:ind w:firstLine="420"/>
        <w:jc w:val="both"/>
      </w:pPr>
      <w:r>
        <w:rPr>
          <w:sz w:val="21"/>
        </w:rPr>
        <w:t>说明：</w:t>
      </w:r>
      <w:r>
        <w:rPr>
          <w:sz w:val="21"/>
        </w:rPr>
        <w:t>在每期付款前，</w:t>
      </w:r>
      <w:r>
        <w:rPr>
          <w:sz w:val="21"/>
        </w:rPr>
        <w:t>乙方</w:t>
      </w:r>
      <w:r>
        <w:rPr>
          <w:sz w:val="21"/>
        </w:rPr>
        <w:t>向</w:t>
      </w:r>
      <w:r>
        <w:rPr>
          <w:sz w:val="21"/>
        </w:rPr>
        <w:t>甲方</w:t>
      </w:r>
      <w:r>
        <w:rPr>
          <w:sz w:val="21"/>
        </w:rPr>
        <w:t>提供与当期应付金额相等的合法有效的税务发票及符合</w:t>
      </w:r>
      <w:r>
        <w:rPr>
          <w:sz w:val="21"/>
        </w:rPr>
        <w:t>甲方</w:t>
      </w:r>
      <w:r>
        <w:rPr>
          <w:sz w:val="21"/>
        </w:rPr>
        <w:t>要求的请款资料，</w:t>
      </w:r>
      <w:r>
        <w:rPr>
          <w:sz w:val="21"/>
        </w:rPr>
        <w:t>甲方</w:t>
      </w:r>
      <w:r>
        <w:rPr>
          <w:sz w:val="21"/>
        </w:rPr>
        <w:t>收到前述资料后在规定的付款时间向财政部门提出办理支付申请手续。因</w:t>
      </w:r>
      <w:r>
        <w:rPr>
          <w:sz w:val="21"/>
        </w:rPr>
        <w:t>甲方</w:t>
      </w:r>
      <w:r>
        <w:rPr>
          <w:sz w:val="21"/>
        </w:rPr>
        <w:t>使用的是财政资金，</w:t>
      </w:r>
      <w:r>
        <w:rPr>
          <w:sz w:val="21"/>
        </w:rPr>
        <w:t>甲方</w:t>
      </w:r>
      <w:r>
        <w:rPr>
          <w:sz w:val="21"/>
        </w:rPr>
        <w:t>在前款规定的付款时间为向政府采购支付部门提出办理财政支付申请手续的时间（不含政府财政支付部门审核的时间），在规定时间内提出支付申请手续后即视为</w:t>
      </w:r>
      <w:r>
        <w:rPr>
          <w:sz w:val="21"/>
        </w:rPr>
        <w:t>甲方</w:t>
      </w:r>
      <w:r>
        <w:rPr>
          <w:sz w:val="21"/>
        </w:rPr>
        <w:t>已经按期支付。</w:t>
      </w:r>
      <w:r>
        <w:rPr>
          <w:sz w:val="21"/>
        </w:rPr>
        <w:t>本合同执行中相关的一切税费均由乙方负担。</w:t>
      </w:r>
    </w:p>
    <w:p>
      <w:pPr>
        <w:pStyle w:val="null3"/>
      </w:pPr>
      <w:r>
        <w:rPr>
          <w:sz w:val="21"/>
        </w:rPr>
        <w:t>六、</w:t>
      </w:r>
      <w:r>
        <w:rPr>
          <w:sz w:val="21"/>
        </w:rPr>
        <w:t>验收要求</w:t>
      </w:r>
    </w:p>
    <w:p>
      <w:pPr>
        <w:pStyle w:val="null3"/>
        <w:ind w:firstLine="400"/>
      </w:pPr>
      <w:r>
        <w:rPr/>
        <w:t>1.</w:t>
      </w:r>
      <w:r>
        <w:rPr>
          <w:sz w:val="21"/>
        </w:rPr>
        <w:t>项目实施时监理单位全程监督、采购人进行抽查，松材线虫病疫区松科植物只能进行除治性采伐。严防借疫木采伐之名过度采伐，禁止疫区开展除治性采伐以外的其他疫木采伐活动。项目完成后，采购人先进行全面自查。</w:t>
      </w:r>
    </w:p>
    <w:p>
      <w:pPr>
        <w:pStyle w:val="null3"/>
        <w:ind w:firstLine="420"/>
      </w:pPr>
      <w:r>
        <w:rPr>
          <w:sz w:val="21"/>
        </w:rPr>
        <w:t>（</w:t>
      </w:r>
      <w:r>
        <w:rPr>
          <w:sz w:val="21"/>
        </w:rPr>
        <w:t>1）采购人对</w:t>
      </w:r>
      <w:r>
        <w:rPr>
          <w:sz w:val="21"/>
        </w:rPr>
        <w:t>中标人</w:t>
      </w:r>
      <w:r>
        <w:rPr>
          <w:sz w:val="21"/>
        </w:rPr>
        <w:t>在合同实施期内的各项作业随时检查，发现问题，要及时纠正，项目结束后组织全面自查，随时接受市级以上检查核查。</w:t>
      </w:r>
    </w:p>
    <w:p>
      <w:pPr>
        <w:pStyle w:val="null3"/>
        <w:ind w:firstLine="420"/>
      </w:pPr>
      <w:r>
        <w:rPr>
          <w:sz w:val="21"/>
        </w:rPr>
        <w:t>（</w:t>
      </w:r>
      <w:r>
        <w:rPr>
          <w:sz w:val="21"/>
        </w:rPr>
        <w:t>2）采购人应按照批复的项目相关设计文件和有关合同对项目完成情况进行自查。项目实施必须按批复后的项目作业设计文件经采购人自查验收合格。</w:t>
      </w:r>
    </w:p>
    <w:p>
      <w:pPr>
        <w:pStyle w:val="null3"/>
        <w:ind w:firstLine="420"/>
      </w:pPr>
      <w:r>
        <w:rPr>
          <w:sz w:val="21"/>
        </w:rPr>
        <w:t>（</w:t>
      </w:r>
      <w:r>
        <w:rPr>
          <w:sz w:val="21"/>
        </w:rPr>
        <w:t>3）验收过程中所产生的一切费用均由</w:t>
      </w:r>
      <w:r>
        <w:rPr>
          <w:sz w:val="21"/>
        </w:rPr>
        <w:t>中标人</w:t>
      </w:r>
      <w:r>
        <w:rPr>
          <w:sz w:val="21"/>
        </w:rPr>
        <w:t>承担。</w:t>
      </w:r>
    </w:p>
    <w:p>
      <w:pPr>
        <w:pStyle w:val="null3"/>
        <w:ind w:firstLine="420"/>
      </w:pPr>
      <w:r>
        <w:rPr>
          <w:sz w:val="21"/>
        </w:rPr>
        <w:t>（</w:t>
      </w:r>
      <w:r>
        <w:rPr>
          <w:sz w:val="21"/>
        </w:rPr>
        <w:t>4）有下列情况出现的不能进行竣工验收：规模、质量达不到作业设计要求；未经批准擅自调整项目规模、服务地点和服务内容；财务管理混乱，未按要求做好资金核算，违规使用项目资金；档案资料不健全。</w:t>
      </w:r>
    </w:p>
    <w:p>
      <w:pPr>
        <w:pStyle w:val="null3"/>
        <w:ind w:firstLine="420"/>
      </w:pPr>
      <w:r>
        <w:rPr>
          <w:sz w:val="21"/>
        </w:rPr>
        <w:t>2.验收材料包括作业日志、图片、视频、总结报告、项目实施情况等。</w:t>
      </w:r>
    </w:p>
    <w:p>
      <w:pPr>
        <w:pStyle w:val="null3"/>
      </w:pPr>
      <w:r>
        <w:rPr>
          <w:sz w:val="21"/>
        </w:rPr>
        <w:t>七</w:t>
      </w:r>
      <w:r>
        <w:rPr>
          <w:sz w:val="21"/>
        </w:rPr>
        <w:t>、知识产权归属</w:t>
      </w:r>
    </w:p>
    <w:p>
      <w:pPr>
        <w:pStyle w:val="null3"/>
      </w:pPr>
      <w:r>
        <w:rPr>
          <w:sz w:val="21"/>
        </w:rPr>
        <w:t>....</w:t>
      </w:r>
    </w:p>
    <w:p>
      <w:pPr>
        <w:pStyle w:val="null3"/>
      </w:pPr>
      <w:r>
        <w:rPr>
          <w:sz w:val="21"/>
        </w:rPr>
        <w:t>八、</w:t>
      </w:r>
      <w:r>
        <w:rPr>
          <w:sz w:val="21"/>
        </w:rPr>
        <w:t>保密</w:t>
      </w:r>
    </w:p>
    <w:p>
      <w:pPr>
        <w:pStyle w:val="null3"/>
        <w:ind w:firstLine="420"/>
      </w:pPr>
      <w:r>
        <w:rPr>
          <w:sz w:val="21"/>
        </w:rPr>
        <w:t>乙方应妥善保管甲方提供的文件及信息，并承担保密责任，未经甲方同意不得向第三方转让、披露或用于本合同外的项目，如发生以上情况，乙方应赔偿甲方损失，若涉及刑事责任，依法追究。乙方的保密义务期限为永久保密，不因本合同的终止、解除而完结。</w:t>
      </w:r>
    </w:p>
    <w:p>
      <w:pPr>
        <w:pStyle w:val="null3"/>
      </w:pPr>
      <w:r>
        <w:rPr>
          <w:sz w:val="21"/>
        </w:rPr>
        <w:t>九</w:t>
      </w:r>
      <w:r>
        <w:rPr>
          <w:sz w:val="21"/>
        </w:rPr>
        <w:t>、违约责任与赔偿损失</w:t>
      </w:r>
    </w:p>
    <w:p>
      <w:pPr>
        <w:pStyle w:val="null3"/>
        <w:ind w:firstLine="420"/>
      </w:pPr>
      <w:r>
        <w:rPr>
          <w:sz w:val="21"/>
        </w:rPr>
        <w:t>1.乙方提供的服务不符合本合同规定的，甲方有权拒收，并且乙方须向甲方支付本合同总价5%的违约金。</w:t>
      </w:r>
    </w:p>
    <w:p>
      <w:pPr>
        <w:pStyle w:val="null3"/>
        <w:ind w:firstLine="420"/>
      </w:pPr>
      <w:r>
        <w:rPr>
          <w:sz w:val="21"/>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pPr>
      <w:r>
        <w:rPr>
          <w:sz w:val="21"/>
        </w:rPr>
        <w:t>3.甲方无正当理由拒收接受服务，到期拒付服务款项的，甲方向乙方偿付本合同总的5%的违约金。甲方人逾期付款，则每日按本合同总价的3‰向乙方偿付违约金。</w:t>
      </w:r>
    </w:p>
    <w:p>
      <w:pPr>
        <w:pStyle w:val="null3"/>
        <w:ind w:firstLine="420"/>
      </w:pPr>
      <w:r>
        <w:rPr>
          <w:sz w:val="21"/>
        </w:rPr>
        <w:t>4.对于因甲方原因导致变更、中止或者终止政府采购合同的，甲方应当依照以下合同约定对供应商受到的损失予以赔偿或者补偿：</w:t>
      </w:r>
    </w:p>
    <w:p>
      <w:pPr>
        <w:pStyle w:val="null3"/>
        <w:ind w:firstLine="420"/>
      </w:pPr>
      <w:r>
        <w:rPr>
          <w:u w:val="single"/>
        </w:rPr>
        <w:t xml:space="preserve">                   </w:t>
      </w:r>
    </w:p>
    <w:p>
      <w:pPr>
        <w:pStyle w:val="null3"/>
        <w:ind w:firstLine="420"/>
      </w:pPr>
      <w:r>
        <w:rPr>
          <w:sz w:val="21"/>
        </w:rPr>
        <w:t>5.其它违约责任按《中华人民共和国民法典(合同编)》处理。</w:t>
      </w:r>
    </w:p>
    <w:p>
      <w:pPr>
        <w:pStyle w:val="null3"/>
        <w:ind w:firstLine="420"/>
      </w:pPr>
      <w:r>
        <w:rPr>
          <w:sz w:val="21"/>
        </w:rPr>
        <w:t>十</w:t>
      </w:r>
      <w:r>
        <w:rPr>
          <w:sz w:val="21"/>
        </w:rPr>
        <w:t>、争议的解决</w:t>
      </w:r>
    </w:p>
    <w:p>
      <w:pPr>
        <w:pStyle w:val="null3"/>
        <w:ind w:firstLine="420"/>
      </w:pPr>
      <w:r>
        <w:rPr>
          <w:sz w:val="21"/>
        </w:rPr>
        <w:t>本协议项下发生的争议，由双方协商解决或申请有关部分调解解决，协商或调解不成的，可依法向</w:t>
      </w:r>
      <w:r>
        <w:rPr>
          <w:sz w:val="21"/>
        </w:rPr>
        <w:t>甲</w:t>
      </w:r>
      <w:r>
        <w:rPr>
          <w:sz w:val="21"/>
        </w:rPr>
        <w:t>方所在地人民法院起诉。</w:t>
      </w:r>
    </w:p>
    <w:p>
      <w:pPr>
        <w:pStyle w:val="null3"/>
      </w:pPr>
      <w:r>
        <w:rPr>
          <w:sz w:val="21"/>
        </w:rPr>
        <w:t>十</w:t>
      </w:r>
      <w:r>
        <w:rPr>
          <w:sz w:val="21"/>
        </w:rPr>
        <w:t>一</w:t>
      </w:r>
      <w:r>
        <w:rPr>
          <w:sz w:val="21"/>
        </w:rPr>
        <w:t>、不可抗力</w:t>
      </w:r>
    </w:p>
    <w:p>
      <w:pPr>
        <w:pStyle w:val="null3"/>
      </w:pPr>
      <w:r>
        <w:rPr>
          <w:sz w:val="21"/>
        </w:rPr>
        <w:t>　　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pPr>
      <w:r>
        <w:rPr>
          <w:sz w:val="21"/>
        </w:rPr>
        <w:t>十</w:t>
      </w:r>
      <w:r>
        <w:rPr>
          <w:sz w:val="21"/>
        </w:rPr>
        <w:t>二</w:t>
      </w:r>
      <w:r>
        <w:rPr>
          <w:sz w:val="21"/>
        </w:rPr>
        <w:t>、税费</w:t>
      </w:r>
    </w:p>
    <w:p>
      <w:pPr>
        <w:pStyle w:val="null3"/>
      </w:pPr>
      <w:r>
        <w:rPr>
          <w:sz w:val="21"/>
        </w:rPr>
        <w:t>　　在中国境内、外发生的与本合同执行有关的一切税费均由乙方负担。</w:t>
      </w:r>
    </w:p>
    <w:p>
      <w:pPr>
        <w:pStyle w:val="null3"/>
      </w:pPr>
      <w:r>
        <w:rPr>
          <w:sz w:val="21"/>
        </w:rPr>
        <w:t>十</w:t>
      </w:r>
      <w:r>
        <w:rPr>
          <w:sz w:val="21"/>
        </w:rPr>
        <w:t>三</w:t>
      </w:r>
      <w:r>
        <w:rPr>
          <w:sz w:val="21"/>
        </w:rPr>
        <w:t>、其它</w:t>
      </w:r>
    </w:p>
    <w:p>
      <w:pPr>
        <w:pStyle w:val="null3"/>
      </w:pPr>
      <w:r>
        <w:rPr>
          <w:sz w:val="21"/>
        </w:rPr>
        <w:t>1.本合同所有附件、</w:t>
      </w:r>
      <w:r>
        <w:rPr>
          <w:sz w:val="21"/>
        </w:rPr>
        <w:t>招标</w:t>
      </w:r>
      <w:r>
        <w:rPr>
          <w:sz w:val="21"/>
        </w:rPr>
        <w:t>文件</w:t>
      </w:r>
      <w:r>
        <w:rPr>
          <w:sz w:val="21"/>
        </w:rPr>
        <w:t>、</w:t>
      </w:r>
      <w:r>
        <w:rPr>
          <w:sz w:val="21"/>
        </w:rPr>
        <w:t>投标</w:t>
      </w:r>
      <w:r>
        <w:rPr>
          <w:sz w:val="21"/>
        </w:rPr>
        <w:t>文件</w:t>
      </w:r>
      <w:r>
        <w:rPr>
          <w:sz w:val="21"/>
        </w:rPr>
        <w:t>、</w:t>
      </w:r>
      <w:r>
        <w:rPr>
          <w:sz w:val="21"/>
        </w:rPr>
        <w:t>中标</w:t>
      </w:r>
      <w:r>
        <w:rPr>
          <w:sz w:val="21"/>
        </w:rPr>
        <w:t>通知书均为合同的有效组成部分，与本合同具有同等法律效力。</w:t>
      </w:r>
    </w:p>
    <w:p>
      <w:pPr>
        <w:pStyle w:val="null3"/>
      </w:pPr>
      <w:r>
        <w:rPr>
          <w:sz w:val="21"/>
        </w:rPr>
        <w:t>2.在执行本合同的过程中，所有经双方签署确认的文件（包括会议纪要、补充协议、往来信函）即成为本合同的有效组成部分。</w:t>
      </w:r>
    </w:p>
    <w:p>
      <w:pPr>
        <w:pStyle w:val="null3"/>
      </w:pPr>
      <w:r>
        <w:rPr>
          <w:sz w:val="21"/>
        </w:rPr>
        <w:t>3.如一方地址、电话、传真号码有变更，应在变更当日内书面通知对方，否则，应承担相应责任。</w:t>
      </w:r>
    </w:p>
    <w:p>
      <w:pPr>
        <w:pStyle w:val="null3"/>
      </w:pPr>
      <w:r>
        <w:rPr>
          <w:sz w:val="21"/>
        </w:rPr>
        <w:t>4.除甲方事先书面同意外，乙方不得部分或全部转让其应履行的合同项下的义务。</w:t>
      </w:r>
    </w:p>
    <w:p>
      <w:pPr>
        <w:pStyle w:val="null3"/>
      </w:pPr>
      <w:r>
        <w:rPr>
          <w:sz w:val="21"/>
        </w:rPr>
        <w:t>十三、合同生效</w:t>
      </w:r>
    </w:p>
    <w:p>
      <w:pPr>
        <w:pStyle w:val="null3"/>
      </w:pPr>
      <w:r>
        <w:rPr>
          <w:sz w:val="21"/>
        </w:rPr>
        <w:t>1.本合同在甲乙双方法人代表或其授权代表签字盖章后生效。</w:t>
      </w:r>
    </w:p>
    <w:p>
      <w:pPr>
        <w:pStyle w:val="null3"/>
      </w:pPr>
      <w:r>
        <w:rPr>
          <w:sz w:val="21"/>
        </w:rPr>
        <w:t>2.合同一式    份。</w:t>
      </w:r>
    </w:p>
    <w:p>
      <w:pPr>
        <w:pStyle w:val="null3"/>
      </w:pPr>
      <w:r>
        <w:rPr/>
        <w:t xml:space="preserve"> </w:t>
      </w:r>
    </w:p>
    <w:p>
      <w:pPr>
        <w:pStyle w:val="null3"/>
      </w:pPr>
      <w:r>
        <w:rPr>
          <w:sz w:val="21"/>
        </w:rPr>
        <w:t>甲方（盖章）：</w:t>
      </w:r>
      <w:r>
        <w:rPr>
          <w:sz w:val="21"/>
        </w:rPr>
        <w:t xml:space="preserve">               </w:t>
      </w:r>
      <w:r>
        <w:rPr/>
        <w:t xml:space="preserve">      </w:t>
      </w:r>
      <w:r>
        <w:rPr>
          <w:sz w:val="21"/>
        </w:rPr>
        <w:t>乙方（盖章）：</w:t>
      </w:r>
    </w:p>
    <w:p>
      <w:pPr>
        <w:pStyle w:val="null3"/>
      </w:pPr>
      <w:r>
        <w:rPr>
          <w:sz w:val="21"/>
        </w:rPr>
        <w:t>代表：</w:t>
      </w:r>
      <w:r>
        <w:rPr>
          <w:sz w:val="21"/>
        </w:rPr>
        <w:t xml:space="preserve">                     </w:t>
      </w:r>
      <w:r>
        <w:rPr/>
        <w:t xml:space="preserve">       </w:t>
      </w:r>
      <w:r>
        <w:rPr>
          <w:sz w:val="21"/>
        </w:rPr>
        <w:t xml:space="preserve"> </w:t>
      </w:r>
      <w:r>
        <w:rPr>
          <w:sz w:val="21"/>
        </w:rPr>
        <w:t>代表：</w:t>
      </w:r>
    </w:p>
    <w:p>
      <w:pPr>
        <w:pStyle w:val="null3"/>
      </w:pPr>
      <w:r>
        <w:rPr>
          <w:sz w:val="21"/>
        </w:rPr>
        <w:t>签订地点：</w:t>
      </w:r>
    </w:p>
    <w:p>
      <w:pPr>
        <w:pStyle w:val="null3"/>
      </w:pPr>
      <w:r>
        <w:rPr>
          <w:sz w:val="21"/>
        </w:rPr>
        <w:t>签订日期：　　　年　　月　　日</w:t>
      </w:r>
      <w:r>
        <w:rPr/>
        <w:t xml:space="preserve">     </w:t>
      </w:r>
      <w:r>
        <w:rPr>
          <w:sz w:val="21"/>
        </w:rPr>
        <w:t>签订日期：　　　年　　月　　日</w:t>
      </w:r>
    </w:p>
    <w:p>
      <w:pPr>
        <w:pStyle w:val="null3"/>
        <w:ind w:firstLine="3780"/>
      </w:pPr>
      <w:r>
        <w:rPr>
          <w:sz w:val="21"/>
        </w:rPr>
        <w:t>开户名称：</w:t>
      </w:r>
    </w:p>
    <w:p>
      <w:pPr>
        <w:pStyle w:val="null3"/>
        <w:ind w:firstLine="3780"/>
      </w:pPr>
      <w:r>
        <w:rPr>
          <w:sz w:val="21"/>
        </w:rPr>
        <w:t>银行帐号：</w:t>
      </w:r>
    </w:p>
    <w:p>
      <w:pPr>
        <w:pStyle w:val="null3"/>
        <w:ind w:firstLine="3780"/>
        <w:jc w:val="both"/>
      </w:pPr>
      <w:r>
        <w:rPr>
          <w:sz w:val="21"/>
        </w:rPr>
        <w:t>开</w:t>
      </w:r>
      <w:r>
        <w:rPr>
          <w:sz w:val="21"/>
        </w:rPr>
        <w:t>户</w:t>
      </w:r>
      <w:r>
        <w:rPr>
          <w:sz w:val="21"/>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440233-2026-00875</w:t>
      </w:r>
    </w:p>
    <w:p>
      <w:pPr>
        <w:pStyle w:val="null3"/>
        <w:jc w:val="center"/>
        <w:outlineLvl w:val="3"/>
      </w:pPr>
      <w:r>
        <w:rPr>
          <w:sz w:val="24"/>
          <w:b/>
        </w:rPr>
        <w:t>采购项目编号：</w:t>
      </w:r>
      <w:r>
        <w:rPr>
          <w:sz w:val="24"/>
          <w:b/>
        </w:rPr>
        <w:t>FSZB-2026-021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韶关市繁盛项目管理有限公司</w:t>
      </w:r>
    </w:p>
    <w:p>
      <w:pPr>
        <w:pStyle w:val="null3"/>
        <w:ind w:firstLine="480"/>
      </w:pPr>
      <w:r>
        <w:rPr/>
        <w:t xml:space="preserve"> 你方组织的</w:t>
      </w:r>
      <w:r>
        <w:rPr>
          <w:u w:val="single"/>
        </w:rPr>
        <w:t>“</w:t>
      </w:r>
      <w:r>
        <w:rPr>
          <w:u w:val="single"/>
        </w:rPr>
        <w:t>广东省韶关市新丰县2026年中央财政林草有害生物防治项目</w:t>
      </w:r>
      <w:r>
        <w:rPr>
          <w:u w:val="single"/>
        </w:rPr>
        <w:t>”</w:t>
      </w:r>
      <w:r>
        <w:rPr/>
        <w:t>项目的招标[采购项目编号为：</w:t>
      </w:r>
      <w:r>
        <w:rPr>
          <w:u w:val="single"/>
        </w:rPr>
        <w:t>FSZB-2026-021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广东省韶关市新丰县2026年中央财政林草有害生物防治项目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韶关市繁盛项目管理有限公司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广东省韶关市新丰县2026年中央财政林草有害生物防治项目</w:t>
      </w:r>
      <w:r>
        <w:rPr/>
        <w:t>”项目采购[采购项目编号为</w:t>
      </w:r>
      <w:r>
        <w:rPr/>
        <w:t>FSZB-2026-021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新丰县林业局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韶关市繁盛项目管理有限公司</w:t>
      </w:r>
    </w:p>
    <w:p>
      <w:pPr>
        <w:pStyle w:val="null3"/>
        <w:ind w:firstLine="480"/>
      </w:pPr>
      <w:r>
        <w:rPr/>
        <w:t xml:space="preserve"> 如果我方在贵采购代理机构组织的</w:t>
      </w:r>
      <w:r>
        <w:rPr/>
        <w:t>广东省韶关市新丰县2026年中央财政林草有害生物防治项目</w:t>
      </w:r>
      <w:r>
        <w:rPr/>
        <w:t>招标中获中标（采购项目编号：</w:t>
      </w:r>
      <w:r>
        <w:rPr/>
        <w:t>FSZB-2026-021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韶关市繁盛项目管理有限公司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韶关市繁盛项目管理有限公司</w:t>
      </w:r>
    </w:p>
    <w:p>
      <w:pPr>
        <w:pStyle w:val="null3"/>
        <w:ind w:firstLine="480"/>
      </w:pPr>
      <w:r>
        <w:rPr/>
        <w:t>我单位已登记并准备参与“</w:t>
      </w:r>
      <w:r>
        <w:rPr/>
        <w:t>广东省韶关市新丰县2026年中央财政林草有害生物防治项目</w:t>
      </w:r>
      <w:r>
        <w:rPr/>
        <w:t>”项目（采购项目编号：</w:t>
      </w:r>
      <w:r>
        <w:rPr/>
        <w:t>FSZB-2026-021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