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441900022-2026-00228</w:t>
      </w:r>
    </w:p>
    <w:p>
      <w:pPr>
        <w:pStyle w:val="null3"/>
        <w:jc w:val="center"/>
        <w:outlineLvl w:val="3"/>
      </w:pPr>
      <w:r>
        <w:rPr>
          <w:sz w:val="24"/>
          <w:b/>
        </w:rPr>
        <w:t>采购项目编号：</w:t>
      </w:r>
      <w:r>
        <w:rPr>
          <w:sz w:val="24"/>
          <w:b/>
        </w:rPr>
        <w:t>441900022-2026-00228</w:t>
      </w:r>
    </w:p>
    <w:p>
      <w:pPr>
        <w:pStyle w:val="null3"/>
        <w:jc w:val="center"/>
        <w:outlineLvl w:val="3"/>
      </w:pPr>
      <w:r>
        <w:rPr>
          <w:sz w:val="24"/>
          <w:b/>
        </w:rPr>
        <w:t>项目名称：</w:t>
      </w:r>
      <w:r>
        <w:rPr>
          <w:sz w:val="24"/>
          <w:b/>
        </w:rPr>
        <w:t>黄江镇“四害”消杀项目</w:t>
      </w:r>
    </w:p>
    <w:p>
      <w:pPr>
        <w:pStyle w:val="null3"/>
        <w:jc w:val="center"/>
        <w:outlineLvl w:val="3"/>
      </w:pPr>
      <w:r>
        <w:rPr>
          <w:sz w:val="24"/>
          <w:b/>
        </w:rPr>
        <w:t>采购人：</w:t>
      </w:r>
      <w:r>
        <w:rPr>
          <w:sz w:val="24"/>
          <w:b/>
        </w:rPr>
        <w:t>东莞市黄江镇公用事业服务中心</w:t>
      </w:r>
    </w:p>
    <w:p>
      <w:pPr>
        <w:pStyle w:val="null3"/>
        <w:jc w:val="center"/>
        <w:outlineLvl w:val="3"/>
      </w:pPr>
      <w:r>
        <w:rPr>
          <w:sz w:val="24"/>
          <w:b/>
        </w:rPr>
        <w:t>采购代理机构：</w:t>
      </w:r>
      <w:r>
        <w:rPr>
          <w:sz w:val="24"/>
          <w:b/>
        </w:rPr>
        <w:t>广东威朗达招标有限公司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广东威朗达招标有限公司</w:t>
      </w:r>
      <w:r>
        <w:rPr/>
        <w:t>受</w:t>
      </w:r>
      <w:r>
        <w:rPr/>
        <w:t>东莞市黄江镇公用事业服务中心</w:t>
      </w:r>
      <w:r>
        <w:rPr/>
        <w:t>的委托，采用</w:t>
      </w:r>
      <w:r>
        <w:rPr/>
        <w:t>公开招标</w:t>
      </w:r>
      <w:r>
        <w:rPr/>
        <w:t>方式组织采购</w:t>
      </w:r>
      <w:r>
        <w:rPr/>
        <w:t>黄江镇“四害”消杀项目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黄江镇“四害”消杀项目</w:t>
      </w:r>
    </w:p>
    <w:p>
      <w:pPr>
        <w:pStyle w:val="null3"/>
        <w:ind w:firstLine="480"/>
      </w:pPr>
      <w:r>
        <w:rPr/>
        <w:t>采购计划编号：</w:t>
      </w:r>
      <w:r>
        <w:rPr/>
        <w:t>441900022-2026-00228</w:t>
      </w:r>
    </w:p>
    <w:p>
      <w:pPr>
        <w:pStyle w:val="null3"/>
        <w:ind w:firstLine="480"/>
      </w:pPr>
      <w:r>
        <w:rPr/>
        <w:t>采购项目编号：</w:t>
      </w:r>
      <w:r>
        <w:rPr/>
        <w:t>441900022-2026-00228</w:t>
      </w:r>
    </w:p>
    <w:p>
      <w:pPr>
        <w:pStyle w:val="null3"/>
        <w:ind w:firstLine="480"/>
      </w:pPr>
      <w:r>
        <w:rPr/>
        <w:t>采购方式：</w:t>
      </w:r>
      <w:r>
        <w:rPr/>
        <w:t>公开招标</w:t>
      </w:r>
    </w:p>
    <w:p>
      <w:pPr>
        <w:pStyle w:val="null3"/>
        <w:ind w:firstLine="480"/>
      </w:pPr>
      <w:r>
        <w:rPr/>
        <w:t>预算金额：</w:t>
      </w:r>
      <w:r>
        <w:rPr/>
        <w:t>1,545,600.00</w:t>
      </w:r>
      <w:r>
        <w:rPr/>
        <w:t>元</w:t>
      </w:r>
    </w:p>
    <w:p>
      <w:pPr>
        <w:pStyle w:val="null3"/>
        <w:outlineLvl w:val="3"/>
      </w:pPr>
      <w:r>
        <w:rPr>
          <w:sz w:val="24"/>
          <w:b/>
        </w:rPr>
        <w:t>2.项目内容及需求情况（采购项目技术规格、参数及要求）</w:t>
      </w:r>
    </w:p>
    <w:p>
      <w:pPr>
        <w:pStyle w:val="null3"/>
      </w:pPr>
      <w:r>
        <w:rPr/>
        <w:t>采购包1(黄江镇“四害”消杀项目):</w:t>
      </w:r>
    </w:p>
    <w:p>
      <w:pPr>
        <w:pStyle w:val="null3"/>
      </w:pPr>
      <w:r>
        <w:rPr/>
        <w:t>采购包预算金额：1,545,600.00元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黄江镇“四害”消杀项目</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合同履行期限：签订合同之日起二年，具体合同时间以实际签订时间为准。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规定。（分支机构响应，须取得具有法人资格的总公司出具给分支机构的授权书，并提供总公司和分支机构的营业执照（执业许可证）复印件。已由总公司授权的，总公司取得的相关资质证书对分支机构有效，法律法规或者行业另有规定的除外）。</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文件中提供《资格条件承诺函》（格式详见招标公告附件）。</w:t>
      </w:r>
    </w:p>
    <w:p>
      <w:pPr>
        <w:pStyle w:val="null3"/>
      </w:pPr>
      <w:r>
        <w:rPr/>
        <w:t>3）具有良好的商业信誉和健全的财务会计制度：投标人必须具有良好的商业信誉和健全的财务会计制度（提供财务状况报告或基本开户行出具的资信证明），或投标文件中提供《资格条件承诺函》（格式详见招标公告附件）。</w:t>
      </w:r>
    </w:p>
    <w:p>
      <w:pPr>
        <w:pStyle w:val="null3"/>
      </w:pPr>
      <w:r>
        <w:rPr/>
        <w:t>4）履行合同所必需的设备和专业技术能力：按投标（响应）文件格式填报设备及专业技术能力情况，或投标文件中提供《资格条件承诺函》（格式详见招标公告附件）。</w:t>
      </w:r>
    </w:p>
    <w:p>
      <w:pPr>
        <w:pStyle w:val="null3"/>
      </w:pPr>
      <w:r>
        <w:rPr/>
        <w:t>5）参加采购活动前3年内，在经营活动中没有重大违法记录：参照投标函相关承诺格式内容或提供相关承诺函（相关承诺函格式详见招标公告附件《资格条件承诺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采购包1（黄江镇“四害”消杀项目）：</w:t>
      </w:r>
      <w:r>
        <w:rPr/>
        <w:t>本项目属于整包专门面向中小企业采购的项目。中小企业须符合本项目采购标的对应行业（本项目采购标的所属行业为：其他未列明行业）的政策划分标准。 注：1、投标人投标时须提供《中小企业声明函》（见招标文件格式）；2、残疾人福利性单位以投标人填写的《残疾人福利性单位声明函》（见招标文件格式）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采购包1（黄江镇“四害”消杀项目）：</w:t>
      </w:r>
    </w:p>
    <w:p>
      <w:pPr>
        <w:pStyle w:val="null3"/>
      </w:pPr>
      <w:r>
        <w:rPr/>
        <w:t>1)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2)单位负责人为同一人或者存在直接控股、管理关系的不同投标人，不得同时参加本采购项目（或采购包） 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广东威朗达招标有限公司网址（http：//www.gdwldzb.com/）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东莞市黄江镇公用事业服务中心</w:t>
      </w:r>
    </w:p>
    <w:p>
      <w:pPr>
        <w:pStyle w:val="null3"/>
        <w:ind w:firstLine="480"/>
      </w:pPr>
      <w:r>
        <w:rPr/>
        <w:t xml:space="preserve"> 地址：</w:t>
      </w:r>
      <w:r>
        <w:rPr/>
        <w:t>东莞市黄江镇拥军四路1号</w:t>
      </w:r>
    </w:p>
    <w:p>
      <w:pPr>
        <w:pStyle w:val="null3"/>
        <w:ind w:firstLine="480"/>
      </w:pPr>
      <w:r>
        <w:rPr/>
        <w:t xml:space="preserve"> 联系方式：</w:t>
      </w:r>
      <w:r>
        <w:rPr/>
        <w:t>0769-83362955</w:t>
      </w:r>
    </w:p>
    <w:p>
      <w:pPr>
        <w:pStyle w:val="null3"/>
        <w:outlineLvl w:val="3"/>
      </w:pPr>
      <w:r>
        <w:rPr>
          <w:sz w:val="24"/>
          <w:b/>
        </w:rPr>
        <w:t xml:space="preserve"> 2.采购代理机构信息</w:t>
      </w:r>
    </w:p>
    <w:p>
      <w:pPr>
        <w:pStyle w:val="null3"/>
        <w:ind w:firstLine="480"/>
      </w:pPr>
      <w:r>
        <w:rPr/>
        <w:t xml:space="preserve"> 名称：</w:t>
      </w:r>
      <w:r>
        <w:rPr/>
        <w:t>广东威朗达招标有限公司</w:t>
      </w:r>
    </w:p>
    <w:p>
      <w:pPr>
        <w:pStyle w:val="null3"/>
        <w:ind w:firstLine="480"/>
      </w:pPr>
      <w:r>
        <w:rPr/>
        <w:t xml:space="preserve"> 地址：</w:t>
      </w:r>
      <w:r>
        <w:rPr/>
        <w:t>东莞市南城区第一国际百安中心B座701号</w:t>
      </w:r>
    </w:p>
    <w:p>
      <w:pPr>
        <w:pStyle w:val="null3"/>
        <w:ind w:firstLine="480"/>
      </w:pPr>
      <w:r>
        <w:rPr/>
        <w:t xml:space="preserve"> 联系方式：</w:t>
      </w:r>
      <w:r>
        <w:rPr/>
        <w:t>0769-26989928</w:t>
      </w:r>
    </w:p>
    <w:p>
      <w:pPr>
        <w:pStyle w:val="null3"/>
        <w:outlineLvl w:val="3"/>
      </w:pPr>
      <w:r>
        <w:rPr>
          <w:sz w:val="24"/>
          <w:b/>
        </w:rPr>
        <w:t xml:space="preserve"> 3.项目联系方式</w:t>
      </w:r>
    </w:p>
    <w:p>
      <w:pPr>
        <w:pStyle w:val="null3"/>
        <w:ind w:firstLine="480"/>
      </w:pPr>
      <w:r>
        <w:rPr/>
        <w:t xml:space="preserve"> 项目联系人：</w:t>
      </w:r>
      <w:r>
        <w:rPr/>
        <w:t>陈小姐</w:t>
      </w:r>
    </w:p>
    <w:p>
      <w:pPr>
        <w:pStyle w:val="null3"/>
        <w:ind w:firstLine="480"/>
      </w:pPr>
      <w:r>
        <w:rPr/>
        <w:t xml:space="preserve"> 电话：</w:t>
      </w:r>
      <w:r>
        <w:rPr/>
        <w:t>0769-26989928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广东威朗达招标有限公司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本项目为</w:t>
      </w:r>
      <w:r>
        <w:rPr>
          <w:sz w:val="21"/>
        </w:rPr>
        <w:t>黄江镇</w:t>
      </w:r>
      <w:r>
        <w:rPr>
          <w:sz w:val="21"/>
        </w:rPr>
        <w:t>“四害”消杀项目</w:t>
      </w:r>
      <w:r>
        <w:rPr>
          <w:sz w:val="21"/>
        </w:rPr>
        <w:t>。</w:t>
      </w:r>
    </w:p>
    <w:p>
      <w:pPr>
        <w:pStyle w:val="null3"/>
        <w:ind w:firstLine="420"/>
        <w:jc w:val="both"/>
      </w:pPr>
      <w:r>
        <w:rPr>
          <w:sz w:val="21"/>
        </w:rPr>
        <w:t>2</w:t>
      </w:r>
      <w:r>
        <w:rPr>
          <w:sz w:val="21"/>
        </w:rPr>
        <w:t>、为持续巩固病媒生物防制成效，深入落实爱国卫生运动相关工作部署，有效预防和控制病媒生物传染病的发生与传播，切实保障公共卫生安全，拟实施黄江镇</w:t>
      </w:r>
      <w:r>
        <w:rPr>
          <w:sz w:val="21"/>
        </w:rPr>
        <w:t>“四害”消杀项目采购。</w:t>
      </w:r>
    </w:p>
    <w:p>
      <w:pPr>
        <w:pStyle w:val="null3"/>
        <w:ind w:firstLine="422"/>
        <w:jc w:val="both"/>
      </w:pPr>
      <w:r>
        <w:rPr>
          <w:sz w:val="21"/>
          <w:b/>
        </w:rPr>
        <w:t>二、服务范围</w:t>
      </w:r>
    </w:p>
    <w:p>
      <w:pPr>
        <w:pStyle w:val="null3"/>
        <w:ind w:firstLine="420"/>
        <w:jc w:val="both"/>
      </w:pPr>
      <w:r>
        <w:rPr>
          <w:sz w:val="21"/>
        </w:rPr>
        <w:t>本项目消杀范围包括但不限于以下区域：</w:t>
      </w:r>
    </w:p>
    <w:p>
      <w:pPr>
        <w:pStyle w:val="null3"/>
        <w:ind w:firstLine="420"/>
        <w:jc w:val="both"/>
      </w:pPr>
      <w:r>
        <w:rPr>
          <w:sz w:val="21"/>
        </w:rPr>
        <w:t>1、镇中心区：</w:t>
      </w:r>
    </w:p>
    <w:p>
      <w:pPr>
        <w:pStyle w:val="null3"/>
        <w:ind w:firstLine="420"/>
        <w:jc w:val="both"/>
      </w:pPr>
      <w:r>
        <w:rPr>
          <w:sz w:val="21"/>
        </w:rPr>
        <w:t>面积约</w:t>
      </w:r>
      <w:r>
        <w:rPr>
          <w:sz w:val="21"/>
        </w:rPr>
        <w:t>4 平方公里范围的公共区域，即东至江南路、教育路、环城路，西至蚬壳海河、江北路（含红线范围外胜前岗一至四街等内街小巷），南至合路工业大道，北至环城路，不含红线范围内的花园小区、工业园区、农贸市场、工地及其他建筑物内部。</w:t>
      </w:r>
    </w:p>
    <w:p>
      <w:pPr>
        <w:pStyle w:val="null3"/>
        <w:ind w:firstLine="420"/>
        <w:jc w:val="both"/>
      </w:pPr>
      <w:r>
        <w:rPr>
          <w:sz w:val="21"/>
        </w:rPr>
        <w:t>2、外围重点道路：</w:t>
      </w:r>
    </w:p>
    <w:p>
      <w:pPr>
        <w:pStyle w:val="null3"/>
        <w:ind w:firstLine="420"/>
        <w:jc w:val="both"/>
      </w:pPr>
      <w:r>
        <w:rPr>
          <w:sz w:val="21"/>
        </w:rPr>
        <w:t>黄江大道东段（电信路口至拥军一路交界段）、教育路南段（中兴路交界至创业一路交界段）、创业一路、聚富路、盛业路、东环路（黄江大道交界至创业一路交界段）。</w:t>
      </w:r>
    </w:p>
    <w:p>
      <w:pPr>
        <w:pStyle w:val="null3"/>
        <w:ind w:firstLine="420"/>
        <w:jc w:val="both"/>
      </w:pPr>
      <w:r>
        <w:rPr>
          <w:sz w:val="21"/>
        </w:rPr>
        <w:t>3、公园、广场：</w:t>
      </w:r>
    </w:p>
    <w:p>
      <w:pPr>
        <w:pStyle w:val="null3"/>
        <w:ind w:firstLine="420"/>
        <w:jc w:val="both"/>
      </w:pPr>
      <w:r>
        <w:rPr>
          <w:sz w:val="21"/>
        </w:rPr>
        <w:t>黄江人民公园、黄牛埔森林公园南门及北门广场、科技公园、城市公园等。</w:t>
      </w:r>
    </w:p>
    <w:p>
      <w:pPr>
        <w:pStyle w:val="null3"/>
        <w:ind w:firstLine="420"/>
        <w:jc w:val="both"/>
      </w:pPr>
      <w:r>
        <w:rPr>
          <w:sz w:val="21"/>
        </w:rPr>
        <w:t>4、政府部门、机关办公大楼：</w:t>
      </w:r>
    </w:p>
    <w:p>
      <w:pPr>
        <w:pStyle w:val="null3"/>
        <w:ind w:firstLine="420"/>
        <w:jc w:val="both"/>
      </w:pPr>
      <w:r>
        <w:rPr>
          <w:sz w:val="21"/>
        </w:rPr>
        <w:t>黄江镇政府大院、食品公司、黄江特警队（旧敬老院）、黄江残疾人康复就业服务中心、政务服务中心（供销社大楼）、综治大楼、住建大楼、公安分局、特警大队、巡警大队、黄江派出所、新区派出所、梅塘派出所、铁骑大队、交警大队、消防大队、交通分局、医保分局、自然资源分局、城管分局、市场监管分局、人社分局、税务分局、水务运营中心、社卫中心等。</w:t>
      </w:r>
    </w:p>
    <w:p>
      <w:pPr>
        <w:pStyle w:val="null3"/>
        <w:ind w:firstLine="420"/>
        <w:jc w:val="both"/>
      </w:pPr>
      <w:r>
        <w:rPr>
          <w:sz w:val="21"/>
        </w:rPr>
        <w:t>5、公办教育机构：</w:t>
      </w:r>
    </w:p>
    <w:p>
      <w:pPr>
        <w:pStyle w:val="null3"/>
        <w:ind w:firstLine="420"/>
        <w:jc w:val="both"/>
      </w:pPr>
      <w:r>
        <w:rPr>
          <w:sz w:val="21"/>
        </w:rPr>
        <w:t>黄江中学、中心小学、第一小学、第二小学、实验小学、梅塘小学、长龙小学、中心幼儿园、第一幼儿园等。</w:t>
      </w:r>
    </w:p>
    <w:p>
      <w:pPr>
        <w:pStyle w:val="null3"/>
        <w:ind w:firstLine="420"/>
        <w:jc w:val="both"/>
      </w:pPr>
      <w:r>
        <w:rPr>
          <w:sz w:val="21"/>
        </w:rPr>
        <w:t>6、其他：</w:t>
      </w:r>
    </w:p>
    <w:p>
      <w:pPr>
        <w:pStyle w:val="null3"/>
        <w:ind w:firstLine="420"/>
        <w:jc w:val="both"/>
      </w:pPr>
      <w:r>
        <w:rPr>
          <w:sz w:val="21"/>
        </w:rPr>
        <w:t>中心区范围内生活垃圾收集站、合同期内新增投入使用的公园、广场、机关办公场所、公办教育机构。</w:t>
      </w:r>
    </w:p>
    <w:p>
      <w:pPr>
        <w:pStyle w:val="null3"/>
        <w:ind w:firstLine="420"/>
        <w:jc w:val="both"/>
      </w:pPr>
      <w:r>
        <w:rPr>
          <w:sz w:val="21"/>
        </w:rPr>
        <w:t>★因政府规划、管理、建设需要、政策变化等原因，服务过程中会存在服务地点和范围的变化（如机构办公地址变迁，新增投入使用的公园、广场等），</w:t>
      </w:r>
      <w:r>
        <w:rPr>
          <w:sz w:val="21"/>
        </w:rPr>
        <w:t>采购人有权变更承包区域面积，中标人必须</w:t>
      </w:r>
      <w:r>
        <w:rPr>
          <w:sz w:val="21"/>
        </w:rPr>
        <w:t>以包干模式承担本项目服务内容</w:t>
      </w:r>
      <w:r>
        <w:rPr>
          <w:sz w:val="21"/>
        </w:rPr>
        <w:t>。</w:t>
      </w:r>
      <w:r>
        <w:rPr>
          <w:sz w:val="21"/>
        </w:rPr>
        <w:t>（</w:t>
      </w:r>
      <w:r>
        <w:rPr>
          <w:sz w:val="21"/>
          <w:b/>
        </w:rPr>
        <w:t>投标人在投标文件中就上述内容提供承诺函，格式自拟。</w:t>
      </w:r>
      <w:r>
        <w:rPr>
          <w:sz w:val="21"/>
        </w:rPr>
        <w:t>）</w:t>
      </w:r>
    </w:p>
    <w:p>
      <w:pPr>
        <w:pStyle w:val="null3"/>
        <w:ind w:firstLine="422"/>
        <w:jc w:val="both"/>
      </w:pPr>
      <w:r>
        <w:rPr>
          <w:sz w:val="21"/>
          <w:b/>
        </w:rPr>
        <w:t>三、</w:t>
      </w:r>
      <w:r>
        <w:rPr>
          <w:sz w:val="21"/>
          <w:b/>
        </w:rPr>
        <w:t>主要工作内容</w:t>
      </w:r>
    </w:p>
    <w:p>
      <w:pPr>
        <w:pStyle w:val="null3"/>
        <w:ind w:firstLine="420"/>
        <w:jc w:val="both"/>
      </w:pPr>
      <w:r>
        <w:rPr>
          <w:sz w:val="21"/>
        </w:rPr>
        <w:t>由中标人负责黄江镇公共</w:t>
      </w:r>
      <w:r>
        <w:rPr>
          <w:sz w:val="21"/>
        </w:rPr>
        <w:t>区域</w:t>
      </w:r>
      <w:r>
        <w:rPr>
          <w:sz w:val="21"/>
        </w:rPr>
        <w:t>“四害”消杀作业、“四害”监测及防</w:t>
      </w:r>
      <w:r>
        <w:rPr>
          <w:sz w:val="21"/>
        </w:rPr>
        <w:t>制</w:t>
      </w:r>
      <w:r>
        <w:rPr>
          <w:sz w:val="21"/>
        </w:rPr>
        <w:t>工作。结合巩固国家卫生镇及登革热等病媒生物传染病防控情况不定期开展专项消杀，确保</w:t>
      </w:r>
      <w:r>
        <w:rPr>
          <w:sz w:val="21"/>
        </w:rPr>
        <w:t>“四害”</w:t>
      </w:r>
      <w:r>
        <w:rPr>
          <w:sz w:val="21"/>
        </w:rPr>
        <w:t>防治成果</w:t>
      </w:r>
      <w:r>
        <w:rPr>
          <w:sz w:val="21"/>
        </w:rPr>
        <w:t>不低于国家卫生镇标准和要求，鼠、蚊、蝇、蟑螂密度须控制在全国爱卫会规定的标准内，并符合国家除</w:t>
      </w:r>
      <w:r>
        <w:rPr>
          <w:sz w:val="21"/>
        </w:rPr>
        <w:t>“四害”达标新标准。</w:t>
      </w:r>
    </w:p>
    <w:p>
      <w:pPr>
        <w:pStyle w:val="null3"/>
        <w:ind w:firstLine="420"/>
        <w:jc w:val="both"/>
      </w:pPr>
      <w:r>
        <w:rPr>
          <w:sz w:val="21"/>
        </w:rPr>
        <w:t>1、承包范围内公共区域 “四害”消杀工作，设置毒鼠屋，投放毒饵，控制四害密度，确保除四害工作达到国家卫生城市、国家文明城市复评考核及东莞市政府工作年度考核标准。</w:t>
      </w:r>
    </w:p>
    <w:p>
      <w:pPr>
        <w:pStyle w:val="null3"/>
        <w:ind w:firstLine="420"/>
        <w:jc w:val="both"/>
      </w:pPr>
      <w:r>
        <w:rPr>
          <w:sz w:val="21"/>
        </w:rPr>
        <w:t>2、承包范围内收集动物尸体（老鼠）工作，并将尸体做无害化处理。</w:t>
      </w:r>
    </w:p>
    <w:p>
      <w:pPr>
        <w:pStyle w:val="null3"/>
        <w:ind w:firstLine="420"/>
        <w:jc w:val="both"/>
      </w:pPr>
      <w:r>
        <w:rPr>
          <w:sz w:val="21"/>
        </w:rPr>
        <w:t>3、中标人应在</w:t>
      </w:r>
      <w:r>
        <w:rPr>
          <w:sz w:val="21"/>
        </w:rPr>
        <w:t>签订合同</w:t>
      </w:r>
      <w:r>
        <w:rPr>
          <w:sz w:val="21"/>
        </w:rPr>
        <w:t>一个月内设置固定联系电话，建立</w:t>
      </w:r>
      <w:r>
        <w:rPr>
          <w:sz w:val="21"/>
        </w:rPr>
        <w:t>24小时值班制度，应付突发事件的发生。</w:t>
      </w:r>
    </w:p>
    <w:p>
      <w:pPr>
        <w:pStyle w:val="null3"/>
        <w:ind w:firstLine="420"/>
        <w:jc w:val="both"/>
      </w:pPr>
      <w:r>
        <w:rPr>
          <w:sz w:val="21"/>
        </w:rPr>
        <w:t>4、中标人有完整的病媒生物预防控制操作规程，其中灭蚊、灭蝇、灭蟑螂、灭鼠达到国家“四害”消杀标准，并具有完善的事故应急方案。</w:t>
      </w:r>
    </w:p>
    <w:p>
      <w:pPr>
        <w:pStyle w:val="null3"/>
        <w:ind w:firstLine="422"/>
        <w:jc w:val="both"/>
      </w:pPr>
      <w:r>
        <w:rPr>
          <w:sz w:val="21"/>
          <w:b/>
        </w:rPr>
        <w:t>四</w:t>
      </w:r>
      <w:r>
        <w:rPr>
          <w:sz w:val="21"/>
          <w:b/>
        </w:rPr>
        <w:t>、</w:t>
      </w:r>
      <w:r>
        <w:rPr>
          <w:sz w:val="21"/>
          <w:b/>
        </w:rPr>
        <w:t>服务</w:t>
      </w:r>
      <w:r>
        <w:rPr>
          <w:sz w:val="21"/>
          <w:b/>
        </w:rPr>
        <w:t>质量标准</w:t>
      </w:r>
    </w:p>
    <w:p>
      <w:pPr>
        <w:pStyle w:val="null3"/>
        <w:ind w:firstLine="420"/>
        <w:jc w:val="both"/>
      </w:pPr>
      <w:r>
        <w:rPr>
          <w:sz w:val="21"/>
        </w:rPr>
        <w:t>服务质量需参照《病媒生物密度控制水平</w:t>
      </w:r>
      <w:r>
        <w:rPr>
          <w:sz w:val="21"/>
        </w:rPr>
        <w:t>鼠类》（</w:t>
      </w:r>
      <w:r>
        <w:rPr>
          <w:sz w:val="21"/>
        </w:rPr>
        <w:t>GB/T 27770-2011）、《病媒生物密度控制水平 蚊虫》（GB/T 27771-2011）、《病媒生物密度控制水平 蝇类》（GB/T 27772-2025）、《病媒生物密度控制水平 蜚蠊》（GB/T 27773-2011）等国家、行业和地方现行相关标准、规范执行，若项目服务期内国家、行业和地方颁布新的标准、规范，则参照最新的标准、规范执行；应达到省、市、区、街等职能部门的有关要求，确保在服务期内服务的当次当期项目质量符合标准。</w:t>
      </w:r>
    </w:p>
    <w:p>
      <w:pPr>
        <w:pStyle w:val="null3"/>
        <w:ind w:firstLine="422"/>
        <w:jc w:val="both"/>
      </w:pPr>
      <w:r>
        <w:rPr>
          <w:sz w:val="21"/>
          <w:b/>
        </w:rPr>
        <w:t>五、</w:t>
      </w:r>
      <w:r>
        <w:rPr>
          <w:sz w:val="21"/>
          <w:b/>
        </w:rPr>
        <w:t>消杀频次要求</w:t>
      </w:r>
    </w:p>
    <w:p>
      <w:pPr>
        <w:pStyle w:val="null3"/>
        <w:ind w:firstLine="420"/>
        <w:jc w:val="both"/>
      </w:pPr>
      <w:r>
        <w:rPr>
          <w:sz w:val="21"/>
        </w:rPr>
        <w:t>1</w:t>
      </w:r>
      <w:r>
        <w:rPr>
          <w:sz w:val="21"/>
        </w:rPr>
        <w:t>、一般消杀频率：</w:t>
      </w:r>
    </w:p>
    <w:p>
      <w:pPr>
        <w:pStyle w:val="null3"/>
        <w:ind w:firstLine="420"/>
        <w:jc w:val="both"/>
      </w:pPr>
      <w:r>
        <w:rPr>
          <w:sz w:val="21"/>
        </w:rPr>
        <w:t>灭鼠：每月投放鼠药</w:t>
      </w:r>
      <w:r>
        <w:rPr>
          <w:sz w:val="21"/>
        </w:rPr>
        <w:t>2-3</w:t>
      </w:r>
      <w:r>
        <w:rPr>
          <w:sz w:val="21"/>
        </w:rPr>
        <w:t>次，投药后及时清理死鼠，及时检查药饵的损耗情况并及时补充，根据鼠患情况采取相应的投药措施，并做好安全警示，配置投药“灭鼠屋”</w:t>
      </w:r>
      <w:r>
        <w:rPr>
          <w:sz w:val="21"/>
        </w:rPr>
        <w:t>,</w:t>
      </w:r>
      <w:r>
        <w:rPr>
          <w:sz w:val="21"/>
        </w:rPr>
        <w:t>避免出现误食事故。</w:t>
      </w:r>
    </w:p>
    <w:p>
      <w:pPr>
        <w:pStyle w:val="null3"/>
        <w:ind w:firstLine="420"/>
        <w:jc w:val="both"/>
      </w:pPr>
      <w:r>
        <w:rPr>
          <w:sz w:val="21"/>
        </w:rPr>
        <w:t>灭蚊、灭蟑螂、灭蝇：在</w:t>
      </w:r>
      <w:r>
        <w:rPr>
          <w:sz w:val="21"/>
        </w:rPr>
        <w:t>3-5</w:t>
      </w:r>
      <w:r>
        <w:rPr>
          <w:sz w:val="21"/>
        </w:rPr>
        <w:t>月、</w:t>
      </w:r>
      <w:r>
        <w:rPr>
          <w:sz w:val="21"/>
        </w:rPr>
        <w:t>9-11</w:t>
      </w:r>
      <w:r>
        <w:rPr>
          <w:sz w:val="21"/>
        </w:rPr>
        <w:t>月高峰期，每月消杀</w:t>
      </w:r>
      <w:r>
        <w:rPr>
          <w:sz w:val="21"/>
        </w:rPr>
        <w:t>4</w:t>
      </w:r>
      <w:r>
        <w:rPr>
          <w:sz w:val="21"/>
        </w:rPr>
        <w:t>次，其余时段每月开展</w:t>
      </w:r>
      <w:r>
        <w:rPr>
          <w:sz w:val="21"/>
        </w:rPr>
        <w:t>2</w:t>
      </w:r>
      <w:r>
        <w:rPr>
          <w:sz w:val="21"/>
        </w:rPr>
        <w:t>次的消杀工作。</w:t>
      </w:r>
    </w:p>
    <w:p>
      <w:pPr>
        <w:pStyle w:val="null3"/>
        <w:ind w:firstLine="420"/>
        <w:jc w:val="both"/>
      </w:pPr>
      <w:r>
        <w:rPr>
          <w:sz w:val="21"/>
        </w:rPr>
        <w:t>2</w:t>
      </w:r>
      <w:r>
        <w:rPr>
          <w:sz w:val="21"/>
        </w:rPr>
        <w:t>、重点区域消杀频率：</w:t>
      </w:r>
    </w:p>
    <w:p>
      <w:pPr>
        <w:pStyle w:val="null3"/>
        <w:ind w:firstLine="420"/>
        <w:jc w:val="both"/>
      </w:pPr>
      <w:r>
        <w:rPr>
          <w:sz w:val="21"/>
        </w:rPr>
        <w:t>公园广场及各政府部门、公办教育机构等范围，消杀频次为每周一次。</w:t>
      </w:r>
    </w:p>
    <w:p>
      <w:pPr>
        <w:pStyle w:val="null3"/>
        <w:ind w:firstLine="420"/>
        <w:jc w:val="both"/>
      </w:pPr>
      <w:r>
        <w:rPr>
          <w:sz w:val="21"/>
        </w:rPr>
        <w:t>3</w:t>
      </w:r>
      <w:r>
        <w:rPr>
          <w:sz w:val="21"/>
        </w:rPr>
        <w:t>、特殊情况消杀安排：</w:t>
      </w:r>
    </w:p>
    <w:p>
      <w:pPr>
        <w:pStyle w:val="null3"/>
        <w:ind w:firstLine="420"/>
        <w:jc w:val="both"/>
      </w:pPr>
      <w:r>
        <w:rPr>
          <w:sz w:val="21"/>
        </w:rPr>
        <w:t>如有创文、创卫等重大迎检工作时，需按工作要求布置，随时加大消杀频率，并无条件配合完善相关资料，保证顺利完成相关迎检工作。</w:t>
      </w:r>
    </w:p>
    <w:p>
      <w:pPr>
        <w:pStyle w:val="null3"/>
        <w:ind w:firstLine="420"/>
        <w:jc w:val="both"/>
      </w:pPr>
      <w:r>
        <w:rPr>
          <w:sz w:val="21"/>
        </w:rPr>
        <w:t>如辖区范围内出现疑似或确诊的登革热、基孔肯雅热等疫情，需根据防控要求，无条件协助做好合同范围内防控消杀相关工作。</w:t>
      </w:r>
    </w:p>
    <w:p>
      <w:pPr>
        <w:pStyle w:val="null3"/>
        <w:ind w:firstLine="420"/>
        <w:jc w:val="both"/>
      </w:pPr>
      <w:r>
        <w:rPr>
          <w:sz w:val="21"/>
        </w:rPr>
        <w:t>以上特殊情况消杀产生的费用已包含在合同总价内，由此产生的费用由中标人承担。</w:t>
      </w:r>
    </w:p>
    <w:p>
      <w:pPr>
        <w:pStyle w:val="null3"/>
        <w:ind w:firstLine="422"/>
        <w:jc w:val="both"/>
      </w:pPr>
      <w:r>
        <w:rPr>
          <w:sz w:val="21"/>
          <w:b/>
        </w:rPr>
        <w:t>六、工作</w:t>
      </w:r>
      <w:r>
        <w:rPr>
          <w:sz w:val="21"/>
          <w:b/>
        </w:rPr>
        <w:t>要求</w:t>
      </w:r>
    </w:p>
    <w:p>
      <w:pPr>
        <w:pStyle w:val="null3"/>
        <w:ind w:firstLine="420"/>
        <w:jc w:val="both"/>
      </w:pPr>
      <w:r>
        <w:rPr>
          <w:sz w:val="21"/>
        </w:rPr>
        <w:t>1、中标人必须</w:t>
      </w:r>
      <w:r>
        <w:rPr>
          <w:sz w:val="21"/>
        </w:rPr>
        <w:t>按要求频次、工作计划</w:t>
      </w:r>
      <w:r>
        <w:rPr>
          <w:sz w:val="21"/>
        </w:rPr>
        <w:t>落实镇中心区除</w:t>
      </w:r>
      <w:r>
        <w:rPr>
          <w:sz w:val="21"/>
        </w:rPr>
        <w:t>“四害”消杀工作，确保</w:t>
      </w:r>
      <w:r>
        <w:rPr>
          <w:sz w:val="21"/>
        </w:rPr>
        <w:t>服务质量</w:t>
      </w:r>
      <w:r>
        <w:rPr>
          <w:sz w:val="21"/>
        </w:rPr>
        <w:t>达到国家卫生镇标准和全国爱卫会规定标准要求。如遇</w:t>
      </w:r>
      <w:r>
        <w:rPr>
          <w:sz w:val="21"/>
        </w:rPr>
        <w:t>“四害”密度超出标准时，中标人必须服从</w:t>
      </w:r>
      <w:r>
        <w:rPr>
          <w:sz w:val="21"/>
        </w:rPr>
        <w:t>采购人和</w:t>
      </w:r>
      <w:r>
        <w:rPr>
          <w:sz w:val="21"/>
        </w:rPr>
        <w:t>政府</w:t>
      </w:r>
      <w:r>
        <w:rPr>
          <w:sz w:val="21"/>
        </w:rPr>
        <w:t>相关部门</w:t>
      </w:r>
      <w:r>
        <w:rPr>
          <w:sz w:val="21"/>
        </w:rPr>
        <w:t>的工作安排，增加除</w:t>
      </w:r>
      <w:r>
        <w:rPr>
          <w:sz w:val="21"/>
        </w:rPr>
        <w:t>“四害”的消杀次数。</w:t>
      </w:r>
    </w:p>
    <w:p>
      <w:pPr>
        <w:pStyle w:val="null3"/>
        <w:ind w:firstLine="420"/>
        <w:jc w:val="both"/>
      </w:pPr>
      <w:r>
        <w:rPr>
          <w:sz w:val="21"/>
        </w:rPr>
        <w:t>★</w:t>
      </w:r>
      <w:r>
        <w:rPr>
          <w:sz w:val="21"/>
        </w:rPr>
        <w:t>2、中标人必须坚持“预防为主，综合防治”的消杀方针，使用国家规定或爱卫会认定和推荐的药物。药物要建立进出登记台账，并取得“三证”（农药生产许可证或者农药生产批准文件、农药标准证和农药登记证）。除“四害”作业时要注意安全用药，废弃药物要妥善处理，防止污染。</w:t>
      </w:r>
      <w:r>
        <w:rPr>
          <w:sz w:val="21"/>
        </w:rPr>
        <w:t>（</w:t>
      </w:r>
      <w:r>
        <w:rPr>
          <w:sz w:val="21"/>
          <w:b/>
        </w:rPr>
        <w:t>投标人在投标文件中提供以上资料证明或就上述内容提供承诺函，格式自拟。</w:t>
      </w:r>
      <w:r>
        <w:rPr>
          <w:sz w:val="21"/>
        </w:rPr>
        <w:t>）</w:t>
      </w:r>
    </w:p>
    <w:p>
      <w:pPr>
        <w:pStyle w:val="null3"/>
        <w:ind w:firstLine="420"/>
        <w:jc w:val="both"/>
      </w:pPr>
      <w:r>
        <w:rPr>
          <w:sz w:val="21"/>
        </w:rPr>
        <w:t>★</w:t>
      </w:r>
      <w:r>
        <w:rPr>
          <w:sz w:val="21"/>
        </w:rPr>
        <w:t>3、</w:t>
      </w:r>
      <w:r>
        <w:rPr>
          <w:sz w:val="21"/>
        </w:rPr>
        <w:t>中标人应具备在黄江镇提供快速响应的服务能力，确保在接到采购人通知后</w:t>
      </w:r>
      <w:r>
        <w:rPr>
          <w:sz w:val="21"/>
        </w:rPr>
        <w:t>2小时内到达现场处理相关事务。并设置固定联系电话，建立24小时值班制度，以应对突发事件。</w:t>
      </w:r>
      <w:r>
        <w:rPr>
          <w:sz w:val="21"/>
        </w:rPr>
        <w:t>（</w:t>
      </w:r>
      <w:r>
        <w:rPr>
          <w:sz w:val="21"/>
          <w:b/>
        </w:rPr>
        <w:t>投标人在投标文件中就上述内容提供承诺函，格式自拟。</w:t>
      </w:r>
      <w:r>
        <w:rPr>
          <w:sz w:val="21"/>
        </w:rPr>
        <w:t>）</w:t>
      </w:r>
    </w:p>
    <w:p>
      <w:pPr>
        <w:pStyle w:val="null3"/>
        <w:ind w:firstLine="420"/>
        <w:jc w:val="both"/>
      </w:pPr>
      <w:r>
        <w:rPr>
          <w:sz w:val="21"/>
        </w:rPr>
        <w:t>4、除“四害”工作人员需经培训后上岗，按照东莞爱国卫生运动委员会关于除四害工作的法规标准，规范操作。作业时必须统一服装、佩戴工作证、口罩等，服务过程言行礼貌规范，文明上岗。</w:t>
      </w:r>
    </w:p>
    <w:p>
      <w:pPr>
        <w:pStyle w:val="null3"/>
        <w:ind w:firstLine="420"/>
        <w:jc w:val="both"/>
      </w:pPr>
      <w:r>
        <w:rPr>
          <w:sz w:val="21"/>
        </w:rPr>
        <w:t>5、做好</w:t>
      </w:r>
      <w:r>
        <w:rPr>
          <w:sz w:val="21"/>
        </w:rPr>
        <w:t>各项调查、工作记录以及</w:t>
      </w:r>
      <w:r>
        <w:rPr>
          <w:sz w:val="21"/>
        </w:rPr>
        <w:t>开展除四害建档工作</w:t>
      </w:r>
      <w:r>
        <w:rPr>
          <w:sz w:val="21"/>
        </w:rPr>
        <w:t>。</w:t>
      </w:r>
      <w:r>
        <w:rPr>
          <w:sz w:val="21"/>
        </w:rPr>
        <w:t>做好每次除</w:t>
      </w:r>
      <w:r>
        <w:rPr>
          <w:sz w:val="21"/>
        </w:rPr>
        <w:t>“四害”工作的记录（包括消杀时间、天气</w:t>
      </w:r>
      <w:r>
        <w:rPr>
          <w:sz w:val="21"/>
        </w:rPr>
        <w:t>、</w:t>
      </w:r>
      <w:r>
        <w:rPr>
          <w:sz w:val="21"/>
        </w:rPr>
        <w:t>处理位置</w:t>
      </w:r>
      <w:r>
        <w:rPr>
          <w:sz w:val="21"/>
        </w:rPr>
        <w:t>、使用药物、剂量、效果等），每个场所进行消杀工作时必须用水印相机拍照</w:t>
      </w:r>
      <w:r>
        <w:rPr>
          <w:sz w:val="21"/>
        </w:rPr>
        <w:t>2张</w:t>
      </w:r>
      <w:r>
        <w:rPr>
          <w:sz w:val="21"/>
        </w:rPr>
        <w:t>以上</w:t>
      </w:r>
      <w:r>
        <w:rPr>
          <w:sz w:val="21"/>
        </w:rPr>
        <w:t>现场图片</w:t>
      </w:r>
      <w:r>
        <w:rPr>
          <w:sz w:val="21"/>
        </w:rPr>
        <w:t>，</w:t>
      </w:r>
      <w:r>
        <w:rPr>
          <w:sz w:val="21"/>
        </w:rPr>
        <w:t>同时做好《</w:t>
      </w:r>
      <w:r>
        <w:rPr>
          <w:sz w:val="21"/>
        </w:rPr>
        <w:t>“四害”消杀登记记录表》</w:t>
      </w:r>
      <w:r>
        <w:rPr>
          <w:sz w:val="21"/>
        </w:rPr>
        <w:t>等资料登记工作</w:t>
      </w:r>
      <w:r>
        <w:rPr>
          <w:sz w:val="21"/>
        </w:rPr>
        <w:t>。每月</w:t>
      </w:r>
      <w:r>
        <w:rPr>
          <w:sz w:val="21"/>
        </w:rPr>
        <w:t>5日前提交上个月的资料，并填写工作台帐表，由场所负责人或现场工作人员签名确认</w:t>
      </w:r>
      <w:r>
        <w:rPr>
          <w:sz w:val="21"/>
        </w:rPr>
        <w:t>后交采购人存档。</w:t>
      </w:r>
    </w:p>
    <w:p>
      <w:pPr>
        <w:pStyle w:val="null3"/>
        <w:ind w:firstLine="420"/>
        <w:jc w:val="both"/>
      </w:pPr>
      <w:r>
        <w:rPr>
          <w:sz w:val="21"/>
        </w:rPr>
        <w:t>6、安排专人负责巡查和选点监测除四害效果，并根据实际效果调整用药时间、配方</w:t>
      </w:r>
      <w:r>
        <w:rPr>
          <w:sz w:val="21"/>
        </w:rPr>
        <w:t>等</w:t>
      </w:r>
      <w:r>
        <w:rPr>
          <w:sz w:val="21"/>
        </w:rPr>
        <w:t>。</w:t>
      </w:r>
    </w:p>
    <w:p>
      <w:pPr>
        <w:pStyle w:val="null3"/>
        <w:ind w:firstLine="420"/>
        <w:jc w:val="both"/>
      </w:pPr>
      <w:r>
        <w:rPr>
          <w:sz w:val="21"/>
        </w:rPr>
        <w:t>7、遵守行业的相关安全生产管理规定，严格按安全标准组织实施，采取必要的安全防护措施，消除事故隐患，并接受采购人及相关部门的监督检查。服务期间，因中标人违反安全操作规程或安全措施不力造成的损失和责任均由供应商承担。</w:t>
      </w:r>
    </w:p>
    <w:p>
      <w:pPr>
        <w:pStyle w:val="null3"/>
        <w:ind w:firstLine="420"/>
        <w:jc w:val="both"/>
      </w:pPr>
      <w:r>
        <w:rPr>
          <w:sz w:val="21"/>
        </w:rPr>
        <w:t>8、</w:t>
      </w:r>
      <w:r>
        <w:rPr>
          <w:sz w:val="21"/>
        </w:rPr>
        <w:t>自合同生效期起始日起计一星期内，根据黄江镇的实际情况和采购人的要求</w:t>
      </w:r>
      <w:r>
        <w:rPr>
          <w:sz w:val="21"/>
        </w:rPr>
        <w:t>制定</w:t>
      </w:r>
      <w:r>
        <w:rPr>
          <w:sz w:val="21"/>
        </w:rPr>
        <w:t>《黄江镇</w:t>
      </w:r>
      <w:r>
        <w:rPr>
          <w:sz w:val="21"/>
        </w:rPr>
        <w:t>“四害”消杀实施方案》</w:t>
      </w:r>
      <w:r>
        <w:rPr>
          <w:sz w:val="21"/>
        </w:rPr>
        <w:t>，</w:t>
      </w:r>
      <w:r>
        <w:rPr>
          <w:sz w:val="21"/>
        </w:rPr>
        <w:t>交采购人存档。</w:t>
      </w:r>
    </w:p>
    <w:p>
      <w:pPr>
        <w:pStyle w:val="null3"/>
        <w:ind w:firstLine="420"/>
        <w:jc w:val="both"/>
      </w:pPr>
      <w:r>
        <w:rPr>
          <w:sz w:val="21"/>
        </w:rPr>
        <w:t>9、</w:t>
      </w:r>
      <w:r>
        <w:rPr>
          <w:sz w:val="21"/>
        </w:rPr>
        <w:t>合同期内中标人应严格执行广东省人民政府令第</w:t>
      </w:r>
      <w:r>
        <w:rPr>
          <w:sz w:val="21"/>
        </w:rPr>
        <w:t>167号《广东省病媒生物预防控制管理规定》，严格按照相关要求执行现场各项管理，接受市爱卫办监督检查和考核。</w:t>
      </w:r>
    </w:p>
    <w:p>
      <w:pPr>
        <w:pStyle w:val="null3"/>
        <w:ind w:firstLine="420"/>
        <w:jc w:val="both"/>
      </w:pPr>
      <w:r>
        <w:rPr>
          <w:sz w:val="21"/>
        </w:rPr>
        <w:t>10、</w:t>
      </w:r>
      <w:r>
        <w:rPr>
          <w:sz w:val="21"/>
        </w:rPr>
        <w:t>中标人服务质量</w:t>
      </w:r>
      <w:r>
        <w:rPr>
          <w:sz w:val="21"/>
        </w:rPr>
        <w:t>必须接受采购人、属地社区、第三方评估机构履行监督管理职能，包括作业监管、质量检查、综合评价、巡查评分扣减</w:t>
      </w:r>
      <w:r>
        <w:rPr>
          <w:sz w:val="21"/>
        </w:rPr>
        <w:t>服务</w:t>
      </w:r>
      <w:r>
        <w:rPr>
          <w:sz w:val="21"/>
        </w:rPr>
        <w:t>费等，</w:t>
      </w:r>
      <w:r>
        <w:rPr>
          <w:sz w:val="21"/>
        </w:rPr>
        <w:t>中标人</w:t>
      </w:r>
      <w:r>
        <w:rPr>
          <w:sz w:val="21"/>
        </w:rPr>
        <w:t>必须无条件服从。</w:t>
      </w:r>
    </w:p>
    <w:p>
      <w:pPr>
        <w:pStyle w:val="null3"/>
        <w:ind w:firstLine="422"/>
        <w:jc w:val="both"/>
      </w:pPr>
      <w:r>
        <w:rPr>
          <w:sz w:val="21"/>
          <w:b/>
        </w:rPr>
        <w:t>七</w:t>
      </w:r>
      <w:r>
        <w:rPr>
          <w:sz w:val="21"/>
          <w:b/>
        </w:rPr>
        <w:t>、人员、设备及药物配置要求</w:t>
      </w:r>
    </w:p>
    <w:p>
      <w:pPr>
        <w:pStyle w:val="null3"/>
        <w:ind w:firstLine="422"/>
        <w:jc w:val="both"/>
      </w:pPr>
      <w:r>
        <w:rPr>
          <w:sz w:val="21"/>
          <w:b/>
        </w:rPr>
        <w:t>1、人员配置要求</w:t>
      </w:r>
    </w:p>
    <w:tbl>
      <w:tblPr>
        <w:tblW w:w="0" w:type="auto"/>
        <w:tblBorders>
          <w:top w:val="none" w:color="000000" w:sz="4"/>
          <w:left w:val="none" w:color="000000" w:sz="4"/>
          <w:bottom w:val="none" w:color="000000" w:sz="4"/>
          <w:right w:val="none" w:color="000000" w:sz="4"/>
          <w:insideH w:val="none"/>
          <w:insideV w:val="none"/>
        </w:tblBorders>
      </w:tblPr>
      <w:tblGrid>
        <w:gridCol w:w="1238"/>
        <w:gridCol w:w="2582"/>
        <w:gridCol w:w="2047"/>
        <w:gridCol w:w="2439"/>
      </w:tblGrid>
      <w:tr>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20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w:t>
            </w:r>
          </w:p>
        </w:tc>
        <w:tc>
          <w:tcPr>
            <w:tcW w:type="dxa" w:w="2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p>
            <w:pPr>
              <w:pStyle w:val="null3"/>
              <w:jc w:val="center"/>
            </w:pPr>
            <w:r>
              <w:rPr>
                <w:sz w:val="21"/>
              </w:rPr>
              <w:t>（现场负责人）</w:t>
            </w:r>
          </w:p>
        </w:tc>
        <w:tc>
          <w:tcPr>
            <w:tcW w:type="dxa" w:w="2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负责全面工作</w:t>
            </w:r>
          </w:p>
        </w:tc>
      </w:tr>
      <w:tr>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资料员</w:t>
            </w:r>
          </w:p>
        </w:tc>
        <w:tc>
          <w:tcPr>
            <w:tcW w:type="dxa" w:w="2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w:t>
            </w:r>
            <w:r>
              <w:rPr>
                <w:sz w:val="21"/>
              </w:rPr>
              <w:t>图片、报告、台账等资料整理</w:t>
            </w:r>
          </w:p>
        </w:tc>
      </w:tr>
      <w:tr>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技术人员</w:t>
            </w:r>
          </w:p>
        </w:tc>
        <w:tc>
          <w:tcPr>
            <w:tcW w:type="dxa" w:w="2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现场作业人员</w:t>
            </w:r>
          </w:p>
        </w:tc>
      </w:tr>
      <w:tr>
        <w:tc>
          <w:tcPr>
            <w:tcW w:type="dxa" w:w="38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20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w:t>
      </w:r>
      <w:r>
        <w:rPr>
          <w:sz w:val="21"/>
        </w:rPr>
        <w:t>1</w:t>
      </w:r>
      <w:r>
        <w:rPr>
          <w:sz w:val="21"/>
        </w:rPr>
        <w:t>）</w:t>
      </w:r>
      <w:r>
        <w:rPr>
          <w:sz w:val="21"/>
        </w:rPr>
        <w:t>项目负责人一名，</w:t>
      </w:r>
      <w:r>
        <w:rPr>
          <w:sz w:val="21"/>
        </w:rPr>
        <w:t>兼任现场负责人，除全面统筹、管理和协调工作，并制定每次的除四害工作方案外，还负责组织实施现场工作。</w:t>
      </w:r>
      <w:r>
        <w:rPr>
          <w:sz w:val="21"/>
        </w:rPr>
        <w:t>项目负责人需具有三级</w:t>
      </w:r>
      <w:r>
        <w:rPr>
          <w:sz w:val="21"/>
        </w:rPr>
        <w:t>/高级（含）以上有害生物防制员</w:t>
      </w:r>
      <w:r>
        <w:rPr>
          <w:sz w:val="21"/>
        </w:rPr>
        <w:t>资格</w:t>
      </w:r>
      <w:r>
        <w:rPr>
          <w:sz w:val="21"/>
        </w:rPr>
        <w:t>证书；在防控病媒生物（如登革热、基孔肯亚热）有熟练经验</w:t>
      </w:r>
      <w:r>
        <w:rPr>
          <w:sz w:val="21"/>
        </w:rPr>
        <w:t>。</w:t>
      </w:r>
      <w:r>
        <w:rPr>
          <w:sz w:val="21"/>
        </w:rPr>
        <w:t>技术人员</w:t>
      </w:r>
      <w:r>
        <w:rPr>
          <w:sz w:val="21"/>
        </w:rPr>
        <w:t>也</w:t>
      </w:r>
      <w:r>
        <w:rPr>
          <w:sz w:val="21"/>
        </w:rPr>
        <w:t>必须取得有害生物防</w:t>
      </w:r>
      <w:r>
        <w:rPr>
          <w:sz w:val="21"/>
        </w:rPr>
        <w:t>制</w:t>
      </w:r>
      <w:r>
        <w:rPr>
          <w:sz w:val="21"/>
        </w:rPr>
        <w:t>员</w:t>
      </w:r>
      <w:r>
        <w:rPr>
          <w:sz w:val="21"/>
        </w:rPr>
        <w:t>资格</w:t>
      </w:r>
      <w:r>
        <w:rPr>
          <w:sz w:val="21"/>
        </w:rPr>
        <w:t>证书</w:t>
      </w:r>
      <w:r>
        <w:rPr>
          <w:sz w:val="21"/>
        </w:rPr>
        <w:t>，</w:t>
      </w:r>
      <w:r>
        <w:rPr>
          <w:sz w:val="21"/>
        </w:rPr>
        <w:t>等级不做要求</w:t>
      </w:r>
      <w:r>
        <w:rPr>
          <w:sz w:val="21"/>
        </w:rPr>
        <w:t>。</w:t>
      </w:r>
      <w:r>
        <w:rPr>
          <w:sz w:val="21"/>
          <w:b/>
        </w:rPr>
        <w:t>（投标人须在投标文件中提供上述人员证书复印件，以及距开标时间（不含当月）近</w:t>
      </w:r>
      <w:r>
        <w:rPr>
          <w:sz w:val="21"/>
          <w:b/>
        </w:rPr>
        <w:t>6</w:t>
      </w:r>
      <w:r>
        <w:rPr>
          <w:sz w:val="21"/>
          <w:b/>
        </w:rPr>
        <w:t>个月</w:t>
      </w:r>
      <w:r>
        <w:rPr>
          <w:sz w:val="21"/>
          <w:b/>
        </w:rPr>
        <w:t>内任意</w:t>
      </w:r>
      <w:r>
        <w:rPr>
          <w:sz w:val="21"/>
          <w:b/>
        </w:rPr>
        <w:t>1</w:t>
      </w:r>
      <w:r>
        <w:rPr>
          <w:sz w:val="21"/>
          <w:b/>
        </w:rPr>
        <w:t>个月由社会保障部门出具的在投标单位（含其分支机构）缴纳社会保险的有效凭证复印件并加盖公章；或在投标文件中就上述内容提供承诺函，格式自拟。）</w:t>
      </w:r>
    </w:p>
    <w:p>
      <w:pPr>
        <w:pStyle w:val="null3"/>
        <w:ind w:firstLine="420"/>
        <w:jc w:val="both"/>
      </w:pPr>
      <w:r>
        <w:rPr>
          <w:sz w:val="21"/>
        </w:rPr>
        <w:t>（</w:t>
      </w:r>
      <w:r>
        <w:rPr>
          <w:sz w:val="21"/>
        </w:rPr>
        <w:t>2）</w:t>
      </w:r>
      <w:r>
        <w:rPr>
          <w:sz w:val="21"/>
        </w:rPr>
        <w:t>中标人须</w:t>
      </w:r>
      <w:r>
        <w:rPr>
          <w:sz w:val="21"/>
        </w:rPr>
        <w:t>在合同签订后一星期内将本项目</w:t>
      </w:r>
      <w:r>
        <w:rPr>
          <w:sz w:val="21"/>
        </w:rPr>
        <w:t>有关人员职责名单及资质证、上岗证</w:t>
      </w:r>
      <w:r>
        <w:rPr>
          <w:sz w:val="21"/>
        </w:rPr>
        <w:t>原件</w:t>
      </w:r>
      <w:r>
        <w:rPr>
          <w:sz w:val="21"/>
        </w:rPr>
        <w:t>复印件</w:t>
      </w:r>
      <w:r>
        <w:rPr>
          <w:sz w:val="21"/>
        </w:rPr>
        <w:t>送采购人核验，同时将盖章复印件交采购人存档</w:t>
      </w:r>
      <w:r>
        <w:rPr>
          <w:sz w:val="21"/>
        </w:rPr>
        <w:t>。</w:t>
      </w:r>
    </w:p>
    <w:p>
      <w:pPr>
        <w:pStyle w:val="null3"/>
        <w:ind w:firstLine="420"/>
        <w:jc w:val="both"/>
      </w:pPr>
      <w:r>
        <w:rPr>
          <w:sz w:val="21"/>
        </w:rPr>
        <w:t>（</w:t>
      </w:r>
      <w:r>
        <w:rPr>
          <w:sz w:val="21"/>
        </w:rPr>
        <w:t>3）</w:t>
      </w:r>
      <w:r>
        <w:rPr>
          <w:sz w:val="21"/>
        </w:rPr>
        <w:t>中标人要为服务安全负责。在为采购人服务期间，中标人在中标后必须按照规定给聘用员工购买相应的责任保险及其派出的现场工作人员的人身意外等保险，费用由中标人自理。在服务过程中，做好各项安全保护工作，严格管理，对他们的行为负全责。</w:t>
      </w:r>
    </w:p>
    <w:p>
      <w:pPr>
        <w:pStyle w:val="null3"/>
        <w:ind w:firstLine="420"/>
        <w:jc w:val="both"/>
      </w:pPr>
      <w:r>
        <w:rPr>
          <w:sz w:val="21"/>
        </w:rPr>
        <w:t>（</w:t>
      </w:r>
      <w:r>
        <w:rPr>
          <w:sz w:val="21"/>
        </w:rPr>
        <w:t>4）应急情况工作人员要求：在突发状况时或疫情发生时，中标人需成立应急工作队，人员应具备相应的应急处置能力。</w:t>
      </w:r>
    </w:p>
    <w:p>
      <w:pPr>
        <w:pStyle w:val="null3"/>
        <w:ind w:firstLine="420"/>
        <w:jc w:val="both"/>
      </w:pPr>
      <w:r>
        <w:rPr>
          <w:sz w:val="21"/>
        </w:rPr>
        <w:t>（</w:t>
      </w:r>
      <w:r>
        <w:rPr>
          <w:sz w:val="21"/>
        </w:rPr>
        <w:t>5）</w:t>
      </w:r>
      <w:r>
        <w:rPr>
          <w:sz w:val="21"/>
        </w:rPr>
        <w:t>中标人必须依据国家和地方政府颁布的法律法规的规定处理与员工的雇佣关系，</w:t>
      </w:r>
      <w:r>
        <w:rPr>
          <w:sz w:val="21"/>
        </w:rPr>
        <w:t>如有发生劳资纠纷、意外（包括但不限于：生病、伤亡事故等）或违反规定、触犯国家法律等行为，由中标人承担全部责任，与采购人无关，采购人不负经济和法律责任。</w:t>
      </w:r>
    </w:p>
    <w:p>
      <w:pPr>
        <w:pStyle w:val="null3"/>
        <w:ind w:firstLine="420"/>
        <w:jc w:val="both"/>
      </w:pPr>
      <w:r>
        <w:rPr>
          <w:sz w:val="21"/>
        </w:rPr>
        <w:t>（</w:t>
      </w:r>
      <w:r>
        <w:rPr>
          <w:sz w:val="21"/>
        </w:rPr>
        <w:t>6）中标人必须保证日常服务人员的稳定性，便于日常联系安排消杀防制工作。如有人员变动，需以书面形式报采购人备案；未经采购人同意，中标人不得随意更换项目负责人，如需更换，应提前一个月以书面形式通知采购人，其他工作人员更换应提前一周告知采购人，重新指派人员的资历不得低于被更换人员的资历，确保服务质量不因人员变动而受影响。对中标人不称职的工作人员，采购人有权要求中标人限期更换。</w:t>
      </w:r>
    </w:p>
    <w:p>
      <w:pPr>
        <w:pStyle w:val="null3"/>
        <w:spacing w:after="120"/>
        <w:ind w:firstLine="420"/>
        <w:jc w:val="both"/>
      </w:pPr>
      <w:r>
        <w:rPr>
          <w:sz w:val="21"/>
        </w:rPr>
        <w:t>（</w:t>
      </w:r>
      <w:r>
        <w:rPr>
          <w:sz w:val="21"/>
        </w:rPr>
        <w:t>7</w:t>
      </w:r>
      <w:r>
        <w:rPr>
          <w:sz w:val="21"/>
        </w:rPr>
        <w:t>）中标人应建立</w:t>
      </w:r>
      <w:r>
        <w:rPr>
          <w:sz w:val="21"/>
        </w:rPr>
        <w:t>人员</w:t>
      </w:r>
      <w:r>
        <w:rPr>
          <w:sz w:val="21"/>
        </w:rPr>
        <w:t>管理</w:t>
      </w:r>
      <w:r>
        <w:rPr>
          <w:sz w:val="21"/>
        </w:rPr>
        <w:t>名册，人员名册上要登记入职人员的姓名、性别、身份证号码、本地住址、联系电话号码、职务、工号、工作职责和范围，每本人员名册都相应附上清晰身份证复印件。供应商提供人员名册和身份证复印件，协助采购人和第三方评估机构不定期现场验收清点人数。</w:t>
      </w:r>
    </w:p>
    <w:p>
      <w:pPr>
        <w:pStyle w:val="null3"/>
        <w:ind w:firstLine="422"/>
        <w:jc w:val="both"/>
      </w:pPr>
      <w:r>
        <w:rPr>
          <w:sz w:val="21"/>
          <w:b/>
        </w:rPr>
        <w:t>2</w:t>
      </w:r>
      <w:r>
        <w:rPr>
          <w:sz w:val="21"/>
          <w:b/>
        </w:rPr>
        <w:t>、</w:t>
      </w:r>
      <w:r>
        <w:rPr>
          <w:sz w:val="21"/>
          <w:b/>
        </w:rPr>
        <w:t>拟投入本项目必要的设备</w:t>
      </w:r>
      <w:r>
        <w:rPr>
          <w:sz w:val="21"/>
          <w:b/>
        </w:rPr>
        <w:t>及要求</w:t>
      </w:r>
    </w:p>
    <w:p>
      <w:pPr>
        <w:pStyle w:val="null3"/>
        <w:spacing w:after="120"/>
        <w:ind w:firstLine="420"/>
        <w:jc w:val="both"/>
      </w:pPr>
      <w:r>
        <w:rPr>
          <w:sz w:val="21"/>
        </w:rPr>
        <w:t>为保障工作质量，中标</w:t>
      </w:r>
      <w:r>
        <w:rPr>
          <w:sz w:val="21"/>
        </w:rPr>
        <w:t>人</w:t>
      </w:r>
      <w:r>
        <w:rPr>
          <w:sz w:val="21"/>
        </w:rPr>
        <w:t>必须配备足够的设备服务于本项目</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367"/>
        <w:gridCol w:w="2785"/>
        <w:gridCol w:w="2077"/>
        <w:gridCol w:w="2077"/>
      </w:tblGrid>
      <w:tr>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项目</w:t>
            </w:r>
          </w:p>
        </w:tc>
        <w:tc>
          <w:tcPr>
            <w:tcW w:type="dxa" w:w="2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20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w:t>
            </w:r>
            <w:r>
              <w:rPr>
                <w:sz w:val="21"/>
              </w:rPr>
              <w:t>车辆</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热烟雾机</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背负式超低容量喷雾器</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手动喷雾器</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bl>
    <w:p>
      <w:pPr>
        <w:pStyle w:val="null3"/>
        <w:ind w:firstLine="420"/>
        <w:jc w:val="both"/>
      </w:pPr>
      <w:r>
        <w:rPr>
          <w:sz w:val="21"/>
        </w:rPr>
        <w:t>★</w:t>
      </w:r>
      <w:r>
        <w:rPr>
          <w:sz w:val="21"/>
        </w:rPr>
        <w:t>（</w:t>
      </w:r>
      <w:r>
        <w:rPr>
          <w:sz w:val="21"/>
        </w:rPr>
        <w:t>1）</w:t>
      </w:r>
      <w:r>
        <w:rPr>
          <w:sz w:val="21"/>
        </w:rPr>
        <w:t>拟投入设备应包括但不限于以上设备类型和数量要求。</w:t>
      </w:r>
      <w:r>
        <w:rPr>
          <w:sz w:val="21"/>
        </w:rPr>
        <w:t>中标人</w:t>
      </w:r>
      <w:r>
        <w:rPr>
          <w:sz w:val="21"/>
        </w:rPr>
        <w:t>需提供拟</w:t>
      </w:r>
      <w:r>
        <w:rPr>
          <w:sz w:val="21"/>
        </w:rPr>
        <w:t>投入本项目的机械设备清单</w:t>
      </w:r>
      <w:r>
        <w:rPr>
          <w:sz w:val="21"/>
        </w:rPr>
        <w:t>(注明名称、规格、数量)，所采用的设备必须满足国家有关技术操作规程的要求</w:t>
      </w:r>
      <w:r>
        <w:rPr>
          <w:sz w:val="21"/>
        </w:rPr>
        <w:t>。（</w:t>
      </w:r>
      <w:r>
        <w:rPr>
          <w:sz w:val="21"/>
          <w:b/>
        </w:rPr>
        <w:t>投标人在投标文件中提供以上资料证明或就上述内容提供承诺函，格式自拟。</w:t>
      </w:r>
      <w:r>
        <w:rPr>
          <w:sz w:val="21"/>
        </w:rPr>
        <w:t>）</w:t>
      </w:r>
    </w:p>
    <w:p>
      <w:pPr>
        <w:pStyle w:val="null3"/>
        <w:ind w:firstLine="420"/>
        <w:jc w:val="both"/>
      </w:pPr>
      <w:r>
        <w:rPr>
          <w:sz w:val="21"/>
        </w:rPr>
        <w:t>（</w:t>
      </w:r>
      <w:r>
        <w:rPr>
          <w:sz w:val="21"/>
        </w:rPr>
        <w:t>2）</w:t>
      </w:r>
      <w:r>
        <w:rPr>
          <w:sz w:val="21"/>
        </w:rPr>
        <w:t>中标人</w:t>
      </w:r>
      <w:r>
        <w:rPr>
          <w:sz w:val="21"/>
        </w:rPr>
        <w:t>拟</w:t>
      </w:r>
      <w:r>
        <w:rPr>
          <w:sz w:val="21"/>
        </w:rPr>
        <w:t>投入的机械设备在合同签订后</w:t>
      </w:r>
      <w:r>
        <w:rPr>
          <w:sz w:val="21"/>
        </w:rPr>
        <w:t>3</w:t>
      </w:r>
      <w:r>
        <w:rPr>
          <w:sz w:val="21"/>
        </w:rPr>
        <w:t>0天内要经采购人验收认定</w:t>
      </w:r>
      <w:r>
        <w:rPr>
          <w:sz w:val="21"/>
        </w:rPr>
        <w:t>，如数量不符，则作违约处理，采购人有权取消供应商的中标资格。</w:t>
      </w:r>
    </w:p>
    <w:p>
      <w:pPr>
        <w:pStyle w:val="null3"/>
        <w:ind w:firstLine="420"/>
        <w:jc w:val="both"/>
      </w:pPr>
      <w:r>
        <w:rPr>
          <w:sz w:val="21"/>
        </w:rPr>
        <w:t>（</w:t>
      </w:r>
      <w:r>
        <w:rPr>
          <w:sz w:val="21"/>
        </w:rPr>
        <w:t>3）项目所使用设备、车辆须做好维护保养，保持外观整洁。</w:t>
      </w:r>
    </w:p>
    <w:p>
      <w:pPr>
        <w:pStyle w:val="null3"/>
        <w:ind w:firstLine="422"/>
        <w:jc w:val="both"/>
      </w:pPr>
      <w:r>
        <w:rPr>
          <w:sz w:val="21"/>
          <w:b/>
        </w:rPr>
        <w:t>3</w:t>
      </w:r>
      <w:r>
        <w:rPr>
          <w:sz w:val="21"/>
          <w:b/>
        </w:rPr>
        <w:t>、药物</w:t>
      </w:r>
      <w:r>
        <w:rPr>
          <w:sz w:val="21"/>
          <w:b/>
        </w:rPr>
        <w:t>配置</w:t>
      </w:r>
      <w:r>
        <w:rPr>
          <w:sz w:val="21"/>
          <w:b/>
        </w:rPr>
        <w:t>要求</w:t>
      </w:r>
    </w:p>
    <w:p>
      <w:pPr>
        <w:pStyle w:val="null3"/>
        <w:ind w:firstLine="420"/>
        <w:jc w:val="both"/>
      </w:pPr>
      <w:r>
        <w:rPr>
          <w:sz w:val="21"/>
        </w:rPr>
        <w:t>用药标准：中标人必须注重科学合理用药，不能使用假药、国家禁用的药物。使用的药物必须符合《病媒生物控制药物器械安全使用准则》，确保病媒生物控制达到</w:t>
      </w:r>
      <w:r>
        <w:rPr>
          <w:sz w:val="21"/>
        </w:rPr>
        <w:t>“安全、高效、环保”的要求，用于本服务项目的消杀药物投入不能少于消杀面积的正常用药</w:t>
      </w:r>
      <w:r>
        <w:rPr>
          <w:sz w:val="21"/>
        </w:rPr>
        <w:t>（</w:t>
      </w:r>
      <w:r>
        <w:rPr>
          <w:sz w:val="21"/>
        </w:rPr>
        <w:t>原则上拟投入</w:t>
      </w:r>
      <w:r>
        <w:rPr>
          <w:sz w:val="21"/>
        </w:rPr>
        <w:t>用于本服务项目的消杀药物购置金额不低于中标金额的</w:t>
      </w:r>
      <w:r>
        <w:rPr>
          <w:sz w:val="21"/>
        </w:rPr>
        <w:t>20%</w:t>
      </w:r>
      <w:r>
        <w:rPr>
          <w:sz w:val="21"/>
        </w:rPr>
        <w:t>）</w:t>
      </w:r>
      <w:r>
        <w:rPr>
          <w:sz w:val="21"/>
        </w:rPr>
        <w:t>。</w:t>
      </w:r>
    </w:p>
    <w:p>
      <w:pPr>
        <w:pStyle w:val="null3"/>
        <w:spacing w:after="120"/>
        <w:jc w:val="both"/>
      </w:pPr>
      <w:r>
        <w:rPr>
          <w:sz w:val="21"/>
        </w:rPr>
        <w:t xml:space="preserve">    </w:t>
      </w:r>
      <w:r>
        <w:rPr>
          <w:sz w:val="21"/>
        </w:rPr>
        <w:t>为保证用药质量，使用药物应</w:t>
      </w:r>
      <w:r>
        <w:rPr>
          <w:sz w:val="21"/>
        </w:rPr>
        <w:t>满足</w:t>
      </w:r>
      <w:r>
        <w:rPr>
          <w:sz w:val="21"/>
        </w:rPr>
        <w:t>或高于</w:t>
      </w:r>
      <w:r>
        <w:rPr>
          <w:sz w:val="21"/>
        </w:rPr>
        <w:t>以下</w:t>
      </w:r>
      <w:r>
        <w:rPr>
          <w:sz w:val="21"/>
        </w:rPr>
        <w:t>标准</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891"/>
        <w:gridCol w:w="2140"/>
        <w:gridCol w:w="3200"/>
        <w:gridCol w:w="2072"/>
      </w:tblGrid>
      <w:tr>
        <w:tc>
          <w:tcPr>
            <w:tcW w:type="dxa" w:w="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药品名称</w:t>
            </w:r>
          </w:p>
        </w:tc>
        <w:tc>
          <w:tcPr>
            <w:tcW w:type="dxa" w:w="3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有效成份（规格型号）</w:t>
            </w:r>
          </w:p>
        </w:tc>
        <w:tc>
          <w:tcPr>
            <w:tcW w:type="dxa" w:w="2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年投放量</w:t>
            </w:r>
            <w:r>
              <w:rPr>
                <w:sz w:val="19"/>
              </w:rPr>
              <w:t xml:space="preserve"> </w:t>
            </w:r>
            <w:r>
              <w:rPr>
                <w:sz w:val="19"/>
              </w:rPr>
              <w:t>( kg/L</w:t>
            </w:r>
            <w:r>
              <w:rPr>
                <w:sz w:val="19"/>
              </w:rPr>
              <w:t>/</w:t>
            </w:r>
            <w:r>
              <w:rPr>
                <w:sz w:val="19"/>
              </w:rPr>
              <w:t>个</w:t>
            </w:r>
            <w:r>
              <w:rPr>
                <w:sz w:val="19"/>
              </w:rPr>
              <w:t>)</w:t>
            </w:r>
          </w:p>
        </w:tc>
      </w:tr>
      <w:tr>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灭鼠毒饵站</w:t>
            </w:r>
          </w:p>
        </w:tc>
        <w:tc>
          <w:tcPr>
            <w:tcW w:type="dxa" w:w="3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陶瓷毒饵站（长度</w:t>
            </w:r>
            <w:r>
              <w:rPr>
                <w:sz w:val="19"/>
              </w:rPr>
              <w:t>≥</w:t>
            </w:r>
            <w:r>
              <w:rPr>
                <w:sz w:val="19"/>
              </w:rPr>
              <w:t>30cm</w:t>
            </w:r>
            <w:r>
              <w:rPr>
                <w:sz w:val="19"/>
              </w:rPr>
              <w:t>）</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450</w:t>
            </w:r>
          </w:p>
        </w:tc>
      </w:tr>
      <w:tr>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鼠饵</w:t>
            </w:r>
          </w:p>
        </w:tc>
        <w:tc>
          <w:tcPr>
            <w:tcW w:type="dxa" w:w="3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0.005%</w:t>
            </w:r>
            <w:r>
              <w:rPr>
                <w:sz w:val="19"/>
              </w:rPr>
              <w:t>氟鼠灵蜡块毒饵</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120</w:t>
            </w:r>
          </w:p>
        </w:tc>
      </w:tr>
      <w:tr>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140"/>
            <w:vMerge/>
            <w:tcBorders>
              <w:top w:val="none" w:color="000000" w:sz="4"/>
              <w:left w:val="single" w:color="000000" w:sz="4"/>
              <w:bottom w:val="single" w:color="000000" w:sz="4"/>
              <w:right w:val="single" w:color="000000" w:sz="4"/>
            </w:tcBorders>
          </w:tcPr>
          <w:p/>
        </w:tc>
        <w:tc>
          <w:tcPr>
            <w:tcW w:type="dxa" w:w="3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0.005%</w:t>
            </w:r>
            <w:r>
              <w:rPr>
                <w:sz w:val="19"/>
              </w:rPr>
              <w:t>溴鼠灵</w:t>
            </w:r>
            <w:r>
              <w:rPr>
                <w:sz w:val="19"/>
              </w:rPr>
              <w:t>/0.005%</w:t>
            </w:r>
            <w:r>
              <w:rPr>
                <w:sz w:val="19"/>
              </w:rPr>
              <w:t>溴敌隆毒饵</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1800</w:t>
            </w:r>
          </w:p>
        </w:tc>
      </w:tr>
      <w:tr>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灭蚊幼蝇幼药物</w:t>
            </w:r>
          </w:p>
        </w:tc>
        <w:tc>
          <w:tcPr>
            <w:tcW w:type="dxa" w:w="3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倍硫磷杀虫颗粒</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480</w:t>
            </w:r>
          </w:p>
        </w:tc>
      </w:tr>
      <w:tr>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灭蚊蝇药物</w:t>
            </w:r>
          </w:p>
        </w:tc>
        <w:tc>
          <w:tcPr>
            <w:tcW w:type="dxa" w:w="3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r>
              <w:rPr>
                <w:sz w:val="19"/>
              </w:rPr>
              <w:t>高效氯氟氰菊微囊悬浮剂</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720</w:t>
            </w:r>
          </w:p>
        </w:tc>
      </w:tr>
      <w:tr>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140"/>
            <w:vMerge/>
            <w:tcBorders>
              <w:top w:val="none" w:color="000000" w:sz="4"/>
              <w:left w:val="single" w:color="000000" w:sz="4"/>
              <w:bottom w:val="single" w:color="000000" w:sz="4"/>
              <w:right w:val="single" w:color="000000" w:sz="4"/>
            </w:tcBorders>
          </w:tcPr>
          <w:p/>
        </w:tc>
        <w:tc>
          <w:tcPr>
            <w:tcW w:type="dxa" w:w="3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残杀威</w:t>
            </w:r>
            <w:r>
              <w:rPr>
                <w:sz w:val="19"/>
              </w:rPr>
              <w:t>.</w:t>
            </w:r>
            <w:r>
              <w:rPr>
                <w:sz w:val="19"/>
              </w:rPr>
              <w:t>氯丙炔乳油</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560</w:t>
            </w:r>
          </w:p>
        </w:tc>
      </w:tr>
      <w:tr>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140"/>
            <w:vMerge/>
            <w:tcBorders>
              <w:top w:val="none" w:color="000000" w:sz="4"/>
              <w:left w:val="single" w:color="000000" w:sz="4"/>
              <w:bottom w:val="single" w:color="000000" w:sz="4"/>
              <w:right w:val="single" w:color="000000" w:sz="4"/>
            </w:tcBorders>
          </w:tcPr>
          <w:p/>
        </w:tc>
        <w:tc>
          <w:tcPr>
            <w:tcW w:type="dxa" w:w="3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氯菊</w:t>
            </w:r>
            <w:r>
              <w:rPr>
                <w:sz w:val="19"/>
              </w:rPr>
              <w:t>.</w:t>
            </w:r>
            <w:r>
              <w:rPr>
                <w:sz w:val="19"/>
              </w:rPr>
              <w:t>四氟醚水乳剂</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535.13</w:t>
            </w:r>
          </w:p>
        </w:tc>
      </w:tr>
      <w:tr>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灭蚊、蟑药物</w:t>
            </w:r>
          </w:p>
        </w:tc>
        <w:tc>
          <w:tcPr>
            <w:tcW w:type="dxa" w:w="3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r>
              <w:rPr>
                <w:sz w:val="19"/>
              </w:rPr>
              <w:t>残杀威</w:t>
            </w:r>
            <w:r>
              <w:rPr>
                <w:sz w:val="19"/>
              </w:rPr>
              <w:t>/</w:t>
            </w:r>
            <w:r>
              <w:rPr>
                <w:sz w:val="19"/>
              </w:rPr>
              <w:t>氯氰菊酯热烟雾剂</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2,400</w:t>
            </w:r>
          </w:p>
        </w:tc>
      </w:tr>
    </w:tbl>
    <w:p>
      <w:pPr>
        <w:pStyle w:val="null3"/>
        <w:ind w:firstLine="420"/>
        <w:jc w:val="both"/>
      </w:pPr>
      <w:r>
        <w:rPr>
          <w:sz w:val="21"/>
        </w:rPr>
        <w:t>★</w:t>
      </w:r>
      <w:r>
        <w:rPr>
          <w:sz w:val="21"/>
        </w:rPr>
        <w:t>（</w:t>
      </w:r>
      <w:r>
        <w:rPr>
          <w:sz w:val="21"/>
        </w:rPr>
        <w:t>1）</w:t>
      </w:r>
      <w:r>
        <w:rPr>
          <w:sz w:val="21"/>
        </w:rPr>
        <w:t>中标</w:t>
      </w:r>
      <w:r>
        <w:rPr>
          <w:sz w:val="21"/>
        </w:rPr>
        <w:t>人拟投用药物必须满足本项目需求的用药要求，如使用的药物效果不达标，采购人有权要求</w:t>
      </w:r>
      <w:r>
        <w:rPr>
          <w:sz w:val="21"/>
        </w:rPr>
        <w:t>中标</w:t>
      </w:r>
      <w:r>
        <w:rPr>
          <w:sz w:val="21"/>
        </w:rPr>
        <w:t>人更换药物，由此产生额外增加的费用由</w:t>
      </w:r>
      <w:r>
        <w:rPr>
          <w:sz w:val="21"/>
        </w:rPr>
        <w:t>中标</w:t>
      </w:r>
      <w:r>
        <w:rPr>
          <w:sz w:val="21"/>
        </w:rPr>
        <w:t>人自行承担，采购人不承担该费用。</w:t>
      </w:r>
      <w:r>
        <w:rPr>
          <w:sz w:val="21"/>
          <w:b/>
        </w:rPr>
        <w:t>（投标时须提供承诺函及拟投用药物清单，格式自拟）</w:t>
      </w:r>
    </w:p>
    <w:p>
      <w:pPr>
        <w:pStyle w:val="null3"/>
        <w:ind w:firstLine="420"/>
        <w:jc w:val="both"/>
      </w:pPr>
      <w:r>
        <w:rPr>
          <w:sz w:val="21"/>
        </w:rPr>
        <w:t>（</w:t>
      </w:r>
      <w:r>
        <w:rPr>
          <w:sz w:val="21"/>
        </w:rPr>
        <w:t>2）</w:t>
      </w:r>
      <w:r>
        <w:rPr>
          <w:sz w:val="21"/>
        </w:rPr>
        <w:t>中标</w:t>
      </w:r>
      <w:r>
        <w:rPr>
          <w:sz w:val="21"/>
        </w:rPr>
        <w:t>人</w:t>
      </w:r>
      <w:r>
        <w:rPr>
          <w:sz w:val="21"/>
        </w:rPr>
        <w:t>需提供拟投入药物清单，且不得低于以上标准要求。服务期间所使用药品均具备以下资料，采购人随时核验</w:t>
      </w:r>
      <w:r>
        <w:rPr>
          <w:sz w:val="21"/>
        </w:rPr>
        <w:t>：</w:t>
      </w:r>
    </w:p>
    <w:p>
      <w:pPr>
        <w:pStyle w:val="null3"/>
        <w:ind w:firstLine="420"/>
        <w:jc w:val="both"/>
      </w:pPr>
      <w:r>
        <w:rPr>
          <w:sz w:val="21"/>
        </w:rPr>
        <w:t>1）农业部颁发的“三证”（农药生产许可证或者农药生产批准文件、农药标准证和农药登记证）。</w:t>
      </w:r>
    </w:p>
    <w:p>
      <w:pPr>
        <w:pStyle w:val="null3"/>
        <w:ind w:firstLine="420"/>
        <w:jc w:val="both"/>
      </w:pPr>
      <w:r>
        <w:rPr>
          <w:sz w:val="21"/>
        </w:rPr>
        <w:t>2）药物进出登记台账。</w:t>
      </w:r>
    </w:p>
    <w:p>
      <w:pPr>
        <w:pStyle w:val="null3"/>
        <w:ind w:firstLine="420"/>
        <w:jc w:val="both"/>
      </w:pPr>
      <w:r>
        <w:rPr>
          <w:sz w:val="21"/>
        </w:rPr>
        <w:t>序号</w:t>
      </w:r>
      <w:r>
        <w:rPr>
          <w:sz w:val="21"/>
        </w:rPr>
        <w:t>1）-</w:t>
      </w:r>
      <w:r>
        <w:rPr>
          <w:sz w:val="21"/>
        </w:rPr>
        <w:t>2</w:t>
      </w:r>
      <w:r>
        <w:rPr>
          <w:sz w:val="21"/>
        </w:rPr>
        <w:t>）资料的备案须在有效期内，续展期顺延三个月。</w:t>
      </w:r>
    </w:p>
    <w:p>
      <w:pPr>
        <w:pStyle w:val="null3"/>
        <w:ind w:firstLine="420"/>
        <w:jc w:val="both"/>
      </w:pPr>
      <w:r>
        <w:rPr>
          <w:sz w:val="21"/>
        </w:rPr>
        <w:t>3</w:t>
      </w:r>
      <w:r>
        <w:rPr>
          <w:sz w:val="21"/>
        </w:rPr>
        <w:t>）药品标签。</w:t>
      </w:r>
    </w:p>
    <w:p>
      <w:pPr>
        <w:pStyle w:val="null3"/>
        <w:ind w:firstLine="420"/>
        <w:jc w:val="both"/>
      </w:pPr>
      <w:r>
        <w:rPr>
          <w:sz w:val="21"/>
        </w:rPr>
        <w:t>4</w:t>
      </w:r>
      <w:r>
        <w:rPr>
          <w:sz w:val="21"/>
        </w:rPr>
        <w:t>）药品第三方检测报告</w:t>
      </w:r>
      <w:r>
        <w:rPr>
          <w:sz w:val="21"/>
        </w:rPr>
        <w:t>(或产品质量检验合格证明)。</w:t>
      </w:r>
    </w:p>
    <w:p>
      <w:pPr>
        <w:pStyle w:val="null3"/>
        <w:ind w:firstLine="420"/>
        <w:jc w:val="both"/>
      </w:pPr>
      <w:r>
        <w:rPr>
          <w:sz w:val="21"/>
        </w:rPr>
        <w:t>5</w:t>
      </w:r>
      <w:r>
        <w:rPr>
          <w:sz w:val="21"/>
        </w:rPr>
        <w:t>）药品化学品安全技术说明书或农药产品安全数据单（</w:t>
      </w:r>
      <w:r>
        <w:rPr>
          <w:sz w:val="21"/>
        </w:rPr>
        <w:t>MSDS）。</w:t>
      </w:r>
    </w:p>
    <w:p>
      <w:pPr>
        <w:pStyle w:val="null3"/>
        <w:ind w:firstLine="420"/>
        <w:jc w:val="both"/>
      </w:pPr>
      <w:r>
        <w:rPr>
          <w:sz w:val="21"/>
        </w:rPr>
        <w:t>（</w:t>
      </w:r>
      <w:r>
        <w:rPr>
          <w:sz w:val="21"/>
        </w:rPr>
        <w:t>3</w:t>
      </w:r>
      <w:r>
        <w:rPr>
          <w:sz w:val="21"/>
        </w:rPr>
        <w:t>）</w:t>
      </w:r>
      <w:r>
        <w:rPr>
          <w:sz w:val="21"/>
        </w:rPr>
        <w:t>如药物使用不当</w:t>
      </w:r>
      <w:r>
        <w:rPr>
          <w:sz w:val="21"/>
        </w:rPr>
        <w:t>或未做好警示工作而</w:t>
      </w:r>
      <w:r>
        <w:rPr>
          <w:sz w:val="21"/>
        </w:rPr>
        <w:t>引起人畜中毒或其他责任事故的，</w:t>
      </w:r>
      <w:r>
        <w:rPr>
          <w:sz w:val="21"/>
        </w:rPr>
        <w:t>中标人</w:t>
      </w:r>
      <w:r>
        <w:rPr>
          <w:sz w:val="21"/>
        </w:rPr>
        <w:t>应承担相应的法律责任及后果，如若因此造成采购人损失或被第三方追偿的，采购人有权就自身所承担损失向供应商追偿。</w:t>
      </w:r>
    </w:p>
    <w:p>
      <w:pPr>
        <w:pStyle w:val="null3"/>
        <w:ind w:firstLine="422"/>
        <w:jc w:val="both"/>
      </w:pPr>
      <w:r>
        <w:rPr>
          <w:sz w:val="21"/>
          <w:b/>
        </w:rPr>
        <w:t>八</w:t>
      </w:r>
      <w:r>
        <w:rPr>
          <w:sz w:val="21"/>
          <w:b/>
        </w:rPr>
        <w:t>、应急服务</w:t>
      </w:r>
    </w:p>
    <w:p>
      <w:pPr>
        <w:pStyle w:val="null3"/>
        <w:ind w:firstLine="420"/>
        <w:jc w:val="both"/>
      </w:pPr>
      <w:r>
        <w:rPr>
          <w:sz w:val="21"/>
        </w:rPr>
        <w:t>1、中标人必须组建应急队伍，制定</w:t>
      </w:r>
      <w:r>
        <w:rPr>
          <w:sz w:val="21"/>
        </w:rPr>
        <w:t>制订工作应急预案</w:t>
      </w:r>
      <w:r>
        <w:rPr>
          <w:sz w:val="21"/>
        </w:rPr>
        <w:t>。在发生公共突发事件</w:t>
      </w:r>
      <w:r>
        <w:rPr>
          <w:sz w:val="21"/>
        </w:rPr>
        <w:t>时</w:t>
      </w:r>
      <w:r>
        <w:rPr>
          <w:sz w:val="21"/>
        </w:rPr>
        <w:t>，</w:t>
      </w:r>
      <w:r>
        <w:rPr>
          <w:sz w:val="21"/>
        </w:rPr>
        <w:t>中标</w:t>
      </w:r>
      <w:r>
        <w:rPr>
          <w:sz w:val="21"/>
        </w:rPr>
        <w:t>人</w:t>
      </w:r>
      <w:r>
        <w:rPr>
          <w:sz w:val="21"/>
        </w:rPr>
        <w:t>必须无条件响应采购人要求，参与应急事务处理工作或上级特派任务等</w:t>
      </w:r>
      <w:r>
        <w:rPr>
          <w:sz w:val="21"/>
        </w:rPr>
        <w:t>。</w:t>
      </w:r>
      <w:r>
        <w:rPr>
          <w:sz w:val="21"/>
        </w:rPr>
        <w:t>需要</w:t>
      </w:r>
      <w:r>
        <w:rPr>
          <w:sz w:val="21"/>
        </w:rPr>
        <w:t>中标</w:t>
      </w:r>
      <w:r>
        <w:rPr>
          <w:sz w:val="21"/>
        </w:rPr>
        <w:t>人</w:t>
      </w:r>
      <w:r>
        <w:rPr>
          <w:sz w:val="21"/>
        </w:rPr>
        <w:t>进行突击加班时，</w:t>
      </w:r>
      <w:r>
        <w:rPr>
          <w:sz w:val="21"/>
        </w:rPr>
        <w:t>中标</w:t>
      </w:r>
      <w:r>
        <w:rPr>
          <w:sz w:val="21"/>
        </w:rPr>
        <w:t>人</w:t>
      </w:r>
      <w:r>
        <w:rPr>
          <w:sz w:val="21"/>
        </w:rPr>
        <w:t>必须积极且无条件地组织安排加班，并按时按质按量完成任务。</w:t>
      </w:r>
    </w:p>
    <w:p>
      <w:pPr>
        <w:pStyle w:val="null3"/>
        <w:ind w:firstLine="420"/>
        <w:jc w:val="both"/>
      </w:pPr>
      <w:r>
        <w:rPr>
          <w:sz w:val="21"/>
        </w:rPr>
        <w:t>2、中标</w:t>
      </w:r>
      <w:r>
        <w:rPr>
          <w:sz w:val="21"/>
        </w:rPr>
        <w:t>人</w:t>
      </w:r>
      <w:r>
        <w:rPr>
          <w:sz w:val="21"/>
        </w:rPr>
        <w:t>必须随时接受并配合采购人、属地社区、专项检查小组、</w:t>
      </w:r>
      <w:r>
        <w:rPr>
          <w:sz w:val="22"/>
        </w:rPr>
        <w:t>各</w:t>
      </w:r>
      <w:r>
        <w:rPr>
          <w:sz w:val="21"/>
        </w:rPr>
        <w:t>级疾病防控部门以及其它相关部门的监督、检查和指导，必须无条件服从采购人组织的一些突击性任务及迎检活动，按时、按标准、按要求完成所分配的工作。</w:t>
      </w:r>
      <w:r>
        <w:rPr>
          <w:sz w:val="21"/>
        </w:rPr>
        <w:t>如有重大迎检工作时，需按工作要求布置，随时加大消杀频率，保证顺利完成相关迎检工作。</w:t>
      </w:r>
    </w:p>
    <w:p>
      <w:pPr>
        <w:pStyle w:val="null3"/>
        <w:ind w:firstLine="420"/>
        <w:jc w:val="both"/>
      </w:pPr>
      <w:r>
        <w:rPr>
          <w:sz w:val="21"/>
        </w:rPr>
        <w:t>3、如遇突发事情应急事件等，中标</w:t>
      </w:r>
      <w:r>
        <w:rPr>
          <w:sz w:val="21"/>
        </w:rPr>
        <w:t>人</w:t>
      </w:r>
      <w:r>
        <w:rPr>
          <w:sz w:val="21"/>
        </w:rPr>
        <w:t>需在</w:t>
      </w:r>
      <w:r>
        <w:rPr>
          <w:sz w:val="21"/>
        </w:rPr>
        <w:t>2</w:t>
      </w:r>
      <w:r>
        <w:rPr>
          <w:sz w:val="21"/>
        </w:rPr>
        <w:t>小时内派人员到达现场协助采购人安排处理相关事件。管理人员电话必须保持</w:t>
      </w:r>
      <w:r>
        <w:rPr>
          <w:sz w:val="21"/>
        </w:rPr>
        <w:t>24小时畅通。</w:t>
      </w:r>
    </w:p>
    <w:p>
      <w:pPr>
        <w:pStyle w:val="null3"/>
        <w:ind w:firstLine="422"/>
        <w:jc w:val="both"/>
      </w:pPr>
      <w:r>
        <w:rPr>
          <w:sz w:val="21"/>
          <w:b/>
        </w:rPr>
        <w:t>九</w:t>
      </w:r>
      <w:r>
        <w:rPr>
          <w:sz w:val="21"/>
          <w:b/>
        </w:rPr>
        <w:t>、</w:t>
      </w:r>
      <w:r>
        <w:rPr>
          <w:sz w:val="21"/>
          <w:b/>
        </w:rPr>
        <w:t>考核评分办法</w:t>
      </w:r>
    </w:p>
    <w:p>
      <w:pPr>
        <w:pStyle w:val="null3"/>
        <w:ind w:firstLine="420"/>
        <w:jc w:val="both"/>
      </w:pPr>
      <w:r>
        <w:rPr>
          <w:sz w:val="21"/>
        </w:rPr>
        <w:t>采购人每个月按照《黄江镇</w:t>
      </w:r>
      <w:r>
        <w:rPr>
          <w:sz w:val="21"/>
        </w:rPr>
        <w:t>“四害”消杀考核评分表》(</w:t>
      </w:r>
      <w:r>
        <w:rPr>
          <w:sz w:val="21"/>
        </w:rPr>
        <w:t>详见</w:t>
      </w:r>
      <w:r>
        <w:rPr>
          <w:sz w:val="21"/>
        </w:rPr>
        <w:t>附件</w:t>
      </w:r>
      <w:r>
        <w:rPr>
          <w:sz w:val="21"/>
        </w:rPr>
        <w:t>1</w:t>
      </w:r>
      <w:r>
        <w:rPr>
          <w:sz w:val="21"/>
        </w:rPr>
        <w:t>）对中标人</w:t>
      </w:r>
      <w:r>
        <w:rPr>
          <w:sz w:val="21"/>
        </w:rPr>
        <w:t>“四害”消杀服务质量进行考核，根据考核结果支付服务费用。</w:t>
      </w:r>
    </w:p>
    <w:p>
      <w:pPr>
        <w:pStyle w:val="null3"/>
        <w:ind w:firstLine="420"/>
        <w:jc w:val="both"/>
      </w:pPr>
      <w:r>
        <w:rPr>
          <w:sz w:val="21"/>
          <w:b/>
        </w:rPr>
        <w:t>附件</w:t>
      </w:r>
      <w:r>
        <w:rPr>
          <w:sz w:val="21"/>
          <w:b/>
        </w:rPr>
        <w:t>1：</w:t>
      </w:r>
    </w:p>
    <w:p>
      <w:pPr>
        <w:pStyle w:val="null3"/>
        <w:ind w:firstLine="422"/>
        <w:jc w:val="center"/>
      </w:pPr>
      <w:r>
        <w:rPr>
          <w:sz w:val="21"/>
          <w:b/>
        </w:rPr>
        <w:t>《黄江镇</w:t>
      </w:r>
      <w:r>
        <w:rPr>
          <w:sz w:val="21"/>
          <w:b/>
        </w:rPr>
        <w:t>“四害”消杀考核评分表》</w:t>
      </w:r>
    </w:p>
    <w:p>
      <w:pPr>
        <w:pStyle w:val="null3"/>
        <w:jc w:val="both"/>
      </w:pPr>
      <w:r>
        <w:rPr>
          <w:sz w:val="21"/>
        </w:rPr>
        <w:t xml:space="preserve">                                                        </w:t>
      </w:r>
      <w:r>
        <w:rPr>
          <w:sz w:val="20"/>
        </w:rPr>
        <w:t>考</w:t>
      </w:r>
      <w:r>
        <w:rPr>
          <w:sz w:val="20"/>
        </w:rPr>
        <w:t>核</w:t>
      </w:r>
      <w:r>
        <w:rPr>
          <w:sz w:val="20"/>
        </w:rPr>
        <w:t>时间：</w:t>
      </w:r>
      <w:r>
        <w:rPr>
          <w:sz w:val="20"/>
        </w:rPr>
        <w:t xml:space="preserve">20   </w:t>
      </w:r>
      <w:r>
        <w:rPr>
          <w:sz w:val="20"/>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1380"/>
        <w:gridCol w:w="1196"/>
        <w:gridCol w:w="2869"/>
        <w:gridCol w:w="2176"/>
        <w:gridCol w:w="681"/>
      </w:tblGrid>
      <w:tr>
        <w:tc>
          <w:tcPr>
            <w:tcW w:type="dxa" w:w="257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考核项目</w:t>
            </w:r>
          </w:p>
        </w:tc>
        <w:tc>
          <w:tcPr>
            <w:tcW w:type="dxa" w:w="2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评分标准</w:t>
            </w:r>
          </w:p>
        </w:tc>
        <w:tc>
          <w:tcPr>
            <w:tcW w:type="dxa" w:w="2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扣分说明</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w:t>
            </w: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w:t>
            </w:r>
            <w:r>
              <w:rPr>
                <w:sz w:val="20"/>
              </w:rPr>
              <w:t>组织管理与人员配置</w:t>
            </w: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人员配置完整性</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投入本项目人员数量、职业资格等符合合同要求，且在职在岗</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人员数量不足、无证或人证不符扣</w:t>
            </w:r>
            <w:r>
              <w:rPr>
                <w:sz w:val="20"/>
              </w:rPr>
              <w:t>5分</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人员稳定性与备案</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人员变动未按合同要求提前报备或未经同意更换负责人</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1例违规扣1分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人员培训与着装</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作业人员未统一着装、无工作证、未规范培训上岗</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1例不符合扣1分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人员信息台账</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未按规定提供工作人员信息台账的</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未及时提供扣</w:t>
            </w:r>
            <w:r>
              <w:rPr>
                <w:sz w:val="20"/>
              </w:rPr>
              <w:t>4分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二、</w:t>
            </w:r>
            <w:r>
              <w:rPr>
                <w:sz w:val="20"/>
              </w:rPr>
              <w:t>设备投入与管理</w:t>
            </w: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设备配置完整性</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设备数量达合同要求</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1台扣2分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设备验收与维护</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设备未按时验收或未定期保养、外观脏污</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每项不符合扣</w:t>
            </w:r>
            <w:r>
              <w:rPr>
                <w:sz w:val="20"/>
              </w:rPr>
              <w:t>2分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设备清单规范性</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未提供设备清单或清单信息不全（名称、规格、数量）</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1项扣1分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设备使用记录</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设备使用无记录或记录不完整</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1次记录扣1分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三、药物投入与管理</w:t>
            </w: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药物合规性</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使用禁药、假药或药物未达国家标准</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1例扣3分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药物</w:t>
            </w:r>
            <w:r>
              <w:rPr>
                <w:sz w:val="20"/>
              </w:rPr>
              <w:t>“三证”齐全性</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农药登记证、生产许可证、企业标准缺失或过期</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每种每缺</w:t>
            </w:r>
            <w:r>
              <w:rPr>
                <w:sz w:val="20"/>
              </w:rPr>
              <w:t>1证扣2分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药物台账管理</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药物进出台账不完整或未按要求登记</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1项记录扣1分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用药量达标情况</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消杀面积的正常用药</w:t>
            </w:r>
            <w:r>
              <w:rPr>
                <w:sz w:val="20"/>
              </w:rPr>
              <w:t>不合理、</w:t>
            </w:r>
            <w:r>
              <w:rPr>
                <w:sz w:val="20"/>
              </w:rPr>
              <w:t>毒鼠屋未按要求投放</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每发现一处扣</w:t>
            </w:r>
            <w:r>
              <w:rPr>
                <w:sz w:val="20"/>
              </w:rPr>
              <w:t>3分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安全警示与投放规范</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毒鼠屋未设标识或药物投放不规范</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1处扣1分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四、作业规范与记录</w:t>
            </w: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消杀频次落实</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未按合同要求频次完成一般区域或重点区域消杀</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每缺少</w:t>
            </w:r>
            <w:r>
              <w:rPr>
                <w:sz w:val="20"/>
              </w:rPr>
              <w:t>1次扣</w:t>
            </w:r>
            <w:r>
              <w:rPr>
                <w:sz w:val="20"/>
              </w:rPr>
              <w:t>3</w:t>
            </w:r>
            <w:r>
              <w:rPr>
                <w:sz w:val="20"/>
              </w:rPr>
              <w:t>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工作记录完整性</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缺少消杀时间、地点、药物、剂量记录或无水印照片</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1项扣</w:t>
            </w:r>
            <w:r>
              <w:rPr>
                <w:sz w:val="20"/>
              </w:rPr>
              <w:t>3</w:t>
            </w:r>
            <w:r>
              <w:rPr>
                <w:sz w:val="20"/>
              </w:rPr>
              <w:t>分，无照片</w:t>
            </w:r>
            <w:r>
              <w:rPr>
                <w:sz w:val="20"/>
              </w:rPr>
              <w:t>每项</w:t>
            </w:r>
            <w:r>
              <w:rPr>
                <w:sz w:val="20"/>
              </w:rPr>
              <w:t>扣</w:t>
            </w:r>
            <w:r>
              <w:rPr>
                <w:sz w:val="20"/>
              </w:rPr>
              <w:t>2</w:t>
            </w:r>
            <w:r>
              <w:rPr>
                <w:sz w:val="20"/>
              </w:rPr>
              <w:t>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台账提交时效</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未在每月规定时间前提交上月工作台账</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延迟扣</w:t>
            </w:r>
            <w:r>
              <w:rPr>
                <w:sz w:val="20"/>
              </w:rPr>
              <w:t>2分，未提交扣4分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密度控制效果</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鼠、蚊、蝇、蟑螂密度超国家标准（依据现场抽查或第三方评估反馈）</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w:t>
            </w:r>
            <w:r>
              <w:rPr>
                <w:sz w:val="20"/>
              </w:rPr>
              <w:t>1项扣2分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动物尸体处理</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未及时清理死鼠或未做无害化处理</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1例扣1分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五、应急服务与响应</w:t>
            </w: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应急到岗时效</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突发事件未在</w:t>
            </w:r>
            <w:r>
              <w:rPr>
                <w:sz w:val="20"/>
              </w:rPr>
              <w:t>2小时内到达现场</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每延迟</w:t>
            </w:r>
            <w:r>
              <w:rPr>
                <w:sz w:val="20"/>
              </w:rPr>
              <w:t>1次扣5分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24小时值班制度</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值班电话无人接听或管理人员失联</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1次扣2分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突击任务配合度</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迎检、疫情等临时任务推诿或执行不力</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每项不符扣</w:t>
            </w:r>
            <w:r>
              <w:rPr>
                <w:sz w:val="20"/>
              </w:rPr>
              <w:t>10</w:t>
            </w:r>
            <w:r>
              <w:rPr>
                <w:sz w:val="20"/>
              </w:rPr>
              <w:t>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应急预案完备性</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未制定应急预案或预案未存档</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1项扣1分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六、社会投诉与部门监督</w:t>
            </w: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劳资纠纷影响</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因劳资纠纷引发群体上访或恶劣影响</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每发生</w:t>
            </w:r>
            <w:r>
              <w:rPr>
                <w:sz w:val="20"/>
              </w:rPr>
              <w:t>1例扣10分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第三方监督配合</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拒绝接受采购人、社区或第三方机构监督检查</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每推诿</w:t>
            </w:r>
            <w:r>
              <w:rPr>
                <w:sz w:val="20"/>
              </w:rPr>
              <w:t>1次扣1分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社会投诉</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被部门、群众投诉核查情况属实的</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每次扣</w:t>
            </w:r>
            <w:r>
              <w:rPr>
                <w:sz w:val="20"/>
              </w:rPr>
              <w:t>2分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部门监督</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被省、市、镇通报批评的，被媒体曝光的</w:t>
            </w:r>
            <w:r>
              <w:rPr>
                <w:sz w:val="20"/>
              </w:rPr>
              <w:t>，</w:t>
            </w:r>
            <w:r>
              <w:rPr>
                <w:sz w:val="20"/>
              </w:rPr>
              <w:t>经核实</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每次扣</w:t>
            </w:r>
            <w:r>
              <w:rPr>
                <w:sz w:val="20"/>
              </w:rPr>
              <w:t>5</w:t>
            </w:r>
            <w:r>
              <w:rPr>
                <w:sz w:val="20"/>
              </w:rPr>
              <w:t>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80"/>
            <w:vMerge/>
            <w:tcBorders>
              <w:top w:val="none" w:color="000000" w:sz="4"/>
              <w:left w:val="single" w:color="000000" w:sz="4"/>
              <w:bottom w:val="single" w:color="000000" w:sz="4"/>
              <w:right w:val="single" w:color="000000" w:sz="4"/>
            </w:tcBorders>
          </w:tcPr>
          <w:p/>
        </w:tc>
        <w:tc>
          <w:tcPr>
            <w:tcW w:type="dxa" w:w="1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投诉处理实效</w:t>
            </w:r>
          </w:p>
        </w:tc>
        <w:tc>
          <w:tcPr>
            <w:tcW w:type="dxa" w:w="2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未及时响应或处理群众</w:t>
            </w:r>
            <w:r>
              <w:rPr>
                <w:sz w:val="20"/>
              </w:rPr>
              <w:t>/部门有效投诉</w:t>
            </w:r>
          </w:p>
        </w:tc>
        <w:tc>
          <w:tcPr>
            <w:tcW w:type="dxa" w:w="2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每例扣</w:t>
            </w:r>
            <w:r>
              <w:rPr>
                <w:sz w:val="20"/>
              </w:rPr>
              <w:t>2分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合计总得分（</w:t>
            </w:r>
            <w:r>
              <w:rPr>
                <w:sz w:val="20"/>
              </w:rPr>
              <w:t xml:space="preserve">   </w:t>
            </w:r>
            <w:r>
              <w:rPr>
                <w:sz w:val="20"/>
              </w:rPr>
              <w:t>）</w:t>
            </w:r>
            <w:r>
              <w:rPr>
                <w:sz w:val="20"/>
              </w:rPr>
              <w:t>=总分（100）-合计总扣分（   ）</w:t>
            </w:r>
          </w:p>
        </w:tc>
      </w:tr>
    </w:tbl>
    <w:p>
      <w:pPr>
        <w:pStyle w:val="null3"/>
        <w:ind w:firstLine="4600"/>
        <w:jc w:val="both"/>
      </w:pPr>
      <w:r>
        <w:rPr>
          <w:sz w:val="20"/>
        </w:rPr>
        <w:t>验收人员</w:t>
      </w:r>
      <w:r>
        <w:rPr>
          <w:sz w:val="20"/>
        </w:rPr>
        <w:t>签字：</w:t>
      </w:r>
    </w:p>
    <w:p>
      <w:pPr>
        <w:pStyle w:val="null3"/>
        <w:jc w:val="both"/>
      </w:pPr>
      <w:r>
        <w:rPr>
          <w:sz w:val="20"/>
        </w:rPr>
        <w:t>说明：</w:t>
      </w:r>
    </w:p>
    <w:p>
      <w:pPr>
        <w:pStyle w:val="null3"/>
        <w:ind w:firstLine="400"/>
        <w:jc w:val="both"/>
      </w:pPr>
      <w:r>
        <w:rPr>
          <w:sz w:val="20"/>
        </w:rPr>
        <w:t>1.</w:t>
      </w:r>
      <w:r>
        <w:rPr>
          <w:sz w:val="20"/>
        </w:rPr>
        <w:t>考核总分为</w:t>
      </w:r>
      <w:r>
        <w:rPr>
          <w:sz w:val="20"/>
        </w:rPr>
        <w:t>100分，各项考核扣分不设上限，扣完为止。</w:t>
      </w:r>
    </w:p>
    <w:p>
      <w:pPr>
        <w:pStyle w:val="null3"/>
        <w:ind w:firstLine="400"/>
        <w:jc w:val="both"/>
      </w:pPr>
      <w:r>
        <w:rPr>
          <w:sz w:val="20"/>
        </w:rPr>
        <w:t>2.</w:t>
      </w:r>
      <w:r>
        <w:rPr>
          <w:sz w:val="20"/>
        </w:rPr>
        <w:t>考核得分</w:t>
      </w:r>
      <w:r>
        <w:rPr>
          <w:sz w:val="20"/>
        </w:rPr>
        <w:t>90分（含）以上100%结算当月服务费；得分80分（含）-89分（含）的，以90分为基础，</w:t>
      </w:r>
      <w:r>
        <w:rPr>
          <w:sz w:val="20"/>
        </w:rPr>
        <w:t>每少</w:t>
      </w:r>
      <w:r>
        <w:rPr>
          <w:sz w:val="20"/>
        </w:rPr>
        <w:t>1</w:t>
      </w:r>
      <w:r>
        <w:rPr>
          <w:sz w:val="20"/>
        </w:rPr>
        <w:t>分扣除当</w:t>
      </w:r>
      <w:r>
        <w:rPr>
          <w:sz w:val="20"/>
        </w:rPr>
        <w:t>期服务</w:t>
      </w:r>
      <w:r>
        <w:rPr>
          <w:sz w:val="20"/>
        </w:rPr>
        <w:t>费的</w:t>
      </w:r>
      <w:r>
        <w:rPr>
          <w:sz w:val="20"/>
        </w:rPr>
        <w:t>1</w:t>
      </w:r>
      <w:r>
        <w:rPr>
          <w:sz w:val="20"/>
        </w:rPr>
        <w:t>％；</w:t>
      </w:r>
      <w:r>
        <w:rPr>
          <w:sz w:val="20"/>
        </w:rPr>
        <w:t>得分</w:t>
      </w:r>
      <w:r>
        <w:rPr>
          <w:sz w:val="20"/>
        </w:rPr>
        <w:t>79</w:t>
      </w:r>
      <w:r>
        <w:rPr>
          <w:sz w:val="20"/>
        </w:rPr>
        <w:t>分</w:t>
      </w:r>
      <w:r>
        <w:rPr>
          <w:sz w:val="20"/>
        </w:rPr>
        <w:t>（含）</w:t>
      </w:r>
      <w:r>
        <w:rPr>
          <w:sz w:val="20"/>
        </w:rPr>
        <w:t>以下的，以</w:t>
      </w:r>
      <w:r>
        <w:rPr>
          <w:sz w:val="20"/>
        </w:rPr>
        <w:t>90</w:t>
      </w:r>
      <w:r>
        <w:rPr>
          <w:sz w:val="20"/>
        </w:rPr>
        <w:t>分为基础，每少</w:t>
      </w:r>
      <w:r>
        <w:rPr>
          <w:sz w:val="20"/>
        </w:rPr>
        <w:t>1</w:t>
      </w:r>
      <w:r>
        <w:rPr>
          <w:sz w:val="20"/>
        </w:rPr>
        <w:t>分扣除</w:t>
      </w:r>
      <w:r>
        <w:rPr>
          <w:sz w:val="20"/>
        </w:rPr>
        <w:t>当</w:t>
      </w:r>
      <w:r>
        <w:rPr>
          <w:sz w:val="20"/>
        </w:rPr>
        <w:t>期服务费的</w:t>
      </w:r>
      <w:r>
        <w:rPr>
          <w:sz w:val="20"/>
        </w:rPr>
        <w:t>2</w:t>
      </w:r>
      <w:r>
        <w:rPr>
          <w:sz w:val="20"/>
        </w:rPr>
        <w:t>％。</w:t>
      </w:r>
    </w:p>
    <w:p>
      <w:pPr>
        <w:pStyle w:val="null3"/>
        <w:ind w:firstLine="400"/>
        <w:jc w:val="both"/>
      </w:pPr>
      <w:r>
        <w:rPr>
          <w:sz w:val="20"/>
        </w:rPr>
        <w:t>3.</w:t>
      </w:r>
      <w:r>
        <w:rPr>
          <w:sz w:val="20"/>
        </w:rPr>
        <w:t>采购人（甲方）保留对本考核标准的修改权和解释权。</w:t>
      </w:r>
    </w:p>
    <w:p>
      <w:pPr>
        <w:pStyle w:val="null3"/>
        <w:ind w:firstLine="400"/>
        <w:jc w:val="both"/>
      </w:pPr>
      <w:r>
        <w:rPr/>
        <w:t>采购包1（黄江镇“四害”消杀项目）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签订合同之日起二年，具体合同时间以实际签订时间为准。</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100%,★一、付款方式：1、按月支付服务款，每月结合考核标准进行结算。合同生效后第二个月起每月20日前向中标人支付上月的服务款，根据考核评分表得分情况扣减后结算，每月度服务费按合同总价÷24个月平均计算。（考核评分表详见附件1） 2、每期款项支付时，中标人应在接到甲方开票通知后10天内，提交相应金额的正式发票；如中标人未能按照约定提供相应金额的正式发票，由此产生的逾期付款等责任和损失由中标人自行承担。 3、中标人确认本合同项下款项均支付至本合同签署页列明的银行账户，采购人将合同款项支付至中标人指定的银行账户即完成合同款项的支付义务。如本合同尾部列明的收款账户发生任何变更，中标人应自变更之日起立即书面通知采购人；否则，由此引起的相关后果均由中标人自行承担。 注：（1）因采购人使用的是财政资金，前款规定的付款时间为采购人向政府采购支付部门提出办理财政支付申请手续的时间（不含政府财政支付部门审核的时间），在规定时间内提出支付申请手续后即不视为采购人逾期支付。 （2）本项目资金由政府财政拨款，如因客观原因影响拨款未能及时到位，中标人不得以此为由而不履行或怠于履行本合同规定的义务或者追究采购人的违约责任。 （3）本项目价款为财政拨款资金，由于国家法律、法规、规章、政策和财政预算发生变化，影响合同价款的，合同双方当事人应协商一致相应调整。 （4）如采购人或上级部门等对环卫管理模式进行改革或创新管理方式，中标人需无条件配合，或终止合同、办理交接手续，且采购人无需就此承担任何违约责任。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1期：1、依据《黄江镇“四害”消杀考核评分表》（附件1）进行考核验收。 2、由采购人根据中华人民共和国现行技术标准（含行业标准）或按招标文件要求标准以及中标人的投标文件的承诺内容等组织验收。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账号：中标后由采购人另行提供</w:t>
            </w:r>
          </w:p>
          <w:p>
            <w:pPr>
              <w:pStyle w:val="null3"/>
            </w:pPr>
            <w:r>
              <w:rPr/>
              <w:t>户名：中标后由采购人另行提供</w:t>
            </w:r>
          </w:p>
          <w:p>
            <w:pPr>
              <w:pStyle w:val="null3"/>
            </w:pPr>
            <w:r>
              <w:rPr/>
              <w:t>开户行：中标后由采购人另行提供</w:t>
            </w:r>
          </w:p>
          <w:p>
            <w:pPr>
              <w:pStyle w:val="null3"/>
            </w:pPr>
            <w:r>
              <w:rPr/>
              <w:t>支票提交方式：按照采购人要求提交</w:t>
            </w:r>
          </w:p>
          <w:p>
            <w:pPr>
              <w:pStyle w:val="null3"/>
            </w:pPr>
            <w:r>
              <w:rPr/>
              <w:t>汇票、本票提交方式：按照采购人要求提交</w:t>
            </w:r>
          </w:p>
          <w:p>
            <w:pPr>
              <w:pStyle w:val="null3"/>
            </w:pPr>
            <w:r>
              <w:rPr/>
              <w:t>说明：1、履约保证金可以采用下列任何一种形式: 1.1无条件不可撤销的履约保函。履约保函应是合法经营的银行支行或以上级别机构出具的银行保函或者以专业担保机构、商业银行出具的担保函的形式缴交履约保证金。履约保函的内容，应符合招标文件和采购合同的要求。履约保函应在采购合同有效期满后 30天内继续有效。(1)履约保函应是合法经营的银行机构出具的银行保函。履约保函的内容，应符合招标文件、投标响应文件和采购合同的要求。履约保函应在采购合同有效期满后30天内继续有效。(2)政府采购信用担保:是将信用担保作为政策工具引入政府采购领域，由专业担保机构为中标人向采购人、代理机构、金融机构提供的保证：①履约担保。是指由担保机构为中标人交纳履约保证金向采购人或采购代理机构提供的保证担保。中标人未按政府采购合同履行约定义务的，由担保机构按照保函约定履行支付履约保证金的责任。②融资担保。是指担保机构为中标人向银行融资提供的保证担保。 1.2保证金。可采用电汇、银行转账等方式提交，但不可以采用现金方式(包括存现方式)提交。中标人必须保证资金以中标人的名称(以分公司或子公司汇款无效)在约定的日期前到账(以银行收到为准)在汇入履约保证金时在汇款单备注中注明:采购编号。保证金汇入指定履约保证金专用账户。 2、中标人在收到中标通知书 10日内，应及时将履约保证金进账单复印件或履约保函复印件(加盖公章)交给采购人。 3、履约保证金在合同期满，中标人按照合同履约完毕，无违约责任或违约责任已处理完毕后30天内无息退回。中标人在依法履行完毕采购合同后，中标人可向采购人提交退回履约保证金申请，采购人收到中标人的退回履约保证金申请后予以办理。 4、下列任何情况发生时，履约保证金将不予退还：（1）中标人将本项目转让给他人，或者未经采购人同意，将中标项目分包给他人的，采购人可依法不予退还其履约保证金。（2）中标人在履行采购合同期间，违反有关法律法规的规定及合同约定的条款，损害了采购人的利益或致使被取消合同的，采购人可依法不予退还其履约保证金。（3）合同期内，中标人未能按照合同规定的项目服务标准，按质按量完成相关服务工作，或发生三次以上员工罢工或者无故停止工作，视为中标人违约，采购人有权解除合同，并不予退还中标人支付的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方式，本项目采用总价方式进行报价。报价应包含本次招标所有服务内容的费用，包括人工费（包括工资、奖金、津贴补贴、节假日加班和日常加班加点工资、特殊情况下支付的工资等）、社保费（包括医疗、失业、养老、生育工伤）、公积金、培训费、住宿费、办公经费、工具费、物料费、机械设备使用费、管理费利润、规费、税金、保险费以及合同实施过程中的应预见、不可预见费用等完成合同规定责任和义务、达到合同目的一切费用。除该等费用及合同另有其他约定外，采购人无须支付中标人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黄江镇“四害”消杀项目</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772,800.00</w:t>
            </w:r>
          </w:p>
        </w:tc>
        <w:tc>
          <w:tcPr>
            <w:tcW w:type="dxa" w:w="933"/>
          </w:tcPr>
          <w:p>
            <w:pPr>
              <w:pStyle w:val="null3"/>
              <w:jc w:val="right"/>
            </w:pPr>
            <w:r>
              <w:rPr/>
              <w:t>1,545,600.00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黄江镇“四害”消杀项目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 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1.采购代理机构：本项目是指广东威朗达招标有限公司，负责整个采购活动的组织，依法负责编制和发布招标文件，对招标文件拥有最终的解释权，不以任何身份出任评标委员会成员。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东莞市黄江镇公用事业服务中心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颁布的《招标代理服务收费管理暂行办法》（计价格[2002]1980号）及《国家发展改革委关于降低部分建设项目收费标准规范收费行为等有关问题的通知》发改价格[2011]534号，按差额定率累进法计算，以采购包中标金额作为收费的计算依据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广东威朗达招标有限公司</w:t>
      </w:r>
      <w:r>
        <w:rPr/>
        <w:t>代收。具体操作要求详见</w:t>
      </w:r>
      <w:r>
        <w:rPr/>
        <w:t>广东威朗达招标有限公司</w:t>
      </w:r>
      <w:r>
        <w:rPr/>
        <w:t>有关指引，递交事宜请自行咨询</w:t>
      </w:r>
      <w:r>
        <w:rPr/>
        <w:t>广东威朗达招标有限公司</w:t>
      </w:r>
      <w:r>
        <w:rPr/>
        <w:t>；请各投标人在投标文件递交截止时间前按须知前附表规定的金额递交至</w:t>
      </w:r>
      <w:r>
        <w:rPr/>
        <w:t>广东威朗达招标有限公司</w:t>
      </w:r>
      <w:r>
        <w:rPr/>
        <w:t>，到账情况以开标时</w:t>
      </w:r>
      <w:r>
        <w:rPr/>
        <w:t>广东威朗达招标有限公司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广东威朗达招标有限公司网址（http：//www.gdwldzb.com/）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广东威朗达招标有限公司网址（http：//www.gdwldzb.com/）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0769-26989928</w:t>
      </w:r>
    </w:p>
    <w:p>
      <w:pPr>
        <w:pStyle w:val="null3"/>
        <w:ind w:firstLine="480"/>
      </w:pPr>
      <w:r>
        <w:rPr/>
        <w:t>传真：</w:t>
      </w:r>
      <w:r>
        <w:rPr/>
        <w:t>/</w:t>
      </w:r>
    </w:p>
    <w:p>
      <w:pPr>
        <w:pStyle w:val="null3"/>
        <w:ind w:firstLine="480"/>
      </w:pPr>
      <w:r>
        <w:rPr/>
        <w:t>邮箱：</w:t>
      </w:r>
      <w:r>
        <w:rPr/>
        <w:t>winlander@163.com</w:t>
      </w:r>
    </w:p>
    <w:p>
      <w:pPr>
        <w:pStyle w:val="null3"/>
        <w:ind w:firstLine="480"/>
      </w:pPr>
      <w:r>
        <w:rPr/>
        <w:t>地址：</w:t>
      </w:r>
      <w:r>
        <w:rPr/>
        <w:t>东莞市南城区第一国际百安中心B座701号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采购包1(黄江镇“四害”消杀项目)：综合评分法,是指投标文件满足招标文件全部实质性要求，且按照评审因素的量化指标评审得分最高的投标人为中标候选人的评标方法。（最低报价不是中标的唯一依据。）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广东威朗达招标有限公司</w:t>
      </w:r>
      <w:r>
        <w:rPr/>
        <w:t>统一对外发布。</w:t>
      </w:r>
    </w:p>
    <w:p>
      <w:pPr>
        <w:pStyle w:val="null3"/>
        <w:ind w:firstLine="480"/>
      </w:pPr>
      <w:r>
        <w:rPr/>
        <w:t>（2）对</w:t>
      </w:r>
      <w:r>
        <w:rPr/>
        <w:t>广东威朗达招标有限公司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采购包1（黄江镇“四害”消杀项目）：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采购包1（黄江镇“四害”消杀项目）：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供应商为自然人的提供自然人身份证明复印件；如国家另有规定的，则从其规定。（分支机构响应，须取得具有法人资格的总公司出具给分支机构的授权书，并提供总公司和分支机构的营业执照（执业许可证）复印件。已由总公司授权的，总公司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提供投标截止日前6个月内任意1个月依法缴纳税收和社会保障资金的相关材料。如依法免税或不需要缴纳社会保障资金的，提供相应证明材料，或投标文件中提供《资格条件承诺函》（格式详见招标公告附件）。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投标人必须具有良好的商业信誉和健全的财务会计制度（提供财务状况报告或基本开户行出具的资信证明），或投标文件中提供《资格条件承诺函》（格式详见招标公告附件）。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按投标（响应）文件格式填报设备及专业技术能力情况，或投标文件中提供《资格条件承诺函》（格式详见招标公告附件）。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相关承诺函（相关承诺函格式详见招标公告附件《资格条件承诺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 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本项目属于整包专门面向中小企业采购的项目。中小企业须符合本项目采购标的对应行业（本项目采购标的所属行业为：其他未列明行业）的政策划分标准。 注：1、投标人投标时须提供《中小企业声明函》（见招标文件格式）；2、残疾人福利性单位以投标人填写的《残疾人福利性单位声明函》（见招标文件格式）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采购包1（黄江镇“四害”消杀项目）：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投标人按招标文件要求提交投标函，或投标函的内容与招标文件没有明显不一致</w:t>
            </w:r>
          </w:p>
        </w:tc>
      </w:tr>
      <w:tr>
        <w:tc>
          <w:tcPr>
            <w:tcW w:type="dxa" w:w="890"/>
          </w:tcPr>
          <w:p>
            <w:pPr>
              <w:pStyle w:val="null3"/>
            </w:pPr>
            <w:r>
              <w:rPr/>
              <w:t>2</w:t>
            </w:r>
          </w:p>
        </w:tc>
        <w:tc>
          <w:tcPr>
            <w:tcW w:type="dxa" w:w="3178"/>
          </w:tcPr>
          <w:p>
            <w:pPr>
              <w:pStyle w:val="null3"/>
            </w:pPr>
            <w:r>
              <w:rPr/>
              <w:t>标的提供时间</w:t>
            </w:r>
          </w:p>
        </w:tc>
        <w:tc>
          <w:tcPr>
            <w:tcW w:type="dxa" w:w="4238"/>
          </w:tcPr>
          <w:p>
            <w:pPr>
              <w:pStyle w:val="null3"/>
            </w:pPr>
            <w:r>
              <w:rPr/>
              <w:t>标的提供时间满足招标文件的要求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投标文件的式样、签署、盖章</w:t>
            </w:r>
          </w:p>
        </w:tc>
        <w:tc>
          <w:tcPr>
            <w:tcW w:type="dxa" w:w="4238"/>
          </w:tcPr>
          <w:p>
            <w:pPr>
              <w:pStyle w:val="null3"/>
            </w:pPr>
            <w:r>
              <w:rPr/>
              <w:t>按招标文件规定的要求编制投标文件和签署、盖章</w:t>
            </w:r>
          </w:p>
        </w:tc>
      </w:tr>
      <w:tr>
        <w:tc>
          <w:tcPr>
            <w:tcW w:type="dxa" w:w="890"/>
          </w:tcPr>
          <w:p>
            <w:pPr>
              <w:pStyle w:val="null3"/>
            </w:pPr>
            <w:r>
              <w:rPr/>
              <w:t>5</w:t>
            </w:r>
          </w:p>
        </w:tc>
        <w:tc>
          <w:tcPr>
            <w:tcW w:type="dxa" w:w="3178"/>
          </w:tcPr>
          <w:p>
            <w:pPr>
              <w:pStyle w:val="null3"/>
            </w:pPr>
            <w:r>
              <w:rPr/>
              <w:t>价格符合性</w:t>
            </w:r>
          </w:p>
        </w:tc>
        <w:tc>
          <w:tcPr>
            <w:tcW w:type="dxa" w:w="4238"/>
          </w:tcPr>
          <w:p>
            <w:pPr>
              <w:pStyle w:val="null3"/>
            </w:pPr>
            <w:r>
              <w:rPr/>
              <w:t>投标人报价没有超过采购预算。</w:t>
            </w:r>
          </w:p>
        </w:tc>
      </w:tr>
      <w:tr>
        <w:tc>
          <w:tcPr>
            <w:tcW w:type="dxa" w:w="890"/>
          </w:tcPr>
          <w:p>
            <w:pPr>
              <w:pStyle w:val="null3"/>
            </w:pPr>
            <w:r>
              <w:rPr/>
              <w:t>6</w:t>
            </w:r>
          </w:p>
        </w:tc>
        <w:tc>
          <w:tcPr>
            <w:tcW w:type="dxa" w:w="3178"/>
          </w:tcPr>
          <w:p>
            <w:pPr>
              <w:pStyle w:val="null3"/>
            </w:pPr>
            <w:r>
              <w:rPr/>
              <w:t>“★”的重要条款</w:t>
            </w:r>
          </w:p>
        </w:tc>
        <w:tc>
          <w:tcPr>
            <w:tcW w:type="dxa" w:w="4238"/>
          </w:tcPr>
          <w:p>
            <w:pPr>
              <w:pStyle w:val="null3"/>
            </w:pPr>
            <w:r>
              <w:rPr/>
              <w:t>投标文件符合招标文件中打“★”的重要条款</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启动异常低价情形，评审中出现下列情形之一的，评标委员会应当启动异常低价投 标（响应）审查程序：1.投标（响应）报价低于全部通过符合性审查供应商投标（ 响应）报价平均值50%的，即投标（响应）报价&lt;全部通过符合性审查供应商投标 （响应）报价平均值×50%； 2.投标（响应）报价低于通过符合性审查的次低报价 供应商投标（响应）报价50%的，即投标（响应）报价&lt;通过符合性审查的次低报 价供应商投标（响应）报价×50%； 3.投标（响应）报价低于采购项目最高限价4 5%的，即投标（响应）报价&lt;采购项目最高限价×45%； 4.其他评审委员会认为 供应商报价过低，有可能影响产品质量或无法诚信履约的情形 。 投标（响应）报 价出现异常低价的，供应商不能提供书面说明、证明材料，或者提供的书面说明、 证明材料不能证明其报价合理性的，评审委员会应当将其作为无效投标（响应）处 理；如果投标（响应）供应商提供的书面说明、证明材料能证明其报价合理性的， 评审结果为通过。</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投标文件没有其他导致废标的原因</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采购包1(黄江镇“四害”消杀项目):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项目实施服务方案 (15.0分)</w:t>
            </w:r>
          </w:p>
        </w:tc>
        <w:tc>
          <w:tcPr>
            <w:tcW w:type="dxa" w:w="5076"/>
          </w:tcPr>
          <w:p>
            <w:pPr>
              <w:pStyle w:val="null3"/>
              <w:jc w:val="left"/>
            </w:pPr>
            <w:r>
              <w:rPr/>
              <w:t>根据各投标人针对本项目制定的项目实施服务方案(包括但不仅限于不限于作业次数、灭蚊服务细则、灭蝇服务细则、灭鼠服务细则、灭蟑螂服务细则、作业记录与监督方案、迎检方案等)进行综合评审： （1）项目实施服务方案对项目区域现状了解透彻，作业方案有明确详细的计划和步骤，有根据用户需求科学、合理可行的进度计划安排，项目整体实施方案内容详细完整，并能根据项目需求提出合理可行的建议的，得15分； （2）项目实施服务方案对项目区域现状较为了解，作业方案有较明确的计划和步骤，有根据用户需求编制合理可行的进度计划安排，项目整体实施方案内容较详细完整的，得12分； （3）项目实施服务方案对项目区域现状基本了解，作业方案基本明确，进度计划安排基本合理，项目整体实施方案内容简单的，得8分； （4）项目实施服务方案对项目区域现状不了解，作业方案过于简单，进度计划安排不合理，项目整体实施方案内容有缺漏的，得4分； （5）项目实施服务方案不具体、内容不清晰，得1分； （6）未提供对应方案不得分。</w:t>
            </w:r>
          </w:p>
        </w:tc>
      </w:tr>
      <w:tr>
        <w:tc>
          <w:tcPr>
            <w:tcW w:type="dxa" w:w="922"/>
            <w:gridSpan w:val="2"/>
            <w:vMerge/>
          </w:tcPr>
          <w:p/>
        </w:tc>
        <w:tc>
          <w:tcPr>
            <w:tcW w:type="dxa" w:w="2307"/>
          </w:tcPr>
          <w:p>
            <w:pPr>
              <w:pStyle w:val="null3"/>
              <w:jc w:val="left"/>
            </w:pPr>
            <w:r>
              <w:rPr/>
              <w:t>人员设备配置及管理方案 (15.0分)</w:t>
            </w:r>
          </w:p>
        </w:tc>
        <w:tc>
          <w:tcPr>
            <w:tcW w:type="dxa" w:w="5076"/>
          </w:tcPr>
          <w:p>
            <w:pPr>
              <w:pStyle w:val="null3"/>
              <w:jc w:val="left"/>
            </w:pPr>
            <w:r>
              <w:rPr/>
              <w:t>根据各投标人针对本项目制定的拟人员设备配置及管理方案（包括但不限于拟投入设备、设施及人员管理架构、岗位责任、负责人管理能力、服务人员资格证明，人员的培训等内容）进行综合评审： （1）人员设备配置及管理方案科学合理，分工明确，岗位责任制非常强，项目负责人具有丰富的管理经验，服务人员的技术专业水平高，有相关的技能特长，能全面高效实施项目的，得15分； （2）人员设备配置及管理科学，分工较为合理、明确，岗位责任制强，项目负责人具有一定管理经验，服务人员的技术专业水平较高，有相关的技能，能高效实施项目的，得12分； （3）人员设备配置及管理方案基本完善，岗位责任有分工，项目负责人具有基本的管理经验，服务人员具有基本的相关技能水平，能保证实施项目的，得8分； （4）人员设备配置及管理方案不够具体，岗位责任分工不明确，项目负责人管理经验欠缺，服务人员技术专业水平低，难以实施项目的，得4分； （5）人员设备配置及管理方案不具体、内容不清晰，得1分； （6）未提供对应方案不得分。</w:t>
            </w:r>
          </w:p>
        </w:tc>
      </w:tr>
      <w:tr>
        <w:tc>
          <w:tcPr>
            <w:tcW w:type="dxa" w:w="922"/>
            <w:gridSpan w:val="2"/>
            <w:vMerge/>
          </w:tcPr>
          <w:p/>
        </w:tc>
        <w:tc>
          <w:tcPr>
            <w:tcW w:type="dxa" w:w="2307"/>
          </w:tcPr>
          <w:p>
            <w:pPr>
              <w:pStyle w:val="null3"/>
              <w:jc w:val="left"/>
            </w:pPr>
            <w:r>
              <w:rPr/>
              <w:t>服务质量保证方案 (10.0分)</w:t>
            </w:r>
          </w:p>
        </w:tc>
        <w:tc>
          <w:tcPr>
            <w:tcW w:type="dxa" w:w="5076"/>
          </w:tcPr>
          <w:p>
            <w:pPr>
              <w:pStyle w:val="null3"/>
              <w:jc w:val="left"/>
            </w:pPr>
            <w:r>
              <w:rPr/>
              <w:t>根据各投标人针对本项目制定的服务质量保证方案（包括但不仅限于质量目标保证措施、灭蚊标准及服务保障、灭蝇标准及服务保障、灭鼠标准及服务质量保障、灭蟑螂标准及服务质量保障等内容）进行综合评审： （1）服务质量保证方案架构健全、合理，各工作阶段及任务管理清晰，目标明确，质量控制措施合理可行、具体，质量保证方案内容详细，并能根据项目特点及用户需求提出合理可行的建议的，得10分； （2）服务质量保证方案架构较健全、合理，各工作阶段及任务管理基本合理，目标较明确，质量控制措施合理可行，质量保障管理及制度较具体，能根据项目特点及用户需求提出合理建议的，得8分； （3）服务质量保证方案架构基本合理，各工作阶段及任务管理、质量控制流程划分较合理，质量目标基本明确，质量保障管理及制度有提出建议，内容基本完整的，得4分； （4）服务质量保证方案不具体、内容不清晰，得1分； （5）未提供对应方案不得分。</w:t>
            </w:r>
          </w:p>
        </w:tc>
      </w:tr>
      <w:tr>
        <w:tc>
          <w:tcPr>
            <w:tcW w:type="dxa" w:w="922"/>
            <w:gridSpan w:val="2"/>
            <w:vMerge/>
          </w:tcPr>
          <w:p/>
        </w:tc>
        <w:tc>
          <w:tcPr>
            <w:tcW w:type="dxa" w:w="2307"/>
          </w:tcPr>
          <w:p>
            <w:pPr>
              <w:pStyle w:val="null3"/>
              <w:jc w:val="left"/>
            </w:pPr>
            <w:r>
              <w:rPr/>
              <w:t>应急预案方案 (10.0分)</w:t>
            </w:r>
          </w:p>
        </w:tc>
        <w:tc>
          <w:tcPr>
            <w:tcW w:type="dxa" w:w="5076"/>
          </w:tcPr>
          <w:p>
            <w:pPr>
              <w:pStyle w:val="null3"/>
              <w:jc w:val="left"/>
            </w:pPr>
            <w:r>
              <w:rPr/>
              <w:t>根据各投标人针对本项目制定的应急预案（包括但不限于公共突发事件、天气影响，重大迎检工作，节假日或活动等特殊情况）进行综合评审： （1）应急预案方案对项目服务期间出现的突发性事件的预判机制非常完善，对可能出现的突发性事件有完整详尽的应急预案，具有高效可行的传达机制，人员和设备的紧急调配非常科学、合理，服务承诺目标及责任非常详细可行的，得10分； （2）应急预案方案对项目服务期间出现的突发性事件的预判机制较为完善，对可能出现的突发性事件有对应的应急预案，具有可行的传达机制，人员和设备的紧急调配较为科学、合理，服务承诺目标及责任详细可行的，得8分； （3）应急预案方案对项目服务期间出现的突发性事件提供的应急预案科学性合理性一般，传达机制及人员和设备的调配合理性基本合理可行，服务承诺目标及责任具有一定的可行性的，得4分； （4）应急预案方案不具体、内容不清晰，得1分；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 (6.0分)</w:t>
            </w:r>
          </w:p>
        </w:tc>
        <w:tc>
          <w:tcPr>
            <w:tcW w:type="dxa" w:w="5076"/>
          </w:tcPr>
          <w:p>
            <w:pPr>
              <w:pStyle w:val="null3"/>
              <w:jc w:val="left"/>
            </w:pPr>
            <w:r>
              <w:rPr/>
              <w:t>投标人具有国家认证认可监督管理部门批准设立的认证机构颁发并在有效期内的以下证书： （1）质量管理体系认证证书； （2）环境管理体系认证证书； （3）职业健康安全管理体系认证证书； 每提供一个得2分，最高得6分。 （注：须提供证书复印件及国家认证认可监督管理委员会认证查询www.cnca.gov.cn截图。未按要求提供证明资料、已失效或撤销的均不得分。）</w:t>
            </w:r>
          </w:p>
        </w:tc>
      </w:tr>
      <w:tr>
        <w:tc>
          <w:tcPr>
            <w:tcW w:type="dxa" w:w="922"/>
            <w:gridSpan w:val="2"/>
            <w:vMerge/>
          </w:tcPr>
          <w:p/>
        </w:tc>
        <w:tc>
          <w:tcPr>
            <w:tcW w:type="dxa" w:w="2307"/>
          </w:tcPr>
          <w:p>
            <w:pPr>
              <w:pStyle w:val="null3"/>
              <w:jc w:val="left"/>
            </w:pPr>
            <w:r>
              <w:rPr/>
              <w:t>同类业绩 (15.0分)</w:t>
            </w:r>
          </w:p>
        </w:tc>
        <w:tc>
          <w:tcPr>
            <w:tcW w:type="dxa" w:w="5076"/>
          </w:tcPr>
          <w:p>
            <w:pPr>
              <w:pStyle w:val="null3"/>
              <w:jc w:val="left"/>
            </w:pPr>
            <w:r>
              <w:rPr/>
              <w:t>投标人具有除“四害”类项目的业绩，每提供一个业绩得3分，本项最高得15分。 （注：须提供合同复印件，合同重要页可清晰辨认，未按要求提供不得分）</w:t>
            </w:r>
          </w:p>
        </w:tc>
      </w:tr>
      <w:tr>
        <w:tc>
          <w:tcPr>
            <w:tcW w:type="dxa" w:w="922"/>
            <w:gridSpan w:val="2"/>
            <w:vMerge/>
          </w:tcPr>
          <w:p/>
        </w:tc>
        <w:tc>
          <w:tcPr>
            <w:tcW w:type="dxa" w:w="2307"/>
          </w:tcPr>
          <w:p>
            <w:pPr>
              <w:pStyle w:val="null3"/>
              <w:jc w:val="left"/>
            </w:pPr>
            <w:r>
              <w:rPr/>
              <w:t>服务便利性 (4.0分)</w:t>
            </w:r>
          </w:p>
        </w:tc>
        <w:tc>
          <w:tcPr>
            <w:tcW w:type="dxa" w:w="5076"/>
          </w:tcPr>
          <w:p>
            <w:pPr>
              <w:pStyle w:val="null3"/>
              <w:jc w:val="left"/>
            </w:pPr>
            <w:r>
              <w:rPr/>
              <w:t>根据投标人承诺在接到采购人通知后到达采购人指定整治现场时间响应情况进行评审： （1）投标人承诺在接到采购人通知后1小时（含）内到达现场，得4分； （2）投标人承诺在接到采购人通知后1小时（不含）至1.5小时（含）内到达现场，得2分； （3）投标人承诺在接到采购人通知后1.5小时（不含）至2小时（含）内到达现场，得1分； （4）其他情况不得分。 （ 注：投标人须单独提供服务承诺书并加盖供应商公章，格式自拟）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spacing w:before="0" w:after="0"/>
        <w:ind w:left="0" w:right="0"/>
        <w:jc w:val="both"/>
      </w:pPr>
      <w:r>
        <w:rPr/>
        <w:t xml:space="preserve"> </w:t>
      </w:r>
    </w:p>
    <w:p>
      <w:pPr>
        <w:pStyle w:val="null3"/>
        <w:jc w:val="center"/>
      </w:pPr>
      <w:r>
        <w:rPr>
          <w:sz w:val="21"/>
          <w:b/>
        </w:rPr>
        <w:t>合同格式</w:t>
      </w:r>
    </w:p>
    <w:p>
      <w:pPr>
        <w:pStyle w:val="null3"/>
        <w:jc w:val="center"/>
      </w:pPr>
      <w:r>
        <w:rPr>
          <w:sz w:val="21"/>
          <w:b/>
        </w:rPr>
        <w:t>（注：合同格式为参考格式，后续双方可根据实际情况进行调整）</w:t>
      </w:r>
    </w:p>
    <w:p>
      <w:pPr>
        <w:pStyle w:val="null3"/>
        <w:jc w:val="both"/>
      </w:pPr>
      <w:r>
        <w:rPr>
          <w:sz w:val="21"/>
          <w:b/>
        </w:rPr>
        <w:t>甲方：</w:t>
      </w:r>
      <w:r>
        <w:rPr/>
        <w:t xml:space="preserve">  </w:t>
      </w:r>
    </w:p>
    <w:p>
      <w:pPr>
        <w:pStyle w:val="null3"/>
        <w:jc w:val="both"/>
      </w:pPr>
      <w:r>
        <w:rPr>
          <w:sz w:val="21"/>
        </w:rPr>
        <w:t>电话：</w:t>
      </w:r>
      <w:r>
        <w:rPr>
          <w:sz w:val="21"/>
        </w:rPr>
        <w:t xml:space="preserve">  </w:t>
      </w:r>
      <w:r>
        <w:rPr/>
        <w:t xml:space="preserve">    </w:t>
      </w:r>
      <w:r>
        <w:rPr>
          <w:sz w:val="21"/>
        </w:rPr>
        <w:t>地址：</w:t>
      </w:r>
      <w:r>
        <w:rPr>
          <w:sz w:val="21"/>
        </w:rPr>
        <w:t xml:space="preserve">   </w:t>
      </w:r>
    </w:p>
    <w:p>
      <w:pPr>
        <w:pStyle w:val="null3"/>
        <w:jc w:val="both"/>
      </w:pPr>
      <w:r>
        <w:rPr>
          <w:sz w:val="21"/>
          <w:b/>
        </w:rPr>
        <w:t>乙方：</w:t>
      </w:r>
      <w:r>
        <w:rPr/>
        <w:t xml:space="preserve">   </w:t>
      </w:r>
    </w:p>
    <w:p>
      <w:pPr>
        <w:pStyle w:val="null3"/>
        <w:jc w:val="both"/>
      </w:pPr>
      <w:r>
        <w:rPr>
          <w:sz w:val="21"/>
        </w:rPr>
        <w:t>电话：</w:t>
      </w:r>
      <w:r>
        <w:rPr>
          <w:sz w:val="21"/>
        </w:rPr>
        <w:t xml:space="preserve">   </w:t>
      </w:r>
      <w:r>
        <w:rPr/>
        <w:t xml:space="preserve">    </w:t>
      </w:r>
      <w:r>
        <w:rPr>
          <w:sz w:val="21"/>
        </w:rPr>
        <w:t>地址：</w:t>
      </w:r>
      <w:r>
        <w:rPr>
          <w:sz w:val="21"/>
        </w:rPr>
        <w:t xml:space="preserve">   </w:t>
      </w:r>
    </w:p>
    <w:p>
      <w:pPr>
        <w:pStyle w:val="null3"/>
        <w:jc w:val="both"/>
      </w:pPr>
      <w:r>
        <w:rPr/>
        <w:t xml:space="preserve"> </w:t>
      </w:r>
    </w:p>
    <w:p>
      <w:pPr>
        <w:pStyle w:val="null3"/>
        <w:jc w:val="both"/>
      </w:pPr>
      <w:r>
        <w:rPr/>
        <w:t xml:space="preserve">  </w:t>
      </w:r>
    </w:p>
    <w:p>
      <w:pPr>
        <w:pStyle w:val="null3"/>
        <w:ind w:firstLine="420"/>
        <w:jc w:val="both"/>
      </w:pPr>
      <w:r>
        <w:rPr>
          <w:sz w:val="21"/>
        </w:rPr>
        <w:t>根据《中华人民共和国政府采购法》、《中华人民共和国民法典》等相关法律法规及</w:t>
      </w:r>
      <w:r>
        <w:rPr>
          <w:sz w:val="21"/>
          <w:u w:val="single"/>
        </w:rPr>
        <w:t>黄江镇</w:t>
      </w:r>
      <w:r>
        <w:rPr>
          <w:sz w:val="21"/>
          <w:u w:val="single"/>
        </w:rPr>
        <w:t>“四害”消杀项目</w:t>
      </w:r>
      <w:r>
        <w:rPr>
          <w:sz w:val="21"/>
          <w:u w:val="single"/>
        </w:rPr>
        <w:t>采购项目（项目编号：</w:t>
      </w:r>
      <w:r>
        <w:rPr>
          <w:sz w:val="21"/>
          <w:u w:val="single"/>
        </w:rPr>
        <w:t xml:space="preserve">   </w:t>
      </w:r>
      <w:r>
        <w:rPr>
          <w:sz w:val="21"/>
          <w:u w:val="single"/>
        </w:rPr>
        <w:t>）</w:t>
      </w:r>
      <w:r>
        <w:rPr>
          <w:sz w:val="21"/>
        </w:rPr>
        <w:t>成交结果，经双方协商，本着平等互利和诚实信用的原则，甲乙双方一致同意以下条款，签订本合同。</w:t>
      </w:r>
    </w:p>
    <w:p>
      <w:pPr>
        <w:pStyle w:val="null3"/>
        <w:jc w:val="both"/>
      </w:pPr>
      <w:r>
        <w:rPr>
          <w:sz w:val="21"/>
          <w:b/>
        </w:rPr>
        <w:t>一、项目概况</w:t>
      </w:r>
    </w:p>
    <w:p>
      <w:pPr>
        <w:pStyle w:val="null3"/>
        <w:ind w:firstLine="420"/>
        <w:jc w:val="both"/>
      </w:pPr>
      <w:r>
        <w:rPr>
          <w:sz w:val="21"/>
        </w:rPr>
        <w:t>1、</w:t>
      </w:r>
      <w:r>
        <w:rPr>
          <w:sz w:val="21"/>
        </w:rPr>
        <w:t>本项目为</w:t>
      </w:r>
      <w:r>
        <w:rPr>
          <w:sz w:val="21"/>
        </w:rPr>
        <w:t>黄江镇</w:t>
      </w:r>
      <w:r>
        <w:rPr>
          <w:sz w:val="21"/>
        </w:rPr>
        <w:t>“四害”消杀项目</w:t>
      </w:r>
      <w:r>
        <w:rPr>
          <w:sz w:val="21"/>
        </w:rPr>
        <w:t>。</w:t>
      </w:r>
    </w:p>
    <w:p>
      <w:pPr>
        <w:pStyle w:val="null3"/>
        <w:ind w:firstLine="420"/>
        <w:jc w:val="both"/>
      </w:pPr>
      <w:r>
        <w:rPr>
          <w:sz w:val="21"/>
        </w:rPr>
        <w:t>2</w:t>
      </w:r>
      <w:r>
        <w:rPr>
          <w:sz w:val="21"/>
        </w:rPr>
        <w:t>、为持续巩固病媒生物防制成效，深入落实爱国卫生运动相关工作部署，有效预防和控制病媒生物传染病的发生与传播，切实保障公共卫生安全，拟实施黄江镇</w:t>
      </w:r>
      <w:r>
        <w:rPr>
          <w:sz w:val="21"/>
        </w:rPr>
        <w:t>“四害”消杀项目采购。</w:t>
      </w:r>
    </w:p>
    <w:p>
      <w:pPr>
        <w:pStyle w:val="null3"/>
        <w:jc w:val="both"/>
      </w:pPr>
      <w:r>
        <w:rPr>
          <w:sz w:val="21"/>
          <w:b/>
        </w:rPr>
        <w:t>二</w:t>
      </w:r>
      <w:r>
        <w:rPr>
          <w:sz w:val="21"/>
          <w:b/>
        </w:rPr>
        <w:t>、服务期限、地点</w:t>
      </w:r>
    </w:p>
    <w:p>
      <w:pPr>
        <w:pStyle w:val="null3"/>
        <w:ind w:firstLine="420"/>
        <w:jc w:val="both"/>
      </w:pPr>
      <w:r>
        <w:rPr>
          <w:sz w:val="21"/>
        </w:rPr>
        <w:t>1</w:t>
      </w:r>
      <w:r>
        <w:rPr>
          <w:sz w:val="21"/>
        </w:rPr>
        <w:t>、</w:t>
      </w:r>
      <w:r>
        <w:rPr>
          <w:sz w:val="21"/>
        </w:rPr>
        <w:t>服务期限</w:t>
      </w:r>
      <w:r>
        <w:rPr>
          <w:sz w:val="21"/>
        </w:rPr>
        <w:t>：</w:t>
      </w:r>
      <w:r>
        <w:rPr>
          <w:sz w:val="21"/>
          <w:u w:val="single"/>
        </w:rPr>
        <w:t>自</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日止。</w:t>
      </w:r>
    </w:p>
    <w:p>
      <w:pPr>
        <w:pStyle w:val="null3"/>
        <w:ind w:firstLine="420"/>
        <w:jc w:val="both"/>
      </w:pPr>
      <w:r>
        <w:rPr>
          <w:sz w:val="21"/>
        </w:rPr>
        <w:t>2</w:t>
      </w:r>
      <w:r>
        <w:rPr>
          <w:sz w:val="21"/>
        </w:rPr>
        <w:t>、</w:t>
      </w:r>
      <w:r>
        <w:rPr>
          <w:sz w:val="21"/>
        </w:rPr>
        <w:t>服务地点：东莞市黄江镇（甲方指定地点）。</w:t>
      </w:r>
    </w:p>
    <w:p>
      <w:pPr>
        <w:pStyle w:val="null3"/>
        <w:jc w:val="both"/>
      </w:pPr>
      <w:r>
        <w:rPr>
          <w:sz w:val="21"/>
          <w:b/>
        </w:rPr>
        <w:t>三</w:t>
      </w:r>
      <w:r>
        <w:rPr>
          <w:sz w:val="21"/>
          <w:b/>
        </w:rPr>
        <w:t>、服务费用及付款方式</w:t>
      </w:r>
    </w:p>
    <w:p>
      <w:pPr>
        <w:pStyle w:val="null3"/>
        <w:ind w:firstLine="420"/>
        <w:jc w:val="both"/>
      </w:pPr>
      <w:r>
        <w:rPr>
          <w:sz w:val="21"/>
        </w:rPr>
        <w:t>（一）服务费用</w:t>
      </w:r>
    </w:p>
    <w:p>
      <w:pPr>
        <w:pStyle w:val="null3"/>
        <w:ind w:firstLine="420"/>
        <w:jc w:val="both"/>
      </w:pPr>
      <w:r>
        <w:rPr>
          <w:sz w:val="21"/>
        </w:rPr>
        <w:t>1</w:t>
      </w:r>
      <w:r>
        <w:rPr>
          <w:sz w:val="21"/>
        </w:rPr>
        <w:t>、</w:t>
      </w:r>
      <w:r>
        <w:rPr>
          <w:sz w:val="21"/>
        </w:rPr>
        <w:t>本合同金额为</w:t>
      </w:r>
      <w:r>
        <w:rPr>
          <w:u w:val="single"/>
        </w:rPr>
        <w:t xml:space="preserve">      </w:t>
      </w:r>
      <w:r>
        <w:rPr>
          <w:u w:val="single"/>
        </w:rPr>
        <w:t xml:space="preserve">   </w:t>
      </w:r>
      <w:r>
        <w:rPr>
          <w:u w:val="single"/>
        </w:rPr>
        <w:t xml:space="preserve">  </w:t>
      </w:r>
      <w:r>
        <w:rPr>
          <w:sz w:val="21"/>
          <w:u w:val="single"/>
        </w:rPr>
        <w:t>（</w:t>
      </w:r>
      <w:r>
        <w:rPr>
          <w:sz w:val="21"/>
          <w:u w:val="single"/>
        </w:rPr>
        <w:t>大写：</w:t>
      </w:r>
      <w:r>
        <w:rPr>
          <w:u w:val="single"/>
        </w:rPr>
        <w:t xml:space="preserve">      </w:t>
      </w:r>
      <w:r>
        <w:rPr>
          <w:u w:val="single"/>
        </w:rPr>
        <w:t xml:space="preserve">   </w:t>
      </w:r>
      <w:r>
        <w:rPr>
          <w:sz w:val="21"/>
          <w:u w:val="single"/>
        </w:rPr>
        <w:t>）。为便于处理，约定每月服务费用为</w:t>
      </w:r>
      <w:r>
        <w:rPr>
          <w:u w:val="single"/>
        </w:rPr>
        <w:t xml:space="preserve">          </w:t>
      </w:r>
      <w:r>
        <w:rPr>
          <w:sz w:val="21"/>
          <w:u w:val="single"/>
        </w:rPr>
        <w:t>元，余数计入最后一期进行结算，若补充协议有另行约定，以补充协议为准。</w:t>
      </w:r>
    </w:p>
    <w:p>
      <w:pPr>
        <w:pStyle w:val="null3"/>
        <w:ind w:firstLine="420"/>
        <w:jc w:val="both"/>
      </w:pPr>
      <w:r>
        <w:rPr>
          <w:sz w:val="21"/>
        </w:rPr>
        <w:t>2</w:t>
      </w:r>
      <w:r>
        <w:rPr>
          <w:sz w:val="21"/>
        </w:rPr>
        <w:t>、</w:t>
      </w:r>
      <w:r>
        <w:rPr>
          <w:sz w:val="21"/>
        </w:rPr>
        <w:t>本合同金额包含本次招标所有服务内容的费用，包括人工费（包括工资、奖金、津贴补贴、节假日加班和日常加班加点工资、特殊情况下支付的工资等）、社保费（包括医疗、失业、养老、生育工伤）、公积金、培训费、住宿费、办公经费、工具费、物料费、机械设备使用费、管理费利润、规费、税金、保险费以及合同实施过程中的应预见、不可预见费用等完成合同规定责任和义务、达到合同目的一切费用。除该等费用及合同另有其他约定外，</w:t>
      </w:r>
      <w:r>
        <w:rPr>
          <w:sz w:val="21"/>
        </w:rPr>
        <w:t>甲方</w:t>
      </w:r>
      <w:r>
        <w:rPr>
          <w:sz w:val="21"/>
        </w:rPr>
        <w:t>无须支付</w:t>
      </w:r>
      <w:r>
        <w:rPr>
          <w:sz w:val="21"/>
        </w:rPr>
        <w:t>乙方</w:t>
      </w:r>
      <w:r>
        <w:rPr>
          <w:sz w:val="21"/>
        </w:rPr>
        <w:t>其他任何费用。</w:t>
      </w:r>
    </w:p>
    <w:p>
      <w:pPr>
        <w:pStyle w:val="null3"/>
        <w:ind w:firstLine="420"/>
        <w:jc w:val="both"/>
      </w:pPr>
      <w:r>
        <w:rPr>
          <w:sz w:val="21"/>
        </w:rPr>
        <w:t>（二）付款方式</w:t>
      </w:r>
    </w:p>
    <w:p>
      <w:pPr>
        <w:pStyle w:val="null3"/>
        <w:ind w:firstLine="420"/>
        <w:jc w:val="both"/>
      </w:pPr>
      <w:r>
        <w:rPr>
          <w:sz w:val="21"/>
        </w:rPr>
        <w:t>1</w:t>
      </w:r>
      <w:r>
        <w:rPr>
          <w:sz w:val="21"/>
        </w:rPr>
        <w:t>、按月支付</w:t>
      </w:r>
      <w:r>
        <w:rPr>
          <w:sz w:val="21"/>
        </w:rPr>
        <w:t>服务</w:t>
      </w:r>
      <w:r>
        <w:rPr>
          <w:sz w:val="21"/>
        </w:rPr>
        <w:t>款，每月结合考核标准进行结算。合同生效后第二个月起每月</w:t>
      </w:r>
      <w:r>
        <w:rPr>
          <w:sz w:val="21"/>
        </w:rPr>
        <w:t>20</w:t>
      </w:r>
      <w:r>
        <w:rPr>
          <w:sz w:val="21"/>
        </w:rPr>
        <w:t>日前向乙方支付上月的</w:t>
      </w:r>
      <w:r>
        <w:rPr>
          <w:sz w:val="21"/>
        </w:rPr>
        <w:t>服务</w:t>
      </w:r>
      <w:r>
        <w:rPr>
          <w:sz w:val="21"/>
        </w:rPr>
        <w:t>款。</w:t>
      </w:r>
    </w:p>
    <w:p>
      <w:pPr>
        <w:pStyle w:val="null3"/>
        <w:ind w:firstLine="420"/>
        <w:jc w:val="both"/>
      </w:pPr>
      <w:r>
        <w:rPr>
          <w:sz w:val="21"/>
        </w:rPr>
        <w:t>2</w:t>
      </w:r>
      <w:r>
        <w:rPr>
          <w:sz w:val="21"/>
        </w:rPr>
        <w:t>、每期款项支付时，乙方应在接到甲方开票通知后</w:t>
      </w:r>
      <w:r>
        <w:rPr>
          <w:sz w:val="21"/>
        </w:rPr>
        <w:t>10</w:t>
      </w:r>
      <w:r>
        <w:rPr>
          <w:sz w:val="21"/>
        </w:rPr>
        <w:t>天内，提交相应金额的正式发票；如乙方未能按照约定提供相应金额的正式发票，由此产生的</w:t>
      </w:r>
      <w:r>
        <w:rPr>
          <w:sz w:val="21"/>
        </w:rPr>
        <w:t>逾期付款等</w:t>
      </w:r>
      <w:r>
        <w:rPr>
          <w:sz w:val="21"/>
        </w:rPr>
        <w:t>责任和损失由乙方自行承担。</w:t>
      </w:r>
    </w:p>
    <w:p>
      <w:pPr>
        <w:pStyle w:val="null3"/>
        <w:ind w:firstLine="420"/>
        <w:jc w:val="both"/>
      </w:pPr>
      <w:r>
        <w:rPr>
          <w:sz w:val="21"/>
        </w:rPr>
        <w:t>3</w:t>
      </w:r>
      <w:r>
        <w:rPr>
          <w:sz w:val="21"/>
        </w:rPr>
        <w:t>、乙方确认本合同项下款项均支付至本合同签署页列明的银行账户，甲方将合同款项支付至乙方指定的银行账户即完成合同款项的支付义务。如本合同尾部列明的收款账户发生任何变更，乙方应自变更之日起立即书面通知甲方；否则，由此引起的相关后果均由乙方自行承担。</w:t>
      </w:r>
    </w:p>
    <w:p>
      <w:pPr>
        <w:pStyle w:val="null3"/>
        <w:ind w:firstLine="420"/>
        <w:jc w:val="both"/>
      </w:pPr>
      <w:r>
        <w:rPr>
          <w:sz w:val="21"/>
        </w:rPr>
        <w:t>注：</w:t>
      </w:r>
      <w:r>
        <w:rPr>
          <w:sz w:val="21"/>
        </w:rPr>
        <w:t>（</w:t>
      </w:r>
      <w:r>
        <w:rPr>
          <w:sz w:val="21"/>
        </w:rPr>
        <w:t>1</w:t>
      </w:r>
      <w:r>
        <w:rPr>
          <w:sz w:val="21"/>
        </w:rPr>
        <w:t>）</w:t>
      </w:r>
      <w:r>
        <w:rPr>
          <w:sz w:val="21"/>
        </w:rPr>
        <w:t>、因甲方使用的是财政资金，前款规定的付款时间为甲方向政府采购支付部门提出办理财政支付申请手续的时间（不含政府财政支付部门审核的时间），在规定时间内提出支付申请手续后即不视为甲方逾期支付。</w:t>
      </w:r>
    </w:p>
    <w:p>
      <w:pPr>
        <w:pStyle w:val="null3"/>
        <w:ind w:firstLine="420"/>
        <w:jc w:val="both"/>
      </w:pPr>
      <w:r>
        <w:rPr>
          <w:sz w:val="21"/>
        </w:rPr>
        <w:t>（</w:t>
      </w:r>
      <w:r>
        <w:rPr>
          <w:sz w:val="21"/>
        </w:rPr>
        <w:t>2</w:t>
      </w:r>
      <w:r>
        <w:rPr>
          <w:sz w:val="21"/>
        </w:rPr>
        <w:t>）</w:t>
      </w:r>
      <w:r>
        <w:rPr>
          <w:sz w:val="21"/>
        </w:rPr>
        <w:t>、本项目资金由政府财政拨款，如因客观原因影响拨款未能及时到位，乙方不得以此为由而不履行或怠于履行本合同规定的义务或者追究甲方的违约责任。</w:t>
      </w:r>
    </w:p>
    <w:p>
      <w:pPr>
        <w:pStyle w:val="null3"/>
        <w:ind w:firstLine="420"/>
        <w:jc w:val="both"/>
      </w:pPr>
      <w:r>
        <w:rPr>
          <w:sz w:val="21"/>
        </w:rPr>
        <w:t>（</w:t>
      </w:r>
      <w:r>
        <w:rPr>
          <w:sz w:val="21"/>
        </w:rPr>
        <w:t>3</w:t>
      </w:r>
      <w:r>
        <w:rPr>
          <w:sz w:val="21"/>
        </w:rPr>
        <w:t>）</w:t>
      </w:r>
      <w:r>
        <w:rPr>
          <w:sz w:val="21"/>
        </w:rPr>
        <w:t>、本项目价款为财政拨款资金，由于国家法律、法规、规章、政策和财政预算发生变化，影响合同价款的，合同双方当事人应协商一致相应调整。</w:t>
      </w:r>
    </w:p>
    <w:p>
      <w:pPr>
        <w:pStyle w:val="null3"/>
        <w:ind w:firstLine="420"/>
        <w:jc w:val="both"/>
      </w:pPr>
      <w:r>
        <w:rPr>
          <w:sz w:val="21"/>
        </w:rPr>
        <w:t>（</w:t>
      </w:r>
      <w:r>
        <w:rPr>
          <w:sz w:val="21"/>
        </w:rPr>
        <w:t>4</w:t>
      </w:r>
      <w:r>
        <w:rPr>
          <w:sz w:val="21"/>
        </w:rPr>
        <w:t>）</w:t>
      </w:r>
      <w:r>
        <w:rPr>
          <w:sz w:val="21"/>
        </w:rPr>
        <w:t>、如甲方或上级部门等对环卫管理模式进行改革或创新管理方式，乙方需无条件配合，或终止合同、办理交接手续</w:t>
      </w:r>
      <w:r>
        <w:rPr>
          <w:sz w:val="21"/>
        </w:rPr>
        <w:t>，</w:t>
      </w:r>
      <w:r>
        <w:rPr>
          <w:sz w:val="21"/>
        </w:rPr>
        <w:t>且甲方无需就此承担任何违约责任</w:t>
      </w:r>
      <w:r>
        <w:rPr>
          <w:sz w:val="21"/>
        </w:rPr>
        <w:t>。</w:t>
      </w:r>
    </w:p>
    <w:p>
      <w:pPr>
        <w:pStyle w:val="null3"/>
        <w:jc w:val="both"/>
      </w:pPr>
      <w:r>
        <w:rPr>
          <w:sz w:val="21"/>
          <w:b/>
        </w:rPr>
        <w:t>四、服务范围</w:t>
      </w:r>
    </w:p>
    <w:p>
      <w:pPr>
        <w:pStyle w:val="null3"/>
        <w:ind w:firstLine="420"/>
        <w:jc w:val="both"/>
      </w:pPr>
      <w:r>
        <w:rPr>
          <w:sz w:val="21"/>
        </w:rPr>
        <w:t>本项目消杀范围包括但不限于以下区域：</w:t>
      </w:r>
    </w:p>
    <w:p>
      <w:pPr>
        <w:pStyle w:val="null3"/>
        <w:ind w:firstLine="420"/>
        <w:jc w:val="both"/>
      </w:pPr>
      <w:r>
        <w:rPr>
          <w:sz w:val="21"/>
        </w:rPr>
        <w:t>1、镇中心区：</w:t>
      </w:r>
    </w:p>
    <w:p>
      <w:pPr>
        <w:pStyle w:val="null3"/>
        <w:ind w:firstLine="420"/>
        <w:jc w:val="both"/>
      </w:pPr>
      <w:r>
        <w:rPr>
          <w:sz w:val="21"/>
        </w:rPr>
        <w:t>面积约</w:t>
      </w:r>
      <w:r>
        <w:rPr>
          <w:sz w:val="21"/>
        </w:rPr>
        <w:t>4 平方公里范围的公共区域，即东至江南路、教育路、环城路，西至蚬壳海河、江北路（含红线范围外胜前岗一至四街等内街小巷），南至合路工业大道，北至环城路，不含红线范围内的花园小区、工业园区、农贸市场、工地及其他建筑物内部。</w:t>
      </w:r>
    </w:p>
    <w:p>
      <w:pPr>
        <w:pStyle w:val="null3"/>
        <w:ind w:firstLine="420"/>
        <w:jc w:val="both"/>
      </w:pPr>
      <w:r>
        <w:rPr>
          <w:sz w:val="21"/>
        </w:rPr>
        <w:t>2、外围重点道路：</w:t>
      </w:r>
    </w:p>
    <w:p>
      <w:pPr>
        <w:pStyle w:val="null3"/>
        <w:ind w:firstLine="420"/>
        <w:jc w:val="both"/>
      </w:pPr>
      <w:r>
        <w:rPr>
          <w:sz w:val="21"/>
        </w:rPr>
        <w:t>黄江大道东段（电信路口至拥军一路交界段）、教育路南段（中兴路交界至创业一路交界段）、创业一路、聚富路、盛业路、东环路（黄江大道交界至创业一路交界段）。</w:t>
      </w:r>
    </w:p>
    <w:p>
      <w:pPr>
        <w:pStyle w:val="null3"/>
        <w:ind w:firstLine="420"/>
        <w:jc w:val="both"/>
      </w:pPr>
      <w:r>
        <w:rPr>
          <w:sz w:val="21"/>
        </w:rPr>
        <w:t>3、公园、广场：</w:t>
      </w:r>
    </w:p>
    <w:p>
      <w:pPr>
        <w:pStyle w:val="null3"/>
        <w:ind w:firstLine="420"/>
        <w:jc w:val="both"/>
      </w:pPr>
      <w:r>
        <w:rPr>
          <w:sz w:val="21"/>
        </w:rPr>
        <w:t>黄江人民公园、黄牛埔森林公园南门及北门广场、科技公园、城市公园等。</w:t>
      </w:r>
    </w:p>
    <w:p>
      <w:pPr>
        <w:pStyle w:val="null3"/>
        <w:ind w:firstLine="420"/>
        <w:jc w:val="both"/>
      </w:pPr>
      <w:r>
        <w:rPr>
          <w:sz w:val="21"/>
        </w:rPr>
        <w:t>4、政府部门、机关办公大楼：</w:t>
      </w:r>
    </w:p>
    <w:p>
      <w:pPr>
        <w:pStyle w:val="null3"/>
        <w:ind w:firstLine="420"/>
        <w:jc w:val="both"/>
      </w:pPr>
      <w:r>
        <w:rPr>
          <w:sz w:val="21"/>
        </w:rPr>
        <w:t>黄江镇政府大院、食品公司、黄江特警队（旧敬老院）、黄江残疾人康复就业服务中心、政务服务中心（供销社大楼）、综治大楼、住建大楼、公安分局、特警大队、巡警大队、黄江派出所、新区派出所、梅塘派出所、铁骑大队、交警大队、消防大队、交通分局、医保分局、自然资源分局、城管分局、市场监管分局、人社分局、税务分局、水务运营中心、社卫中心等。</w:t>
      </w:r>
    </w:p>
    <w:p>
      <w:pPr>
        <w:pStyle w:val="null3"/>
        <w:ind w:firstLine="420"/>
        <w:jc w:val="both"/>
      </w:pPr>
      <w:r>
        <w:rPr>
          <w:sz w:val="21"/>
        </w:rPr>
        <w:t>5、公办教育机构：</w:t>
      </w:r>
    </w:p>
    <w:p>
      <w:pPr>
        <w:pStyle w:val="null3"/>
        <w:ind w:firstLine="420"/>
        <w:jc w:val="both"/>
      </w:pPr>
      <w:r>
        <w:rPr>
          <w:sz w:val="21"/>
        </w:rPr>
        <w:t>黄江中学、中心小学、第一小学、第二小学、实验小学、梅塘小学、长龙小学、中心幼儿园、第一幼儿园等。</w:t>
      </w:r>
    </w:p>
    <w:p>
      <w:pPr>
        <w:pStyle w:val="null3"/>
        <w:ind w:firstLine="420"/>
        <w:jc w:val="both"/>
      </w:pPr>
      <w:r>
        <w:rPr>
          <w:sz w:val="21"/>
        </w:rPr>
        <w:t>6、其他：</w:t>
      </w:r>
    </w:p>
    <w:p>
      <w:pPr>
        <w:pStyle w:val="null3"/>
        <w:ind w:firstLine="420"/>
        <w:jc w:val="both"/>
      </w:pPr>
      <w:r>
        <w:rPr>
          <w:sz w:val="21"/>
        </w:rPr>
        <w:t>中心区范围内生活垃圾收集站、合同期内新增投入使用的公园、广场、机关办公场所、公办教育机构。</w:t>
      </w:r>
    </w:p>
    <w:p>
      <w:pPr>
        <w:pStyle w:val="null3"/>
        <w:ind w:firstLine="420"/>
        <w:jc w:val="both"/>
      </w:pPr>
      <w:r>
        <w:rPr>
          <w:sz w:val="21"/>
        </w:rPr>
        <w:t>因政府规划、管理、建设需要、政策变化等原因，服务过程中会存在服务地点和范围的变化（如机构办公地址变迁，新增投入使用的公园、广场等），</w:t>
      </w:r>
      <w:r>
        <w:rPr>
          <w:sz w:val="21"/>
        </w:rPr>
        <w:t>甲方</w:t>
      </w:r>
      <w:r>
        <w:rPr>
          <w:sz w:val="21"/>
        </w:rPr>
        <w:t>有权变更承包区域面积，</w:t>
      </w:r>
      <w:r>
        <w:rPr>
          <w:sz w:val="21"/>
        </w:rPr>
        <w:t>乙方</w:t>
      </w:r>
      <w:r>
        <w:rPr>
          <w:sz w:val="21"/>
        </w:rPr>
        <w:t>必须</w:t>
      </w:r>
      <w:r>
        <w:rPr>
          <w:sz w:val="21"/>
        </w:rPr>
        <w:t>以包干模式承担本项目服务内容</w:t>
      </w:r>
      <w:r>
        <w:rPr>
          <w:sz w:val="21"/>
        </w:rPr>
        <w:t>。</w:t>
      </w:r>
    </w:p>
    <w:p>
      <w:pPr>
        <w:pStyle w:val="null3"/>
        <w:jc w:val="both"/>
      </w:pPr>
      <w:r>
        <w:rPr>
          <w:sz w:val="21"/>
          <w:b/>
        </w:rPr>
        <w:t>五、</w:t>
      </w:r>
      <w:r>
        <w:rPr>
          <w:sz w:val="21"/>
          <w:b/>
        </w:rPr>
        <w:t>主要工作内容</w:t>
      </w:r>
    </w:p>
    <w:p>
      <w:pPr>
        <w:pStyle w:val="null3"/>
        <w:ind w:firstLine="420"/>
        <w:jc w:val="both"/>
      </w:pPr>
      <w:r>
        <w:rPr>
          <w:sz w:val="21"/>
        </w:rPr>
        <w:t>由</w:t>
      </w:r>
      <w:r>
        <w:rPr>
          <w:sz w:val="21"/>
        </w:rPr>
        <w:t>乙方</w:t>
      </w:r>
      <w:r>
        <w:rPr>
          <w:sz w:val="21"/>
        </w:rPr>
        <w:t>负责黄江镇公共区域</w:t>
      </w:r>
      <w:r>
        <w:rPr>
          <w:sz w:val="21"/>
        </w:rPr>
        <w:t>“四害”消杀作业、“四害”监测及防制工作。结合巩固国家卫生镇及登革热等病媒生物传染病防控情况不定期开展专项消杀，确保“四害”防治成果不低于国家卫生镇标准和要求，鼠、蚊、蝇、蟑螂密度须控制在全国爱卫会规定的标准内，并符合国家除“四害”达标新标准。</w:t>
      </w:r>
    </w:p>
    <w:p>
      <w:pPr>
        <w:pStyle w:val="null3"/>
        <w:ind w:firstLine="420"/>
        <w:jc w:val="both"/>
      </w:pPr>
      <w:r>
        <w:rPr>
          <w:sz w:val="21"/>
        </w:rPr>
        <w:t>1、承包范围内公共区域 “四害”消杀工作，设置毒鼠屋，投放毒饵，控制四害密度，确保除四害工作达到国家卫生城市、国家文明城市复评考核及东莞市政府工作年度考核标准。</w:t>
      </w:r>
    </w:p>
    <w:p>
      <w:pPr>
        <w:pStyle w:val="null3"/>
        <w:ind w:firstLine="420"/>
        <w:jc w:val="both"/>
      </w:pPr>
      <w:r>
        <w:rPr>
          <w:sz w:val="21"/>
        </w:rPr>
        <w:t>2、承包范围内收集动物尸体（老鼠）工作，并将尸体做无害化处理。</w:t>
      </w:r>
    </w:p>
    <w:p>
      <w:pPr>
        <w:pStyle w:val="null3"/>
        <w:ind w:firstLine="420"/>
        <w:jc w:val="both"/>
      </w:pPr>
      <w:r>
        <w:rPr>
          <w:sz w:val="21"/>
        </w:rPr>
        <w:t>3、</w:t>
      </w:r>
      <w:r>
        <w:rPr>
          <w:sz w:val="21"/>
        </w:rPr>
        <w:t>乙方</w:t>
      </w:r>
      <w:r>
        <w:rPr>
          <w:sz w:val="21"/>
        </w:rPr>
        <w:t>应在签订合同一个月内设置固定联系电话，建立</w:t>
      </w:r>
      <w:r>
        <w:rPr>
          <w:sz w:val="21"/>
        </w:rPr>
        <w:t>24小时值班制度，应付突发事件的发生。</w:t>
      </w:r>
    </w:p>
    <w:p>
      <w:pPr>
        <w:pStyle w:val="null3"/>
        <w:ind w:firstLine="420"/>
        <w:jc w:val="both"/>
      </w:pPr>
      <w:r>
        <w:rPr>
          <w:sz w:val="21"/>
        </w:rPr>
        <w:t>4、</w:t>
      </w:r>
      <w:r>
        <w:rPr>
          <w:sz w:val="21"/>
        </w:rPr>
        <w:t>乙方</w:t>
      </w:r>
      <w:r>
        <w:rPr>
          <w:sz w:val="21"/>
        </w:rPr>
        <w:t>有完整的病媒生物预防控制操作规程，其中灭蚊、灭蝇、灭蟑螂、灭鼠达到国家</w:t>
      </w:r>
      <w:r>
        <w:rPr>
          <w:sz w:val="21"/>
        </w:rPr>
        <w:t>“四害”消杀标准，并具有完善的事故应急方案。</w:t>
      </w:r>
    </w:p>
    <w:p>
      <w:pPr>
        <w:pStyle w:val="null3"/>
        <w:jc w:val="both"/>
      </w:pPr>
      <w:r>
        <w:rPr>
          <w:sz w:val="21"/>
          <w:b/>
        </w:rPr>
        <w:t>六、服务质量标准</w:t>
      </w:r>
    </w:p>
    <w:p>
      <w:pPr>
        <w:pStyle w:val="null3"/>
        <w:ind w:firstLine="420"/>
        <w:jc w:val="both"/>
      </w:pPr>
      <w:r>
        <w:rPr>
          <w:sz w:val="21"/>
        </w:rPr>
        <w:t>服务质量需参照《病媒生物密度控制水平</w:t>
      </w:r>
      <w:r>
        <w:rPr>
          <w:sz w:val="21"/>
        </w:rPr>
        <w:t>鼠类》（</w:t>
      </w:r>
      <w:r>
        <w:rPr>
          <w:sz w:val="21"/>
        </w:rPr>
        <w:t>GB/T 27770-2011）、《病媒生物密度控制水平 蚊虫》（GB/T 27771-2011）、《病媒生物密度控制水平 蝇类》（GB/T 27772-2025）、《病媒生物密度控制水平 蜚蠊》（GB/T 27773-2011）等国家、行业和地方现行相关标准、规范执行，若项目服务期内国家、行业和地方颁布新的标准、规范，则参照最新的标准、规范执行；应达到省、市、区、街等职能部门的有关要求，确保在服务期内服务的当次当期项目质量符合标准。</w:t>
      </w:r>
    </w:p>
    <w:p>
      <w:pPr>
        <w:pStyle w:val="null3"/>
        <w:jc w:val="both"/>
      </w:pPr>
      <w:r>
        <w:rPr>
          <w:sz w:val="21"/>
          <w:b/>
        </w:rPr>
        <w:t>七</w:t>
      </w:r>
      <w:r>
        <w:rPr>
          <w:sz w:val="21"/>
          <w:b/>
        </w:rPr>
        <w:t>、</w:t>
      </w:r>
      <w:r>
        <w:rPr>
          <w:sz w:val="21"/>
          <w:b/>
        </w:rPr>
        <w:t>消杀频次要求</w:t>
      </w:r>
    </w:p>
    <w:p>
      <w:pPr>
        <w:pStyle w:val="null3"/>
        <w:ind w:firstLine="420"/>
        <w:jc w:val="both"/>
      </w:pPr>
      <w:r>
        <w:rPr>
          <w:sz w:val="21"/>
        </w:rPr>
        <w:t>1</w:t>
      </w:r>
      <w:r>
        <w:rPr>
          <w:sz w:val="21"/>
        </w:rPr>
        <w:t>、一般消杀频率：</w:t>
      </w:r>
    </w:p>
    <w:p>
      <w:pPr>
        <w:pStyle w:val="null3"/>
        <w:ind w:firstLine="420"/>
        <w:jc w:val="both"/>
      </w:pPr>
      <w:r>
        <w:rPr>
          <w:sz w:val="21"/>
        </w:rPr>
        <w:t>灭鼠：每月投放鼠药</w:t>
      </w:r>
      <w:r>
        <w:rPr>
          <w:sz w:val="21"/>
        </w:rPr>
        <w:t>2-3</w:t>
      </w:r>
      <w:r>
        <w:rPr>
          <w:sz w:val="21"/>
        </w:rPr>
        <w:t>次，投药后及时清理死鼠，及时检查药饵的损耗情况并及时补充，根据鼠患情况采取相应的投药措施，并做好安全警示，配置投药“灭鼠屋”</w:t>
      </w:r>
      <w:r>
        <w:rPr>
          <w:sz w:val="21"/>
        </w:rPr>
        <w:t>,</w:t>
      </w:r>
      <w:r>
        <w:rPr>
          <w:sz w:val="21"/>
        </w:rPr>
        <w:t>避免出现误食事故。</w:t>
      </w:r>
    </w:p>
    <w:p>
      <w:pPr>
        <w:pStyle w:val="null3"/>
        <w:ind w:firstLine="420"/>
        <w:jc w:val="both"/>
      </w:pPr>
      <w:r>
        <w:rPr>
          <w:sz w:val="21"/>
        </w:rPr>
        <w:t>灭蚊、灭蟑螂、灭蝇：在</w:t>
      </w:r>
      <w:r>
        <w:rPr>
          <w:sz w:val="21"/>
        </w:rPr>
        <w:t>3-5</w:t>
      </w:r>
      <w:r>
        <w:rPr>
          <w:sz w:val="21"/>
        </w:rPr>
        <w:t>月、</w:t>
      </w:r>
      <w:r>
        <w:rPr>
          <w:sz w:val="21"/>
        </w:rPr>
        <w:t>9-11</w:t>
      </w:r>
      <w:r>
        <w:rPr>
          <w:sz w:val="21"/>
        </w:rPr>
        <w:t>月高峰期，每月消杀</w:t>
      </w:r>
      <w:r>
        <w:rPr>
          <w:sz w:val="21"/>
        </w:rPr>
        <w:t>4</w:t>
      </w:r>
      <w:r>
        <w:rPr>
          <w:sz w:val="21"/>
        </w:rPr>
        <w:t>次，其余时段每月开展</w:t>
      </w:r>
      <w:r>
        <w:rPr>
          <w:sz w:val="21"/>
        </w:rPr>
        <w:t>2</w:t>
      </w:r>
      <w:r>
        <w:rPr>
          <w:sz w:val="21"/>
        </w:rPr>
        <w:t>次的消杀工作。</w:t>
      </w:r>
    </w:p>
    <w:p>
      <w:pPr>
        <w:pStyle w:val="null3"/>
        <w:ind w:firstLine="420"/>
        <w:jc w:val="both"/>
      </w:pPr>
      <w:r>
        <w:rPr>
          <w:sz w:val="21"/>
        </w:rPr>
        <w:t>2</w:t>
      </w:r>
      <w:r>
        <w:rPr>
          <w:sz w:val="21"/>
        </w:rPr>
        <w:t>、重点区域消杀频率：</w:t>
      </w:r>
    </w:p>
    <w:p>
      <w:pPr>
        <w:pStyle w:val="null3"/>
        <w:ind w:firstLine="420"/>
        <w:jc w:val="both"/>
      </w:pPr>
      <w:r>
        <w:rPr>
          <w:sz w:val="21"/>
        </w:rPr>
        <w:t>公园广场及各政府部门、公办教育机构等范围，消杀频次为每周一次。</w:t>
      </w:r>
    </w:p>
    <w:p>
      <w:pPr>
        <w:pStyle w:val="null3"/>
        <w:ind w:firstLine="420"/>
        <w:jc w:val="both"/>
      </w:pPr>
      <w:r>
        <w:rPr>
          <w:sz w:val="21"/>
        </w:rPr>
        <w:t>3</w:t>
      </w:r>
      <w:r>
        <w:rPr>
          <w:sz w:val="21"/>
        </w:rPr>
        <w:t>、特殊情况消杀安排：</w:t>
      </w:r>
    </w:p>
    <w:p>
      <w:pPr>
        <w:pStyle w:val="null3"/>
        <w:ind w:firstLine="420"/>
        <w:jc w:val="both"/>
      </w:pPr>
      <w:r>
        <w:rPr>
          <w:sz w:val="21"/>
        </w:rPr>
        <w:t>如有创文、创卫等重大迎检工作时，需按工作要求布置，随时加大消杀频率，并无条件配合完善相关资料，保证顺利完成相关迎检工作。</w:t>
      </w:r>
    </w:p>
    <w:p>
      <w:pPr>
        <w:pStyle w:val="null3"/>
        <w:ind w:firstLine="420"/>
        <w:jc w:val="both"/>
      </w:pPr>
      <w:r>
        <w:rPr>
          <w:sz w:val="21"/>
        </w:rPr>
        <w:t>如辖区范围内出现疑似或确诊的登革热、基孔肯雅热等疫情，需根据防控要求，无条件协助做好合同范围内防控消杀相关工作</w:t>
      </w:r>
      <w:r>
        <w:rPr>
          <w:sz w:val="21"/>
        </w:rPr>
        <w:t>。</w:t>
      </w:r>
    </w:p>
    <w:p>
      <w:pPr>
        <w:pStyle w:val="null3"/>
        <w:ind w:firstLine="420"/>
        <w:jc w:val="both"/>
      </w:pPr>
      <w:r>
        <w:rPr>
          <w:sz w:val="21"/>
        </w:rPr>
        <w:t>以上特殊情况消杀产生的费用已包含在合同总价内，由此产生的费用由乙方承担</w:t>
      </w:r>
      <w:r>
        <w:rPr>
          <w:sz w:val="21"/>
        </w:rPr>
        <w:t>。</w:t>
      </w:r>
    </w:p>
    <w:p>
      <w:pPr>
        <w:pStyle w:val="null3"/>
        <w:jc w:val="both"/>
      </w:pPr>
      <w:r>
        <w:rPr>
          <w:sz w:val="21"/>
          <w:b/>
        </w:rPr>
        <w:t>八</w:t>
      </w:r>
      <w:r>
        <w:rPr>
          <w:sz w:val="21"/>
          <w:b/>
        </w:rPr>
        <w:t>、</w:t>
      </w:r>
      <w:r>
        <w:rPr>
          <w:sz w:val="21"/>
          <w:b/>
        </w:rPr>
        <w:t>工作</w:t>
      </w:r>
      <w:r>
        <w:rPr>
          <w:sz w:val="21"/>
          <w:b/>
        </w:rPr>
        <w:t>要求</w:t>
      </w:r>
    </w:p>
    <w:p>
      <w:pPr>
        <w:pStyle w:val="null3"/>
        <w:ind w:firstLine="420"/>
        <w:jc w:val="both"/>
      </w:pPr>
      <w:r>
        <w:rPr>
          <w:sz w:val="21"/>
        </w:rPr>
        <w:t>1、</w:t>
      </w:r>
      <w:r>
        <w:rPr>
          <w:sz w:val="21"/>
        </w:rPr>
        <w:t>乙方</w:t>
      </w:r>
      <w:r>
        <w:rPr>
          <w:sz w:val="21"/>
        </w:rPr>
        <w:t>必须</w:t>
      </w:r>
      <w:r>
        <w:rPr>
          <w:sz w:val="21"/>
        </w:rPr>
        <w:t>按要求频次、工作计划</w:t>
      </w:r>
      <w:r>
        <w:rPr>
          <w:sz w:val="21"/>
        </w:rPr>
        <w:t>落实镇中心区除</w:t>
      </w:r>
      <w:r>
        <w:rPr>
          <w:sz w:val="21"/>
        </w:rPr>
        <w:t>“四害”消杀工作，确保</w:t>
      </w:r>
      <w:r>
        <w:rPr>
          <w:sz w:val="21"/>
        </w:rPr>
        <w:t>服务质量</w:t>
      </w:r>
      <w:r>
        <w:rPr>
          <w:sz w:val="21"/>
        </w:rPr>
        <w:t>达到国家卫生镇标准和全国爱卫会规定标准要求。如遇</w:t>
      </w:r>
      <w:r>
        <w:rPr>
          <w:sz w:val="21"/>
        </w:rPr>
        <w:t>“四害”密度超出标准时，</w:t>
      </w:r>
      <w:r>
        <w:rPr>
          <w:sz w:val="21"/>
        </w:rPr>
        <w:t>乙方</w:t>
      </w:r>
      <w:r>
        <w:rPr>
          <w:sz w:val="21"/>
        </w:rPr>
        <w:t>必须服从</w:t>
      </w:r>
      <w:r>
        <w:rPr>
          <w:sz w:val="21"/>
        </w:rPr>
        <w:t>甲方和</w:t>
      </w:r>
      <w:r>
        <w:rPr>
          <w:sz w:val="21"/>
        </w:rPr>
        <w:t>政府</w:t>
      </w:r>
      <w:r>
        <w:rPr>
          <w:sz w:val="21"/>
        </w:rPr>
        <w:t>相关部门</w:t>
      </w:r>
      <w:r>
        <w:rPr>
          <w:sz w:val="21"/>
        </w:rPr>
        <w:t>的工作安排，增加除</w:t>
      </w:r>
      <w:r>
        <w:rPr>
          <w:sz w:val="21"/>
        </w:rPr>
        <w:t>“四害”的消杀次数。</w:t>
      </w:r>
    </w:p>
    <w:p>
      <w:pPr>
        <w:pStyle w:val="null3"/>
        <w:ind w:firstLine="420"/>
        <w:jc w:val="both"/>
      </w:pPr>
      <w:r>
        <w:rPr>
          <w:sz w:val="21"/>
        </w:rPr>
        <w:t>2、</w:t>
      </w:r>
      <w:r>
        <w:rPr>
          <w:sz w:val="21"/>
        </w:rPr>
        <w:t>乙方</w:t>
      </w:r>
      <w:r>
        <w:rPr>
          <w:sz w:val="21"/>
        </w:rPr>
        <w:t>必须坚持</w:t>
      </w:r>
      <w:r>
        <w:rPr>
          <w:sz w:val="21"/>
        </w:rPr>
        <w:t>“预防为主，综合防治”的消杀方针，使用国家规定或爱卫会认定和推荐的药物。药物要建立进出登记台账，并取得“三证”（农药生产许可证或者农药生产批准文件、农药标准证和农药登记证）。除“四害”作业时要注意安全用药，废弃药物要妥善处理，防止污染。</w:t>
      </w:r>
    </w:p>
    <w:p>
      <w:pPr>
        <w:pStyle w:val="null3"/>
        <w:ind w:firstLine="420"/>
        <w:jc w:val="both"/>
      </w:pPr>
      <w:r>
        <w:rPr>
          <w:sz w:val="21"/>
        </w:rPr>
        <w:t>3、</w:t>
      </w:r>
      <w:r>
        <w:rPr>
          <w:sz w:val="21"/>
        </w:rPr>
        <w:t>乙方</w:t>
      </w:r>
      <w:r>
        <w:rPr>
          <w:sz w:val="21"/>
        </w:rPr>
        <w:t>应具备在黄江镇提供快速响应的服务能力，确保在接到</w:t>
      </w:r>
      <w:r>
        <w:rPr>
          <w:sz w:val="21"/>
        </w:rPr>
        <w:t>甲方</w:t>
      </w:r>
      <w:r>
        <w:rPr>
          <w:sz w:val="21"/>
        </w:rPr>
        <w:t>通知后</w:t>
      </w:r>
      <w:r>
        <w:rPr>
          <w:sz w:val="21"/>
        </w:rPr>
        <w:t>2小时内到达现场处理相关事务。并设置固定联系电话，建立24小时值班制度，以应对突发事件</w:t>
      </w:r>
      <w:r>
        <w:rPr>
          <w:sz w:val="21"/>
        </w:rPr>
        <w:t>。</w:t>
      </w:r>
    </w:p>
    <w:p>
      <w:pPr>
        <w:pStyle w:val="null3"/>
        <w:ind w:firstLine="420"/>
        <w:jc w:val="both"/>
      </w:pPr>
      <w:r>
        <w:rPr>
          <w:sz w:val="21"/>
        </w:rPr>
        <w:t>4、除“四害”工作人员需经培训后上岗，按照东莞爱国卫生运动委员会关于除四害工作的法规标准，规范操作。作业时必须统一服装、佩戴工作证、口罩等，服务过程言行礼貌规范，文明上岗。</w:t>
      </w:r>
    </w:p>
    <w:p>
      <w:pPr>
        <w:pStyle w:val="null3"/>
        <w:ind w:firstLine="420"/>
        <w:jc w:val="both"/>
      </w:pPr>
      <w:r>
        <w:rPr>
          <w:sz w:val="21"/>
        </w:rPr>
        <w:t>5、做好</w:t>
      </w:r>
      <w:r>
        <w:rPr>
          <w:sz w:val="21"/>
        </w:rPr>
        <w:t>各项调查、工作记录以及</w:t>
      </w:r>
      <w:r>
        <w:rPr>
          <w:sz w:val="21"/>
        </w:rPr>
        <w:t>开展除四害建档工作</w:t>
      </w:r>
      <w:r>
        <w:rPr>
          <w:sz w:val="21"/>
        </w:rPr>
        <w:t>。</w:t>
      </w:r>
      <w:r>
        <w:rPr>
          <w:sz w:val="21"/>
        </w:rPr>
        <w:t>做好每次除</w:t>
      </w:r>
      <w:r>
        <w:rPr>
          <w:sz w:val="21"/>
        </w:rPr>
        <w:t>“四害”工作的记录（包括消杀时间、天气</w:t>
      </w:r>
      <w:r>
        <w:rPr>
          <w:sz w:val="21"/>
        </w:rPr>
        <w:t>、</w:t>
      </w:r>
      <w:r>
        <w:rPr>
          <w:sz w:val="21"/>
        </w:rPr>
        <w:t>处理位置</w:t>
      </w:r>
      <w:r>
        <w:rPr>
          <w:sz w:val="21"/>
        </w:rPr>
        <w:t>、使用药物、剂量、效果等），每个场所进行消杀工作时必须用水印相机拍照</w:t>
      </w:r>
      <w:r>
        <w:rPr>
          <w:sz w:val="21"/>
        </w:rPr>
        <w:t>2-3张现场图片</w:t>
      </w:r>
      <w:r>
        <w:rPr>
          <w:sz w:val="21"/>
        </w:rPr>
        <w:t>，</w:t>
      </w:r>
      <w:r>
        <w:rPr>
          <w:sz w:val="21"/>
        </w:rPr>
        <w:t>同时做好《</w:t>
      </w:r>
      <w:r>
        <w:rPr>
          <w:sz w:val="21"/>
        </w:rPr>
        <w:t>“四害”消杀登记记录表》</w:t>
      </w:r>
      <w:r>
        <w:rPr>
          <w:sz w:val="21"/>
        </w:rPr>
        <w:t>等资料登记工作</w:t>
      </w:r>
      <w:r>
        <w:rPr>
          <w:sz w:val="21"/>
        </w:rPr>
        <w:t>。每月</w:t>
      </w:r>
      <w:r>
        <w:rPr>
          <w:sz w:val="21"/>
        </w:rPr>
        <w:t>5日前提交上个月的资料，并填写工作台帐表，由场所负责人或现场工作人员签名确认</w:t>
      </w:r>
      <w:r>
        <w:rPr>
          <w:sz w:val="21"/>
        </w:rPr>
        <w:t>后交甲方存档。</w:t>
      </w:r>
    </w:p>
    <w:p>
      <w:pPr>
        <w:pStyle w:val="null3"/>
        <w:ind w:firstLine="420"/>
        <w:jc w:val="both"/>
      </w:pPr>
      <w:r>
        <w:rPr>
          <w:sz w:val="21"/>
        </w:rPr>
        <w:t>6、安排专人负责巡查和选点监测除四害效果，并根据实际效果调整用药时间、配方</w:t>
      </w:r>
      <w:r>
        <w:rPr>
          <w:sz w:val="21"/>
        </w:rPr>
        <w:t>等</w:t>
      </w:r>
      <w:r>
        <w:rPr>
          <w:sz w:val="21"/>
        </w:rPr>
        <w:t>。</w:t>
      </w:r>
    </w:p>
    <w:p>
      <w:pPr>
        <w:pStyle w:val="null3"/>
        <w:ind w:firstLine="420"/>
        <w:jc w:val="both"/>
      </w:pPr>
      <w:r>
        <w:rPr>
          <w:sz w:val="21"/>
        </w:rPr>
        <w:t>7、遵守行业的相关安全生产管理规定，严格按安全标准组织实施，采取必要的安全防护措施，消除事故隐患，并接受甲方及相关部门的监督检查。服务期间，因乙方违反安全操作规程或安全措施不力造成的损失和责任均由供应商承担。</w:t>
      </w:r>
    </w:p>
    <w:p>
      <w:pPr>
        <w:pStyle w:val="null3"/>
        <w:ind w:firstLine="420"/>
        <w:jc w:val="both"/>
      </w:pPr>
      <w:r>
        <w:rPr>
          <w:sz w:val="21"/>
        </w:rPr>
        <w:t>8、</w:t>
      </w:r>
      <w:r>
        <w:rPr>
          <w:sz w:val="21"/>
        </w:rPr>
        <w:t>自合同生效期起始日起计一星期内，根据黄江镇的实际情况和</w:t>
      </w:r>
      <w:r>
        <w:rPr>
          <w:sz w:val="21"/>
        </w:rPr>
        <w:t>甲方</w:t>
      </w:r>
      <w:r>
        <w:rPr>
          <w:sz w:val="21"/>
        </w:rPr>
        <w:t>的要求</w:t>
      </w:r>
      <w:r>
        <w:rPr>
          <w:sz w:val="21"/>
        </w:rPr>
        <w:t>制定</w:t>
      </w:r>
      <w:r>
        <w:rPr>
          <w:sz w:val="21"/>
        </w:rPr>
        <w:t>《黄江镇</w:t>
      </w:r>
      <w:r>
        <w:rPr>
          <w:sz w:val="21"/>
        </w:rPr>
        <w:t>“四害”消杀实施方案》</w:t>
      </w:r>
      <w:r>
        <w:rPr>
          <w:sz w:val="21"/>
        </w:rPr>
        <w:t>，</w:t>
      </w:r>
      <w:r>
        <w:rPr>
          <w:sz w:val="21"/>
        </w:rPr>
        <w:t>交甲方存档。</w:t>
      </w:r>
    </w:p>
    <w:p>
      <w:pPr>
        <w:pStyle w:val="null3"/>
        <w:ind w:firstLine="420"/>
        <w:jc w:val="both"/>
      </w:pPr>
      <w:r>
        <w:rPr>
          <w:sz w:val="21"/>
        </w:rPr>
        <w:t>9、</w:t>
      </w:r>
      <w:r>
        <w:rPr>
          <w:sz w:val="21"/>
        </w:rPr>
        <w:t>合同期内</w:t>
      </w:r>
      <w:r>
        <w:rPr>
          <w:sz w:val="21"/>
        </w:rPr>
        <w:t>乙方</w:t>
      </w:r>
      <w:r>
        <w:rPr>
          <w:sz w:val="21"/>
        </w:rPr>
        <w:t>应严格执行广东省人民政府令第</w:t>
      </w:r>
      <w:r>
        <w:rPr>
          <w:sz w:val="21"/>
        </w:rPr>
        <w:t>167号《广东省病媒生物预防控制管理规定》，严格按照相关要求执行现场各项管理，接受市爱卫办监督检查和考核。</w:t>
      </w:r>
    </w:p>
    <w:p>
      <w:pPr>
        <w:pStyle w:val="null3"/>
        <w:ind w:left="150" w:firstLine="330"/>
        <w:jc w:val="both"/>
      </w:pPr>
      <w:r>
        <w:rPr>
          <w:sz w:val="21"/>
        </w:rPr>
        <w:t>10、</w:t>
      </w:r>
      <w:r>
        <w:rPr/>
        <w:t>乙方服务质量</w:t>
      </w:r>
      <w:r>
        <w:rPr/>
        <w:t>必须接受</w:t>
      </w:r>
      <w:r>
        <w:rPr/>
        <w:t>甲方</w:t>
      </w:r>
      <w:r>
        <w:rPr/>
        <w:t>、属地社区、第三方评估机构履行监督管理职能，包括作业监管、质量检查、综合评价、巡查评分扣减</w:t>
      </w:r>
      <w:r>
        <w:rPr/>
        <w:t>服务</w:t>
      </w:r>
      <w:r>
        <w:rPr/>
        <w:t>费等，</w:t>
      </w:r>
      <w:r>
        <w:rPr/>
        <w:t>乙方</w:t>
      </w:r>
      <w:r>
        <w:rPr/>
        <w:t>必须无条件服从</w:t>
      </w:r>
      <w:r>
        <w:rPr>
          <w:sz w:val="21"/>
        </w:rPr>
        <w:t>。</w:t>
      </w:r>
    </w:p>
    <w:p>
      <w:pPr>
        <w:pStyle w:val="null3"/>
        <w:jc w:val="both"/>
      </w:pPr>
      <w:r>
        <w:rPr>
          <w:sz w:val="21"/>
          <w:b/>
        </w:rPr>
        <w:t>九</w:t>
      </w:r>
      <w:r>
        <w:rPr>
          <w:sz w:val="21"/>
          <w:b/>
        </w:rPr>
        <w:t>、人员、设备及药物配置要求</w:t>
      </w:r>
    </w:p>
    <w:p>
      <w:pPr>
        <w:pStyle w:val="null3"/>
        <w:ind w:firstLine="422"/>
        <w:jc w:val="both"/>
      </w:pPr>
      <w:r>
        <w:rPr>
          <w:sz w:val="21"/>
          <w:b/>
        </w:rPr>
        <w:t>1、人员配置要求</w:t>
      </w:r>
    </w:p>
    <w:tbl>
      <w:tblPr>
        <w:tblW w:w="0" w:type="auto"/>
        <w:tblBorders>
          <w:top w:val="none" w:color="000000" w:sz="4"/>
          <w:left w:val="none" w:color="000000" w:sz="4"/>
          <w:bottom w:val="none" w:color="000000" w:sz="4"/>
          <w:right w:val="none" w:color="000000" w:sz="4"/>
          <w:insideH w:val="none"/>
          <w:insideV w:val="none"/>
        </w:tblBorders>
      </w:tblPr>
      <w:tblGrid>
        <w:gridCol w:w="1238"/>
        <w:gridCol w:w="2582"/>
        <w:gridCol w:w="1213"/>
        <w:gridCol w:w="3273"/>
      </w:tblGrid>
      <w:tr>
        <w:tc>
          <w:tcPr>
            <w:tcW w:type="dxa" w:w="1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1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人数</w:t>
            </w:r>
          </w:p>
        </w:tc>
        <w:tc>
          <w:tcPr>
            <w:tcW w:type="dxa" w:w="3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p>
            <w:pPr>
              <w:pStyle w:val="null3"/>
              <w:jc w:val="center"/>
            </w:pPr>
            <w:r>
              <w:rPr>
                <w:sz w:val="21"/>
              </w:rPr>
              <w:t>（现场负责人）</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负责全面工作</w:t>
            </w:r>
          </w:p>
        </w:tc>
      </w:tr>
      <w:tr>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资料员</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负责</w:t>
            </w:r>
            <w:r>
              <w:rPr>
                <w:sz w:val="21"/>
              </w:rPr>
              <w:t>图片、报告、台账等资料整理</w:t>
            </w:r>
          </w:p>
        </w:tc>
      </w:tr>
      <w:tr>
        <w:tc>
          <w:tcPr>
            <w:tcW w:type="dxa" w:w="1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技术人员</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现场作业人员</w:t>
            </w:r>
          </w:p>
        </w:tc>
      </w:tr>
      <w:tr>
        <w:tc>
          <w:tcPr>
            <w:tcW w:type="dxa" w:w="38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w:t>
      </w:r>
      <w:r>
        <w:rPr>
          <w:sz w:val="21"/>
        </w:rPr>
        <w:t>1</w:t>
      </w:r>
      <w:r>
        <w:rPr>
          <w:sz w:val="21"/>
        </w:rPr>
        <w:t>）</w:t>
      </w:r>
      <w:r>
        <w:rPr>
          <w:sz w:val="21"/>
        </w:rPr>
        <w:t>项目负责人一名，</w:t>
      </w:r>
      <w:r>
        <w:rPr>
          <w:sz w:val="21"/>
        </w:rPr>
        <w:t>兼任现场负责人，除全面统筹、管理和协调工作，并制定每次的除四害工作方案外，还负责组织实施现场工作。</w:t>
      </w:r>
      <w:r>
        <w:rPr>
          <w:sz w:val="21"/>
        </w:rPr>
        <w:t>项目负责人需具有三级</w:t>
      </w:r>
      <w:r>
        <w:rPr>
          <w:sz w:val="21"/>
        </w:rPr>
        <w:t>/高级（含）以上有害生物防制员</w:t>
      </w:r>
      <w:r>
        <w:rPr>
          <w:sz w:val="21"/>
        </w:rPr>
        <w:t>资格</w:t>
      </w:r>
      <w:r>
        <w:rPr>
          <w:sz w:val="21"/>
        </w:rPr>
        <w:t>证书；在防控病媒生物（如登革热、基孔肯亚热）有熟练经验</w:t>
      </w:r>
      <w:r>
        <w:rPr>
          <w:sz w:val="21"/>
        </w:rPr>
        <w:t>。</w:t>
      </w:r>
      <w:r>
        <w:rPr>
          <w:sz w:val="21"/>
        </w:rPr>
        <w:t>技术人员</w:t>
      </w:r>
      <w:r>
        <w:rPr>
          <w:sz w:val="21"/>
        </w:rPr>
        <w:t>也</w:t>
      </w:r>
      <w:r>
        <w:rPr>
          <w:sz w:val="21"/>
        </w:rPr>
        <w:t>必须取得有害生物防</w:t>
      </w:r>
      <w:r>
        <w:rPr>
          <w:sz w:val="21"/>
        </w:rPr>
        <w:t>制</w:t>
      </w:r>
      <w:r>
        <w:rPr>
          <w:sz w:val="21"/>
        </w:rPr>
        <w:t>员</w:t>
      </w:r>
      <w:r>
        <w:rPr>
          <w:sz w:val="21"/>
        </w:rPr>
        <w:t>资格</w:t>
      </w:r>
      <w:r>
        <w:rPr>
          <w:sz w:val="21"/>
        </w:rPr>
        <w:t>证书</w:t>
      </w:r>
      <w:r>
        <w:rPr>
          <w:sz w:val="21"/>
        </w:rPr>
        <w:t>，</w:t>
      </w:r>
      <w:r>
        <w:rPr>
          <w:sz w:val="21"/>
        </w:rPr>
        <w:t>等级不做要求</w:t>
      </w:r>
      <w:r>
        <w:rPr>
          <w:sz w:val="21"/>
        </w:rPr>
        <w:t>。</w:t>
      </w:r>
    </w:p>
    <w:p>
      <w:pPr>
        <w:pStyle w:val="null3"/>
        <w:ind w:firstLine="420"/>
        <w:jc w:val="both"/>
      </w:pPr>
      <w:r>
        <w:rPr>
          <w:sz w:val="21"/>
        </w:rPr>
        <w:t>（</w:t>
      </w:r>
      <w:r>
        <w:rPr>
          <w:sz w:val="21"/>
        </w:rPr>
        <w:t>2）</w:t>
      </w:r>
      <w:r>
        <w:rPr>
          <w:sz w:val="21"/>
        </w:rPr>
        <w:t>乙方</w:t>
      </w:r>
      <w:r>
        <w:rPr>
          <w:sz w:val="21"/>
        </w:rPr>
        <w:t>须</w:t>
      </w:r>
      <w:r>
        <w:rPr>
          <w:sz w:val="21"/>
        </w:rPr>
        <w:t>在合同签订后一星期内将本项目</w:t>
      </w:r>
      <w:r>
        <w:rPr>
          <w:sz w:val="21"/>
        </w:rPr>
        <w:t>有关人员职责名单及资质证、上岗证</w:t>
      </w:r>
      <w:r>
        <w:rPr>
          <w:sz w:val="21"/>
        </w:rPr>
        <w:t>原件</w:t>
      </w:r>
      <w:r>
        <w:rPr>
          <w:sz w:val="21"/>
        </w:rPr>
        <w:t>复印件</w:t>
      </w:r>
      <w:r>
        <w:rPr>
          <w:sz w:val="21"/>
        </w:rPr>
        <w:t>送甲方核验，同时将盖章复印件交甲方存档</w:t>
      </w:r>
      <w:r>
        <w:rPr>
          <w:sz w:val="21"/>
        </w:rPr>
        <w:t>。</w:t>
      </w:r>
    </w:p>
    <w:p>
      <w:pPr>
        <w:pStyle w:val="null3"/>
        <w:ind w:firstLine="420"/>
        <w:jc w:val="both"/>
      </w:pPr>
      <w:r>
        <w:rPr>
          <w:sz w:val="21"/>
        </w:rPr>
        <w:t>（</w:t>
      </w:r>
      <w:r>
        <w:rPr>
          <w:sz w:val="21"/>
        </w:rPr>
        <w:t>3）</w:t>
      </w:r>
      <w:r>
        <w:rPr>
          <w:sz w:val="21"/>
        </w:rPr>
        <w:t>乙方要为服务安全负责。在为甲方服务期间，乙方在中标后必须按照规定给聘用员工购买相应的责任保险及其派出的现场工作人员的人身意外等保险，费用由乙方自理。在服务过程中，做好各项安全保护工作，严格管理，对他们的行为负全责。</w:t>
      </w:r>
    </w:p>
    <w:p>
      <w:pPr>
        <w:pStyle w:val="null3"/>
        <w:ind w:firstLine="420"/>
        <w:jc w:val="both"/>
      </w:pPr>
      <w:r>
        <w:rPr>
          <w:sz w:val="21"/>
        </w:rPr>
        <w:t>（</w:t>
      </w:r>
      <w:r>
        <w:rPr>
          <w:sz w:val="21"/>
        </w:rPr>
        <w:t>4）应急情况工作人员要求：在突发状况时或疫情发生时，乙方需成立应急工作队，人员应具备相应的应急处置能力。</w:t>
      </w:r>
    </w:p>
    <w:p>
      <w:pPr>
        <w:pStyle w:val="null3"/>
        <w:ind w:firstLine="420"/>
        <w:jc w:val="both"/>
      </w:pPr>
      <w:r>
        <w:rPr>
          <w:sz w:val="21"/>
        </w:rPr>
        <w:t>（</w:t>
      </w:r>
      <w:r>
        <w:rPr>
          <w:sz w:val="21"/>
        </w:rPr>
        <w:t>5）</w:t>
      </w:r>
      <w:r>
        <w:rPr>
          <w:sz w:val="21"/>
        </w:rPr>
        <w:t>乙方</w:t>
      </w:r>
      <w:r>
        <w:rPr>
          <w:sz w:val="21"/>
        </w:rPr>
        <w:t>必须依据国家和地方政府颁布的法律法规的规定处理与员工的雇佣关系，</w:t>
      </w:r>
      <w:r>
        <w:rPr>
          <w:sz w:val="21"/>
        </w:rPr>
        <w:t>如有发生劳资纠纷、意外（包括但不限于：生病、伤亡事故等）或违反规定、触犯国家法律等行为，由乙方承担全部责任，与甲方无关，甲方不负经济和法律责任。</w:t>
      </w:r>
    </w:p>
    <w:p>
      <w:pPr>
        <w:pStyle w:val="null3"/>
        <w:ind w:firstLine="420"/>
        <w:jc w:val="both"/>
      </w:pPr>
      <w:r>
        <w:rPr>
          <w:sz w:val="21"/>
        </w:rPr>
        <w:t>（</w:t>
      </w:r>
      <w:r>
        <w:rPr>
          <w:sz w:val="21"/>
        </w:rPr>
        <w:t>6）乙方必须保证日常服务人员的稳定性，便于日常联系安排消杀防制工作。如有人员变动，需以书面形式报甲方备案；未经甲方同意，乙方不得随意更换项目负责人，如需更换，应提前一个月以书面形式通知甲方，其他工作人员更换应提前一周告知甲方，重新指派人员的资历不得低于被更换人员的资历，确保服务质量不因人员变动而受影响。对乙方不称职的工作人员，甲方有权要求乙方限期更换。</w:t>
      </w:r>
    </w:p>
    <w:p>
      <w:pPr>
        <w:pStyle w:val="null3"/>
        <w:spacing w:after="120"/>
        <w:ind w:firstLine="420"/>
        <w:jc w:val="both"/>
      </w:pPr>
      <w:r>
        <w:rPr>
          <w:sz w:val="21"/>
        </w:rPr>
        <w:t>（</w:t>
      </w:r>
      <w:r>
        <w:rPr>
          <w:sz w:val="21"/>
        </w:rPr>
        <w:t>7</w:t>
      </w:r>
      <w:r>
        <w:rPr>
          <w:sz w:val="21"/>
        </w:rPr>
        <w:t>）乙方应建立</w:t>
      </w:r>
      <w:r>
        <w:rPr>
          <w:sz w:val="21"/>
        </w:rPr>
        <w:t>人员</w:t>
      </w:r>
      <w:r>
        <w:rPr>
          <w:sz w:val="21"/>
        </w:rPr>
        <w:t>管理</w:t>
      </w:r>
      <w:r>
        <w:rPr>
          <w:sz w:val="21"/>
        </w:rPr>
        <w:t>名册，人员名册上要登记入职人员的姓名、性别、身份证号码、本地住址、联系电话号码、职务、工号、工作职责和范围，每本人员名册都相应附上清晰身份证复印件。供应商提供人员名册和身份证复印件，协助</w:t>
      </w:r>
      <w:r>
        <w:rPr>
          <w:sz w:val="21"/>
        </w:rPr>
        <w:t>甲方</w:t>
      </w:r>
      <w:r>
        <w:rPr>
          <w:sz w:val="21"/>
        </w:rPr>
        <w:t>和第三方评估机构不定期现场验收清点人数。</w:t>
      </w:r>
    </w:p>
    <w:p>
      <w:pPr>
        <w:pStyle w:val="null3"/>
        <w:ind w:firstLine="422"/>
        <w:jc w:val="both"/>
      </w:pPr>
      <w:r>
        <w:rPr>
          <w:sz w:val="21"/>
          <w:b/>
        </w:rPr>
        <w:t>2</w:t>
      </w:r>
      <w:r>
        <w:rPr>
          <w:sz w:val="21"/>
          <w:b/>
        </w:rPr>
        <w:t>、</w:t>
      </w:r>
      <w:r>
        <w:rPr>
          <w:sz w:val="21"/>
          <w:b/>
        </w:rPr>
        <w:t>拟投入本项目必要的设备</w:t>
      </w:r>
      <w:r>
        <w:rPr>
          <w:sz w:val="21"/>
          <w:b/>
        </w:rPr>
        <w:t>及要求</w:t>
      </w:r>
    </w:p>
    <w:p>
      <w:pPr>
        <w:pStyle w:val="null3"/>
        <w:spacing w:after="120"/>
        <w:ind w:firstLine="420"/>
        <w:jc w:val="both"/>
      </w:pPr>
      <w:r>
        <w:rPr>
          <w:sz w:val="21"/>
        </w:rPr>
        <w:t>为保障工作质量，</w:t>
      </w:r>
      <w:r>
        <w:rPr>
          <w:sz w:val="21"/>
        </w:rPr>
        <w:t>乙方</w:t>
      </w:r>
      <w:r>
        <w:rPr>
          <w:sz w:val="21"/>
        </w:rPr>
        <w:t>必须配备足够的设备服务于本项目</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362"/>
        <w:gridCol w:w="2783"/>
        <w:gridCol w:w="2080"/>
        <w:gridCol w:w="2080"/>
      </w:tblGrid>
      <w:tr>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2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项目</w:t>
            </w:r>
          </w:p>
        </w:tc>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2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r>
      <w:tr>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w:t>
            </w:r>
            <w:r>
              <w:rPr>
                <w:sz w:val="21"/>
              </w:rPr>
              <w:t>车辆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热烟雾机</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背负式超低容量喷雾器</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手动喷雾器</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2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bl>
    <w:p>
      <w:pPr>
        <w:pStyle w:val="null3"/>
        <w:ind w:firstLine="420"/>
        <w:jc w:val="both"/>
      </w:pPr>
      <w:r>
        <w:rPr>
          <w:sz w:val="21"/>
        </w:rPr>
        <w:t>（</w:t>
      </w:r>
      <w:r>
        <w:rPr>
          <w:sz w:val="21"/>
        </w:rPr>
        <w:t>1）拟投入设备应包括但不限于以上设备类型和数量要求。</w:t>
      </w:r>
      <w:r>
        <w:rPr>
          <w:sz w:val="21"/>
        </w:rPr>
        <w:t>乙方</w:t>
      </w:r>
      <w:r>
        <w:rPr>
          <w:sz w:val="21"/>
        </w:rPr>
        <w:t>需提供拟投入本项目的机械设备清单</w:t>
      </w:r>
      <w:r>
        <w:rPr>
          <w:sz w:val="21"/>
        </w:rPr>
        <w:t>(注明名称、规格、数量)，所采用的设备必须满足国家有关技术操作规程的要求。</w:t>
      </w:r>
    </w:p>
    <w:p>
      <w:pPr>
        <w:pStyle w:val="null3"/>
        <w:ind w:firstLine="420"/>
        <w:jc w:val="both"/>
      </w:pPr>
      <w:r>
        <w:rPr>
          <w:sz w:val="21"/>
        </w:rPr>
        <w:t>（</w:t>
      </w:r>
      <w:r>
        <w:rPr>
          <w:sz w:val="21"/>
        </w:rPr>
        <w:t>2）</w:t>
      </w:r>
      <w:r>
        <w:rPr>
          <w:sz w:val="21"/>
        </w:rPr>
        <w:t>乙方</w:t>
      </w:r>
      <w:r>
        <w:rPr>
          <w:sz w:val="21"/>
        </w:rPr>
        <w:t>拟投入的机械设备在合同签订后</w:t>
      </w:r>
      <w:r>
        <w:rPr>
          <w:sz w:val="21"/>
        </w:rPr>
        <w:t>30天内要经甲方验收认定，如数量不符，则作违约处理，甲方有权取消供应商的中标资格。</w:t>
      </w:r>
    </w:p>
    <w:p>
      <w:pPr>
        <w:pStyle w:val="null3"/>
        <w:ind w:firstLine="420"/>
        <w:jc w:val="both"/>
      </w:pPr>
      <w:r>
        <w:rPr>
          <w:sz w:val="21"/>
        </w:rPr>
        <w:t>（</w:t>
      </w:r>
      <w:r>
        <w:rPr>
          <w:sz w:val="21"/>
        </w:rPr>
        <w:t>3）项目所使用设备、车辆须做好维护保养，保持外观整洁。</w:t>
      </w:r>
    </w:p>
    <w:p>
      <w:pPr>
        <w:pStyle w:val="null3"/>
        <w:ind w:firstLine="422"/>
        <w:jc w:val="both"/>
      </w:pPr>
      <w:r>
        <w:rPr>
          <w:sz w:val="21"/>
          <w:b/>
        </w:rPr>
        <w:t>3</w:t>
      </w:r>
      <w:r>
        <w:rPr>
          <w:sz w:val="21"/>
          <w:b/>
        </w:rPr>
        <w:t>、药物</w:t>
      </w:r>
      <w:r>
        <w:rPr>
          <w:sz w:val="21"/>
          <w:b/>
        </w:rPr>
        <w:t>配置</w:t>
      </w:r>
      <w:r>
        <w:rPr>
          <w:sz w:val="21"/>
          <w:b/>
        </w:rPr>
        <w:t>要求</w:t>
      </w:r>
    </w:p>
    <w:p>
      <w:pPr>
        <w:pStyle w:val="null3"/>
        <w:ind w:firstLine="420"/>
        <w:jc w:val="both"/>
      </w:pPr>
      <w:r>
        <w:rPr>
          <w:sz w:val="21"/>
        </w:rPr>
        <w:t>用药标准：</w:t>
      </w:r>
      <w:r>
        <w:rPr>
          <w:sz w:val="21"/>
        </w:rPr>
        <w:t>乙方</w:t>
      </w:r>
      <w:r>
        <w:rPr>
          <w:sz w:val="21"/>
        </w:rPr>
        <w:t>必须注重科学合理用药，不能使用假药、国家禁用的药物。使用的药物必须符合《病媒生物控制药物器械安全使用准则》，确保病媒生物控制达到</w:t>
      </w:r>
      <w:r>
        <w:rPr>
          <w:sz w:val="21"/>
        </w:rPr>
        <w:t>“安全、高效、环保”的要求，用于本服务项目的消杀药物投入不能少于消杀面积的正常用药</w:t>
      </w:r>
      <w:r>
        <w:rPr>
          <w:sz w:val="21"/>
        </w:rPr>
        <w:t>（</w:t>
      </w:r>
      <w:r>
        <w:rPr>
          <w:sz w:val="21"/>
        </w:rPr>
        <w:t>原则上拟投入</w:t>
      </w:r>
      <w:r>
        <w:rPr>
          <w:sz w:val="21"/>
        </w:rPr>
        <w:t>用于本服务项目的消杀药物购置金额不低于中标金额的</w:t>
      </w:r>
      <w:r>
        <w:rPr>
          <w:sz w:val="21"/>
        </w:rPr>
        <w:t>20%</w:t>
      </w:r>
      <w:r>
        <w:rPr>
          <w:sz w:val="21"/>
        </w:rPr>
        <w:t>）</w:t>
      </w:r>
      <w:r>
        <w:rPr>
          <w:sz w:val="21"/>
        </w:rPr>
        <w:t>。</w:t>
      </w:r>
    </w:p>
    <w:p>
      <w:pPr>
        <w:pStyle w:val="null3"/>
        <w:spacing w:after="120"/>
        <w:jc w:val="both"/>
      </w:pPr>
      <w:r>
        <w:rPr>
          <w:sz w:val="21"/>
        </w:rPr>
        <w:t xml:space="preserve">    </w:t>
      </w:r>
      <w:r>
        <w:rPr>
          <w:sz w:val="21"/>
        </w:rPr>
        <w:t>为保证用药质量，使用药物应</w:t>
      </w:r>
      <w:r>
        <w:rPr>
          <w:sz w:val="21"/>
        </w:rPr>
        <w:t>满足</w:t>
      </w:r>
      <w:r>
        <w:rPr>
          <w:sz w:val="21"/>
        </w:rPr>
        <w:t>或高于</w:t>
      </w:r>
      <w:r>
        <w:rPr>
          <w:sz w:val="21"/>
        </w:rPr>
        <w:t>以下</w:t>
      </w:r>
      <w:r>
        <w:rPr>
          <w:sz w:val="21"/>
        </w:rPr>
        <w:t>标准</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1058"/>
        <w:gridCol w:w="1758"/>
        <w:gridCol w:w="3414"/>
        <w:gridCol w:w="2072"/>
      </w:tblGrid>
      <w:tr>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药品名称</w:t>
            </w:r>
          </w:p>
        </w:tc>
        <w:tc>
          <w:tcPr>
            <w:tcW w:type="dxa" w:w="3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有效成份（规格型号）</w:t>
            </w:r>
          </w:p>
        </w:tc>
        <w:tc>
          <w:tcPr>
            <w:tcW w:type="dxa" w:w="2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年投放量</w:t>
            </w:r>
            <w:r>
              <w:rPr>
                <w:sz w:val="19"/>
              </w:rPr>
              <w:t xml:space="preserve"> </w:t>
            </w:r>
            <w:r>
              <w:rPr>
                <w:sz w:val="19"/>
              </w:rPr>
              <w:t>( kg/L</w:t>
            </w:r>
            <w:r>
              <w:rPr>
                <w:sz w:val="19"/>
              </w:rPr>
              <w:t>/</w:t>
            </w:r>
            <w:r>
              <w:rPr>
                <w:sz w:val="19"/>
              </w:rPr>
              <w:t>个</w:t>
            </w:r>
            <w:r>
              <w:rPr>
                <w:sz w:val="19"/>
              </w:rPr>
              <w:t>)</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灭鼠毒饵站</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陶瓷毒饵站（长度</w:t>
            </w:r>
            <w:r>
              <w:rPr>
                <w:sz w:val="19"/>
              </w:rPr>
              <w:t>≥</w:t>
            </w:r>
            <w:r>
              <w:rPr>
                <w:sz w:val="19"/>
              </w:rPr>
              <w:t>30cm</w:t>
            </w:r>
            <w:r>
              <w:rPr>
                <w:sz w:val="19"/>
              </w:rPr>
              <w:t>）</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450</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1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鼠饵</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0.005%</w:t>
            </w:r>
            <w:r>
              <w:rPr>
                <w:sz w:val="19"/>
              </w:rPr>
              <w:t>氟鼠灵蜡块毒饵</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120</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758"/>
            <w:vMerge/>
            <w:tcBorders>
              <w:top w:val="none" w:color="000000" w:sz="4"/>
              <w:left w:val="single" w:color="000000" w:sz="4"/>
              <w:bottom w:val="single" w:color="000000" w:sz="4"/>
              <w:right w:val="single" w:color="000000" w:sz="4"/>
            </w:tcBorders>
          </w:tcP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0.005%</w:t>
            </w:r>
            <w:r>
              <w:rPr>
                <w:sz w:val="19"/>
              </w:rPr>
              <w:t>溴鼠灵</w:t>
            </w:r>
            <w:r>
              <w:rPr>
                <w:sz w:val="19"/>
              </w:rPr>
              <w:t>/0.005%</w:t>
            </w:r>
            <w:r>
              <w:rPr>
                <w:sz w:val="19"/>
              </w:rPr>
              <w:t>溴敌隆毒饵</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1800</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灭蚊幼蝇幼药</w:t>
            </w:r>
            <w:r>
              <w:br/>
            </w:r>
            <w:r>
              <w:rPr>
                <w:sz w:val="19"/>
              </w:rPr>
              <w:t>物</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倍硫磷杀虫颗粒</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480</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灭蚊蝇药物</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r>
              <w:rPr>
                <w:sz w:val="19"/>
              </w:rPr>
              <w:t>高效氯氟氰菊微囊悬浮剂</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720</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758"/>
            <w:vMerge/>
            <w:tcBorders>
              <w:top w:val="none" w:color="000000" w:sz="4"/>
              <w:left w:val="single" w:color="000000" w:sz="4"/>
              <w:bottom w:val="single" w:color="000000" w:sz="4"/>
              <w:right w:val="single" w:color="000000" w:sz="4"/>
            </w:tcBorders>
          </w:tcP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残杀威</w:t>
            </w:r>
            <w:r>
              <w:rPr>
                <w:sz w:val="19"/>
              </w:rPr>
              <w:t>.</w:t>
            </w:r>
            <w:r>
              <w:rPr>
                <w:sz w:val="19"/>
              </w:rPr>
              <w:t>氯丙炔乳油</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560</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758"/>
            <w:vMerge/>
            <w:tcBorders>
              <w:top w:val="none" w:color="000000" w:sz="4"/>
              <w:left w:val="single" w:color="000000" w:sz="4"/>
              <w:bottom w:val="single" w:color="000000" w:sz="4"/>
              <w:right w:val="single" w:color="000000" w:sz="4"/>
            </w:tcBorders>
          </w:tcP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r>
              <w:rPr>
                <w:sz w:val="19"/>
              </w:rPr>
              <w:t>氯菊</w:t>
            </w:r>
            <w:r>
              <w:rPr>
                <w:sz w:val="19"/>
              </w:rPr>
              <w:t>.</w:t>
            </w:r>
            <w:r>
              <w:rPr>
                <w:sz w:val="19"/>
              </w:rPr>
              <w:t>四氟醚水乳剂</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535.13</w:t>
            </w:r>
          </w:p>
        </w:tc>
      </w:tr>
      <w:tr>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灭蚊、蟑药物</w:t>
            </w:r>
          </w:p>
        </w:tc>
        <w:tc>
          <w:tcPr>
            <w:tcW w:type="dxa" w:w="3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r>
              <w:rPr>
                <w:sz w:val="19"/>
              </w:rPr>
              <w:t>残杀威</w:t>
            </w:r>
            <w:r>
              <w:rPr>
                <w:sz w:val="19"/>
              </w:rPr>
              <w:t>/</w:t>
            </w:r>
            <w:r>
              <w:rPr>
                <w:sz w:val="19"/>
              </w:rPr>
              <w:t>氯氰菊酯热烟雾剂</w:t>
            </w:r>
          </w:p>
        </w:tc>
        <w:tc>
          <w:tcPr>
            <w:tcW w:type="dxa" w:w="2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2,400</w:t>
            </w:r>
          </w:p>
        </w:tc>
      </w:tr>
    </w:tbl>
    <w:p>
      <w:pPr>
        <w:pStyle w:val="null3"/>
        <w:ind w:firstLine="420"/>
        <w:jc w:val="both"/>
      </w:pPr>
      <w:r>
        <w:rPr>
          <w:sz w:val="21"/>
        </w:rPr>
        <w:t>（</w:t>
      </w:r>
      <w:r>
        <w:rPr>
          <w:sz w:val="21"/>
        </w:rPr>
        <w:t>1）</w:t>
      </w:r>
      <w:r>
        <w:rPr>
          <w:sz w:val="21"/>
        </w:rPr>
        <w:t>乙方</w:t>
      </w:r>
      <w:r>
        <w:rPr>
          <w:sz w:val="21"/>
        </w:rPr>
        <w:t>拟投用药物必须满足本项目需求的用药要求，如使用的药物效果不达标，</w:t>
      </w:r>
      <w:r>
        <w:rPr>
          <w:sz w:val="21"/>
        </w:rPr>
        <w:t>甲方</w:t>
      </w:r>
      <w:r>
        <w:rPr>
          <w:sz w:val="21"/>
        </w:rPr>
        <w:t>有权要求</w:t>
      </w:r>
      <w:r>
        <w:rPr>
          <w:sz w:val="21"/>
        </w:rPr>
        <w:t>乙方</w:t>
      </w:r>
      <w:r>
        <w:rPr>
          <w:sz w:val="21"/>
        </w:rPr>
        <w:t>更换药物，由此产生额外增加的费用由</w:t>
      </w:r>
      <w:r>
        <w:rPr>
          <w:sz w:val="21"/>
        </w:rPr>
        <w:t>乙方</w:t>
      </w:r>
      <w:r>
        <w:rPr>
          <w:sz w:val="21"/>
        </w:rPr>
        <w:t>自行承担，</w:t>
      </w:r>
      <w:r>
        <w:rPr>
          <w:sz w:val="21"/>
        </w:rPr>
        <w:t>甲方</w:t>
      </w:r>
      <w:r>
        <w:rPr>
          <w:sz w:val="21"/>
        </w:rPr>
        <w:t>不承担该费用。</w:t>
      </w:r>
    </w:p>
    <w:p>
      <w:pPr>
        <w:pStyle w:val="null3"/>
        <w:ind w:firstLine="420"/>
        <w:jc w:val="both"/>
      </w:pPr>
      <w:r>
        <w:rPr>
          <w:sz w:val="21"/>
        </w:rPr>
        <w:t>（</w:t>
      </w:r>
      <w:r>
        <w:rPr>
          <w:sz w:val="21"/>
        </w:rPr>
        <w:t>2）</w:t>
      </w:r>
      <w:r>
        <w:rPr>
          <w:sz w:val="21"/>
        </w:rPr>
        <w:t>乙方</w:t>
      </w:r>
      <w:r>
        <w:rPr>
          <w:sz w:val="21"/>
        </w:rPr>
        <w:t>需提供拟投入药物清单，且不得低于以上标准要求。服务期间所使用药品均具备以下资料，甲方随时核验</w:t>
      </w:r>
      <w:r>
        <w:rPr>
          <w:sz w:val="21"/>
        </w:rPr>
        <w:t>：</w:t>
      </w:r>
    </w:p>
    <w:p>
      <w:pPr>
        <w:pStyle w:val="null3"/>
        <w:ind w:firstLine="420"/>
        <w:jc w:val="both"/>
      </w:pPr>
      <w:r>
        <w:rPr>
          <w:sz w:val="21"/>
        </w:rPr>
        <w:t>1）农业部颁发的“三证”（农药生产许可证或者农药生产批准文件、农药标准证和农药登记证）。</w:t>
      </w:r>
    </w:p>
    <w:p>
      <w:pPr>
        <w:pStyle w:val="null3"/>
        <w:ind w:firstLine="420"/>
        <w:jc w:val="both"/>
      </w:pPr>
      <w:r>
        <w:rPr>
          <w:sz w:val="21"/>
        </w:rPr>
        <w:t>2）药物进出登记台账。</w:t>
      </w:r>
    </w:p>
    <w:p>
      <w:pPr>
        <w:pStyle w:val="null3"/>
        <w:ind w:firstLine="420"/>
        <w:jc w:val="both"/>
      </w:pPr>
      <w:r>
        <w:rPr>
          <w:sz w:val="21"/>
        </w:rPr>
        <w:t>序号</w:t>
      </w:r>
      <w:r>
        <w:rPr>
          <w:sz w:val="21"/>
        </w:rPr>
        <w:t>1）-</w:t>
      </w:r>
      <w:r>
        <w:rPr>
          <w:sz w:val="21"/>
        </w:rPr>
        <w:t>2</w:t>
      </w:r>
      <w:r>
        <w:rPr>
          <w:sz w:val="21"/>
        </w:rPr>
        <w:t>）资料的备案须在有效期内，续展期顺延三个月。</w:t>
      </w:r>
    </w:p>
    <w:p>
      <w:pPr>
        <w:pStyle w:val="null3"/>
        <w:ind w:firstLine="420"/>
        <w:jc w:val="both"/>
      </w:pPr>
      <w:r>
        <w:rPr>
          <w:sz w:val="21"/>
        </w:rPr>
        <w:t>3</w:t>
      </w:r>
      <w:r>
        <w:rPr>
          <w:sz w:val="21"/>
        </w:rPr>
        <w:t>）药品标签。</w:t>
      </w:r>
    </w:p>
    <w:p>
      <w:pPr>
        <w:pStyle w:val="null3"/>
        <w:ind w:firstLine="420"/>
        <w:jc w:val="both"/>
      </w:pPr>
      <w:r>
        <w:rPr>
          <w:sz w:val="21"/>
        </w:rPr>
        <w:t>4</w:t>
      </w:r>
      <w:r>
        <w:rPr>
          <w:sz w:val="21"/>
        </w:rPr>
        <w:t>）药品第三方检测报告（或者产品质量检验合格证明）。</w:t>
      </w:r>
    </w:p>
    <w:p>
      <w:pPr>
        <w:pStyle w:val="null3"/>
        <w:ind w:firstLine="420"/>
        <w:jc w:val="both"/>
      </w:pPr>
      <w:r>
        <w:rPr>
          <w:sz w:val="21"/>
        </w:rPr>
        <w:t>5</w:t>
      </w:r>
      <w:r>
        <w:rPr>
          <w:sz w:val="21"/>
        </w:rPr>
        <w:t>）药品化学品安全技术说明书或农药产品安全数据单（</w:t>
      </w:r>
      <w:r>
        <w:rPr>
          <w:sz w:val="21"/>
        </w:rPr>
        <w:t>MSDS）。</w:t>
      </w:r>
    </w:p>
    <w:p>
      <w:pPr>
        <w:pStyle w:val="null3"/>
        <w:ind w:firstLine="420"/>
        <w:jc w:val="both"/>
      </w:pPr>
      <w:r>
        <w:rPr>
          <w:sz w:val="21"/>
        </w:rPr>
        <w:t>（</w:t>
      </w:r>
      <w:r>
        <w:rPr>
          <w:sz w:val="21"/>
        </w:rPr>
        <w:t>3</w:t>
      </w:r>
      <w:r>
        <w:rPr>
          <w:sz w:val="21"/>
        </w:rPr>
        <w:t>）</w:t>
      </w:r>
      <w:r>
        <w:rPr>
          <w:sz w:val="21"/>
        </w:rPr>
        <w:t>如药物使用不当</w:t>
      </w:r>
      <w:r>
        <w:rPr>
          <w:sz w:val="21"/>
        </w:rPr>
        <w:t>或未做好警示工作而</w:t>
      </w:r>
      <w:r>
        <w:rPr>
          <w:sz w:val="21"/>
        </w:rPr>
        <w:t>引起人畜中毒或其他责任事故的，</w:t>
      </w:r>
      <w:r>
        <w:rPr>
          <w:sz w:val="21"/>
        </w:rPr>
        <w:t>乙方</w:t>
      </w:r>
      <w:r>
        <w:rPr>
          <w:sz w:val="21"/>
        </w:rPr>
        <w:t>应承担相应的法律责任及后果，如若因此造成</w:t>
      </w:r>
      <w:r>
        <w:rPr>
          <w:sz w:val="21"/>
        </w:rPr>
        <w:t>甲方</w:t>
      </w:r>
      <w:r>
        <w:rPr>
          <w:sz w:val="21"/>
        </w:rPr>
        <w:t>损失或被第三方追偿的，</w:t>
      </w:r>
      <w:r>
        <w:rPr>
          <w:sz w:val="21"/>
        </w:rPr>
        <w:t>甲方</w:t>
      </w:r>
      <w:r>
        <w:rPr>
          <w:sz w:val="21"/>
        </w:rPr>
        <w:t>有权就自身所承担损失向供应商追偿</w:t>
      </w:r>
      <w:r>
        <w:rPr>
          <w:sz w:val="21"/>
        </w:rPr>
        <w:t>。</w:t>
      </w:r>
    </w:p>
    <w:p>
      <w:pPr>
        <w:pStyle w:val="null3"/>
        <w:jc w:val="both"/>
      </w:pPr>
      <w:r>
        <w:rPr>
          <w:sz w:val="21"/>
          <w:b/>
        </w:rPr>
        <w:t>十</w:t>
      </w:r>
      <w:r>
        <w:rPr>
          <w:sz w:val="21"/>
          <w:b/>
        </w:rPr>
        <w:t>、</w:t>
      </w:r>
      <w:r>
        <w:rPr>
          <w:sz w:val="21"/>
          <w:b/>
        </w:rPr>
        <w:t>应急服务</w:t>
      </w:r>
    </w:p>
    <w:p>
      <w:pPr>
        <w:pStyle w:val="null3"/>
        <w:ind w:firstLine="420"/>
        <w:jc w:val="both"/>
      </w:pPr>
      <w:r>
        <w:rPr>
          <w:sz w:val="21"/>
        </w:rPr>
        <w:t>1、乙方</w:t>
      </w:r>
      <w:r>
        <w:rPr>
          <w:sz w:val="21"/>
        </w:rPr>
        <w:t>必须组建应急队伍，制定</w:t>
      </w:r>
      <w:r>
        <w:rPr>
          <w:sz w:val="21"/>
        </w:rPr>
        <w:t>制订工作应急预案</w:t>
      </w:r>
      <w:r>
        <w:rPr>
          <w:sz w:val="21"/>
        </w:rPr>
        <w:t>。在发生公共突发事件</w:t>
      </w:r>
      <w:r>
        <w:rPr>
          <w:sz w:val="21"/>
        </w:rPr>
        <w:t>时</w:t>
      </w:r>
      <w:r>
        <w:rPr>
          <w:sz w:val="21"/>
        </w:rPr>
        <w:t>，</w:t>
      </w:r>
      <w:r>
        <w:rPr>
          <w:sz w:val="21"/>
        </w:rPr>
        <w:t>乙方</w:t>
      </w:r>
      <w:r>
        <w:rPr>
          <w:sz w:val="21"/>
        </w:rPr>
        <w:t>必须无条件响应</w:t>
      </w:r>
      <w:r>
        <w:rPr>
          <w:sz w:val="21"/>
        </w:rPr>
        <w:t>甲方</w:t>
      </w:r>
      <w:r>
        <w:rPr>
          <w:sz w:val="21"/>
        </w:rPr>
        <w:t>要求，参与应急事务处理工作或上级特派任务等</w:t>
      </w:r>
      <w:r>
        <w:rPr>
          <w:sz w:val="21"/>
        </w:rPr>
        <w:t>。</w:t>
      </w:r>
      <w:r>
        <w:rPr>
          <w:sz w:val="21"/>
        </w:rPr>
        <w:t>需要</w:t>
      </w:r>
      <w:r>
        <w:rPr>
          <w:sz w:val="21"/>
        </w:rPr>
        <w:t>乙方</w:t>
      </w:r>
      <w:r>
        <w:rPr>
          <w:sz w:val="21"/>
        </w:rPr>
        <w:t>进行突击加班时，</w:t>
      </w:r>
      <w:r>
        <w:rPr>
          <w:sz w:val="21"/>
        </w:rPr>
        <w:t>乙方</w:t>
      </w:r>
      <w:r>
        <w:rPr>
          <w:sz w:val="21"/>
        </w:rPr>
        <w:t>必须积极且无条件地组织安排加班，并按时按质按量完成任务。</w:t>
      </w:r>
    </w:p>
    <w:p>
      <w:pPr>
        <w:pStyle w:val="null3"/>
        <w:ind w:firstLine="420"/>
        <w:jc w:val="both"/>
      </w:pPr>
      <w:r>
        <w:rPr>
          <w:sz w:val="21"/>
        </w:rPr>
        <w:t>2、乙方</w:t>
      </w:r>
      <w:r>
        <w:rPr>
          <w:sz w:val="21"/>
        </w:rPr>
        <w:t>必须随时接受并配合</w:t>
      </w:r>
      <w:r>
        <w:rPr>
          <w:sz w:val="21"/>
        </w:rPr>
        <w:t>甲方</w:t>
      </w:r>
      <w:r>
        <w:rPr>
          <w:sz w:val="21"/>
        </w:rPr>
        <w:t>、属地社区、专项检查小组、</w:t>
      </w:r>
      <w:r>
        <w:rPr>
          <w:sz w:val="22"/>
        </w:rPr>
        <w:t>各</w:t>
      </w:r>
      <w:r>
        <w:rPr>
          <w:sz w:val="21"/>
        </w:rPr>
        <w:t>级疾病防控部门以及其它相关部门的监督、检查和指导，必须无条件服从</w:t>
      </w:r>
      <w:r>
        <w:rPr>
          <w:sz w:val="21"/>
        </w:rPr>
        <w:t>甲方</w:t>
      </w:r>
      <w:r>
        <w:rPr>
          <w:sz w:val="21"/>
        </w:rPr>
        <w:t>组织的一些突击性任务及迎检活动，按时、按标准、按要求完成所分配的工作。</w:t>
      </w:r>
      <w:r>
        <w:rPr>
          <w:sz w:val="21"/>
        </w:rPr>
        <w:t>如有重大迎检工作时，需按工作要求布置，随时加大消杀频率，保证顺利完成相关迎检工作。</w:t>
      </w:r>
    </w:p>
    <w:p>
      <w:pPr>
        <w:pStyle w:val="null3"/>
        <w:ind w:firstLine="420"/>
        <w:jc w:val="both"/>
      </w:pPr>
      <w:r>
        <w:rPr>
          <w:sz w:val="21"/>
        </w:rPr>
        <w:t>3、如遇突发事情应急事件等，乙方需在</w:t>
      </w:r>
      <w:r>
        <w:rPr>
          <w:sz w:val="21"/>
        </w:rPr>
        <w:t>2</w:t>
      </w:r>
      <w:r>
        <w:rPr>
          <w:sz w:val="21"/>
        </w:rPr>
        <w:t>小时内派人员到达现场协助甲方安排处理相关事件。管理人员电话必须保持</w:t>
      </w:r>
      <w:r>
        <w:rPr>
          <w:sz w:val="21"/>
        </w:rPr>
        <w:t>24小时畅通</w:t>
      </w:r>
      <w:r>
        <w:rPr>
          <w:sz w:val="21"/>
        </w:rPr>
        <w:t>。</w:t>
      </w:r>
    </w:p>
    <w:p>
      <w:pPr>
        <w:pStyle w:val="null3"/>
        <w:jc w:val="both"/>
      </w:pPr>
      <w:r>
        <w:rPr>
          <w:sz w:val="21"/>
          <w:b/>
        </w:rPr>
        <w:t>十一</w:t>
      </w:r>
      <w:r>
        <w:rPr>
          <w:sz w:val="21"/>
          <w:b/>
        </w:rPr>
        <w:t>、考核评分办法</w:t>
      </w:r>
    </w:p>
    <w:p>
      <w:pPr>
        <w:pStyle w:val="null3"/>
        <w:ind w:firstLine="420"/>
        <w:jc w:val="both"/>
      </w:pPr>
      <w:r>
        <w:rPr>
          <w:sz w:val="21"/>
        </w:rPr>
        <w:t>甲方</w:t>
      </w:r>
      <w:r>
        <w:rPr>
          <w:sz w:val="21"/>
        </w:rPr>
        <w:t>每个月按照《黄江镇</w:t>
      </w:r>
      <w:r>
        <w:rPr>
          <w:sz w:val="21"/>
        </w:rPr>
        <w:t>“四害”消杀考核评分表》(</w:t>
      </w:r>
      <w:r>
        <w:rPr>
          <w:sz w:val="21"/>
        </w:rPr>
        <w:t>详见</w:t>
      </w:r>
      <w:r>
        <w:rPr>
          <w:sz w:val="21"/>
        </w:rPr>
        <w:t>附件</w:t>
      </w:r>
      <w:r>
        <w:rPr>
          <w:sz w:val="21"/>
        </w:rPr>
        <w:t>1</w:t>
      </w:r>
      <w:r>
        <w:rPr>
          <w:sz w:val="21"/>
        </w:rPr>
        <w:t>）对</w:t>
      </w:r>
      <w:r>
        <w:rPr>
          <w:sz w:val="21"/>
        </w:rPr>
        <w:t>乙方</w:t>
      </w:r>
      <w:r>
        <w:rPr>
          <w:sz w:val="21"/>
        </w:rPr>
        <w:t>“四害”消杀服务质量进行考核，根据考核结果支付服务费用。</w:t>
      </w:r>
    </w:p>
    <w:p>
      <w:pPr>
        <w:pStyle w:val="null3"/>
        <w:jc w:val="both"/>
      </w:pPr>
      <w:r>
        <w:rPr>
          <w:sz w:val="21"/>
          <w:b/>
        </w:rPr>
        <w:t xml:space="preserve">   十二、违约责任及</w:t>
      </w:r>
      <w:r>
        <w:rPr>
          <w:sz w:val="21"/>
          <w:b/>
        </w:rPr>
        <w:t>退场机制</w:t>
      </w:r>
    </w:p>
    <w:p>
      <w:pPr>
        <w:pStyle w:val="null3"/>
        <w:ind w:firstLine="420"/>
        <w:jc w:val="both"/>
      </w:pPr>
      <w:r>
        <w:rPr>
          <w:sz w:val="21"/>
        </w:rPr>
        <w:t>1、</w:t>
      </w:r>
      <w:r>
        <w:rPr>
          <w:sz w:val="21"/>
        </w:rPr>
        <w:t>合同双方任何一方不履行合同条款或不按合同约定履行条款的其它情况，均属违约，由违约方承担违约责任，赔偿因其违约造成的损失，并支付合同价款总额【】</w:t>
      </w:r>
      <w:r>
        <w:rPr>
          <w:sz w:val="21"/>
        </w:rPr>
        <w:t>%的违约金。</w:t>
      </w:r>
    </w:p>
    <w:p>
      <w:pPr>
        <w:pStyle w:val="null3"/>
        <w:ind w:firstLine="420"/>
        <w:jc w:val="both"/>
      </w:pPr>
      <w:r>
        <w:rPr>
          <w:sz w:val="21"/>
        </w:rPr>
        <w:t>2、</w:t>
      </w:r>
      <w:r>
        <w:rPr>
          <w:sz w:val="21"/>
        </w:rPr>
        <w:t>任一方需要变更或中途终止合同，需提前一个月以正式书面的形式通知另一方，另一方在收到书面通知后</w:t>
      </w:r>
      <w:r>
        <w:rPr>
          <w:sz w:val="21"/>
        </w:rPr>
        <w:t>15日内应予以书面答复。</w:t>
      </w:r>
    </w:p>
    <w:p>
      <w:pPr>
        <w:pStyle w:val="null3"/>
        <w:ind w:firstLine="420"/>
        <w:jc w:val="both"/>
      </w:pPr>
      <w:r>
        <w:rPr>
          <w:sz w:val="21"/>
        </w:rPr>
        <w:t>3、</w:t>
      </w:r>
      <w:r>
        <w:rPr>
          <w:sz w:val="21"/>
        </w:rPr>
        <w:t>由于乙方的原因，导致本合同终止或解除，甲方不予退还履约保证金，乙方须向甲方支付合同总价【</w:t>
      </w:r>
      <w:r>
        <w:rPr>
          <w:sz w:val="21"/>
        </w:rPr>
        <w:t>】</w:t>
      </w:r>
      <w:r>
        <w:rPr>
          <w:sz w:val="21"/>
        </w:rPr>
        <w:t>%的违约金，并赔偿甲方损失。</w:t>
      </w:r>
    </w:p>
    <w:p>
      <w:pPr>
        <w:pStyle w:val="null3"/>
        <w:ind w:firstLine="420"/>
        <w:jc w:val="both"/>
      </w:pPr>
      <w:r>
        <w:rPr>
          <w:sz w:val="21"/>
        </w:rPr>
        <w:t>4、</w:t>
      </w:r>
      <w:r>
        <w:rPr>
          <w:sz w:val="21"/>
        </w:rPr>
        <w:t>甲方对乙方提供的服务进行考核并要求整改的，乙方若拖延或拒不落实整改的，甲方有权按次要求乙方支付违约金</w:t>
      </w:r>
      <w:r>
        <w:rPr>
          <w:sz w:val="21"/>
        </w:rPr>
        <w:t>5000元。</w:t>
      </w:r>
    </w:p>
    <w:p>
      <w:pPr>
        <w:pStyle w:val="null3"/>
        <w:ind w:firstLine="420"/>
        <w:jc w:val="both"/>
      </w:pPr>
      <w:r>
        <w:rPr>
          <w:sz w:val="21"/>
        </w:rPr>
        <w:t>5、如</w:t>
      </w:r>
      <w:r>
        <w:rPr>
          <w:sz w:val="21"/>
        </w:rPr>
        <w:t>履行本合同项目过程中出现不可抗力情形，致使本合同的无法继续履行的，双方经协商一致后可解除本合同，双方免除责任。</w:t>
      </w:r>
      <w:r>
        <w:rPr>
          <w:sz w:val="21"/>
        </w:rPr>
        <w:t>乙方遭受不可抗力的无法履行合同的，应及时书面通知甲方并采取合理措施防止损失扩大，否则甲方有权要求乙方赔偿因此造成的全部损失</w:t>
      </w:r>
      <w:r>
        <w:rPr>
          <w:sz w:val="21"/>
        </w:rPr>
        <w:t>。</w:t>
      </w:r>
    </w:p>
    <w:p>
      <w:pPr>
        <w:pStyle w:val="null3"/>
        <w:ind w:firstLine="420"/>
        <w:jc w:val="both"/>
      </w:pPr>
      <w:r>
        <w:rPr>
          <w:sz w:val="21"/>
        </w:rPr>
        <w:t>6、</w:t>
      </w:r>
      <w:r>
        <w:rPr>
          <w:sz w:val="21"/>
        </w:rPr>
        <w:t>守约方为维护自身合法权益所支出的一切费用，包括但不限于诉讼费、律师费、</w:t>
      </w:r>
      <w:r>
        <w:rPr>
          <w:sz w:val="21"/>
        </w:rPr>
        <w:t>保全保险费</w:t>
      </w:r>
      <w:r>
        <w:rPr>
          <w:sz w:val="21"/>
        </w:rPr>
        <w:t>、保全费、鉴定费等，由违约方承担。</w:t>
      </w:r>
    </w:p>
    <w:p>
      <w:pPr>
        <w:pStyle w:val="null3"/>
        <w:ind w:firstLine="420"/>
        <w:jc w:val="both"/>
      </w:pPr>
      <w:r>
        <w:rPr>
          <w:sz w:val="21"/>
        </w:rPr>
        <w:t>7、</w:t>
      </w:r>
      <w:r>
        <w:rPr>
          <w:sz w:val="21"/>
        </w:rPr>
        <w:t>本合同期内，乙方出现有下列任何一种情况的，甲方有权即时单方解除承包合同，同时，在终止合同后，乙方应保证无条件服务至下一服务单位交接完毕，以保证项目顺利进行，否则，甲方有权没收履约保证金。</w:t>
      </w:r>
    </w:p>
    <w:p>
      <w:pPr>
        <w:pStyle w:val="null3"/>
        <w:ind w:firstLine="420"/>
        <w:jc w:val="both"/>
      </w:pPr>
      <w:r>
        <w:rPr>
          <w:sz w:val="21"/>
        </w:rPr>
        <w:t>（</w:t>
      </w:r>
      <w:r>
        <w:rPr>
          <w:sz w:val="21"/>
        </w:rPr>
        <w:t>1</w:t>
      </w:r>
      <w:r>
        <w:rPr>
          <w:sz w:val="21"/>
        </w:rPr>
        <w:t>）</w:t>
      </w:r>
      <w:r>
        <w:rPr>
          <w:sz w:val="21"/>
        </w:rPr>
        <w:t>乙方书面表示放弃</w:t>
      </w:r>
      <w:r>
        <w:rPr>
          <w:sz w:val="21"/>
        </w:rPr>
        <w:t>服务本项目</w:t>
      </w:r>
      <w:r>
        <w:rPr>
          <w:sz w:val="21"/>
        </w:rPr>
        <w:t>，导致甲方临时委托第三方履行乙方工作职责的，且临时委托第三方的费用由乙方承担；</w:t>
      </w:r>
    </w:p>
    <w:p>
      <w:pPr>
        <w:pStyle w:val="null3"/>
        <w:ind w:firstLine="420"/>
        <w:jc w:val="both"/>
      </w:pPr>
      <w:r>
        <w:rPr>
          <w:sz w:val="21"/>
        </w:rPr>
        <w:t>（</w:t>
      </w:r>
      <w:r>
        <w:rPr>
          <w:sz w:val="21"/>
        </w:rPr>
        <w:t>2</w:t>
      </w:r>
      <w:r>
        <w:rPr>
          <w:sz w:val="21"/>
        </w:rPr>
        <w:t>）</w:t>
      </w:r>
      <w:r>
        <w:rPr>
          <w:sz w:val="21"/>
        </w:rPr>
        <w:t>乙方无法继续履行</w:t>
      </w:r>
      <w:r>
        <w:rPr>
          <w:sz w:val="21"/>
        </w:rPr>
        <w:t>服务</w:t>
      </w:r>
      <w:r>
        <w:rPr>
          <w:sz w:val="21"/>
        </w:rPr>
        <w:t>义务的，或乙方不能完全履约导致甲方临时委托第三方履行乙方工作职责的，且临时委托第三方的费用由乙方承担；</w:t>
      </w:r>
    </w:p>
    <w:p>
      <w:pPr>
        <w:pStyle w:val="null3"/>
        <w:ind w:firstLine="420"/>
        <w:jc w:val="both"/>
      </w:pPr>
      <w:r>
        <w:rPr>
          <w:sz w:val="21"/>
        </w:rPr>
        <w:t>（</w:t>
      </w:r>
      <w:r>
        <w:rPr>
          <w:sz w:val="21"/>
        </w:rPr>
        <w:t>3</w:t>
      </w:r>
      <w:r>
        <w:rPr>
          <w:sz w:val="21"/>
        </w:rPr>
        <w:t>）</w:t>
      </w:r>
      <w:r>
        <w:rPr>
          <w:sz w:val="21"/>
        </w:rPr>
        <w:t>乙方服务有效期内有越权收费、弄虚作假等违法经营行为，可能导致本合同无法继续履行的；</w:t>
      </w:r>
    </w:p>
    <w:p>
      <w:pPr>
        <w:pStyle w:val="null3"/>
        <w:ind w:firstLine="420"/>
        <w:jc w:val="both"/>
      </w:pPr>
      <w:r>
        <w:rPr>
          <w:sz w:val="21"/>
        </w:rPr>
        <w:t>（</w:t>
      </w:r>
      <w:r>
        <w:rPr>
          <w:sz w:val="21"/>
        </w:rPr>
        <w:t>4</w:t>
      </w:r>
      <w:r>
        <w:rPr>
          <w:sz w:val="21"/>
        </w:rPr>
        <w:t>）</w:t>
      </w:r>
      <w:r>
        <w:rPr>
          <w:sz w:val="21"/>
        </w:rPr>
        <w:t>甲方每月对乙方进行考核，连续二次（含二次）或一年内累积有三次考核结果低于</w:t>
      </w:r>
      <w:r>
        <w:rPr>
          <w:sz w:val="21"/>
        </w:rPr>
        <w:t>80</w:t>
      </w:r>
      <w:r>
        <w:rPr>
          <w:sz w:val="21"/>
        </w:rPr>
        <w:t>分（不含）的，除按规定扣款外，甲方有权解除协议，没收履约保证金，乙方无偿退出；</w:t>
      </w:r>
    </w:p>
    <w:p>
      <w:pPr>
        <w:pStyle w:val="null3"/>
        <w:ind w:firstLine="420"/>
        <w:jc w:val="both"/>
      </w:pPr>
      <w:r>
        <w:rPr>
          <w:sz w:val="21"/>
        </w:rPr>
        <w:t>（</w:t>
      </w:r>
      <w:r>
        <w:rPr>
          <w:sz w:val="21"/>
        </w:rPr>
        <w:t>5</w:t>
      </w:r>
      <w:r>
        <w:rPr>
          <w:sz w:val="21"/>
        </w:rPr>
        <w:t>）</w:t>
      </w:r>
      <w:r>
        <w:rPr>
          <w:sz w:val="21"/>
        </w:rPr>
        <w:t>乙方合同期内，因在本项目中操作不当、管理疏漏等原因，发生安全生产责任事故造成</w:t>
      </w:r>
      <w:r>
        <w:rPr>
          <w:sz w:val="21"/>
        </w:rPr>
        <w:t>1人以上（含1人）死亡或3人以上（含3人）重伤的安全事故，并负主要责任的；</w:t>
      </w:r>
    </w:p>
    <w:p>
      <w:pPr>
        <w:pStyle w:val="null3"/>
        <w:ind w:firstLine="420"/>
        <w:jc w:val="both"/>
      </w:pPr>
      <w:r>
        <w:rPr>
          <w:sz w:val="21"/>
        </w:rPr>
        <w:t>（</w:t>
      </w:r>
      <w:r>
        <w:rPr>
          <w:sz w:val="21"/>
        </w:rPr>
        <w:t>6</w:t>
      </w:r>
      <w:r>
        <w:rPr>
          <w:sz w:val="21"/>
        </w:rPr>
        <w:t>）</w:t>
      </w:r>
      <w:r>
        <w:rPr>
          <w:sz w:val="21"/>
        </w:rPr>
        <w:t>乙方任一个月未按时足额发放员工工资（含加班工资）的人数达</w:t>
      </w:r>
      <w:r>
        <w:rPr>
          <w:sz w:val="21"/>
        </w:rPr>
        <w:t>5人以上（含5人）的，或乙方拖欠员工工资（含加班工资）达两个月的；</w:t>
      </w:r>
    </w:p>
    <w:p>
      <w:pPr>
        <w:pStyle w:val="null3"/>
        <w:ind w:firstLine="420"/>
        <w:jc w:val="both"/>
      </w:pPr>
      <w:r>
        <w:rPr>
          <w:sz w:val="21"/>
        </w:rPr>
        <w:t>（</w:t>
      </w:r>
      <w:r>
        <w:rPr>
          <w:sz w:val="21"/>
        </w:rPr>
        <w:t>7</w:t>
      </w:r>
      <w:r>
        <w:rPr>
          <w:sz w:val="21"/>
        </w:rPr>
        <w:t>）</w:t>
      </w:r>
      <w:r>
        <w:rPr>
          <w:sz w:val="21"/>
        </w:rPr>
        <w:t>乙方违反劳动法，损害工人合法权益，出现性质严重或情节恶劣的；</w:t>
      </w:r>
    </w:p>
    <w:p>
      <w:pPr>
        <w:pStyle w:val="null3"/>
        <w:ind w:firstLine="420"/>
        <w:jc w:val="both"/>
      </w:pPr>
      <w:r>
        <w:rPr>
          <w:sz w:val="21"/>
        </w:rPr>
        <w:t>（</w:t>
      </w:r>
      <w:r>
        <w:rPr>
          <w:sz w:val="21"/>
        </w:rPr>
        <w:t>8</w:t>
      </w:r>
      <w:r>
        <w:rPr>
          <w:sz w:val="21"/>
        </w:rPr>
        <w:t>）</w:t>
      </w:r>
      <w:r>
        <w:rPr>
          <w:sz w:val="21"/>
        </w:rPr>
        <w:t>乙方有纵容、煽动工人怠工、罢工等过激行为的，或因乙方无视工人权益引致工人有怠工、罢工等过激行为的；</w:t>
      </w:r>
    </w:p>
    <w:p>
      <w:pPr>
        <w:pStyle w:val="null3"/>
        <w:ind w:firstLine="420"/>
        <w:jc w:val="both"/>
      </w:pPr>
      <w:r>
        <w:rPr>
          <w:sz w:val="21"/>
        </w:rPr>
        <w:t>（</w:t>
      </w:r>
      <w:r>
        <w:rPr>
          <w:sz w:val="21"/>
        </w:rPr>
        <w:t>9</w:t>
      </w:r>
      <w:r>
        <w:rPr>
          <w:sz w:val="21"/>
        </w:rPr>
        <w:t>）</w:t>
      </w:r>
      <w:r>
        <w:rPr>
          <w:sz w:val="21"/>
        </w:rPr>
        <w:t>因乙方与下一服务单位交接不当引发重大安全事故或造成社会不良影响的</w:t>
      </w:r>
      <w:r>
        <w:rPr>
          <w:sz w:val="21"/>
        </w:rPr>
        <w:t>；</w:t>
      </w:r>
    </w:p>
    <w:p>
      <w:pPr>
        <w:pStyle w:val="null3"/>
        <w:ind w:firstLine="420"/>
        <w:jc w:val="both"/>
      </w:pPr>
      <w:r>
        <w:rPr>
          <w:sz w:val="21"/>
        </w:rPr>
        <w:t>（</w:t>
      </w:r>
      <w:r>
        <w:rPr>
          <w:sz w:val="21"/>
        </w:rPr>
        <w:t>10</w:t>
      </w:r>
      <w:r>
        <w:rPr>
          <w:sz w:val="21"/>
        </w:rPr>
        <w:t>）</w:t>
      </w:r>
      <w:r>
        <w:rPr>
          <w:sz w:val="21"/>
        </w:rPr>
        <w:t>合同履行期间，乙方在本项目中因一般违法行为被行政机关处罚达到三次或因重大违法行为被行政机关处罚（责令停产停业、吊销许可证或者执照、没收或罚款达</w:t>
      </w:r>
      <w:r>
        <w:rPr>
          <w:sz w:val="21"/>
        </w:rPr>
        <w:t>200</w:t>
      </w:r>
      <w:r>
        <w:rPr>
          <w:sz w:val="21"/>
        </w:rPr>
        <w:t>万元等）的；</w:t>
      </w:r>
    </w:p>
    <w:p>
      <w:pPr>
        <w:pStyle w:val="null3"/>
        <w:ind w:firstLine="420"/>
        <w:jc w:val="both"/>
      </w:pPr>
      <w:r>
        <w:rPr>
          <w:sz w:val="21"/>
        </w:rPr>
        <w:t>（</w:t>
      </w:r>
      <w:r>
        <w:rPr>
          <w:sz w:val="21"/>
        </w:rPr>
        <w:t>11</w:t>
      </w:r>
      <w:r>
        <w:rPr>
          <w:sz w:val="21"/>
        </w:rPr>
        <w:t>）</w:t>
      </w:r>
      <w:r>
        <w:rPr>
          <w:sz w:val="21"/>
        </w:rPr>
        <w:t>乙方有转包、违规分包行为的；</w:t>
      </w:r>
    </w:p>
    <w:p>
      <w:pPr>
        <w:pStyle w:val="null3"/>
        <w:ind w:firstLine="420"/>
        <w:jc w:val="both"/>
      </w:pPr>
      <w:r>
        <w:rPr>
          <w:sz w:val="21"/>
        </w:rPr>
        <w:t>（</w:t>
      </w:r>
      <w:r>
        <w:rPr>
          <w:sz w:val="21"/>
        </w:rPr>
        <w:t>12</w:t>
      </w:r>
      <w:r>
        <w:rPr>
          <w:sz w:val="21"/>
        </w:rPr>
        <w:t>）</w:t>
      </w:r>
      <w:r>
        <w:rPr>
          <w:sz w:val="21"/>
        </w:rPr>
        <w:t>乙方一年内未按整改通知书要求落实整改超过</w:t>
      </w:r>
      <w:r>
        <w:rPr>
          <w:sz w:val="21"/>
        </w:rPr>
        <w:t>3次的。</w:t>
      </w:r>
    </w:p>
    <w:p>
      <w:pPr>
        <w:pStyle w:val="null3"/>
        <w:ind w:firstLine="420"/>
        <w:jc w:val="both"/>
      </w:pPr>
      <w:r>
        <w:rPr>
          <w:sz w:val="21"/>
        </w:rPr>
        <w:t>（</w:t>
      </w:r>
      <w:r>
        <w:rPr>
          <w:sz w:val="21"/>
        </w:rPr>
        <w:t>13</w:t>
      </w:r>
      <w:r>
        <w:rPr>
          <w:sz w:val="21"/>
        </w:rPr>
        <w:t>）</w:t>
      </w:r>
      <w:r>
        <w:rPr>
          <w:sz w:val="21"/>
        </w:rPr>
        <w:t>乙方一年内无故停工达到</w:t>
      </w:r>
      <w:r>
        <w:rPr>
          <w:sz w:val="21"/>
        </w:rPr>
        <w:t>2次的；</w:t>
      </w:r>
    </w:p>
    <w:p>
      <w:pPr>
        <w:pStyle w:val="null3"/>
        <w:ind w:firstLine="420"/>
        <w:jc w:val="both"/>
      </w:pPr>
      <w:r>
        <w:rPr>
          <w:sz w:val="21"/>
        </w:rPr>
        <w:t>（</w:t>
      </w:r>
      <w:r>
        <w:rPr>
          <w:sz w:val="21"/>
        </w:rPr>
        <w:t>14</w:t>
      </w:r>
      <w:r>
        <w:rPr>
          <w:sz w:val="21"/>
        </w:rPr>
        <w:t>）</w:t>
      </w:r>
      <w:r>
        <w:rPr>
          <w:sz w:val="21"/>
        </w:rPr>
        <w:t>乙方发生其它影响甲方声誉的行为；</w:t>
      </w:r>
    </w:p>
    <w:p>
      <w:pPr>
        <w:pStyle w:val="null3"/>
        <w:ind w:firstLine="420"/>
        <w:jc w:val="both"/>
      </w:pPr>
      <w:r>
        <w:rPr>
          <w:sz w:val="21"/>
        </w:rPr>
        <w:t>（</w:t>
      </w:r>
      <w:r>
        <w:rPr>
          <w:sz w:val="21"/>
        </w:rPr>
        <w:t>15</w:t>
      </w:r>
      <w:r>
        <w:rPr>
          <w:sz w:val="21"/>
        </w:rPr>
        <w:t>）</w:t>
      </w:r>
      <w:r>
        <w:rPr>
          <w:sz w:val="21"/>
        </w:rPr>
        <w:t>乙方未将甲方提供的所有设施设备免费移交给甲方或甲方指定的接收人；</w:t>
      </w:r>
    </w:p>
    <w:p>
      <w:pPr>
        <w:pStyle w:val="null3"/>
        <w:ind w:firstLine="420"/>
        <w:jc w:val="both"/>
      </w:pPr>
      <w:r>
        <w:rPr>
          <w:sz w:val="21"/>
        </w:rPr>
        <w:t>（</w:t>
      </w:r>
      <w:r>
        <w:rPr>
          <w:sz w:val="21"/>
        </w:rPr>
        <w:t>16</w:t>
      </w:r>
      <w:r>
        <w:rPr>
          <w:sz w:val="21"/>
        </w:rPr>
        <w:t>）</w:t>
      </w:r>
      <w:r>
        <w:rPr>
          <w:sz w:val="21"/>
        </w:rPr>
        <w:t>发生人员配置不到位、人员罢工或歇工等事件导致不能完全履约时，甲方临时委托第三方单位履行乙方相应职责，且临时委托第三方的费用由乙方承担；</w:t>
      </w:r>
    </w:p>
    <w:p>
      <w:pPr>
        <w:pStyle w:val="null3"/>
        <w:ind w:firstLine="420"/>
        <w:jc w:val="both"/>
      </w:pPr>
      <w:r>
        <w:rPr>
          <w:sz w:val="21"/>
        </w:rPr>
        <w:t>（</w:t>
      </w:r>
      <w:r>
        <w:rPr>
          <w:sz w:val="21"/>
        </w:rPr>
        <w:t>17</w:t>
      </w:r>
      <w:r>
        <w:rPr>
          <w:sz w:val="21"/>
        </w:rPr>
        <w:t>）</w:t>
      </w:r>
      <w:r>
        <w:rPr>
          <w:sz w:val="21"/>
        </w:rPr>
        <w:t>未按甲方要求配置、更新或增配投入服务的车辆，</w:t>
      </w:r>
      <w:r>
        <w:rPr>
          <w:sz w:val="21"/>
        </w:rPr>
        <w:t>喷雾器</w:t>
      </w:r>
      <w:r>
        <w:rPr>
          <w:sz w:val="21"/>
        </w:rPr>
        <w:t>等设施设备</w:t>
      </w:r>
      <w:r>
        <w:rPr>
          <w:sz w:val="21"/>
        </w:rPr>
        <w:t>，</w:t>
      </w:r>
      <w:r>
        <w:rPr>
          <w:sz w:val="21"/>
        </w:rPr>
        <w:t>经甲方提出后未按时整改的</w:t>
      </w:r>
      <w:r>
        <w:rPr>
          <w:sz w:val="21"/>
        </w:rPr>
        <w:t>；</w:t>
      </w:r>
    </w:p>
    <w:p>
      <w:pPr>
        <w:pStyle w:val="null3"/>
        <w:ind w:firstLine="420"/>
        <w:jc w:val="both"/>
      </w:pPr>
      <w:r>
        <w:rPr>
          <w:sz w:val="21"/>
        </w:rPr>
        <w:t>（</w:t>
      </w:r>
      <w:r>
        <w:rPr>
          <w:sz w:val="21"/>
        </w:rPr>
        <w:t>18</w:t>
      </w:r>
      <w:r>
        <w:rPr>
          <w:sz w:val="21"/>
        </w:rPr>
        <w:t>）</w:t>
      </w:r>
      <w:r>
        <w:rPr>
          <w:sz w:val="21"/>
        </w:rPr>
        <w:t>损坏甲方提供的设施、设备需要赔偿或因其他原因导致甲方利益受损；</w:t>
      </w:r>
    </w:p>
    <w:p>
      <w:pPr>
        <w:pStyle w:val="null3"/>
        <w:ind w:firstLine="420"/>
        <w:jc w:val="both"/>
      </w:pPr>
      <w:r>
        <w:rPr>
          <w:sz w:val="21"/>
        </w:rPr>
        <w:t>（</w:t>
      </w:r>
      <w:r>
        <w:rPr>
          <w:sz w:val="21"/>
        </w:rPr>
        <w:t>19</w:t>
      </w:r>
      <w:r>
        <w:rPr>
          <w:sz w:val="21"/>
        </w:rPr>
        <w:t>）</w:t>
      </w:r>
      <w:r>
        <w:rPr>
          <w:sz w:val="21"/>
        </w:rPr>
        <w:t>因管理不善造成环境危害事故；</w:t>
      </w:r>
    </w:p>
    <w:p>
      <w:pPr>
        <w:pStyle w:val="null3"/>
        <w:ind w:firstLine="420"/>
        <w:jc w:val="both"/>
      </w:pPr>
      <w:r>
        <w:rPr>
          <w:sz w:val="21"/>
        </w:rPr>
        <w:t>（</w:t>
      </w:r>
      <w:r>
        <w:rPr>
          <w:sz w:val="21"/>
        </w:rPr>
        <w:t>20</w:t>
      </w:r>
      <w:r>
        <w:rPr>
          <w:sz w:val="21"/>
        </w:rPr>
        <w:t>）</w:t>
      </w:r>
      <w:r>
        <w:rPr>
          <w:sz w:val="21"/>
        </w:rPr>
        <w:t>因环境卫生、劳工权益等问题引发群体事件或新闻事件；</w:t>
      </w:r>
    </w:p>
    <w:p>
      <w:pPr>
        <w:pStyle w:val="null3"/>
        <w:ind w:firstLine="420"/>
        <w:jc w:val="both"/>
      </w:pPr>
      <w:r>
        <w:rPr>
          <w:sz w:val="21"/>
        </w:rPr>
        <w:t>（</w:t>
      </w:r>
      <w:r>
        <w:rPr>
          <w:sz w:val="21"/>
        </w:rPr>
        <w:t>21</w:t>
      </w:r>
      <w:r>
        <w:rPr>
          <w:sz w:val="21"/>
        </w:rPr>
        <w:t>）</w:t>
      </w:r>
      <w:r>
        <w:rPr>
          <w:sz w:val="21"/>
        </w:rPr>
        <w:t>对突发紧急情况应对处理不到位；</w:t>
      </w:r>
    </w:p>
    <w:p>
      <w:pPr>
        <w:pStyle w:val="null3"/>
        <w:ind w:firstLine="420"/>
        <w:jc w:val="both"/>
      </w:pPr>
      <w:r>
        <w:rPr>
          <w:sz w:val="21"/>
        </w:rPr>
        <w:t>（</w:t>
      </w:r>
      <w:r>
        <w:rPr>
          <w:sz w:val="21"/>
        </w:rPr>
        <w:t>22</w:t>
      </w:r>
      <w:r>
        <w:rPr>
          <w:sz w:val="21"/>
        </w:rPr>
        <w:t>）</w:t>
      </w:r>
      <w:r>
        <w:rPr>
          <w:sz w:val="21"/>
        </w:rPr>
        <w:t>期限内交接工作不到位或未按项目要求撤场；</w:t>
      </w:r>
    </w:p>
    <w:p>
      <w:pPr>
        <w:pStyle w:val="null3"/>
        <w:ind w:firstLine="420"/>
        <w:jc w:val="both"/>
      </w:pPr>
      <w:r>
        <w:rPr>
          <w:sz w:val="21"/>
        </w:rPr>
        <w:t>（</w:t>
      </w:r>
      <w:r>
        <w:rPr>
          <w:sz w:val="21"/>
        </w:rPr>
        <w:t>23</w:t>
      </w:r>
      <w:r>
        <w:rPr>
          <w:sz w:val="21"/>
        </w:rPr>
        <w:t>）</w:t>
      </w:r>
      <w:r>
        <w:rPr>
          <w:sz w:val="21"/>
        </w:rPr>
        <w:t>乙方违反法律、法规、规章和其它相关规范性文件的规定，影响本合同履行的；</w:t>
      </w:r>
    </w:p>
    <w:p>
      <w:pPr>
        <w:pStyle w:val="null3"/>
        <w:ind w:firstLine="420"/>
        <w:jc w:val="both"/>
      </w:pPr>
      <w:r>
        <w:rPr>
          <w:sz w:val="21"/>
        </w:rPr>
        <w:t>（</w:t>
      </w:r>
      <w:r>
        <w:rPr>
          <w:sz w:val="21"/>
        </w:rPr>
        <w:t>24</w:t>
      </w:r>
      <w:r>
        <w:rPr>
          <w:sz w:val="21"/>
        </w:rPr>
        <w:t>）</w:t>
      </w:r>
      <w:r>
        <w:rPr>
          <w:sz w:val="21"/>
        </w:rPr>
        <w:t>《中华人民共和国民法典》、《中华人民共和国政府采购法》、《中华人民共和国政府采购法实施条例》等法律规定的中标无效或合同无效的情形。</w:t>
      </w:r>
    </w:p>
    <w:p>
      <w:pPr>
        <w:pStyle w:val="null3"/>
        <w:jc w:val="both"/>
      </w:pPr>
      <w:r>
        <w:rPr>
          <w:sz w:val="21"/>
          <w:b/>
        </w:rPr>
        <w:t>十三、履约保证金</w:t>
      </w:r>
    </w:p>
    <w:p>
      <w:pPr>
        <w:pStyle w:val="null3"/>
        <w:ind w:firstLine="420"/>
        <w:jc w:val="both"/>
      </w:pPr>
      <w:r>
        <w:rPr>
          <w:sz w:val="21"/>
        </w:rPr>
        <w:t>1、乙方应在与甲方签订承包合同时，提供履约保证金或履约保函（提供银行保函或担保公司保函），金额为合同总价的5%。其中，履约保函有效期限按照合同期往后延长30天。相关资料应提交甲方存档。</w:t>
      </w:r>
    </w:p>
    <w:p>
      <w:pPr>
        <w:pStyle w:val="null3"/>
        <w:ind w:firstLine="420"/>
        <w:jc w:val="both"/>
      </w:pPr>
      <w:r>
        <w:rPr>
          <w:sz w:val="21"/>
        </w:rPr>
        <w:t>2、履约保证金在合同期满，乙方按照合同履约完毕，无违约责任或违约责任已处理完毕后30天内无息退回。乙方在依法履行完毕采购合同后，乙方可向采购人提交退回履约保证金申请，采购人收到乙方的退回履约保证金申请后予以办理。</w:t>
      </w:r>
    </w:p>
    <w:p>
      <w:pPr>
        <w:pStyle w:val="null3"/>
        <w:ind w:firstLine="420"/>
        <w:jc w:val="both"/>
      </w:pPr>
      <w:r>
        <w:rPr>
          <w:sz w:val="21"/>
        </w:rPr>
        <w:t>3、乙方发生违约的，甲方有权直接从履约保证金中抵扣乙方的违约金等相关费用，剩余部分无息退回，保证金不足以抵扣的，甲方有权要求乙方另行支付。</w:t>
      </w:r>
    </w:p>
    <w:p>
      <w:pPr>
        <w:pStyle w:val="null3"/>
        <w:jc w:val="both"/>
      </w:pPr>
      <w:r>
        <w:rPr>
          <w:sz w:val="21"/>
          <w:b/>
        </w:rPr>
        <w:t>十四</w:t>
      </w:r>
      <w:r>
        <w:rPr>
          <w:sz w:val="21"/>
          <w:b/>
        </w:rPr>
        <w:t>、</w:t>
      </w:r>
      <w:r>
        <w:rPr>
          <w:sz w:val="22"/>
          <w:b/>
        </w:rPr>
        <w:t>税费</w:t>
      </w:r>
    </w:p>
    <w:p>
      <w:pPr>
        <w:pStyle w:val="null3"/>
        <w:ind w:firstLine="420"/>
        <w:jc w:val="both"/>
      </w:pPr>
      <w:r>
        <w:rPr>
          <w:sz w:val="21"/>
        </w:rPr>
        <w:t>1、中国政府根据现行税法规定对乙方或其雇员征收的与本合同有关的一切税费应由乙方承担。</w:t>
      </w:r>
    </w:p>
    <w:p>
      <w:pPr>
        <w:pStyle w:val="null3"/>
        <w:ind w:firstLine="420"/>
        <w:jc w:val="both"/>
      </w:pPr>
      <w:r>
        <w:rPr>
          <w:sz w:val="21"/>
        </w:rPr>
        <w:t>2、在中国境外发生的与本合同执行有关的一切税费均应由乙方承担。</w:t>
      </w:r>
    </w:p>
    <w:p>
      <w:pPr>
        <w:pStyle w:val="null3"/>
        <w:jc w:val="both"/>
      </w:pPr>
      <w:r>
        <w:rPr>
          <w:sz w:val="21"/>
          <w:b/>
        </w:rPr>
        <w:t>十五</w:t>
      </w:r>
      <w:r>
        <w:rPr>
          <w:sz w:val="21"/>
          <w:b/>
        </w:rPr>
        <w:t>、</w:t>
      </w:r>
      <w:r>
        <w:rPr>
          <w:sz w:val="22"/>
          <w:b/>
        </w:rPr>
        <w:t>其它约定</w:t>
      </w:r>
    </w:p>
    <w:p>
      <w:pPr>
        <w:pStyle w:val="null3"/>
        <w:ind w:firstLine="420"/>
        <w:jc w:val="both"/>
      </w:pPr>
      <w:r>
        <w:rPr>
          <w:sz w:val="21"/>
        </w:rPr>
        <w:t>1、乙方要严格遵守国家劳动法以及省、市有关规定，切实保障员工工资、福利和保险等合法权益。</w:t>
      </w:r>
    </w:p>
    <w:p>
      <w:pPr>
        <w:pStyle w:val="null3"/>
        <w:ind w:firstLine="420"/>
        <w:jc w:val="both"/>
      </w:pPr>
      <w:r>
        <w:rPr>
          <w:sz w:val="21"/>
        </w:rPr>
        <w:t>2、乙方应严格遵守国家法律、法规的规定，做好社会治安综合治理等工作，不得违反国家法律、法规的规定。如乙方员工有任何违法乱纪行为，乙方承担一切经济责任和法律责任。</w:t>
      </w:r>
    </w:p>
    <w:p>
      <w:pPr>
        <w:pStyle w:val="null3"/>
        <w:ind w:firstLine="420"/>
        <w:jc w:val="both"/>
      </w:pPr>
      <w:r>
        <w:rPr>
          <w:sz w:val="21"/>
        </w:rPr>
        <w:t>3、由于服务范围内的设施被盗或损坏或操作不当而导致他人死伤或造成其他损失的，由乙方负责赔偿和承担一切责任。</w:t>
      </w:r>
    </w:p>
    <w:p>
      <w:pPr>
        <w:pStyle w:val="null3"/>
        <w:ind w:firstLine="420"/>
        <w:jc w:val="both"/>
      </w:pPr>
      <w:r>
        <w:rPr>
          <w:sz w:val="21"/>
        </w:rPr>
        <w:t>4、乙方应遵守法律、法规、规章或其他相关规范性文件的规定，并承担其因违法违规所引起的全部经济损失和法律责任。</w:t>
      </w:r>
    </w:p>
    <w:p>
      <w:pPr>
        <w:pStyle w:val="null3"/>
        <w:jc w:val="both"/>
      </w:pPr>
      <w:r>
        <w:rPr>
          <w:sz w:val="21"/>
          <w:b/>
        </w:rPr>
        <w:t xml:space="preserve">   十</w:t>
      </w:r>
      <w:r>
        <w:rPr>
          <w:sz w:val="21"/>
          <w:b/>
        </w:rPr>
        <w:t>六</w:t>
      </w:r>
      <w:r>
        <w:rPr>
          <w:sz w:val="21"/>
          <w:b/>
        </w:rPr>
        <w:t>、</w:t>
      </w:r>
      <w:r>
        <w:rPr>
          <w:sz w:val="21"/>
          <w:b/>
        </w:rPr>
        <w:t>争议的解决</w:t>
      </w:r>
    </w:p>
    <w:p>
      <w:pPr>
        <w:pStyle w:val="null3"/>
        <w:ind w:firstLine="420"/>
        <w:jc w:val="both"/>
      </w:pPr>
      <w:r>
        <w:rPr>
          <w:sz w:val="21"/>
        </w:rPr>
        <w:t>1、凡与本合同有关而引起的一切争议，甲乙双方应首先通过友好协商解决，如经协商后仍不能达成协议时，任何一方可以向甲方所在地法院提出诉讼。</w:t>
      </w:r>
    </w:p>
    <w:p>
      <w:pPr>
        <w:pStyle w:val="null3"/>
        <w:ind w:firstLine="420"/>
        <w:jc w:val="both"/>
      </w:pPr>
      <w:r>
        <w:rPr>
          <w:sz w:val="21"/>
        </w:rPr>
        <w:t>2、在进行法院审理期间，除提交法院审理的事项外，合同其他部分仍继续履行。</w:t>
      </w:r>
    </w:p>
    <w:p>
      <w:pPr>
        <w:pStyle w:val="null3"/>
        <w:ind w:firstLine="420"/>
        <w:jc w:val="both"/>
      </w:pPr>
      <w:r>
        <w:rPr>
          <w:sz w:val="21"/>
        </w:rPr>
        <w:t>3、本合同按照中华人民共和国的法律进行解释。</w:t>
      </w:r>
    </w:p>
    <w:p>
      <w:pPr>
        <w:pStyle w:val="null3"/>
        <w:jc w:val="both"/>
      </w:pPr>
      <w:r>
        <w:rPr>
          <w:sz w:val="21"/>
          <w:b/>
        </w:rPr>
        <w:t>十七、合同生效</w:t>
      </w:r>
    </w:p>
    <w:p>
      <w:pPr>
        <w:pStyle w:val="null3"/>
        <w:ind w:firstLine="420"/>
        <w:jc w:val="both"/>
      </w:pPr>
      <w:r>
        <w:rPr>
          <w:sz w:val="21"/>
        </w:rPr>
        <w:t>1、本合同由双方签字盖章后立即生效，合同有效期随服务期结束而自然终止。</w:t>
      </w:r>
    </w:p>
    <w:p>
      <w:pPr>
        <w:pStyle w:val="null3"/>
        <w:ind w:firstLine="420"/>
        <w:jc w:val="both"/>
      </w:pPr>
      <w:r>
        <w:rPr>
          <w:sz w:val="21"/>
        </w:rPr>
        <w:t>2、本合同一式【】份，其中甲方【】份、乙方【】份，采购代理机构 壹份（须在合同签订之日起7个工作日内递交），具有同等法律效力。</w:t>
      </w:r>
    </w:p>
    <w:p>
      <w:pPr>
        <w:pStyle w:val="null3"/>
        <w:jc w:val="both"/>
      </w:pPr>
      <w:r>
        <w:rPr>
          <w:sz w:val="21"/>
          <w:b/>
        </w:rPr>
        <w:t>十八、其它</w:t>
      </w:r>
    </w:p>
    <w:p>
      <w:pPr>
        <w:pStyle w:val="null3"/>
        <w:ind w:firstLine="420"/>
        <w:jc w:val="both"/>
      </w:pPr>
      <w:r>
        <w:rPr>
          <w:sz w:val="21"/>
        </w:rPr>
        <w:t>1、本合同未尽事宜，双方可签订补充合同，补充合同与所有附件均为合同的有效组成部分，与本合同具有同等法律效力。补充合同必须以书面形式并经双方签字盖章后方能生效。若补充合同内容与本合同内容不一致的，以补充合同为准。</w:t>
      </w:r>
    </w:p>
    <w:p>
      <w:pPr>
        <w:pStyle w:val="null3"/>
        <w:ind w:firstLine="420"/>
        <w:jc w:val="both"/>
      </w:pPr>
      <w:r>
        <w:rPr>
          <w:sz w:val="21"/>
        </w:rPr>
        <w:t>2、在执行本合同的过程中，所有经甲乙双方签署确认的文件（包括会议纪要、补充协议、往来信函、合同附件等）即成为本合同的有效组成部分，其生效日期为双方签字盖章或确认之日期。</w:t>
      </w:r>
    </w:p>
    <w:p>
      <w:pPr>
        <w:pStyle w:val="null3"/>
        <w:ind w:firstLine="420"/>
        <w:jc w:val="both"/>
      </w:pPr>
      <w:r>
        <w:rPr>
          <w:sz w:val="21"/>
        </w:rPr>
        <w:t>（</w:t>
      </w:r>
      <w:r>
        <w:rPr>
          <w:sz w:val="21"/>
        </w:rPr>
        <w:t>以下无正文</w:t>
      </w:r>
      <w:r>
        <w:rPr>
          <w:sz w:val="21"/>
        </w:rPr>
        <w:t>）</w:t>
      </w:r>
    </w:p>
    <w:p>
      <w:pPr>
        <w:pStyle w:val="null3"/>
        <w:jc w:val="both"/>
      </w:pPr>
      <w:r>
        <w:rPr>
          <w:sz w:val="21"/>
        </w:rPr>
        <w:t>附件：</w:t>
      </w:r>
    </w:p>
    <w:p>
      <w:pPr>
        <w:pStyle w:val="null3"/>
        <w:jc w:val="both"/>
      </w:pPr>
      <w:r>
        <w:rPr>
          <w:sz w:val="21"/>
        </w:rPr>
        <w:t>1</w:t>
      </w:r>
      <w:r>
        <w:rPr>
          <w:sz w:val="21"/>
        </w:rPr>
        <w:t>、</w:t>
      </w:r>
      <w:r>
        <w:rPr>
          <w:sz w:val="21"/>
          <w:b/>
        </w:rPr>
        <w:t>《黄江镇</w:t>
      </w:r>
      <w:r>
        <w:rPr>
          <w:sz w:val="21"/>
          <w:b/>
        </w:rPr>
        <w:t>“四害”消杀考核评分表》</w:t>
      </w:r>
    </w:p>
    <w:p>
      <w:pPr>
        <w:pStyle w:val="null3"/>
        <w:jc w:val="both"/>
      </w:pPr>
      <w:r>
        <w:rPr>
          <w:sz w:val="21"/>
        </w:rPr>
        <w:t>甲方（盖章）：</w:t>
      </w:r>
      <w:r>
        <w:rPr>
          <w:sz w:val="21"/>
        </w:rPr>
        <w:t xml:space="preserve">                  </w:t>
      </w:r>
      <w:r>
        <w:rPr>
          <w:sz w:val="21"/>
        </w:rPr>
        <w:t>乙方（盖章）：</w:t>
      </w:r>
    </w:p>
    <w:p>
      <w:pPr>
        <w:pStyle w:val="null3"/>
        <w:jc w:val="both"/>
      </w:pPr>
      <w:r>
        <w:rPr>
          <w:sz w:val="21"/>
        </w:rPr>
        <w:t>法定代表人或</w:t>
      </w:r>
      <w:r>
        <w:rPr>
          <w:sz w:val="21"/>
        </w:rPr>
        <w:t xml:space="preserve">                    </w:t>
      </w:r>
      <w:r>
        <w:rPr>
          <w:sz w:val="21"/>
        </w:rPr>
        <w:t>法定代表人或</w:t>
      </w:r>
    </w:p>
    <w:p>
      <w:pPr>
        <w:pStyle w:val="null3"/>
        <w:jc w:val="both"/>
      </w:pPr>
      <w:r>
        <w:rPr>
          <w:sz w:val="21"/>
        </w:rPr>
        <w:t>授权代表（签字）：</w:t>
      </w:r>
      <w:r>
        <w:rPr>
          <w:sz w:val="21"/>
        </w:rPr>
        <w:t xml:space="preserve">              </w:t>
      </w:r>
      <w:r>
        <w:rPr>
          <w:sz w:val="21"/>
        </w:rPr>
        <w:t>授权代表（签字）：</w:t>
      </w:r>
    </w:p>
    <w:p>
      <w:pPr>
        <w:pStyle w:val="null3"/>
        <w:jc w:val="both"/>
      </w:pPr>
      <w:r>
        <w:rPr>
          <w:sz w:val="21"/>
        </w:rPr>
        <w:t>联系人：</w:t>
      </w:r>
      <w:r>
        <w:rPr>
          <w:sz w:val="21"/>
        </w:rPr>
        <w:t xml:space="preserve">                        </w:t>
      </w:r>
      <w:r>
        <w:rPr>
          <w:sz w:val="21"/>
        </w:rPr>
        <w:t>联系人：</w:t>
      </w:r>
    </w:p>
    <w:p>
      <w:pPr>
        <w:pStyle w:val="null3"/>
        <w:jc w:val="both"/>
      </w:pPr>
      <w:r>
        <w:rPr>
          <w:sz w:val="21"/>
        </w:rPr>
        <w:t>地址：</w:t>
      </w:r>
      <w:r>
        <w:rPr>
          <w:sz w:val="21"/>
        </w:rPr>
        <w:t xml:space="preserve">                          </w:t>
      </w:r>
      <w:r>
        <w:rPr>
          <w:sz w:val="21"/>
        </w:rPr>
        <w:t>地址：</w:t>
      </w:r>
    </w:p>
    <w:p>
      <w:pPr>
        <w:pStyle w:val="null3"/>
        <w:jc w:val="both"/>
      </w:pPr>
      <w:r>
        <w:rPr>
          <w:sz w:val="21"/>
        </w:rPr>
        <w:t>电话：</w:t>
      </w:r>
      <w:r>
        <w:rPr>
          <w:sz w:val="21"/>
        </w:rPr>
        <w:t xml:space="preserve">                          </w:t>
      </w:r>
      <w:r>
        <w:rPr>
          <w:sz w:val="21"/>
        </w:rPr>
        <w:t>电话：</w:t>
      </w:r>
    </w:p>
    <w:p>
      <w:pPr>
        <w:pStyle w:val="null3"/>
        <w:jc w:val="both"/>
      </w:pPr>
      <w:r>
        <w:rPr>
          <w:sz w:val="21"/>
        </w:rPr>
        <w:t>签订地点：</w:t>
      </w:r>
    </w:p>
    <w:p>
      <w:pPr>
        <w:pStyle w:val="null3"/>
        <w:jc w:val="both"/>
      </w:pPr>
      <w:r>
        <w:rPr>
          <w:sz w:val="21"/>
        </w:rPr>
        <w:t>签订日期：</w:t>
      </w:r>
    </w:p>
    <w:p>
      <w:pPr>
        <w:pStyle w:val="null3"/>
      </w:pPr>
      <w:r>
        <w:rPr>
          <w:sz w:val="21"/>
          <w:b/>
        </w:rPr>
        <w:t>附件</w:t>
      </w:r>
      <w:r>
        <w:rPr>
          <w:sz w:val="21"/>
          <w:b/>
        </w:rPr>
        <w:t>1：</w:t>
      </w:r>
    </w:p>
    <w:p>
      <w:pPr>
        <w:pStyle w:val="null3"/>
        <w:ind w:firstLine="422"/>
        <w:jc w:val="center"/>
      </w:pPr>
      <w:r>
        <w:rPr>
          <w:sz w:val="21"/>
          <w:b/>
        </w:rPr>
        <w:t>《黄江镇</w:t>
      </w:r>
      <w:r>
        <w:rPr>
          <w:sz w:val="21"/>
          <w:b/>
        </w:rPr>
        <w:t>“四害”消杀考核评分表》</w:t>
      </w:r>
    </w:p>
    <w:p>
      <w:pPr>
        <w:pStyle w:val="null3"/>
        <w:ind w:firstLine="400"/>
        <w:jc w:val="right"/>
      </w:pPr>
      <w:r>
        <w:rPr>
          <w:sz w:val="20"/>
        </w:rPr>
        <w:t>考</w:t>
      </w:r>
      <w:r>
        <w:rPr>
          <w:sz w:val="20"/>
        </w:rPr>
        <w:t>核</w:t>
      </w:r>
      <w:r>
        <w:rPr>
          <w:sz w:val="20"/>
        </w:rPr>
        <w:t>时间：</w:t>
      </w:r>
      <w:r>
        <w:rPr>
          <w:sz w:val="20"/>
        </w:rPr>
        <w:t xml:space="preserve">20   </w:t>
      </w:r>
      <w:r>
        <w:rPr>
          <w:sz w:val="20"/>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1168"/>
        <w:gridCol w:w="1198"/>
        <w:gridCol w:w="2881"/>
        <w:gridCol w:w="2386"/>
        <w:gridCol w:w="670"/>
      </w:tblGrid>
      <w:tr>
        <w:tc>
          <w:tcPr>
            <w:tcW w:type="dxa" w:w="23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考核项目</w:t>
            </w:r>
          </w:p>
        </w:tc>
        <w:tc>
          <w:tcPr>
            <w:tcW w:type="dxa" w:w="2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评分标准</w:t>
            </w:r>
          </w:p>
        </w:tc>
        <w:tc>
          <w:tcPr>
            <w:tcW w:type="dxa" w:w="2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扣分说明</w:t>
            </w:r>
          </w:p>
        </w:tc>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扣分</w:t>
            </w:r>
          </w:p>
        </w:tc>
      </w:tr>
      <w:tr>
        <w:tc>
          <w:tcPr>
            <w:tcW w:type="dxa" w:w="1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一、</w:t>
            </w:r>
            <w:r>
              <w:rPr>
                <w:sz w:val="20"/>
              </w:rPr>
              <w:t>组织管理与人员配置</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人员配置完整性</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投入本项目人员数量、职业资格等符合合同要求，且在职在岗</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人员数量不足、无证或人证不符扣</w:t>
            </w:r>
            <w:r>
              <w:rPr>
                <w:sz w:val="20"/>
              </w:rPr>
              <w:t>5分</w:t>
            </w:r>
          </w:p>
        </w:tc>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人员稳定性与备案</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人员变动未按合同要求提前报备或未经同意更换负责人</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1例违规扣1分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人员培训与着装</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作业人员未统一着装、无工作证、未规范培训上岗</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1例不符合扣1分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人员信息台账</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未按规定提供工作人员信息台账的</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未及时提供扣</w:t>
            </w:r>
            <w:r>
              <w:rPr>
                <w:sz w:val="20"/>
              </w:rPr>
              <w:t>4分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二、</w:t>
            </w:r>
            <w:r>
              <w:rPr>
                <w:sz w:val="20"/>
              </w:rPr>
              <w:t>设备投入与管理</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设备配置完整性</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设备数量达合同要求</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1台扣2分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设备验收与维护</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设备未按时验收或未定期保养、外观脏污</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每项不符合扣</w:t>
            </w:r>
            <w:r>
              <w:rPr>
                <w:sz w:val="20"/>
              </w:rPr>
              <w:t>2分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设备清单规范性</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未提供设备清单或清单信息不全（名称、规格、数量）</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1项扣1分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设备使用记录</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设备使用无记录或记录不完整</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1次记录扣1分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三、药物投入与管理</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药物合规性</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使用禁药、假药或药物未达国家标准</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1例扣3分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药物</w:t>
            </w:r>
            <w:r>
              <w:rPr>
                <w:sz w:val="20"/>
              </w:rPr>
              <w:t>“三证”齐全性</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农药登记证、生产许可证、企业标准缺失或过期</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每种每缺</w:t>
            </w:r>
            <w:r>
              <w:rPr>
                <w:sz w:val="20"/>
              </w:rPr>
              <w:t>1证扣2分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药物台账管理</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药物进出台账不完整或未按要求登记</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1项记录扣1分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用药量达标情况</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消杀面积的正常用药</w:t>
            </w:r>
            <w:r>
              <w:rPr>
                <w:sz w:val="20"/>
              </w:rPr>
              <w:t>不合理、</w:t>
            </w:r>
            <w:r>
              <w:rPr>
                <w:sz w:val="20"/>
              </w:rPr>
              <w:t>毒鼠屋未按要求投放</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每发现一处扣</w:t>
            </w:r>
            <w:r>
              <w:rPr>
                <w:sz w:val="20"/>
              </w:rPr>
              <w:t>3分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安全警示与投放规范</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毒鼠屋未设标识或药物投放不规范</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1处扣1分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四、作业规范与记录</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消杀频次落实</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未按合同要求频次完成一般区域或重点区域消杀</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每缺少</w:t>
            </w:r>
            <w:r>
              <w:rPr>
                <w:sz w:val="20"/>
              </w:rPr>
              <w:t>1次扣</w:t>
            </w:r>
            <w:r>
              <w:rPr>
                <w:sz w:val="20"/>
              </w:rPr>
              <w:t>3</w:t>
            </w:r>
            <w:r>
              <w:rPr>
                <w:sz w:val="20"/>
              </w:rPr>
              <w:t>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工作记录完整性</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缺少消杀时间、地点、药物、剂量记录或无水印照片</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1项扣</w:t>
            </w:r>
            <w:r>
              <w:rPr>
                <w:sz w:val="20"/>
              </w:rPr>
              <w:t>3</w:t>
            </w:r>
            <w:r>
              <w:rPr>
                <w:sz w:val="20"/>
              </w:rPr>
              <w:t>分，无照片</w:t>
            </w:r>
            <w:r>
              <w:rPr>
                <w:sz w:val="20"/>
              </w:rPr>
              <w:t>每项</w:t>
            </w:r>
            <w:r>
              <w:rPr>
                <w:sz w:val="20"/>
              </w:rPr>
              <w:t>扣</w:t>
            </w:r>
            <w:r>
              <w:rPr>
                <w:sz w:val="20"/>
              </w:rPr>
              <w:t>2</w:t>
            </w:r>
            <w:r>
              <w:rPr>
                <w:sz w:val="20"/>
              </w:rPr>
              <w:t>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台账提交时效</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未在每月规定时间前提交上月工作台账</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延迟扣</w:t>
            </w:r>
            <w:r>
              <w:rPr>
                <w:sz w:val="20"/>
              </w:rPr>
              <w:t>2分，未提交扣4分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密度控制效果</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鼠、蚊、蝇、蟑螂密度超国家标准（依据现场抽查或第三方评估反馈）</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每超</w:t>
            </w:r>
            <w:r>
              <w:rPr>
                <w:sz w:val="20"/>
              </w:rPr>
              <w:t>1项扣2分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动物尸体处理</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未及时清理死鼠或未做无害化处理</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1例扣1分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五、应急服务与响应</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应急到岗时效</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突发事件未在</w:t>
            </w:r>
            <w:r>
              <w:rPr>
                <w:sz w:val="20"/>
              </w:rPr>
              <w:t>2小时内到达现场</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每延迟</w:t>
            </w:r>
            <w:r>
              <w:rPr>
                <w:sz w:val="20"/>
              </w:rPr>
              <w:t>1次扣5分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24小时值班制度</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值班电话无人接听或管理人员失联</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每发现</w:t>
            </w:r>
            <w:r>
              <w:rPr>
                <w:sz w:val="20"/>
              </w:rPr>
              <w:t>1次扣2分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突击任务配合度</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迎检、疫情等临时任务推诿或执行不力</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每项不符扣</w:t>
            </w:r>
            <w:r>
              <w:rPr>
                <w:sz w:val="20"/>
              </w:rPr>
              <w:t>10</w:t>
            </w:r>
            <w:r>
              <w:rPr>
                <w:sz w:val="20"/>
              </w:rPr>
              <w:t>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应急预案完备性</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未制定应急预案或预案未存档</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每缺</w:t>
            </w:r>
            <w:r>
              <w:rPr>
                <w:sz w:val="20"/>
              </w:rPr>
              <w:t>1项扣1分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六、社会投诉与部门监督</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劳资纠纷影响</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因劳资纠纷引发群体上访或恶劣影响</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每发生</w:t>
            </w:r>
            <w:r>
              <w:rPr>
                <w:sz w:val="20"/>
              </w:rPr>
              <w:t>1例扣10分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第三方监督配合</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拒绝接受甲方、社区或第三方机构监督检查</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每推诿</w:t>
            </w:r>
            <w:r>
              <w:rPr>
                <w:sz w:val="20"/>
              </w:rPr>
              <w:t>1次扣1分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社会投诉</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被部门、群众投诉核查情况属实的</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每次扣</w:t>
            </w:r>
            <w:r>
              <w:rPr>
                <w:sz w:val="20"/>
              </w:rPr>
              <w:t>2分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部门监督</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被省、市、镇通报批评的，被媒体曝光的</w:t>
            </w:r>
            <w:r>
              <w:rPr>
                <w:sz w:val="20"/>
              </w:rPr>
              <w:t>，</w:t>
            </w:r>
            <w:r>
              <w:rPr>
                <w:sz w:val="20"/>
              </w:rPr>
              <w:t>经核实</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每次扣</w:t>
            </w:r>
            <w:r>
              <w:rPr>
                <w:sz w:val="20"/>
              </w:rPr>
              <w:t>5</w:t>
            </w:r>
            <w:r>
              <w:rPr>
                <w:sz w:val="20"/>
              </w:rPr>
              <w:t>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68"/>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投诉处理实效</w:t>
            </w:r>
          </w:p>
        </w:tc>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未及时响应或处理群众</w:t>
            </w:r>
            <w:r>
              <w:rPr>
                <w:sz w:val="20"/>
              </w:rPr>
              <w:t>/部门有效投诉</w:t>
            </w:r>
          </w:p>
        </w:tc>
        <w:tc>
          <w:tcPr>
            <w:tcW w:type="dxa" w:w="2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每例扣</w:t>
            </w:r>
            <w:r>
              <w:rPr>
                <w:sz w:val="20"/>
              </w:rPr>
              <w:t>2分</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合计总得分（</w:t>
            </w:r>
            <w:r>
              <w:rPr>
                <w:sz w:val="20"/>
              </w:rPr>
              <w:t xml:space="preserve">   </w:t>
            </w:r>
            <w:r>
              <w:rPr>
                <w:sz w:val="20"/>
              </w:rPr>
              <w:t>）</w:t>
            </w:r>
            <w:r>
              <w:rPr>
                <w:sz w:val="20"/>
              </w:rPr>
              <w:t>=总分（100）-合计总扣分（   ）</w:t>
            </w:r>
          </w:p>
        </w:tc>
      </w:tr>
    </w:tbl>
    <w:p>
      <w:pPr>
        <w:pStyle w:val="null3"/>
        <w:ind w:firstLine="4600"/>
        <w:jc w:val="both"/>
      </w:pPr>
      <w:r>
        <w:rPr>
          <w:sz w:val="20"/>
        </w:rPr>
        <w:t>验收人员</w:t>
      </w:r>
      <w:r>
        <w:rPr>
          <w:sz w:val="20"/>
        </w:rPr>
        <w:t>签字：</w:t>
      </w:r>
    </w:p>
    <w:p>
      <w:pPr>
        <w:pStyle w:val="null3"/>
        <w:jc w:val="both"/>
      </w:pPr>
      <w:r>
        <w:rPr>
          <w:sz w:val="20"/>
        </w:rPr>
        <w:t>说明：</w:t>
      </w:r>
    </w:p>
    <w:p>
      <w:pPr>
        <w:pStyle w:val="null3"/>
        <w:ind w:firstLine="400"/>
        <w:jc w:val="both"/>
      </w:pPr>
      <w:r>
        <w:rPr>
          <w:sz w:val="20"/>
        </w:rPr>
        <w:t>1.</w:t>
      </w:r>
      <w:r>
        <w:rPr>
          <w:sz w:val="20"/>
        </w:rPr>
        <w:t>考核总分为</w:t>
      </w:r>
      <w:r>
        <w:rPr>
          <w:sz w:val="20"/>
        </w:rPr>
        <w:t>100分，各项考核扣分不设上限，扣完为止。</w:t>
      </w:r>
    </w:p>
    <w:p>
      <w:pPr>
        <w:pStyle w:val="null3"/>
        <w:ind w:firstLine="400"/>
        <w:jc w:val="both"/>
      </w:pPr>
      <w:r>
        <w:rPr>
          <w:sz w:val="20"/>
        </w:rPr>
        <w:t>2.</w:t>
      </w:r>
      <w:r>
        <w:rPr>
          <w:sz w:val="20"/>
        </w:rPr>
        <w:t>考核得分</w:t>
      </w:r>
      <w:r>
        <w:rPr>
          <w:sz w:val="20"/>
        </w:rPr>
        <w:t>90分（含）以上100%结算当月服务费；得分80分（含）-89分（含）的，以90分为基础，</w:t>
      </w:r>
      <w:r>
        <w:rPr>
          <w:sz w:val="20"/>
        </w:rPr>
        <w:t>每少</w:t>
      </w:r>
      <w:r>
        <w:rPr>
          <w:sz w:val="20"/>
        </w:rPr>
        <w:t>1</w:t>
      </w:r>
      <w:r>
        <w:rPr>
          <w:sz w:val="20"/>
        </w:rPr>
        <w:t>分扣除当季度</w:t>
      </w:r>
      <w:r>
        <w:rPr>
          <w:sz w:val="20"/>
        </w:rPr>
        <w:t>服务</w:t>
      </w:r>
      <w:r>
        <w:rPr>
          <w:sz w:val="20"/>
        </w:rPr>
        <w:t>费的</w:t>
      </w:r>
      <w:r>
        <w:rPr>
          <w:sz w:val="20"/>
        </w:rPr>
        <w:t>1</w:t>
      </w:r>
      <w:r>
        <w:rPr>
          <w:sz w:val="20"/>
        </w:rPr>
        <w:t>％；</w:t>
      </w:r>
      <w:r>
        <w:rPr>
          <w:sz w:val="20"/>
        </w:rPr>
        <w:t>得分</w:t>
      </w:r>
      <w:r>
        <w:rPr>
          <w:sz w:val="20"/>
        </w:rPr>
        <w:t>79</w:t>
      </w:r>
      <w:r>
        <w:rPr>
          <w:sz w:val="20"/>
        </w:rPr>
        <w:t>分</w:t>
      </w:r>
      <w:r>
        <w:rPr>
          <w:sz w:val="20"/>
        </w:rPr>
        <w:t>（含）</w:t>
      </w:r>
      <w:r>
        <w:rPr>
          <w:sz w:val="20"/>
        </w:rPr>
        <w:t>以下的，以</w:t>
      </w:r>
      <w:r>
        <w:rPr>
          <w:sz w:val="20"/>
        </w:rPr>
        <w:t>90</w:t>
      </w:r>
      <w:r>
        <w:rPr>
          <w:sz w:val="20"/>
        </w:rPr>
        <w:t>分为基础，每少</w:t>
      </w:r>
      <w:r>
        <w:rPr>
          <w:sz w:val="20"/>
        </w:rPr>
        <w:t>1</w:t>
      </w:r>
      <w:r>
        <w:rPr>
          <w:sz w:val="20"/>
        </w:rPr>
        <w:t>分扣除当季度服务费的</w:t>
      </w:r>
      <w:r>
        <w:rPr>
          <w:sz w:val="20"/>
        </w:rPr>
        <w:t>2</w:t>
      </w:r>
      <w:r>
        <w:rPr>
          <w:sz w:val="20"/>
        </w:rPr>
        <w:t>％。</w:t>
      </w:r>
    </w:p>
    <w:p>
      <w:pPr>
        <w:pStyle w:val="null3"/>
        <w:spacing w:before="0" w:after="0"/>
        <w:ind w:left="0" w:right="0"/>
        <w:jc w:val="both"/>
      </w:pPr>
      <w:r>
        <w:rPr>
          <w:sz w:val="20"/>
        </w:rPr>
        <w:t>3.</w:t>
      </w:r>
      <w:r>
        <w:rPr>
          <w:sz w:val="20"/>
        </w:rPr>
        <w:t>甲方保留对本考核标准的修改权和解释权。</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441900022-2026-00228</w:t>
      </w:r>
    </w:p>
    <w:p>
      <w:pPr>
        <w:pStyle w:val="null3"/>
        <w:jc w:val="center"/>
        <w:outlineLvl w:val="3"/>
      </w:pPr>
      <w:r>
        <w:rPr>
          <w:sz w:val="24"/>
          <w:b/>
        </w:rPr>
        <w:t>采购项目编号：</w:t>
      </w:r>
      <w:r>
        <w:rPr>
          <w:sz w:val="24"/>
          <w:b/>
        </w:rPr>
        <w:t>441900022-2026-00228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广东威朗达招标有限公司</w:t>
      </w:r>
    </w:p>
    <w:p>
      <w:pPr>
        <w:pStyle w:val="null3"/>
        <w:ind w:firstLine="480"/>
      </w:pPr>
      <w:r>
        <w:rPr/>
        <w:t xml:space="preserve"> 你方组织的</w:t>
      </w:r>
      <w:r>
        <w:rPr>
          <w:u w:val="single"/>
        </w:rPr>
        <w:t>“</w:t>
      </w:r>
      <w:r>
        <w:rPr>
          <w:u w:val="single"/>
        </w:rPr>
        <w:t>黄江镇“四害”消杀项目</w:t>
      </w:r>
      <w:r>
        <w:rPr>
          <w:u w:val="single"/>
        </w:rPr>
        <w:t>”</w:t>
      </w:r>
      <w:r>
        <w:rPr/>
        <w:t>项目的招标[采购项目编号为：</w:t>
      </w:r>
      <w:r>
        <w:rPr>
          <w:u w:val="single"/>
        </w:rPr>
        <w:t>441900022-2026-00228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黄江镇“四害”消杀项目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广东威朗达招标有限公司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黄江镇“四害”消杀项目</w:t>
      </w:r>
      <w:r>
        <w:rPr/>
        <w:t>”项目采购[采购项目编号为</w:t>
      </w:r>
      <w:r>
        <w:rPr/>
        <w:t>441900022-2026-00228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东莞市黄江镇公用事业服务中心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广东威朗达招标有限公司</w:t>
      </w:r>
    </w:p>
    <w:p>
      <w:pPr>
        <w:pStyle w:val="null3"/>
        <w:ind w:firstLine="480"/>
      </w:pPr>
      <w:r>
        <w:rPr/>
        <w:t xml:space="preserve"> 如果我方在贵采购代理机构组织的</w:t>
      </w:r>
      <w:r>
        <w:rPr/>
        <w:t>黄江镇“四害”消杀项目</w:t>
      </w:r>
      <w:r>
        <w:rPr/>
        <w:t>招标中获中标（采购项目编号：</w:t>
      </w:r>
      <w:r>
        <w:rPr/>
        <w:t>441900022-2026-00228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广东威朗达招标有限公司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广东威朗达招标有限公司</w:t>
      </w:r>
    </w:p>
    <w:p>
      <w:pPr>
        <w:pStyle w:val="null3"/>
        <w:ind w:firstLine="480"/>
      </w:pPr>
      <w:r>
        <w:rPr/>
        <w:t>我单位已登记并准备参与“</w:t>
      </w:r>
      <w:r>
        <w:rPr/>
        <w:t>黄江镇“四害”消杀项目</w:t>
      </w:r>
      <w:r>
        <w:rPr/>
        <w:t>”项目（采购项目编号：</w:t>
      </w:r>
      <w:r>
        <w:rPr/>
        <w:t>441900022-2026-00228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