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075C3">
      <w:pPr>
        <w:pStyle w:val="4"/>
        <w:spacing w:before="0" w:beforeAutospacing="0" w:after="0" w:afterAutospacing="0" w:line="300" w:lineRule="auto"/>
        <w:ind w:left="0" w:leftChars="0" w:right="0" w:rightChars="0"/>
        <w:jc w:val="center"/>
        <w:rPr>
          <w:rFonts w:hint="default" w:ascii="黑体" w:hAnsi="宋体" w:eastAsia="黑体" w:cs="黑体"/>
          <w:sz w:val="44"/>
          <w:szCs w:val="44"/>
        </w:rPr>
      </w:pPr>
      <w:r>
        <w:rPr>
          <w:rFonts w:hint="default" w:ascii="黑体" w:hAnsi="宋体" w:eastAsia="黑体" w:cs="黑体"/>
          <w:sz w:val="44"/>
          <w:szCs w:val="44"/>
        </w:rPr>
        <w:t>吉安职业技术学院宿舍内消杀服务采购需求</w:t>
      </w:r>
    </w:p>
    <w:p w14:paraId="50EE3932">
      <w:pPr>
        <w:pStyle w:val="5"/>
        <w:spacing w:before="320" w:beforeAutospacing="0" w:after="0" w:afterAutospacing="0" w:line="300" w:lineRule="auto"/>
        <w:ind w:left="0" w:leftChars="0" w:right="0" w:rightChars="0"/>
        <w:rPr>
          <w:rFonts w:hint="default" w:ascii="黑体" w:hAnsi="宋体" w:eastAsia="黑体" w:cs="黑体"/>
          <w:sz w:val="32"/>
          <w:szCs w:val="32"/>
        </w:rPr>
      </w:pPr>
      <w:r>
        <w:rPr>
          <w:rFonts w:hint="default" w:ascii="黑体" w:hAnsi="宋体" w:eastAsia="黑体" w:cs="黑体"/>
          <w:sz w:val="32"/>
          <w:szCs w:val="32"/>
        </w:rPr>
        <w:t>一、项目概况</w:t>
      </w:r>
    </w:p>
    <w:p w14:paraId="29AEFDC8">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default" w:ascii="Calibri" w:hAnsi="Calibri" w:eastAsia="宋体" w:cs="Calibri"/>
          <w:sz w:val="24"/>
          <w:szCs w:val="24"/>
        </w:rPr>
        <w:t>本项目为吉安职业技术学院学生宿舍内消杀服务采购，服务范围涵盖学校</w:t>
      </w:r>
      <w:r>
        <w:rPr>
          <w:rFonts w:hint="eastAsia" w:ascii="Calibri" w:hAnsi="Calibri" w:eastAsia="宋体" w:cs="Calibri"/>
          <w:sz w:val="24"/>
          <w:szCs w:val="24"/>
          <w:lang w:val="en-US" w:eastAsia="zh-CN"/>
        </w:rPr>
        <w:t>1-17栋</w:t>
      </w:r>
      <w:r>
        <w:rPr>
          <w:rFonts w:hint="default" w:ascii="Calibri" w:hAnsi="Calibri" w:eastAsia="宋体" w:cs="Calibri"/>
          <w:sz w:val="24"/>
          <w:szCs w:val="24"/>
        </w:rPr>
        <w:t>学生宿舍区域，包含宿舍房间、公共走廊、楼梯间、洗衣房、开水间、电梯轿厢、垃圾存放点等公共区域，旨在预防蚊虫、蟑螂、老鼠等病媒生物滋生，阻断病菌传播，保障全体住校学生的身体健康与住宿环境安全，</w:t>
      </w:r>
      <w:r>
        <w:rPr>
          <w:rFonts w:hint="eastAsia" w:ascii="Calibri" w:hAnsi="Calibri" w:eastAsia="宋体" w:cs="Calibri"/>
          <w:sz w:val="24"/>
          <w:szCs w:val="24"/>
          <w:lang w:val="en-US" w:eastAsia="zh-CN"/>
        </w:rPr>
        <w:t>做到单次服务全面覆盖，</w:t>
      </w:r>
      <w:r>
        <w:rPr>
          <w:rFonts w:hint="default" w:ascii="Calibri" w:hAnsi="Calibri" w:eastAsia="宋体" w:cs="Calibri"/>
          <w:sz w:val="24"/>
          <w:szCs w:val="24"/>
        </w:rPr>
        <w:t>满足校园日常病媒生物防控标准。</w:t>
      </w:r>
    </w:p>
    <w:p w14:paraId="6B08E9BC">
      <w:pPr>
        <w:pStyle w:val="5"/>
        <w:spacing w:before="320" w:beforeAutospacing="0" w:after="0" w:afterAutospacing="0" w:line="300" w:lineRule="auto"/>
        <w:ind w:left="0" w:leftChars="0" w:right="0" w:rightChars="0"/>
        <w:rPr>
          <w:rFonts w:hint="default" w:ascii="黑体" w:hAnsi="宋体" w:eastAsia="黑体" w:cs="黑体"/>
          <w:sz w:val="32"/>
          <w:szCs w:val="32"/>
        </w:rPr>
      </w:pPr>
      <w:r>
        <w:rPr>
          <w:rFonts w:hint="default" w:ascii="黑体" w:hAnsi="宋体" w:eastAsia="黑体" w:cs="黑体"/>
          <w:sz w:val="32"/>
          <w:szCs w:val="32"/>
        </w:rPr>
        <w:t>二、服务范围与内容</w:t>
      </w:r>
    </w:p>
    <w:p w14:paraId="78A60C3B">
      <w:pPr>
        <w:pStyle w:val="6"/>
        <w:spacing w:before="200" w:beforeAutospacing="0" w:after="0" w:afterAutospacing="0" w:line="300" w:lineRule="auto"/>
        <w:ind w:left="0" w:leftChars="0" w:right="0" w:rightChars="0"/>
        <w:rPr>
          <w:rFonts w:hint="default" w:ascii="黑体" w:hAnsi="宋体" w:eastAsia="黑体" w:cs="黑体"/>
          <w:sz w:val="28"/>
          <w:szCs w:val="28"/>
        </w:rPr>
      </w:pPr>
      <w:r>
        <w:rPr>
          <w:rFonts w:hint="default" w:ascii="黑体" w:hAnsi="宋体" w:eastAsia="黑体" w:cs="黑体"/>
          <w:sz w:val="28"/>
          <w:szCs w:val="28"/>
        </w:rPr>
        <w:t>（一）服务范围</w:t>
      </w:r>
    </w:p>
    <w:p w14:paraId="72D4D448">
      <w:pPr>
        <w:numPr>
          <w:ilvl w:val="0"/>
          <w:numId w:val="0"/>
        </w:numPr>
        <w:spacing w:before="0"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1.</w:t>
      </w:r>
      <w:r>
        <w:rPr>
          <w:rFonts w:hint="default" w:ascii="Calibri" w:hAnsi="Calibri" w:eastAsia="宋体" w:cs="Calibri"/>
          <w:sz w:val="24"/>
          <w:szCs w:val="24"/>
        </w:rPr>
        <w:t>吉安职业技术学院全部全日制学生宿舍，共</w:t>
      </w:r>
      <w:r>
        <w:rPr>
          <w:rFonts w:hint="eastAsia" w:ascii="Calibri" w:hAnsi="Calibri" w:eastAsia="宋体" w:cs="Calibri"/>
          <w:sz w:val="24"/>
          <w:szCs w:val="24"/>
          <w:lang w:val="en-US" w:eastAsia="zh-CN"/>
        </w:rPr>
        <w:t>1-17</w:t>
      </w:r>
      <w:r>
        <w:rPr>
          <w:rFonts w:hint="default" w:ascii="Calibri" w:hAnsi="Calibri" w:eastAsia="宋体" w:cs="Calibri"/>
          <w:sz w:val="24"/>
          <w:szCs w:val="24"/>
        </w:rPr>
        <w:t>栋学生宿舍楼，覆盖宿舍房间约</w:t>
      </w:r>
      <w:r>
        <w:rPr>
          <w:rFonts w:hint="eastAsia" w:ascii="Calibri" w:hAnsi="Calibri" w:eastAsia="宋体" w:cs="Calibri"/>
          <w:sz w:val="24"/>
          <w:szCs w:val="24"/>
          <w:lang w:val="en-US" w:eastAsia="zh-CN"/>
        </w:rPr>
        <w:t>2400</w:t>
      </w:r>
      <w:r>
        <w:rPr>
          <w:rFonts w:hint="default" w:ascii="Calibri" w:hAnsi="Calibri" w:eastAsia="宋体" w:cs="Calibri"/>
          <w:sz w:val="24"/>
          <w:szCs w:val="24"/>
        </w:rPr>
        <w:t>间</w:t>
      </w:r>
      <w:r>
        <w:rPr>
          <w:rFonts w:hint="eastAsia" w:ascii="Calibri" w:hAnsi="Calibri" w:eastAsia="宋体" w:cs="Calibri"/>
          <w:sz w:val="24"/>
          <w:szCs w:val="24"/>
          <w:lang w:eastAsia="zh-CN"/>
        </w:rPr>
        <w:t>，</w:t>
      </w:r>
      <w:r>
        <w:rPr>
          <w:rFonts w:hint="eastAsia" w:ascii="Calibri" w:hAnsi="Calibri" w:eastAsia="宋体" w:cs="Calibri"/>
          <w:sz w:val="24"/>
          <w:szCs w:val="24"/>
          <w:lang w:val="en-US" w:eastAsia="zh-CN"/>
        </w:rPr>
        <w:t>每间约28㎡</w:t>
      </w:r>
      <w:r>
        <w:rPr>
          <w:rFonts w:hint="default" w:ascii="Calibri" w:hAnsi="Calibri" w:eastAsia="宋体" w:cs="Calibri"/>
          <w:sz w:val="24"/>
          <w:szCs w:val="24"/>
        </w:rPr>
        <w:t>；</w:t>
      </w:r>
    </w:p>
    <w:p w14:paraId="1F0FC00D">
      <w:pPr>
        <w:numPr>
          <w:ilvl w:val="0"/>
          <w:numId w:val="0"/>
        </w:numPr>
        <w:spacing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2.</w:t>
      </w:r>
      <w:r>
        <w:rPr>
          <w:rFonts w:hint="default" w:ascii="Calibri" w:hAnsi="Calibri" w:eastAsia="宋体" w:cs="Calibri"/>
          <w:sz w:val="24"/>
          <w:szCs w:val="24"/>
        </w:rPr>
        <w:t>宿舍楼内公共区域：包括楼道、楼梯间、扶手、电梯、公共卫生间、洗衣房、开水间、垃圾桶存放点、下水井口等；</w:t>
      </w:r>
    </w:p>
    <w:p w14:paraId="60706C65">
      <w:pPr>
        <w:numPr>
          <w:ilvl w:val="0"/>
          <w:numId w:val="0"/>
        </w:numPr>
        <w:spacing w:beforeAutospacing="0" w:after="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3.</w:t>
      </w:r>
      <w:r>
        <w:rPr>
          <w:rFonts w:hint="default" w:ascii="Calibri" w:hAnsi="Calibri" w:eastAsia="宋体" w:cs="Calibri"/>
          <w:sz w:val="24"/>
          <w:szCs w:val="24"/>
        </w:rPr>
        <w:t>宿舍周边楼体周边绿化带、墙角等容易滋生病媒生物的衔接区域。</w:t>
      </w:r>
    </w:p>
    <w:p w14:paraId="13B13A86">
      <w:pPr>
        <w:pStyle w:val="6"/>
        <w:spacing w:before="200" w:beforeAutospacing="0" w:after="0" w:afterAutospacing="0" w:line="300" w:lineRule="auto"/>
        <w:ind w:left="0" w:leftChars="0" w:right="0" w:rightChars="0"/>
        <w:rPr>
          <w:rFonts w:hint="default" w:ascii="黑体" w:hAnsi="宋体" w:eastAsia="黑体" w:cs="黑体"/>
          <w:sz w:val="28"/>
          <w:szCs w:val="28"/>
        </w:rPr>
      </w:pPr>
      <w:r>
        <w:rPr>
          <w:rFonts w:hint="default" w:ascii="黑体" w:hAnsi="宋体" w:eastAsia="黑体" w:cs="黑体"/>
          <w:sz w:val="28"/>
          <w:szCs w:val="28"/>
        </w:rPr>
        <w:t>（二）核心服务内容</w:t>
      </w:r>
    </w:p>
    <w:tbl>
      <w:tblPr>
        <w:tblStyle w:val="7"/>
        <w:tblW w:w="48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6799"/>
      </w:tblGrid>
      <w:tr w14:paraId="4671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11" w:type="pct"/>
            <w:tcBorders>
              <w:top w:val="single" w:color="333333" w:sz="6" w:space="0"/>
              <w:left w:val="single" w:color="333333" w:sz="6" w:space="0"/>
              <w:bottom w:val="single" w:color="333333" w:sz="6" w:space="0"/>
              <w:right w:val="single" w:color="333333" w:sz="6" w:space="0"/>
            </w:tcBorders>
            <w:shd w:val="clear" w:color="auto" w:fill="F5F5F5"/>
            <w:tcMar>
              <w:top w:w="120" w:type="dxa"/>
              <w:left w:w="120" w:type="dxa"/>
              <w:bottom w:w="120" w:type="dxa"/>
              <w:right w:w="120" w:type="dxa"/>
            </w:tcMar>
            <w:vAlign w:val="center"/>
          </w:tcPr>
          <w:p w14:paraId="15F6F064">
            <w:pPr>
              <w:spacing w:beforeAutospacing="0" w:afterAutospacing="0" w:line="300" w:lineRule="auto"/>
              <w:ind w:right="0"/>
              <w:jc w:val="center"/>
              <w:rPr>
                <w:rFonts w:hint="default" w:ascii="Calibri" w:hAnsi="Calibri" w:eastAsia="宋体" w:cs="Calibri"/>
                <w:b/>
                <w:sz w:val="24"/>
                <w:szCs w:val="24"/>
              </w:rPr>
            </w:pPr>
            <w:r>
              <w:rPr>
                <w:rFonts w:hint="default" w:ascii="Calibri" w:hAnsi="Calibri" w:eastAsia="宋体" w:cs="Calibri"/>
                <w:b/>
                <w:sz w:val="24"/>
                <w:szCs w:val="24"/>
              </w:rPr>
              <w:t>服务项目</w:t>
            </w:r>
          </w:p>
        </w:tc>
        <w:tc>
          <w:tcPr>
            <w:tcW w:w="4088" w:type="pct"/>
            <w:tcBorders>
              <w:top w:val="single" w:color="333333" w:sz="6" w:space="0"/>
              <w:left w:val="single" w:color="333333" w:sz="6" w:space="0"/>
              <w:bottom w:val="single" w:color="333333" w:sz="6" w:space="0"/>
              <w:right w:val="single" w:color="333333" w:sz="6" w:space="0"/>
            </w:tcBorders>
            <w:shd w:val="clear" w:color="auto" w:fill="F5F5F5"/>
            <w:tcMar>
              <w:top w:w="120" w:type="dxa"/>
              <w:left w:w="120" w:type="dxa"/>
              <w:bottom w:w="120" w:type="dxa"/>
              <w:right w:w="120" w:type="dxa"/>
            </w:tcMar>
            <w:vAlign w:val="center"/>
          </w:tcPr>
          <w:p w14:paraId="6BF03E1A">
            <w:pPr>
              <w:spacing w:beforeAutospacing="0" w:afterAutospacing="0" w:line="300" w:lineRule="auto"/>
              <w:ind w:right="0"/>
              <w:jc w:val="center"/>
              <w:rPr>
                <w:rFonts w:hint="default" w:ascii="Calibri" w:hAnsi="Calibri" w:eastAsia="宋体" w:cs="Calibri"/>
                <w:b/>
                <w:sz w:val="24"/>
                <w:szCs w:val="24"/>
              </w:rPr>
            </w:pPr>
            <w:r>
              <w:rPr>
                <w:rFonts w:hint="default" w:ascii="Calibri" w:hAnsi="Calibri" w:eastAsia="宋体" w:cs="Calibri"/>
                <w:b/>
                <w:sz w:val="24"/>
                <w:szCs w:val="24"/>
              </w:rPr>
              <w:t>服务要求</w:t>
            </w:r>
          </w:p>
        </w:tc>
      </w:tr>
      <w:tr w14:paraId="3E9A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tcBorders>
              <w:top w:val="single" w:color="333333" w:sz="6" w:space="0"/>
              <w:left w:val="single" w:color="333333" w:sz="6" w:space="0"/>
              <w:bottom w:val="single" w:color="333333" w:sz="6" w:space="0"/>
              <w:right w:val="single" w:color="333333" w:sz="6" w:space="0"/>
            </w:tcBorders>
            <w:tcMar>
              <w:top w:w="120" w:type="dxa"/>
              <w:left w:w="120" w:type="dxa"/>
              <w:bottom w:w="120" w:type="dxa"/>
              <w:right w:w="120" w:type="dxa"/>
            </w:tcMar>
            <w:vAlign w:val="center"/>
          </w:tcPr>
          <w:p w14:paraId="30ED329B">
            <w:pPr>
              <w:spacing w:beforeAutospacing="0" w:afterAutospacing="0" w:line="300" w:lineRule="auto"/>
              <w:ind w:right="0"/>
              <w:jc w:val="center"/>
              <w:rPr>
                <w:rFonts w:hint="default" w:ascii="Calibri" w:hAnsi="Calibri" w:eastAsia="宋体" w:cs="Calibri"/>
                <w:sz w:val="24"/>
                <w:szCs w:val="24"/>
              </w:rPr>
            </w:pPr>
            <w:r>
              <w:rPr>
                <w:rFonts w:hint="default" w:ascii="Calibri" w:hAnsi="Calibri" w:eastAsia="宋体" w:cs="Calibri"/>
                <w:sz w:val="24"/>
                <w:szCs w:val="24"/>
              </w:rPr>
              <w:t>蚊虫消杀</w:t>
            </w:r>
          </w:p>
        </w:tc>
        <w:tc>
          <w:tcPr>
            <w:tcW w:w="4088" w:type="pct"/>
            <w:tcBorders>
              <w:top w:val="single" w:color="333333" w:sz="6" w:space="0"/>
              <w:left w:val="single" w:color="333333" w:sz="6" w:space="0"/>
              <w:bottom w:val="single" w:color="333333" w:sz="6" w:space="0"/>
              <w:right w:val="single" w:color="333333" w:sz="6" w:space="0"/>
            </w:tcBorders>
            <w:tcMar>
              <w:top w:w="120" w:type="dxa"/>
              <w:left w:w="120" w:type="dxa"/>
              <w:bottom w:w="120" w:type="dxa"/>
              <w:right w:w="120" w:type="dxa"/>
            </w:tcMar>
            <w:vAlign w:val="center"/>
          </w:tcPr>
          <w:p w14:paraId="3C138DCD">
            <w:pPr>
              <w:spacing w:beforeAutospacing="0" w:afterAutospacing="0" w:line="300" w:lineRule="auto"/>
              <w:ind w:right="0"/>
              <w:jc w:val="left"/>
              <w:rPr>
                <w:rFonts w:hint="default" w:ascii="Calibri" w:hAnsi="Calibri" w:eastAsia="宋体" w:cs="Calibri"/>
                <w:sz w:val="24"/>
                <w:szCs w:val="24"/>
              </w:rPr>
            </w:pPr>
            <w:r>
              <w:rPr>
                <w:rFonts w:hint="default" w:ascii="Calibri" w:hAnsi="Calibri" w:eastAsia="宋体" w:cs="Calibri"/>
                <w:sz w:val="24"/>
                <w:szCs w:val="24"/>
              </w:rPr>
              <w:t>对宿舍内外公共区域、房间角落、积水区域进行蚊虫幼虫消杀及成蚊灭杀，降低蚊虫密度，预防蚊虫传播疾病</w:t>
            </w:r>
          </w:p>
        </w:tc>
      </w:tr>
      <w:tr w14:paraId="2756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tcBorders>
              <w:top w:val="single" w:color="333333" w:sz="6" w:space="0"/>
              <w:left w:val="single" w:color="333333" w:sz="6" w:space="0"/>
              <w:bottom w:val="single" w:color="333333" w:sz="6" w:space="0"/>
              <w:right w:val="single" w:color="333333" w:sz="6" w:space="0"/>
            </w:tcBorders>
            <w:tcMar>
              <w:top w:w="120" w:type="dxa"/>
              <w:left w:w="120" w:type="dxa"/>
              <w:bottom w:w="120" w:type="dxa"/>
              <w:right w:w="120" w:type="dxa"/>
            </w:tcMar>
            <w:vAlign w:val="center"/>
          </w:tcPr>
          <w:p w14:paraId="0C747556">
            <w:pPr>
              <w:spacing w:beforeAutospacing="0" w:afterAutospacing="0" w:line="300" w:lineRule="auto"/>
              <w:ind w:right="0"/>
              <w:jc w:val="center"/>
              <w:rPr>
                <w:rFonts w:hint="default" w:ascii="Calibri" w:hAnsi="Calibri" w:eastAsia="宋体" w:cs="Calibri"/>
                <w:sz w:val="24"/>
                <w:szCs w:val="24"/>
              </w:rPr>
            </w:pPr>
            <w:r>
              <w:rPr>
                <w:rFonts w:hint="default" w:ascii="Calibri" w:hAnsi="Calibri" w:eastAsia="宋体" w:cs="Calibri"/>
                <w:sz w:val="24"/>
                <w:szCs w:val="24"/>
              </w:rPr>
              <w:t>蟑螂防治</w:t>
            </w:r>
          </w:p>
        </w:tc>
        <w:tc>
          <w:tcPr>
            <w:tcW w:w="4088" w:type="pct"/>
            <w:tcBorders>
              <w:top w:val="single" w:color="333333" w:sz="6" w:space="0"/>
              <w:left w:val="single" w:color="333333" w:sz="6" w:space="0"/>
              <w:bottom w:val="single" w:color="333333" w:sz="6" w:space="0"/>
              <w:right w:val="single" w:color="333333" w:sz="6" w:space="0"/>
            </w:tcBorders>
            <w:tcMar>
              <w:top w:w="120" w:type="dxa"/>
              <w:left w:w="120" w:type="dxa"/>
              <w:bottom w:w="120" w:type="dxa"/>
              <w:right w:w="120" w:type="dxa"/>
            </w:tcMar>
            <w:vAlign w:val="center"/>
          </w:tcPr>
          <w:p w14:paraId="006EB9B9">
            <w:pPr>
              <w:spacing w:beforeAutospacing="0" w:afterAutospacing="0" w:line="300" w:lineRule="auto"/>
              <w:ind w:right="0"/>
              <w:jc w:val="left"/>
              <w:rPr>
                <w:rFonts w:hint="default" w:ascii="Calibri" w:hAnsi="Calibri" w:eastAsia="宋体" w:cs="Calibri"/>
                <w:sz w:val="24"/>
                <w:szCs w:val="24"/>
              </w:rPr>
            </w:pPr>
            <w:r>
              <w:rPr>
                <w:rFonts w:hint="default" w:ascii="Calibri" w:hAnsi="Calibri" w:eastAsia="宋体" w:cs="Calibri"/>
                <w:sz w:val="24"/>
                <w:szCs w:val="24"/>
              </w:rPr>
              <w:t>针对宿舍橱柜、抽屉、墙角、下水口等蟑螂易滋生区域投放安全灭蟑药剂，定期开展滞留喷洒，有效降低蟑螂密度</w:t>
            </w:r>
          </w:p>
        </w:tc>
      </w:tr>
      <w:tr w14:paraId="487F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tcBorders>
              <w:top w:val="single" w:color="333333" w:sz="6" w:space="0"/>
              <w:left w:val="single" w:color="333333" w:sz="6" w:space="0"/>
              <w:bottom w:val="single" w:color="333333" w:sz="6" w:space="0"/>
              <w:right w:val="single" w:color="333333" w:sz="6" w:space="0"/>
            </w:tcBorders>
            <w:tcMar>
              <w:top w:w="120" w:type="dxa"/>
              <w:left w:w="120" w:type="dxa"/>
              <w:bottom w:w="120" w:type="dxa"/>
              <w:right w:w="120" w:type="dxa"/>
            </w:tcMar>
            <w:vAlign w:val="center"/>
          </w:tcPr>
          <w:p w14:paraId="769A4992">
            <w:pPr>
              <w:spacing w:beforeAutospacing="0" w:afterAutospacing="0" w:line="300" w:lineRule="auto"/>
              <w:ind w:right="0"/>
              <w:jc w:val="center"/>
              <w:rPr>
                <w:rFonts w:hint="default" w:ascii="Calibri" w:hAnsi="Calibri" w:eastAsia="宋体" w:cs="Calibri"/>
                <w:sz w:val="24"/>
                <w:szCs w:val="24"/>
              </w:rPr>
            </w:pPr>
            <w:r>
              <w:rPr>
                <w:rFonts w:hint="eastAsia" w:ascii="Calibri" w:hAnsi="Calibri" w:eastAsia="宋体" w:cs="Calibri"/>
                <w:sz w:val="24"/>
                <w:szCs w:val="24"/>
                <w:lang w:val="en-US" w:eastAsia="zh-CN"/>
              </w:rPr>
              <w:t>鼠类</w:t>
            </w:r>
            <w:r>
              <w:rPr>
                <w:rFonts w:hint="default" w:ascii="Calibri" w:hAnsi="Calibri" w:eastAsia="宋体" w:cs="Calibri"/>
                <w:sz w:val="24"/>
                <w:szCs w:val="24"/>
              </w:rPr>
              <w:t>防治</w:t>
            </w:r>
          </w:p>
        </w:tc>
        <w:tc>
          <w:tcPr>
            <w:tcW w:w="4088" w:type="pct"/>
            <w:tcBorders>
              <w:top w:val="single" w:color="333333" w:sz="6" w:space="0"/>
              <w:left w:val="single" w:color="333333" w:sz="6" w:space="0"/>
              <w:bottom w:val="single" w:color="333333" w:sz="6" w:space="0"/>
              <w:right w:val="single" w:color="333333" w:sz="6" w:space="0"/>
            </w:tcBorders>
            <w:tcMar>
              <w:top w:w="120" w:type="dxa"/>
              <w:left w:w="120" w:type="dxa"/>
              <w:bottom w:w="120" w:type="dxa"/>
              <w:right w:w="120" w:type="dxa"/>
            </w:tcMar>
            <w:vAlign w:val="center"/>
          </w:tcPr>
          <w:p w14:paraId="75765395">
            <w:pPr>
              <w:spacing w:beforeAutospacing="0" w:afterAutospacing="0" w:line="300" w:lineRule="auto"/>
              <w:ind w:right="0"/>
              <w:jc w:val="left"/>
              <w:rPr>
                <w:rFonts w:hint="default" w:ascii="Calibri" w:hAnsi="Calibri" w:eastAsia="宋体" w:cs="Calibri"/>
                <w:sz w:val="24"/>
                <w:szCs w:val="24"/>
              </w:rPr>
            </w:pPr>
            <w:r>
              <w:rPr>
                <w:rFonts w:hint="default" w:ascii="Calibri" w:hAnsi="Calibri" w:eastAsia="宋体" w:cs="Calibri"/>
                <w:sz w:val="24"/>
                <w:szCs w:val="24"/>
              </w:rPr>
              <w:t>在宿舍楼公共区域、地下室、楼梯间角落等位置布采用物理与化学结合方式防控鼠害，避免鼠类进入宿舍区域</w:t>
            </w:r>
          </w:p>
        </w:tc>
      </w:tr>
      <w:tr w14:paraId="1C7C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tcBorders>
              <w:top w:val="single" w:color="333333" w:sz="6" w:space="0"/>
              <w:left w:val="single" w:color="333333" w:sz="6" w:space="0"/>
              <w:bottom w:val="single" w:color="333333" w:sz="6" w:space="0"/>
              <w:right w:val="single" w:color="333333" w:sz="6" w:space="0"/>
            </w:tcBorders>
            <w:tcMar>
              <w:top w:w="120" w:type="dxa"/>
              <w:left w:w="120" w:type="dxa"/>
              <w:bottom w:w="120" w:type="dxa"/>
              <w:right w:w="120" w:type="dxa"/>
            </w:tcMar>
            <w:vAlign w:val="center"/>
          </w:tcPr>
          <w:p w14:paraId="6EC1E5B4">
            <w:pPr>
              <w:spacing w:beforeAutospacing="0" w:afterAutospacing="0" w:line="300" w:lineRule="auto"/>
              <w:ind w:right="0"/>
              <w:jc w:val="center"/>
              <w:rPr>
                <w:rFonts w:hint="default" w:ascii="Calibri" w:hAnsi="Calibri" w:eastAsia="宋体" w:cs="Calibri"/>
                <w:sz w:val="24"/>
                <w:szCs w:val="24"/>
              </w:rPr>
            </w:pPr>
            <w:r>
              <w:rPr>
                <w:rFonts w:hint="eastAsia" w:ascii="Calibri" w:hAnsi="Calibri" w:eastAsia="宋体" w:cs="Calibri"/>
                <w:sz w:val="24"/>
                <w:szCs w:val="24"/>
                <w:lang w:val="en-US" w:eastAsia="zh-CN"/>
              </w:rPr>
              <w:t>其他</w:t>
            </w:r>
            <w:r>
              <w:rPr>
                <w:rFonts w:hint="default" w:ascii="Calibri" w:hAnsi="Calibri" w:eastAsia="宋体" w:cs="Calibri"/>
                <w:sz w:val="24"/>
                <w:szCs w:val="24"/>
              </w:rPr>
              <w:t>虫害处理</w:t>
            </w:r>
          </w:p>
        </w:tc>
        <w:tc>
          <w:tcPr>
            <w:tcW w:w="4088" w:type="pct"/>
            <w:tcBorders>
              <w:top w:val="single" w:color="333333" w:sz="6" w:space="0"/>
              <w:left w:val="single" w:color="333333" w:sz="6" w:space="0"/>
              <w:bottom w:val="single" w:color="333333" w:sz="6" w:space="0"/>
              <w:right w:val="single" w:color="333333" w:sz="6" w:space="0"/>
            </w:tcBorders>
            <w:tcMar>
              <w:top w:w="120" w:type="dxa"/>
              <w:left w:w="120" w:type="dxa"/>
              <w:bottom w:w="120" w:type="dxa"/>
              <w:right w:w="120" w:type="dxa"/>
            </w:tcMar>
            <w:vAlign w:val="center"/>
          </w:tcPr>
          <w:p w14:paraId="38AC5645">
            <w:pPr>
              <w:spacing w:beforeAutospacing="0" w:afterAutospacing="0" w:line="300" w:lineRule="auto"/>
              <w:ind w:right="0"/>
              <w:jc w:val="left"/>
              <w:rPr>
                <w:rFonts w:hint="default" w:ascii="Calibri" w:hAnsi="Calibri" w:eastAsia="宋体" w:cs="Calibri"/>
                <w:sz w:val="24"/>
                <w:szCs w:val="24"/>
              </w:rPr>
            </w:pPr>
            <w:r>
              <w:rPr>
                <w:rFonts w:hint="eastAsia" w:ascii="Calibri" w:hAnsi="Calibri" w:eastAsia="宋体" w:cs="Calibri"/>
                <w:sz w:val="24"/>
                <w:szCs w:val="24"/>
                <w:lang w:val="en-US" w:eastAsia="zh-CN"/>
              </w:rPr>
              <w:t>如有</w:t>
            </w:r>
            <w:r>
              <w:rPr>
                <w:rFonts w:hint="default" w:ascii="Calibri" w:hAnsi="Calibri" w:eastAsia="宋体" w:cs="Calibri"/>
                <w:sz w:val="24"/>
                <w:szCs w:val="24"/>
              </w:rPr>
              <w:t>学生宿舍</w:t>
            </w:r>
            <w:r>
              <w:rPr>
                <w:rFonts w:hint="eastAsia" w:ascii="Calibri" w:hAnsi="Calibri" w:eastAsia="宋体" w:cs="Calibri"/>
                <w:sz w:val="24"/>
                <w:szCs w:val="24"/>
                <w:lang w:val="en-US" w:eastAsia="zh-CN"/>
              </w:rPr>
              <w:t>出现</w:t>
            </w:r>
            <w:r>
              <w:rPr>
                <w:rFonts w:hint="default" w:ascii="Calibri" w:hAnsi="Calibri" w:eastAsia="宋体" w:cs="Calibri"/>
                <w:sz w:val="24"/>
                <w:szCs w:val="24"/>
              </w:rPr>
              <w:t>臭虫、跳蚤等特殊虫害，</w:t>
            </w:r>
            <w:r>
              <w:rPr>
                <w:rFonts w:hint="eastAsia" w:ascii="Calibri" w:hAnsi="Calibri" w:eastAsia="宋体" w:cs="Calibri"/>
                <w:sz w:val="24"/>
                <w:szCs w:val="24"/>
                <w:lang w:val="en-US" w:eastAsia="zh-CN"/>
              </w:rPr>
              <w:t>需</w:t>
            </w:r>
            <w:r>
              <w:rPr>
                <w:rFonts w:hint="default" w:ascii="Calibri" w:hAnsi="Calibri" w:eastAsia="宋体" w:cs="Calibri"/>
                <w:sz w:val="24"/>
                <w:szCs w:val="24"/>
              </w:rPr>
              <w:t>开展专业消杀处理，跟进消杀效果直至虫害清除</w:t>
            </w:r>
          </w:p>
        </w:tc>
      </w:tr>
    </w:tbl>
    <w:p w14:paraId="64A1B840">
      <w:pPr>
        <w:pStyle w:val="5"/>
        <w:spacing w:before="320" w:beforeAutospacing="0" w:after="0" w:afterAutospacing="0" w:line="300" w:lineRule="auto"/>
        <w:ind w:left="0" w:leftChars="0" w:right="0" w:rightChars="0"/>
        <w:rPr>
          <w:rFonts w:hint="default" w:ascii="黑体" w:hAnsi="宋体" w:eastAsia="黑体" w:cs="黑体"/>
          <w:sz w:val="32"/>
          <w:szCs w:val="32"/>
        </w:rPr>
      </w:pPr>
      <w:r>
        <w:rPr>
          <w:rFonts w:hint="default" w:ascii="黑体" w:hAnsi="宋体" w:eastAsia="黑体" w:cs="黑体"/>
          <w:sz w:val="32"/>
          <w:szCs w:val="32"/>
        </w:rPr>
        <w:t>三、供应商资格要求</w:t>
      </w:r>
    </w:p>
    <w:p w14:paraId="794ACE98">
      <w:pPr>
        <w:numPr>
          <w:ilvl w:val="0"/>
          <w:numId w:val="0"/>
        </w:numPr>
        <w:spacing w:before="0"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1.</w:t>
      </w:r>
      <w:r>
        <w:rPr>
          <w:rFonts w:hint="default" w:ascii="Calibri" w:hAnsi="Calibri" w:eastAsia="宋体" w:cs="Calibri"/>
          <w:sz w:val="24"/>
          <w:szCs w:val="24"/>
        </w:rPr>
        <w:t>具有独立法人资格，持有有效的营业执照，经营范围包含病媒生物防制或消杀服务相关内容；</w:t>
      </w:r>
    </w:p>
    <w:p w14:paraId="1C8F5806">
      <w:pPr>
        <w:numPr>
          <w:ilvl w:val="0"/>
          <w:numId w:val="0"/>
        </w:numPr>
        <w:spacing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2.</w:t>
      </w:r>
      <w:r>
        <w:rPr>
          <w:rFonts w:hint="default" w:ascii="Calibri" w:hAnsi="Calibri" w:eastAsia="宋体" w:cs="Calibri"/>
          <w:sz w:val="24"/>
          <w:szCs w:val="24"/>
        </w:rPr>
        <w:t>具备有害生物防治服务相应资质，项目负责人及现场作业人员应持有有效的病媒生物防制从业人员培训合格证明；</w:t>
      </w:r>
    </w:p>
    <w:p w14:paraId="79806039">
      <w:pPr>
        <w:numPr>
          <w:ilvl w:val="0"/>
          <w:numId w:val="0"/>
        </w:numPr>
        <w:spacing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3.</w:t>
      </w:r>
      <w:r>
        <w:rPr>
          <w:rFonts w:hint="default" w:ascii="Calibri" w:hAnsi="Calibri" w:eastAsia="宋体" w:cs="Calibri"/>
          <w:sz w:val="24"/>
          <w:szCs w:val="24"/>
        </w:rPr>
        <w:t>近三年内没有重大违法记录，未被列入政府采购严重违法失信行为记录名单；</w:t>
      </w:r>
    </w:p>
    <w:p w14:paraId="1F87ADAC">
      <w:pPr>
        <w:numPr>
          <w:ilvl w:val="0"/>
          <w:numId w:val="0"/>
        </w:numPr>
        <w:spacing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4.</w:t>
      </w:r>
      <w:r>
        <w:rPr>
          <w:rFonts w:hint="default" w:ascii="Calibri" w:hAnsi="Calibri" w:eastAsia="宋体" w:cs="Calibri"/>
          <w:sz w:val="24"/>
          <w:szCs w:val="24"/>
        </w:rPr>
        <w:t>具有高校或大型单位消杀服务类似项目经验，能提供近1年以内的同类服务合同案例；</w:t>
      </w:r>
    </w:p>
    <w:p w14:paraId="476DFA62">
      <w:pPr>
        <w:numPr>
          <w:ilvl w:val="0"/>
          <w:numId w:val="0"/>
        </w:numPr>
        <w:spacing w:beforeAutospacing="0" w:after="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5.</w:t>
      </w:r>
      <w:r>
        <w:rPr>
          <w:rFonts w:hint="default" w:ascii="Calibri" w:hAnsi="Calibri" w:eastAsia="宋体" w:cs="Calibri"/>
          <w:sz w:val="24"/>
          <w:szCs w:val="24"/>
        </w:rPr>
        <w:t>所有使用的消杀药剂均具备农药登记证、生产许可证、产品检验合格证，符合国家安全标准，对人体低毒无害，对环境无污染。</w:t>
      </w:r>
    </w:p>
    <w:p w14:paraId="4D2EECE5">
      <w:pPr>
        <w:pStyle w:val="5"/>
        <w:spacing w:before="320" w:beforeAutospacing="0" w:after="0" w:afterAutospacing="0" w:line="300" w:lineRule="auto"/>
        <w:ind w:left="0" w:leftChars="0" w:right="0" w:rightChars="0"/>
        <w:rPr>
          <w:rFonts w:hint="default" w:ascii="黑体" w:hAnsi="宋体" w:eastAsia="黑体" w:cs="黑体"/>
          <w:sz w:val="32"/>
          <w:szCs w:val="32"/>
        </w:rPr>
      </w:pPr>
      <w:r>
        <w:rPr>
          <w:rFonts w:hint="default" w:ascii="黑体" w:hAnsi="宋体" w:eastAsia="黑体" w:cs="黑体"/>
          <w:sz w:val="32"/>
          <w:szCs w:val="32"/>
        </w:rPr>
        <w:t>四、服务质量标准要求</w:t>
      </w:r>
    </w:p>
    <w:p w14:paraId="44C5E47C">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default" w:ascii="Calibri" w:hAnsi="Calibri" w:eastAsia="宋体" w:cs="Calibri"/>
          <w:sz w:val="24"/>
          <w:szCs w:val="24"/>
        </w:rPr>
        <w:t>1. 病媒生物密度控制符合《病媒生物密度控制水平 蚊虫GB/T 27771-2011》《病媒生物密度控制水平 蟑螂GB/T 27772-2011》《病媒生物密度控制水平 鼠类GB/T 27770-2011》国家标准要求，蚊虫、蟑螂、鼠类密度达标率不低于95%。</w:t>
      </w:r>
    </w:p>
    <w:p w14:paraId="626CA1FB">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default" w:ascii="Calibri" w:hAnsi="Calibri" w:eastAsia="宋体" w:cs="Calibri"/>
          <w:sz w:val="24"/>
          <w:szCs w:val="24"/>
        </w:rPr>
        <w:t>2. 消杀作业过程中需采取安全防护措施，避免药剂污染学生衣物、生活用品、食品等，作业后通风到位，无明显刺激性气味残留，保障住宿安全。</w:t>
      </w:r>
    </w:p>
    <w:p w14:paraId="7C54778E">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eastAsia" w:ascii="Calibri" w:hAnsi="Calibri" w:eastAsia="宋体" w:cs="Calibri"/>
          <w:sz w:val="24"/>
          <w:szCs w:val="24"/>
          <w:lang w:val="en-US" w:eastAsia="zh-CN"/>
        </w:rPr>
        <w:t>3</w:t>
      </w:r>
      <w:r>
        <w:rPr>
          <w:rFonts w:hint="default" w:ascii="Calibri" w:hAnsi="Calibri" w:eastAsia="宋体" w:cs="Calibri"/>
          <w:sz w:val="24"/>
          <w:szCs w:val="24"/>
        </w:rPr>
        <w:t>. 建立完整的消杀服务台账，每次消杀作业记录服务区域、作业时间、使用药剂种类及用量、作业人员签字，向学校后勤管理部门提交服务报告，接受学校检查与满意度测评。</w:t>
      </w:r>
    </w:p>
    <w:p w14:paraId="607C72DA">
      <w:pPr>
        <w:pStyle w:val="5"/>
        <w:spacing w:before="320" w:beforeAutospacing="0" w:after="0" w:afterAutospacing="0" w:line="300" w:lineRule="auto"/>
        <w:ind w:left="0" w:leftChars="0" w:right="0" w:rightChars="0"/>
        <w:rPr>
          <w:rFonts w:hint="default" w:ascii="黑体" w:hAnsi="宋体" w:eastAsia="黑体" w:cs="黑体"/>
          <w:sz w:val="32"/>
          <w:szCs w:val="32"/>
        </w:rPr>
      </w:pPr>
      <w:r>
        <w:rPr>
          <w:rFonts w:hint="default" w:ascii="黑体" w:hAnsi="宋体" w:eastAsia="黑体" w:cs="黑体"/>
          <w:sz w:val="32"/>
          <w:szCs w:val="32"/>
        </w:rPr>
        <w:t>五、安全管理要求</w:t>
      </w:r>
    </w:p>
    <w:p w14:paraId="4120955F">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default" w:ascii="Calibri" w:hAnsi="Calibri" w:eastAsia="宋体" w:cs="Calibri"/>
          <w:sz w:val="24"/>
          <w:szCs w:val="24"/>
        </w:rPr>
        <w:t>1. 供应商必须严格遵守学校各项安全管理规定，作业人员入校需配合学校做好身份核验、安全教育，服从学校管理，不得进入非作业区域，不得扰乱学生正常学习生活秩序。</w:t>
      </w:r>
    </w:p>
    <w:p w14:paraId="0DA0C8C6">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default" w:ascii="Calibri" w:hAnsi="Calibri" w:eastAsia="宋体" w:cs="Calibri"/>
          <w:sz w:val="24"/>
          <w:szCs w:val="24"/>
        </w:rPr>
        <w:t>2. 所有消杀药剂必须从正规渠道采购，符合国家安全生产与环境保护要求，严禁使用国家明令禁止的剧毒消杀药剂，药剂存放必须符合安全规范，不得存放在校园学生活动区域。</w:t>
      </w:r>
    </w:p>
    <w:p w14:paraId="31D54C0F">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default" w:ascii="Calibri" w:hAnsi="Calibri" w:eastAsia="宋体" w:cs="Calibri"/>
          <w:sz w:val="24"/>
          <w:szCs w:val="24"/>
        </w:rPr>
        <w:t>3. 作业时需设置明显的警示标识，提醒学生避开作业区域，作业结束后按要求清理现场，妥善处理废弃药剂包装，避免发生安全事故。若因供应商操作不当导致发生人身伤害、财产损失等安全事故，由供应商承担全部责任。</w:t>
      </w:r>
    </w:p>
    <w:p w14:paraId="0FD5E1AF">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default" w:ascii="Calibri" w:hAnsi="Calibri" w:eastAsia="宋体" w:cs="Calibri"/>
          <w:sz w:val="24"/>
          <w:szCs w:val="24"/>
        </w:rPr>
        <w:t>4. 供应商应为所有作业人员购买人身意外伤害保险，作业过程中作业人员自身安全由供应商自行负责。</w:t>
      </w:r>
    </w:p>
    <w:p w14:paraId="2D6E61E5">
      <w:pPr>
        <w:pStyle w:val="5"/>
        <w:spacing w:before="320" w:beforeAutospacing="0" w:after="0" w:afterAutospacing="0" w:line="300" w:lineRule="auto"/>
        <w:ind w:left="0" w:leftChars="0" w:right="0" w:rightChars="0"/>
        <w:rPr>
          <w:rFonts w:hint="default" w:ascii="黑体" w:hAnsi="宋体" w:eastAsia="黑体" w:cs="黑体"/>
          <w:sz w:val="32"/>
          <w:szCs w:val="32"/>
        </w:rPr>
      </w:pPr>
      <w:r>
        <w:rPr>
          <w:rFonts w:hint="default" w:ascii="黑体" w:hAnsi="宋体" w:eastAsia="黑体" w:cs="黑体"/>
          <w:sz w:val="32"/>
          <w:szCs w:val="32"/>
        </w:rPr>
        <w:t>六、验收与考核</w:t>
      </w:r>
    </w:p>
    <w:p w14:paraId="3BD0B5FD">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default" w:ascii="Calibri" w:hAnsi="Calibri" w:eastAsia="宋体" w:cs="Calibri"/>
          <w:sz w:val="24"/>
          <w:szCs w:val="24"/>
        </w:rPr>
        <w:t>1. 学校后勤管理部门每季度对消杀服务质量进行一次抽查考核，考核内容包括服务频次落实情况、病媒生物密度控制情况、台账记录情况、师生满意度情况等。</w:t>
      </w:r>
    </w:p>
    <w:p w14:paraId="61DE6A87">
      <w:pPr>
        <w:spacing w:before="0" w:beforeAutospacing="0" w:after="0" w:afterAutospacing="0" w:line="300" w:lineRule="auto"/>
        <w:ind w:left="0" w:leftChars="0" w:right="0" w:rightChars="0" w:firstLine="480" w:firstLineChars="200"/>
        <w:rPr>
          <w:rFonts w:hint="default" w:ascii="Calibri" w:hAnsi="Calibri" w:eastAsia="宋体" w:cs="Calibri"/>
          <w:sz w:val="24"/>
          <w:szCs w:val="24"/>
        </w:rPr>
      </w:pPr>
      <w:r>
        <w:rPr>
          <w:rFonts w:hint="default" w:ascii="Calibri" w:hAnsi="Calibri" w:eastAsia="宋体" w:cs="Calibri"/>
          <w:sz w:val="24"/>
          <w:szCs w:val="24"/>
        </w:rPr>
        <w:t>2. 考核不合格的，要求供应商在7个工作日内完成整改，整改仍不合格的，学校有权扣除10%-20%的服务费用；</w:t>
      </w:r>
      <w:bookmarkStart w:id="0" w:name="_GoBack"/>
      <w:bookmarkEnd w:id="0"/>
    </w:p>
    <w:p w14:paraId="3136D4A7">
      <w:pPr>
        <w:pStyle w:val="5"/>
        <w:spacing w:before="320" w:beforeAutospacing="0" w:after="0" w:afterAutospacing="0" w:line="300" w:lineRule="auto"/>
        <w:ind w:left="0" w:leftChars="0" w:right="0" w:rightChars="0"/>
        <w:rPr>
          <w:rFonts w:hint="default" w:ascii="黑体" w:hAnsi="宋体" w:eastAsia="黑体" w:cs="黑体"/>
          <w:sz w:val="32"/>
          <w:szCs w:val="32"/>
        </w:rPr>
      </w:pPr>
      <w:r>
        <w:rPr>
          <w:rFonts w:hint="default" w:ascii="黑体" w:hAnsi="宋体" w:eastAsia="黑体" w:cs="黑体"/>
          <w:sz w:val="32"/>
          <w:szCs w:val="32"/>
        </w:rPr>
        <w:t>七、商务要求</w:t>
      </w:r>
    </w:p>
    <w:p w14:paraId="07EDFC62">
      <w:pPr>
        <w:numPr>
          <w:ilvl w:val="0"/>
          <w:numId w:val="0"/>
        </w:numPr>
        <w:spacing w:before="0"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1.</w:t>
      </w:r>
      <w:r>
        <w:rPr>
          <w:rFonts w:hint="default" w:ascii="Calibri" w:hAnsi="Calibri" w:eastAsia="宋体" w:cs="Calibri"/>
          <w:sz w:val="24"/>
          <w:szCs w:val="24"/>
        </w:rPr>
        <w:t>服务地点：吉安职业技术学院校内学生宿舍区域；</w:t>
      </w:r>
    </w:p>
    <w:p w14:paraId="546D8553">
      <w:pPr>
        <w:numPr>
          <w:ilvl w:val="0"/>
          <w:numId w:val="0"/>
        </w:numPr>
        <w:spacing w:before="0"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2.预算费用：</w:t>
      </w:r>
    </w:p>
    <w:p w14:paraId="317E74B2">
      <w:pPr>
        <w:numPr>
          <w:ilvl w:val="0"/>
          <w:numId w:val="0"/>
        </w:numPr>
        <w:spacing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3.本项目为单次服务</w:t>
      </w:r>
      <w:r>
        <w:rPr>
          <w:rFonts w:hint="default" w:ascii="Calibri" w:hAnsi="Calibri" w:eastAsia="宋体" w:cs="Calibri"/>
          <w:sz w:val="24"/>
          <w:szCs w:val="24"/>
        </w:rPr>
        <w:t>，合同到期后如服务质量合格，双方可协商续签；</w:t>
      </w:r>
    </w:p>
    <w:p w14:paraId="7654C342">
      <w:pPr>
        <w:numPr>
          <w:ilvl w:val="0"/>
          <w:numId w:val="0"/>
        </w:numPr>
        <w:spacing w:beforeAutospacing="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4.</w:t>
      </w:r>
      <w:r>
        <w:rPr>
          <w:rFonts w:hint="default" w:ascii="Calibri" w:hAnsi="Calibri" w:eastAsia="宋体" w:cs="Calibri"/>
          <w:sz w:val="24"/>
          <w:szCs w:val="24"/>
        </w:rPr>
        <w:t>付款方式：验收合格后供应商提供正规发票，学校在15个工作日内支付服务费用；</w:t>
      </w:r>
    </w:p>
    <w:p w14:paraId="5B4EBD5C">
      <w:pPr>
        <w:numPr>
          <w:ilvl w:val="0"/>
          <w:numId w:val="0"/>
        </w:numPr>
        <w:spacing w:beforeAutospacing="0" w:after="0" w:afterAutospacing="0" w:line="300" w:lineRule="auto"/>
        <w:ind w:left="-360" w:leftChars="0" w:right="0" w:rightChars="0"/>
        <w:rPr>
          <w:rFonts w:hint="default" w:ascii="Calibri" w:hAnsi="Calibri" w:eastAsia="宋体" w:cs="Calibri"/>
          <w:sz w:val="24"/>
          <w:szCs w:val="24"/>
        </w:rPr>
      </w:pPr>
      <w:r>
        <w:rPr>
          <w:rFonts w:hint="eastAsia" w:ascii="Calibri" w:hAnsi="Calibri" w:eastAsia="宋体" w:cs="Calibri"/>
          <w:sz w:val="24"/>
          <w:szCs w:val="24"/>
          <w:lang w:val="en-US" w:eastAsia="zh-CN"/>
        </w:rPr>
        <w:t>5.</w:t>
      </w:r>
      <w:r>
        <w:rPr>
          <w:rFonts w:hint="default" w:ascii="Calibri" w:hAnsi="Calibri" w:eastAsia="宋体" w:cs="Calibri"/>
          <w:sz w:val="24"/>
          <w:szCs w:val="24"/>
        </w:rPr>
        <w:t>报价要求：供应商报价需包含人工、药剂、器械、运输、保险、税费等全部费用，一次性</w:t>
      </w:r>
      <w:r>
        <w:rPr>
          <w:rFonts w:hint="eastAsia" w:ascii="Calibri" w:hAnsi="Calibri" w:eastAsia="宋体" w:cs="Calibri"/>
          <w:sz w:val="24"/>
          <w:szCs w:val="24"/>
          <w:lang w:val="en-US" w:eastAsia="zh-CN"/>
        </w:rPr>
        <w:t>全包</w:t>
      </w:r>
      <w:r>
        <w:rPr>
          <w:rFonts w:hint="default" w:ascii="Calibri" w:hAnsi="Calibri" w:eastAsia="宋体" w:cs="Calibri"/>
          <w:sz w:val="24"/>
          <w:szCs w:val="24"/>
        </w:rPr>
        <w:t>，服务过程中不再收取额外费用。</w:t>
      </w:r>
    </w:p>
    <w:p w14:paraId="6594B7D6">
      <w:pPr>
        <w:pStyle w:val="2"/>
        <w:ind w:left="-420" w:leftChars="-200" w:firstLine="0" w:firstLineChars="0"/>
        <w:rPr>
          <w:rFonts w:hint="default" w:ascii="Calibri" w:hAnsi="Calibri" w:eastAsia="宋体" w:cs="Calibri"/>
          <w:sz w:val="24"/>
          <w:szCs w:val="24"/>
        </w:rPr>
      </w:pPr>
    </w:p>
    <w:p w14:paraId="0BD9C168">
      <w:pPr>
        <w:pStyle w:val="2"/>
        <w:ind w:left="-420" w:leftChars="-200" w:firstLine="0" w:firstLineChars="0"/>
        <w:rPr>
          <w:rFonts w:hint="default" w:ascii="Calibri" w:hAnsi="Calibri" w:eastAsia="宋体" w:cs="Calibri"/>
          <w:sz w:val="24"/>
          <w:szCs w:val="24"/>
        </w:rPr>
        <w:sectPr>
          <w:pgSz w:w="11906" w:h="16838"/>
          <w:pgMar w:top="1440" w:right="1800" w:bottom="1440" w:left="1800" w:header="851" w:footer="992" w:gutter="0"/>
          <w:cols w:space="425" w:num="1"/>
          <w:docGrid w:type="lines" w:linePitch="312" w:charSpace="0"/>
        </w:sectPr>
      </w:pPr>
    </w:p>
    <w:tbl>
      <w:tblPr>
        <w:tblStyle w:val="7"/>
        <w:tblpPr w:leftFromText="180" w:rightFromText="180" w:vertAnchor="text" w:horzAnchor="page" w:tblpX="988" w:tblpY="245"/>
        <w:tblOverlap w:val="never"/>
        <w:tblW w:w="142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975"/>
        <w:gridCol w:w="6637"/>
        <w:gridCol w:w="1194"/>
        <w:gridCol w:w="1239"/>
        <w:gridCol w:w="1409"/>
        <w:gridCol w:w="2139"/>
      </w:tblGrid>
      <w:tr w14:paraId="6B42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51"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5402F0BC">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学生</w:t>
            </w:r>
            <w:r>
              <w:rPr>
                <w:rFonts w:hint="eastAsia" w:ascii="宋体" w:hAnsi="宋体" w:cs="宋体"/>
                <w:b/>
                <w:color w:val="000000"/>
                <w:kern w:val="0"/>
                <w:sz w:val="22"/>
                <w:szCs w:val="22"/>
                <w:lang w:val="en-US" w:eastAsia="zh-CN" w:bidi="ar"/>
              </w:rPr>
              <w:t>宿舍</w:t>
            </w:r>
            <w:r>
              <w:rPr>
                <w:rFonts w:hint="eastAsia" w:ascii="宋体" w:hAnsi="宋体" w:cs="宋体"/>
                <w:b/>
                <w:color w:val="000000"/>
                <w:kern w:val="0"/>
                <w:sz w:val="22"/>
                <w:szCs w:val="22"/>
                <w:lang w:bidi="ar"/>
              </w:rPr>
              <w:t>虫害消杀服务预算明细表</w:t>
            </w:r>
          </w:p>
        </w:tc>
      </w:tr>
      <w:tr w14:paraId="10F0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5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4E82908">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77445E1">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项目</w:t>
            </w:r>
          </w:p>
        </w:tc>
        <w:tc>
          <w:tcPr>
            <w:tcW w:w="6637" w:type="dxa"/>
            <w:tcBorders>
              <w:top w:val="single" w:color="auto" w:sz="4" w:space="0"/>
              <w:left w:val="single" w:color="auto" w:sz="4" w:space="0"/>
              <w:bottom w:val="single" w:color="auto" w:sz="4" w:space="0"/>
              <w:right w:val="single" w:color="auto" w:sz="4" w:space="0"/>
              <w:tl2br w:val="nil"/>
              <w:tr2bl w:val="nil"/>
            </w:tcBorders>
            <w:shd w:val="clear" w:color="auto" w:fill="F5F5F5"/>
            <w:noWrap w:val="0"/>
            <w:vAlign w:val="center"/>
          </w:tcPr>
          <w:p w14:paraId="101D6879">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服务项目</w:t>
            </w: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83D40">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学生公寓数量</w:t>
            </w:r>
          </w:p>
        </w:tc>
        <w:tc>
          <w:tcPr>
            <w:tcW w:w="1239" w:type="dxa"/>
            <w:tcBorders>
              <w:top w:val="single" w:color="auto" w:sz="4" w:space="0"/>
              <w:left w:val="single" w:color="auto" w:sz="4" w:space="0"/>
              <w:bottom w:val="single" w:color="auto" w:sz="4" w:space="0"/>
              <w:right w:val="single" w:color="auto" w:sz="4" w:space="0"/>
              <w:tl2br w:val="nil"/>
              <w:tr2bl w:val="nil"/>
            </w:tcBorders>
            <w:noWrap/>
            <w:vAlign w:val="center"/>
          </w:tcPr>
          <w:p w14:paraId="1DFEE434">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单位</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0691B">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预算单价（元）</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9875F">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预算合计（元）</w:t>
            </w:r>
          </w:p>
        </w:tc>
      </w:tr>
      <w:tr w14:paraId="7210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658" w:type="dxa"/>
            <w:tcBorders>
              <w:top w:val="single" w:color="auto" w:sz="4" w:space="0"/>
              <w:left w:val="single" w:color="000000" w:sz="4" w:space="0"/>
              <w:bottom w:val="single" w:color="000000" w:sz="4" w:space="0"/>
              <w:right w:val="single" w:color="000000" w:sz="4" w:space="0"/>
              <w:tl2br w:val="nil"/>
              <w:tr2bl w:val="nil"/>
            </w:tcBorders>
            <w:noWrap/>
            <w:vAlign w:val="center"/>
          </w:tcPr>
          <w:p w14:paraId="7E1E1A9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975"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6E18CA4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学生公寓虫害消杀服务</w:t>
            </w:r>
          </w:p>
        </w:tc>
        <w:tc>
          <w:tcPr>
            <w:tcW w:w="663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6FDE3A00">
            <w:pPr>
              <w:widowControl/>
              <w:numPr>
                <w:ilvl w:val="0"/>
                <w:numId w:val="1"/>
              </w:numPr>
              <w:jc w:val="left"/>
              <w:textAlignment w:val="center"/>
              <w:rPr>
                <w:rFonts w:hint="default" w:eastAsiaTheme="minorEastAsia"/>
                <w:lang w:val="en-US" w:eastAsia="zh-CN"/>
              </w:rPr>
            </w:pPr>
            <w:r>
              <w:rPr>
                <w:rFonts w:hint="eastAsia" w:ascii="宋体" w:hAnsi="宋体" w:cs="宋体"/>
                <w:color w:val="000000"/>
                <w:kern w:val="0"/>
                <w:sz w:val="24"/>
                <w:szCs w:val="24"/>
                <w:lang w:bidi="ar"/>
              </w:rPr>
              <w:t>蚊虫消杀：对宿舍内外公共区域、房间角落、积水区域进行蚊虫幼虫消杀及成蚊灭杀，降低蚊虫密度，预防蚊虫传播疾病；</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2.蟑螂防治：针对宿舍橱柜、抽屉、墙角、下水口等蟑螂易滋生区域投放安全灭蟑药剂，开展滞留喷洒，有效降低蟑螂密度；</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3.鼠类防治：在宿舍楼公共区域、地下室、楼梯间角落等位置布采用物理与化学结合方式防控鼠害，避免鼠类进入宿舍区域；</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4.其他虫害处理：如有学生宿舍出现臭虫、跳蚤、隐翅虫、蜱虫、螨虫等特殊虫害，需开展专业消杀处理，跟进消杀效果直至虫害清除；</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5.要求药物无腐蚀性，不损坏家具及衣物</w:t>
            </w:r>
          </w:p>
          <w:p w14:paraId="07EEA967">
            <w:pPr>
              <w:widowControl/>
              <w:numPr>
                <w:numId w:val="0"/>
              </w:numPr>
              <w:jc w:val="left"/>
              <w:textAlignment w:val="center"/>
              <w:rPr>
                <w:rFonts w:hint="default" w:eastAsiaTheme="minorEastAsia"/>
                <w:lang w:val="en-US" w:eastAsia="zh-CN"/>
              </w:rPr>
            </w:pPr>
            <w:r>
              <w:rPr>
                <w:rFonts w:hint="eastAsia" w:ascii="宋体" w:hAnsi="宋体" w:cs="宋体" w:eastAsiaTheme="minorEastAsia"/>
                <w:color w:val="000000"/>
                <w:kern w:val="0"/>
                <w:sz w:val="24"/>
                <w:szCs w:val="24"/>
                <w:lang w:val="en-US" w:eastAsia="zh-CN" w:bidi="ar"/>
              </w:rPr>
              <w:t>6.一次性全覆盖消杀</w:t>
            </w:r>
          </w:p>
        </w:tc>
        <w:tc>
          <w:tcPr>
            <w:tcW w:w="1194" w:type="dxa"/>
            <w:tcBorders>
              <w:top w:val="single" w:color="auto" w:sz="4" w:space="0"/>
              <w:left w:val="single" w:color="000000" w:sz="4" w:space="0"/>
              <w:bottom w:val="single" w:color="000000" w:sz="4" w:space="0"/>
              <w:right w:val="single" w:color="000000" w:sz="4" w:space="0"/>
              <w:tl2br w:val="nil"/>
              <w:tr2bl w:val="nil"/>
            </w:tcBorders>
            <w:noWrap/>
            <w:vAlign w:val="center"/>
          </w:tcPr>
          <w:p w14:paraId="3C5A93C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2400</w:t>
            </w:r>
          </w:p>
        </w:tc>
        <w:tc>
          <w:tcPr>
            <w:tcW w:w="1239"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31788A1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间（28㎡）</w:t>
            </w:r>
          </w:p>
        </w:tc>
        <w:tc>
          <w:tcPr>
            <w:tcW w:w="1409" w:type="dxa"/>
            <w:tcBorders>
              <w:top w:val="single" w:color="auto" w:sz="4" w:space="0"/>
              <w:left w:val="single" w:color="000000" w:sz="4" w:space="0"/>
              <w:bottom w:val="single" w:color="000000" w:sz="4" w:space="0"/>
              <w:right w:val="single" w:color="000000" w:sz="4" w:space="0"/>
              <w:tl2br w:val="nil"/>
              <w:tr2bl w:val="nil"/>
            </w:tcBorders>
            <w:noWrap/>
            <w:vAlign w:val="center"/>
          </w:tcPr>
          <w:p w14:paraId="2AB884B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2139" w:type="dxa"/>
            <w:tcBorders>
              <w:top w:val="single" w:color="auto" w:sz="4" w:space="0"/>
              <w:left w:val="single" w:color="000000" w:sz="4" w:space="0"/>
              <w:bottom w:val="single" w:color="000000" w:sz="4" w:space="0"/>
              <w:right w:val="single" w:color="000000" w:sz="4" w:space="0"/>
              <w:tl2br w:val="nil"/>
              <w:tr2bl w:val="nil"/>
            </w:tcBorders>
            <w:noWrap/>
            <w:vAlign w:val="center"/>
          </w:tcPr>
          <w:p w14:paraId="6EAF582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7200</w:t>
            </w:r>
          </w:p>
        </w:tc>
      </w:tr>
    </w:tbl>
    <w:p w14:paraId="46B56EB0">
      <w:pPr>
        <w:pStyle w:val="2"/>
        <w:ind w:left="-420" w:leftChars="-200" w:firstLine="0" w:firstLineChars="0"/>
        <w:rPr>
          <w:rFonts w:hint="default" w:ascii="Calibri" w:hAnsi="Calibri" w:eastAsia="宋体" w:cs="Calibri"/>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457E3"/>
    <w:multiLevelType w:val="singleLevel"/>
    <w:tmpl w:val="E9B457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E3574"/>
    <w:rsid w:val="07F849AC"/>
    <w:rsid w:val="0C8972AC"/>
    <w:rsid w:val="1BF00FFE"/>
    <w:rsid w:val="26485289"/>
    <w:rsid w:val="31970795"/>
    <w:rsid w:val="6FFE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100" w:afterAutospacing="1"/>
      <w:ind w:firstLine="210"/>
    </w:pPr>
    <w:rPr>
      <w:rFonts w:hint="default"/>
      <w:sz w:val="21"/>
      <w:szCs w:val="24"/>
    </w:rPr>
  </w:style>
  <w:style w:type="paragraph" w:styleId="3">
    <w:name w:val="Body Text Indent"/>
    <w:basedOn w:val="1"/>
    <w:next w:val="2"/>
    <w:unhideWhenUsed/>
    <w:qFormat/>
    <w:uiPriority w:val="0"/>
    <w:pPr>
      <w:spacing w:after="120"/>
      <w:ind w:left="200" w:leftChars="20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1600</Words>
  <Characters>1677</Characters>
  <Lines>0</Lines>
  <Paragraphs>0</Paragraphs>
  <TotalTime>2</TotalTime>
  <ScaleCrop>false</ScaleCrop>
  <LinksUpToDate>false</LinksUpToDate>
  <CharactersWithSpaces>1692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2026-07-14T07:23:00Z</dcterms:created>
  <dc:creator>刘川</dc:creator>
  <cp:lastModifiedBy>朱亮文</cp:lastModifiedBy>
  <dcterms:modified xsi:type="dcterms:W3CDTF">2026-07-22T01:17:57Z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A4311E554F9D472B9249F3CC56742362_11</vt:lpwstr>
  </property>
  <property fmtid="{D5CDD505-2E9C-101B-9397-08002B2CF9AE}" pid="4" name="KSOTemplateDocerSaveRecord">
    <vt:lpwstr>eyJoZGlkIjoiODRhZjkzN2YzYjQ4NTc1MDI2NTg1ZTM5MmY2ZjY2ZmIiLCJ1c2VySWQiOiIxMTIyODY3OTM0In0=</vt:lpwstr>
  </property>
</Properties>
</file>