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育才生态区2026-2029年病媒生物防制</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HNZX-2026-028</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三亚市育才生态区管理委员会</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海南正玺项目管理有限公司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三亚市育才生态区管理委员会</w:t>
      </w:r>
      <w:r>
        <w:rPr>
          <w:rFonts w:ascii="仿宋_GB2312" w:hAnsi="仿宋_GB2312" w:cs="仿宋_GB2312" w:eastAsia="仿宋_GB2312"/>
        </w:rPr>
        <w:t xml:space="preserve"> 的委托， </w:t>
      </w:r>
      <w:r>
        <w:rPr>
          <w:rFonts w:ascii="仿宋_GB2312" w:hAnsi="仿宋_GB2312" w:cs="仿宋_GB2312" w:eastAsia="仿宋_GB2312"/>
        </w:rPr>
        <w:t>海南正玺项目管理有限公司</w:t>
      </w:r>
      <w:r>
        <w:rPr>
          <w:rFonts w:ascii="仿宋_GB2312" w:hAnsi="仿宋_GB2312" w:cs="仿宋_GB2312" w:eastAsia="仿宋_GB2312"/>
        </w:rPr>
        <w:t xml:space="preserve"> 对 </w:t>
      </w:r>
      <w:r>
        <w:rPr>
          <w:rFonts w:ascii="仿宋_GB2312" w:hAnsi="仿宋_GB2312" w:cs="仿宋_GB2312" w:eastAsia="仿宋_GB2312"/>
        </w:rPr>
        <w:t>育才生态区2026-2029年病媒生物防制</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HNZX-2026-028</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育才生态区2026-2029年病媒生物防制</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1,920,000.00元</w:t>
      </w:r>
      <w:r>
        <w:rPr>
          <w:rFonts w:ascii="仿宋_GB2312" w:hAnsi="仿宋_GB2312" w:cs="仿宋_GB2312" w:eastAsia="仿宋_GB2312"/>
        </w:rPr>
        <w:t>壹佰玖拾贰万元整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三年，合同一年一签（服务具体起止时间以合同约定为准）</w:t>
      </w:r>
    </w:p>
    <w:p>
      <w:pPr>
        <w:pStyle w:val="null3"/>
        <w:ind w:firstLine="480"/>
        <w:jc w:val="left"/>
      </w:pPr>
      <w:r>
        <w:rPr>
          <w:rFonts w:ascii="仿宋_GB2312" w:hAnsi="仿宋_GB2312" w:cs="仿宋_GB2312" w:eastAsia="仿宋_GB2312"/>
        </w:rPr>
        <w:t>7.是否涉及本国产品：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属于专门面向小微企业采购，预留比例为100%。</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1、特定资格条件：3.1、供应商需具备《海南省病媒生物预防控制有偿服务机构备案书》（提供机构备案书加盖公章）； 3.2、参加政府采购活动前三年内，无环保类行政处罚记录（提供承诺函加盖公章）； 3.3、单位负责人为同一人或者存在直接控股、管理关系的不同供应商，不得参加同一合同项下的政府采购活动；除单一来源的项目，为采购项目提供整体设计、规范编制或者项目管理、监理、检测等服务的供应商，不得再参加该采购项目的其他采购活动(提供承诺函加盖公章）； 3.4、提供政府采购供应商信用承诺书。</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根据《三亚市人民政府办公室关于印发&lt;三亚市创建一流营商环境2021年实施方案&gt;的通知》（三府办〔2021〕44号）和《三亚市金融发展局关于印发&lt;创建一流营商环境“获得信贷”指标2021年专项行动方案&gt;的通知》，三亚市在探索开展“政采贷”业务，中标或成交供应商可凭借与采购单位签订的政府采购合同向开展政府采购合同融资业务的3家银行（中信银行三亚分行、兴业银行三亚分行和浦发银行三亚分行）的公司业务部申请信用贷款。 2.本项目采用不见面开标形式，供应商远程参加开标会。本项目采购方式为竞争性磋商，在评审过程中会涉及磋商和二次报价，远程参与开标、磋商和二次报价流程的供应商需提前在海南省政府采购智慧云平台-服务专区中下载电子交易系统操作手册，并按照操作手册的要求操作。如因供应商自身原因造成无法正常参与开标、磋商和二次报价的，不利后果由供应商自行承担。</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三亚市育才生态区管理委员会</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三亚市育才生态区育才大道1号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郭义翔</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0898-88953048</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海南正玺项目管理有限公司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海南省海口市琼山区大英山西三路八一小区12栋702</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王则宇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18050973526</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采购包1：1,920,000.00元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投响应文件递交截止之日起90日历天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代理服务费收费标准：参照《海南省物价局关于降低部分招标代理服务收费标准的通知》[2011]225号⽂件标准计取，代理费⾦额为：42857.00元（⼤写：肆万贰仟捌佰伍拾柒元整）</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本项目采购标的所属行业为：其他未列明行业。依据《中小企业划型标准》（工信部联企业〔2011〕300号）文件划分标准，其他未列明⾏业划型标准为：从业⼈员300⼈ 以下的为中⼩微型企业。其中，从业⼈员100⼈及以上的为中型企业;从业⼈员10⼈ 及以上的为⼩型企业;从业⼈员10⼈以下的为微型企业。</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联系人：王则宇</w:t>
      </w:r>
    </w:p>
    <w:p>
      <w:pPr>
        <w:pStyle w:val="null3"/>
        <w:jc w:val="left"/>
      </w:pPr>
      <w:r>
        <w:rPr>
          <w:rFonts w:ascii="仿宋_GB2312" w:hAnsi="仿宋_GB2312" w:cs="仿宋_GB2312" w:eastAsia="仿宋_GB2312"/>
        </w:rPr>
        <w:t>联系电话：18050973526</w:t>
      </w:r>
    </w:p>
    <w:p>
      <w:pPr>
        <w:pStyle w:val="null3"/>
        <w:jc w:val="left"/>
      </w:pPr>
      <w:r>
        <w:rPr>
          <w:rFonts w:ascii="仿宋_GB2312" w:hAnsi="仿宋_GB2312" w:cs="仿宋_GB2312" w:eastAsia="仿宋_GB2312"/>
        </w:rPr>
        <w:t>地址：海南省海口市琼山区大英山西三路八一小区12栋702</w:t>
      </w:r>
    </w:p>
    <w:p>
      <w:pPr>
        <w:pStyle w:val="null3"/>
        <w:jc w:val="left"/>
      </w:pPr>
      <w:r>
        <w:rPr>
          <w:rFonts w:ascii="仿宋_GB2312" w:hAnsi="仿宋_GB2312" w:cs="仿宋_GB2312" w:eastAsia="仿宋_GB2312"/>
        </w:rPr>
        <w:t>邮编：571100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30"/>
          <w:b/>
          <w:color w:val="000000"/>
        </w:rPr>
        <w:t>一、</w:t>
      </w:r>
      <w:r>
        <w:rPr>
          <w:rFonts w:ascii="仿宋_GB2312" w:hAnsi="仿宋_GB2312" w:cs="仿宋_GB2312" w:eastAsia="仿宋_GB2312"/>
          <w:sz w:val="30"/>
          <w:b/>
          <w:color w:val="000000"/>
        </w:rPr>
        <w:t>项目概况</w:t>
      </w:r>
    </w:p>
    <w:p>
      <w:pPr>
        <w:pStyle w:val="null3"/>
        <w:ind w:firstLine="600"/>
        <w:jc w:val="both"/>
      </w:pPr>
      <w:r>
        <w:rPr>
          <w:rFonts w:ascii="仿宋_GB2312" w:hAnsi="仿宋_GB2312" w:cs="仿宋_GB2312" w:eastAsia="仿宋_GB2312"/>
          <w:sz w:val="30"/>
          <w:color w:val="0C0C0C"/>
        </w:rPr>
        <w:t>坚持</w:t>
      </w:r>
      <w:r>
        <w:rPr>
          <w:rFonts w:ascii="仿宋_GB2312" w:hAnsi="仿宋_GB2312" w:cs="仿宋_GB2312" w:eastAsia="仿宋_GB2312"/>
          <w:sz w:val="30"/>
          <w:color w:val="0C0C0C"/>
        </w:rPr>
        <w:t>“标本兼治、治本为主以科学、有效、简便、安全、环保”的原则，积极配合市政府开展环境综合治理，坚持采用环境防治、化学防治、生物防治、物理防治相结合的综合性防治措施，防治工作制度化、操作规范化，坚持常年除害。根据“鼠、蟑、蚊、蝇”的消长规律和季节特点，因地、因时制宜，在高峰季节、重点场所强化扩治的措施，把防治对象的种群密度常年控制在标准以内。根据三亚市爱国卫生运动委员会《关于印发&lt;三亚市2026年病媒生物防制工作方案&gt;的通知》（三文明爱卫办〔2026〕7号）文件要求，开展我区2026-2029年病媒生物防制工作。</w:t>
      </w:r>
    </w:p>
    <w:p>
      <w:pPr>
        <w:pStyle w:val="null3"/>
        <w:ind w:firstLine="480"/>
        <w:jc w:val="both"/>
      </w:pPr>
      <w:r>
        <w:rPr>
          <w:rFonts w:ascii="仿宋_GB2312" w:hAnsi="仿宋_GB2312" w:cs="仿宋_GB2312" w:eastAsia="仿宋_GB2312"/>
          <w:sz w:val="30"/>
          <w:b/>
          <w:color w:val="0C0C0C"/>
        </w:rPr>
        <w:t>二、</w:t>
      </w:r>
      <w:r>
        <w:rPr>
          <w:rFonts w:ascii="仿宋_GB2312" w:hAnsi="仿宋_GB2312" w:cs="仿宋_GB2312" w:eastAsia="仿宋_GB2312"/>
          <w:sz w:val="30"/>
          <w:b/>
          <w:color w:val="0C0C0C"/>
        </w:rPr>
        <w:t>基本信息</w:t>
      </w:r>
    </w:p>
    <w:p>
      <w:pPr>
        <w:pStyle w:val="null3"/>
        <w:ind w:firstLine="480"/>
        <w:jc w:val="both"/>
      </w:pPr>
      <w:r>
        <w:rPr>
          <w:rFonts w:ascii="仿宋_GB2312" w:hAnsi="仿宋_GB2312" w:cs="仿宋_GB2312" w:eastAsia="仿宋_GB2312"/>
          <w:sz w:val="30"/>
          <w:color w:val="0C0C0C"/>
        </w:rPr>
        <w:t>（一）</w:t>
      </w:r>
      <w:r>
        <w:rPr>
          <w:rFonts w:ascii="仿宋_GB2312" w:hAnsi="仿宋_GB2312" w:cs="仿宋_GB2312" w:eastAsia="仿宋_GB2312"/>
          <w:sz w:val="30"/>
          <w:color w:val="0C0C0C"/>
        </w:rPr>
        <w:t>项目名称：</w:t>
      </w:r>
      <w:r>
        <w:rPr>
          <w:rFonts w:ascii="仿宋_GB2312" w:hAnsi="仿宋_GB2312" w:cs="仿宋_GB2312" w:eastAsia="仿宋_GB2312"/>
          <w:sz w:val="30"/>
          <w:color w:val="0C0C0C"/>
        </w:rPr>
        <w:t>育才生态区</w:t>
      </w:r>
      <w:r>
        <w:rPr>
          <w:rFonts w:ascii="仿宋_GB2312" w:hAnsi="仿宋_GB2312" w:cs="仿宋_GB2312" w:eastAsia="仿宋_GB2312"/>
          <w:sz w:val="30"/>
          <w:color w:val="0C0C0C"/>
        </w:rPr>
        <w:t>2026年</w:t>
      </w:r>
      <w:r>
        <w:rPr>
          <w:rFonts w:ascii="仿宋_GB2312" w:hAnsi="仿宋_GB2312" w:cs="仿宋_GB2312" w:eastAsia="仿宋_GB2312"/>
          <w:sz w:val="30"/>
          <w:color w:val="0C0C0C"/>
        </w:rPr>
        <w:t>-</w:t>
      </w:r>
      <w:r>
        <w:rPr>
          <w:rFonts w:ascii="仿宋_GB2312" w:hAnsi="仿宋_GB2312" w:cs="仿宋_GB2312" w:eastAsia="仿宋_GB2312"/>
          <w:sz w:val="30"/>
          <w:color w:val="0C0C0C"/>
        </w:rPr>
        <w:t>2029年病媒生物防制</w:t>
      </w:r>
    </w:p>
    <w:p>
      <w:pPr>
        <w:pStyle w:val="null3"/>
        <w:ind w:firstLine="480"/>
        <w:jc w:val="left"/>
      </w:pPr>
      <w:r>
        <w:rPr>
          <w:rFonts w:ascii="仿宋_GB2312" w:hAnsi="仿宋_GB2312" w:cs="仿宋_GB2312" w:eastAsia="仿宋_GB2312"/>
          <w:sz w:val="30"/>
          <w:color w:val="0C0C0C"/>
          <w:shd w:fill="FFFFFF" w:val="clear"/>
        </w:rPr>
        <w:t>（</w:t>
      </w:r>
      <w:r>
        <w:rPr>
          <w:rFonts w:ascii="仿宋_GB2312" w:hAnsi="仿宋_GB2312" w:cs="仿宋_GB2312" w:eastAsia="仿宋_GB2312"/>
          <w:sz w:val="30"/>
          <w:color w:val="0C0C0C"/>
          <w:shd w:fill="FFFFFF" w:val="clear"/>
        </w:rPr>
        <w:t>二</w:t>
      </w:r>
      <w:r>
        <w:rPr>
          <w:rFonts w:ascii="仿宋_GB2312" w:hAnsi="仿宋_GB2312" w:cs="仿宋_GB2312" w:eastAsia="仿宋_GB2312"/>
          <w:sz w:val="30"/>
          <w:color w:val="0C0C0C"/>
          <w:shd w:fill="FFFFFF" w:val="clear"/>
        </w:rPr>
        <w:t>）</w:t>
      </w:r>
      <w:r>
        <w:rPr>
          <w:rFonts w:ascii="仿宋_GB2312" w:hAnsi="仿宋_GB2312" w:cs="仿宋_GB2312" w:eastAsia="仿宋_GB2312"/>
          <w:sz w:val="30"/>
          <w:color w:val="0C0C0C"/>
          <w:shd w:fill="FFFFFF" w:val="clear"/>
        </w:rPr>
        <w:t>项目预算：</w:t>
      </w:r>
      <w:r>
        <w:rPr>
          <w:rFonts w:ascii="仿宋_GB2312" w:hAnsi="仿宋_GB2312" w:cs="仿宋_GB2312" w:eastAsia="仿宋_GB2312"/>
          <w:sz w:val="30"/>
          <w:color w:val="0C0C0C"/>
          <w:shd w:fill="FFFFFF" w:val="clear"/>
        </w:rPr>
        <w:t>1920000.00元/年。</w:t>
      </w:r>
    </w:p>
    <w:p>
      <w:pPr>
        <w:pStyle w:val="null3"/>
        <w:ind w:firstLine="480"/>
        <w:jc w:val="left"/>
      </w:pPr>
      <w:r>
        <w:rPr>
          <w:rFonts w:ascii="仿宋_GB2312" w:hAnsi="仿宋_GB2312" w:cs="仿宋_GB2312" w:eastAsia="仿宋_GB2312"/>
          <w:sz w:val="30"/>
          <w:color w:val="0C0C0C"/>
        </w:rPr>
        <w:t>（三）</w:t>
      </w:r>
      <w:r>
        <w:rPr>
          <w:rFonts w:ascii="仿宋_GB2312" w:hAnsi="仿宋_GB2312" w:cs="仿宋_GB2312" w:eastAsia="仿宋_GB2312"/>
          <w:sz w:val="30"/>
          <w:color w:val="0C0C0C"/>
        </w:rPr>
        <w:t>服务期</w:t>
      </w:r>
      <w:r>
        <w:rPr>
          <w:rFonts w:ascii="仿宋_GB2312" w:hAnsi="仿宋_GB2312" w:cs="仿宋_GB2312" w:eastAsia="仿宋_GB2312"/>
          <w:sz w:val="30"/>
          <w:color w:val="0C0C0C"/>
        </w:rPr>
        <w:t>：三年</w:t>
      </w:r>
      <w:r>
        <w:rPr>
          <w:rFonts w:ascii="仿宋_GB2312" w:hAnsi="仿宋_GB2312" w:cs="仿宋_GB2312" w:eastAsia="仿宋_GB2312"/>
          <w:sz w:val="30"/>
          <w:color w:val="0C0C0C"/>
        </w:rPr>
        <w:t>，</w:t>
      </w:r>
      <w:r>
        <w:rPr>
          <w:rFonts w:ascii="仿宋_GB2312" w:hAnsi="仿宋_GB2312" w:cs="仿宋_GB2312" w:eastAsia="仿宋_GB2312"/>
          <w:sz w:val="30"/>
          <w:color w:val="0C0C0C"/>
        </w:rPr>
        <w:t>合同一年一签</w:t>
      </w:r>
      <w:r>
        <w:rPr>
          <w:rFonts w:ascii="仿宋_GB2312" w:hAnsi="仿宋_GB2312" w:cs="仿宋_GB2312" w:eastAsia="仿宋_GB2312"/>
          <w:sz w:val="30"/>
          <w:color w:val="0C0C0C"/>
        </w:rPr>
        <w:t>（服务具体起止时间以合同约定为准）</w:t>
      </w:r>
    </w:p>
    <w:p>
      <w:pPr>
        <w:pStyle w:val="null3"/>
        <w:ind w:firstLine="480"/>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四</w:t>
      </w:r>
      <w:r>
        <w:rPr>
          <w:rFonts w:ascii="仿宋_GB2312" w:hAnsi="仿宋_GB2312" w:cs="仿宋_GB2312" w:eastAsia="仿宋_GB2312"/>
          <w:sz w:val="30"/>
          <w:color w:val="0C0C0C"/>
        </w:rPr>
        <w:t>）</w:t>
      </w:r>
      <w:r>
        <w:rPr>
          <w:rFonts w:ascii="仿宋_GB2312" w:hAnsi="仿宋_GB2312" w:cs="仿宋_GB2312" w:eastAsia="仿宋_GB2312"/>
          <w:sz w:val="30"/>
          <w:color w:val="0C0C0C"/>
          <w:shd w:fill="FFFFFF" w:val="clear"/>
        </w:rPr>
        <w:t>服务地</w:t>
      </w:r>
      <w:r>
        <w:rPr>
          <w:rFonts w:ascii="仿宋_GB2312" w:hAnsi="仿宋_GB2312" w:cs="仿宋_GB2312" w:eastAsia="仿宋_GB2312"/>
          <w:sz w:val="30"/>
          <w:color w:val="0C0C0C"/>
        </w:rPr>
        <w:t>点（</w:t>
      </w:r>
      <w:r>
        <w:rPr>
          <w:rFonts w:ascii="仿宋_GB2312" w:hAnsi="仿宋_GB2312" w:cs="仿宋_GB2312" w:eastAsia="仿宋_GB2312"/>
          <w:sz w:val="30"/>
          <w:color w:val="0C0C0C"/>
        </w:rPr>
        <w:t>范围</w:t>
      </w:r>
      <w:r>
        <w:rPr>
          <w:rFonts w:ascii="仿宋_GB2312" w:hAnsi="仿宋_GB2312" w:cs="仿宋_GB2312" w:eastAsia="仿宋_GB2312"/>
          <w:sz w:val="30"/>
          <w:color w:val="0C0C0C"/>
        </w:rPr>
        <w:t>）</w:t>
      </w:r>
      <w:r>
        <w:rPr>
          <w:rFonts w:ascii="仿宋_GB2312" w:hAnsi="仿宋_GB2312" w:cs="仿宋_GB2312" w:eastAsia="仿宋_GB2312"/>
          <w:sz w:val="30"/>
          <w:color w:val="0C0C0C"/>
        </w:rPr>
        <w:t>：三亚市育才生态区</w:t>
      </w:r>
    </w:p>
    <w:p>
      <w:pPr>
        <w:pStyle w:val="null3"/>
        <w:ind w:firstLine="480"/>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五</w:t>
      </w:r>
      <w:r>
        <w:rPr>
          <w:rFonts w:ascii="仿宋_GB2312" w:hAnsi="仿宋_GB2312" w:cs="仿宋_GB2312" w:eastAsia="仿宋_GB2312"/>
          <w:sz w:val="30"/>
          <w:color w:val="0C0C0C"/>
        </w:rPr>
        <w:t>）</w:t>
      </w:r>
      <w:r>
        <w:rPr>
          <w:rFonts w:ascii="仿宋_GB2312" w:hAnsi="仿宋_GB2312" w:cs="仿宋_GB2312" w:eastAsia="仿宋_GB2312"/>
          <w:sz w:val="30"/>
          <w:color w:val="0C0C0C"/>
        </w:rPr>
        <w:t>服务标准：合格</w:t>
      </w:r>
    </w:p>
    <w:p>
      <w:pPr>
        <w:pStyle w:val="null3"/>
        <w:ind w:firstLine="480"/>
        <w:jc w:val="left"/>
      </w:pPr>
      <w:r>
        <w:rPr>
          <w:rFonts w:ascii="仿宋_GB2312" w:hAnsi="仿宋_GB2312" w:cs="仿宋_GB2312" w:eastAsia="仿宋_GB2312"/>
          <w:sz w:val="30"/>
          <w:color w:val="0C0C0C"/>
        </w:rPr>
        <w:t>（六）</w:t>
      </w:r>
      <w:r>
        <w:rPr>
          <w:rFonts w:ascii="仿宋_GB2312" w:hAnsi="仿宋_GB2312" w:cs="仿宋_GB2312" w:eastAsia="仿宋_GB2312"/>
          <w:sz w:val="30"/>
          <w:color w:val="0C0C0C"/>
        </w:rPr>
        <w:t>付款方式：根据双方签订的采购合同约定执行</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1,920,000.00</w:t>
      </w:r>
    </w:p>
    <w:p>
      <w:pPr>
        <w:pStyle w:val="null3"/>
        <w:jc w:val="left"/>
      </w:pPr>
      <w:r>
        <w:rPr>
          <w:rFonts w:ascii="仿宋_GB2312" w:hAnsi="仿宋_GB2312" w:cs="仿宋_GB2312" w:eastAsia="仿宋_GB2312"/>
        </w:rPr>
        <w:t>采购包最高限价（元）: 1,920,000.00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C99000000-其他服务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1,920,000.00</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其他未列明行业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C99000000-其他服务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标的名称：C99000000-其他服务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0"/>
                <w:b/>
                <w:color w:val="0C0C0C"/>
                <w:shd w:fill="FFFFFF" w:val="clear"/>
              </w:rPr>
              <w:t>一、</w:t>
            </w:r>
            <w:r>
              <w:rPr>
                <w:rFonts w:ascii="仿宋_GB2312" w:hAnsi="仿宋_GB2312" w:cs="仿宋_GB2312" w:eastAsia="仿宋_GB2312"/>
                <w:sz w:val="30"/>
                <w:b/>
                <w:color w:val="0C0C0C"/>
              </w:rPr>
              <w:t>防制范围</w:t>
            </w:r>
          </w:p>
          <w:p>
            <w:pPr>
              <w:pStyle w:val="null3"/>
              <w:ind w:firstLine="600"/>
              <w:jc w:val="left"/>
            </w:pPr>
            <w:r>
              <w:rPr>
                <w:rFonts w:ascii="仿宋_GB2312" w:hAnsi="仿宋_GB2312" w:cs="仿宋_GB2312" w:eastAsia="仿宋_GB2312"/>
                <w:sz w:val="30"/>
                <w:color w:val="0C0C0C"/>
              </w:rPr>
              <w:t>防制范围：</w:t>
            </w:r>
            <w:r>
              <w:rPr>
                <w:rFonts w:ascii="仿宋_GB2312" w:hAnsi="仿宋_GB2312" w:cs="仿宋_GB2312" w:eastAsia="仿宋_GB2312"/>
                <w:sz w:val="30"/>
                <w:color w:val="0C0C0C"/>
              </w:rPr>
              <w:t>育才办公区域、龙密村委会、马亮村委会、马脚村委会、那受村委会、那会村委会、立才居委会等片区内的派出所、卫生院、垃圾转运站、沿街商铺、农贸市场、青法村委会、雅林村委会、明善村委会、雅亮村委会、抱安村委会等片区内的卫生院、沿街商铺、马路市场、小卖部等五小行业。</w:t>
            </w:r>
          </w:p>
          <w:p>
            <w:pPr>
              <w:pStyle w:val="null3"/>
              <w:ind w:firstLine="600"/>
              <w:jc w:val="both"/>
            </w:pPr>
            <w:r>
              <w:rPr>
                <w:rFonts w:ascii="仿宋_GB2312" w:hAnsi="仿宋_GB2312" w:cs="仿宋_GB2312" w:eastAsia="仿宋_GB2312"/>
                <w:sz w:val="30"/>
                <w:color w:val="0C0C0C"/>
              </w:rPr>
              <w:t>防制点位：</w:t>
            </w:r>
            <w:r>
              <w:rPr>
                <w:rFonts w:ascii="仿宋_GB2312" w:hAnsi="仿宋_GB2312" w:cs="仿宋_GB2312" w:eastAsia="仿宋_GB2312"/>
                <w:sz w:val="30"/>
                <w:color w:val="0C0C0C"/>
              </w:rPr>
              <w:t>12个区域、每月消杀3次，</w:t>
            </w:r>
            <w:r>
              <w:rPr>
                <w:rFonts w:ascii="仿宋_GB2312" w:hAnsi="仿宋_GB2312" w:cs="仿宋_GB2312" w:eastAsia="仿宋_GB2312"/>
                <w:sz w:val="30"/>
                <w:color w:val="0C0C0C"/>
              </w:rPr>
              <w:t>其中如农贸市场及周边、垃圾转运站、卫生院、单位办公区域等重点场所每月消杀</w:t>
            </w:r>
            <w:r>
              <w:rPr>
                <w:rFonts w:ascii="仿宋_GB2312" w:hAnsi="仿宋_GB2312" w:cs="仿宋_GB2312" w:eastAsia="仿宋_GB2312"/>
                <w:sz w:val="30"/>
                <w:color w:val="0C0C0C"/>
              </w:rPr>
              <w:t>4次</w:t>
            </w:r>
            <w:r>
              <w:rPr>
                <w:rFonts w:ascii="仿宋_GB2312" w:hAnsi="仿宋_GB2312" w:cs="仿宋_GB2312" w:eastAsia="仿宋_GB2312"/>
                <w:sz w:val="30"/>
                <w:color w:val="0C0C0C"/>
              </w:rPr>
              <w:t>。</w:t>
            </w:r>
          </w:p>
          <w:p>
            <w:pPr>
              <w:pStyle w:val="null3"/>
              <w:jc w:val="both"/>
            </w:pPr>
            <w:r>
              <w:rPr>
                <w:rFonts w:ascii="仿宋_GB2312" w:hAnsi="仿宋_GB2312" w:cs="仿宋_GB2312" w:eastAsia="仿宋_GB2312"/>
                <w:sz w:val="30"/>
                <w:b/>
                <w:color w:val="0C0C0C"/>
              </w:rPr>
              <w:t>二、</w:t>
            </w:r>
            <w:r>
              <w:rPr>
                <w:rFonts w:ascii="仿宋_GB2312" w:hAnsi="仿宋_GB2312" w:cs="仿宋_GB2312" w:eastAsia="仿宋_GB2312"/>
                <w:sz w:val="30"/>
                <w:b/>
                <w:color w:val="0C0C0C"/>
              </w:rPr>
              <w:t>防制标准</w:t>
            </w:r>
          </w:p>
          <w:p>
            <w:pPr>
              <w:pStyle w:val="null3"/>
              <w:jc w:val="left"/>
            </w:pPr>
            <w:r>
              <w:rPr>
                <w:rFonts w:ascii="仿宋_GB2312" w:hAnsi="仿宋_GB2312" w:cs="仿宋_GB2312" w:eastAsia="仿宋_GB2312"/>
                <w:sz w:val="30"/>
                <w:color w:val="0C0C0C"/>
              </w:rPr>
              <w:t>（一）灭鼠标准：</w:t>
            </w:r>
            <w:r>
              <w:rPr>
                <w:rFonts w:ascii="仿宋_GB2312" w:hAnsi="仿宋_GB2312" w:cs="仿宋_GB2312" w:eastAsia="仿宋_GB2312"/>
                <w:sz w:val="30"/>
                <w:color w:val="0C0C0C"/>
              </w:rPr>
              <w:t>15平方米房间放置20X20厘米滑石粉俩块，鼠洞、鼠粪、鼠咬等痕迹不超过2%，防鼠设施不合格不超过5%。</w:t>
            </w:r>
          </w:p>
          <w:p>
            <w:pPr>
              <w:pStyle w:val="null3"/>
              <w:jc w:val="left"/>
            </w:pPr>
            <w:r>
              <w:rPr>
                <w:rFonts w:ascii="仿宋_GB2312" w:hAnsi="仿宋_GB2312" w:cs="仿宋_GB2312" w:eastAsia="仿宋_GB2312"/>
                <w:sz w:val="30"/>
                <w:color w:val="0C0C0C"/>
              </w:rPr>
              <w:t>（二）灭蚊标准：内外环境中蚊幼虫及蛹的阳性率不超过</w:t>
            </w:r>
            <w:r>
              <w:rPr>
                <w:rFonts w:ascii="仿宋_GB2312" w:hAnsi="仿宋_GB2312" w:cs="仿宋_GB2312" w:eastAsia="仿宋_GB2312"/>
                <w:sz w:val="30"/>
                <w:color w:val="0C0C0C"/>
              </w:rPr>
              <w:t>3%等，每人诱获成蚊不超过1只。</w:t>
            </w:r>
          </w:p>
          <w:p>
            <w:pPr>
              <w:pStyle w:val="null3"/>
              <w:jc w:val="left"/>
            </w:pPr>
            <w:r>
              <w:rPr>
                <w:rFonts w:ascii="仿宋_GB2312" w:hAnsi="仿宋_GB2312" w:cs="仿宋_GB2312" w:eastAsia="仿宋_GB2312"/>
                <w:sz w:val="30"/>
                <w:color w:val="0C0C0C"/>
              </w:rPr>
              <w:t>（三）灭蝇标准：重点区域平均每阳性房间不超过</w:t>
            </w:r>
            <w:r>
              <w:rPr>
                <w:rFonts w:ascii="仿宋_GB2312" w:hAnsi="仿宋_GB2312" w:cs="仿宋_GB2312" w:eastAsia="仿宋_GB2312"/>
                <w:sz w:val="30"/>
                <w:color w:val="0C0C0C"/>
              </w:rPr>
              <w:t>3只，防蝇设施不合格房间不超过5%，教室、办公室等场所不得有蝇。</w:t>
            </w:r>
          </w:p>
          <w:p>
            <w:pPr>
              <w:pStyle w:val="null3"/>
              <w:jc w:val="left"/>
            </w:pPr>
            <w:r>
              <w:rPr>
                <w:rFonts w:ascii="仿宋_GB2312" w:hAnsi="仿宋_GB2312" w:cs="仿宋_GB2312" w:eastAsia="仿宋_GB2312"/>
                <w:sz w:val="30"/>
                <w:color w:val="0C0C0C"/>
              </w:rPr>
              <w:t>（四）灭蟑螂标准：室内阳性房间大蠊不超过</w:t>
            </w:r>
            <w:r>
              <w:rPr>
                <w:rFonts w:ascii="仿宋_GB2312" w:hAnsi="仿宋_GB2312" w:cs="仿宋_GB2312" w:eastAsia="仿宋_GB2312"/>
                <w:sz w:val="30"/>
                <w:color w:val="0C0C0C"/>
              </w:rPr>
              <w:t>5只，小蠊不超过10只，活蟑螂卵不超过4只。</w:t>
            </w:r>
          </w:p>
          <w:p>
            <w:pPr>
              <w:pStyle w:val="null3"/>
              <w:jc w:val="left"/>
            </w:pPr>
            <w:r>
              <w:rPr>
                <w:rFonts w:ascii="仿宋_GB2312" w:hAnsi="仿宋_GB2312" w:cs="仿宋_GB2312" w:eastAsia="仿宋_GB2312"/>
                <w:sz w:val="30"/>
                <w:b/>
                <w:color w:val="0C0C0C"/>
              </w:rPr>
              <w:t>三、服务内容</w:t>
            </w:r>
          </w:p>
          <w:p>
            <w:pPr>
              <w:pStyle w:val="null3"/>
              <w:ind w:firstLine="600"/>
              <w:jc w:val="both"/>
            </w:pPr>
            <w:r>
              <w:rPr>
                <w:rFonts w:ascii="仿宋_GB2312" w:hAnsi="仿宋_GB2312" w:cs="仿宋_GB2312" w:eastAsia="仿宋_GB2312"/>
                <w:sz w:val="30"/>
                <w:color w:val="0C0C0C"/>
              </w:rPr>
              <w:t>根据鼠、蚊、蝇、蟑的季节消长规律和特点，有效组织人员力量、除害灭杀药械，针对公共环境开展消杀服务工作，对服务区域内的环境卫生提供技术指导。对</w:t>
            </w:r>
            <w:r>
              <w:rPr>
                <w:rFonts w:ascii="仿宋_GB2312" w:hAnsi="仿宋_GB2312" w:cs="仿宋_GB2312" w:eastAsia="仿宋_GB2312"/>
                <w:sz w:val="30"/>
                <w:color w:val="0C0C0C"/>
              </w:rPr>
              <w:t>“四害”的种群、密度、消长进行定期监测工作。在加强日常消杀、日常管理工作的同时，对高峰季节、重点区域采取各类强化防制措施，把防制对象的种群密度常年控制在国家规定的标准范围以内。按照防制原则，进一步完善药械索证制度，禁止使用“三无”和违禁杀虫剂、灭鼠剂及器械。同时承担突发公共卫生事件的应急消杀和控制工作(重大公共卫生事件除外)，公共环境除“四害”所需药物及投放、喷洒等消杀工作，公共环境设置毒饵站、诱蝇笼等防制设施，投放到指定场所，并设置警示标识，设施完好;15平方以下的“五小”行业做好室内外灭鼠灭蟑; 对“四害”的种群、密度、消长进行定期监测; 堵塞鼠洞、收集处理死鼠; 突发应急事件的环境消杀; 其它公益消杀活动; 做好公共环境除“四害”的宣传及培训工作。</w:t>
            </w:r>
          </w:p>
          <w:p>
            <w:pPr>
              <w:pStyle w:val="null3"/>
              <w:jc w:val="left"/>
            </w:pPr>
            <w:r>
              <w:rPr>
                <w:rFonts w:ascii="仿宋_GB2312" w:hAnsi="仿宋_GB2312" w:cs="仿宋_GB2312" w:eastAsia="仿宋_GB2312"/>
                <w:sz w:val="30"/>
                <w:b/>
                <w:color w:val="0C0C0C"/>
              </w:rPr>
              <w:t>四、服务要求</w:t>
            </w:r>
          </w:p>
          <w:p>
            <w:pPr>
              <w:pStyle w:val="null3"/>
              <w:jc w:val="both"/>
            </w:pPr>
            <w:r>
              <w:rPr>
                <w:rFonts w:ascii="仿宋_GB2312" w:hAnsi="仿宋_GB2312" w:cs="仿宋_GB2312" w:eastAsia="仿宋_GB2312"/>
                <w:sz w:val="30"/>
                <w:color w:val="0C0C0C"/>
              </w:rPr>
              <w:t>病媒生物内容是指鼠类、蚊子、苍蝇及蟑螂四害。</w:t>
            </w:r>
          </w:p>
          <w:p>
            <w:pPr>
              <w:pStyle w:val="null3"/>
              <w:jc w:val="both"/>
            </w:pPr>
            <w:r>
              <w:rPr>
                <w:rFonts w:ascii="仿宋_GB2312" w:hAnsi="仿宋_GB2312" w:cs="仿宋_GB2312" w:eastAsia="仿宋_GB2312"/>
                <w:sz w:val="30"/>
                <w:color w:val="0C0C0C"/>
              </w:rPr>
              <w:t>室外</w:t>
            </w:r>
            <w:r>
              <w:rPr>
                <w:rFonts w:ascii="仿宋_GB2312" w:hAnsi="仿宋_GB2312" w:cs="仿宋_GB2312" w:eastAsia="仿宋_GB2312"/>
                <w:sz w:val="30"/>
                <w:color w:val="0C0C0C"/>
              </w:rPr>
              <w:t>:消杀场所为上述范围内的公共环境，包括:防制区域内所有居住区(点)的楼道、院落、下水道及外围等公共环境;集贸市场周边公共区域;主要道路，背街小巷; 开放式公园(广场)、绿化带;河道、湖浜、池塘及河道沿岸等公共环境和设施;雨污窨井、下水道等卫生基础设施。</w:t>
            </w:r>
          </w:p>
          <w:p>
            <w:pPr>
              <w:pStyle w:val="null3"/>
              <w:jc w:val="both"/>
            </w:pPr>
            <w:r>
              <w:rPr>
                <w:rFonts w:ascii="仿宋_GB2312" w:hAnsi="仿宋_GB2312" w:cs="仿宋_GB2312" w:eastAsia="仿宋_GB2312"/>
                <w:sz w:val="30"/>
                <w:color w:val="0C0C0C"/>
              </w:rPr>
              <w:t>室内</w:t>
            </w:r>
            <w:r>
              <w:rPr>
                <w:rFonts w:ascii="仿宋_GB2312" w:hAnsi="仿宋_GB2312" w:cs="仿宋_GB2312" w:eastAsia="仿宋_GB2312"/>
                <w:sz w:val="30"/>
                <w:color w:val="0C0C0C"/>
              </w:rPr>
              <w:t>:“五小”行业(小餐饮店、小美容美发店、小旅馆、小歌舞厅、小洗浴店)。</w:t>
            </w:r>
          </w:p>
          <w:p>
            <w:pPr>
              <w:pStyle w:val="null3"/>
              <w:spacing w:before="105" w:after="105"/>
              <w:jc w:val="both"/>
              <w:outlineLvl w:val="1"/>
            </w:pPr>
            <w:r>
              <w:rPr>
                <w:rFonts w:ascii="仿宋_GB2312" w:hAnsi="仿宋_GB2312" w:cs="仿宋_GB2312" w:eastAsia="仿宋_GB2312"/>
                <w:sz w:val="30"/>
                <w:b/>
                <w:color w:val="0C0C0C"/>
              </w:rPr>
              <w:t>五、病媒生物防制</w:t>
            </w:r>
          </w:p>
          <w:p>
            <w:pPr>
              <w:pStyle w:val="null3"/>
              <w:jc w:val="left"/>
            </w:pPr>
            <w:r>
              <w:rPr>
                <w:rFonts w:ascii="仿宋_GB2312" w:hAnsi="仿宋_GB2312" w:cs="仿宋_GB2312" w:eastAsia="仿宋_GB2312"/>
                <w:sz w:val="30"/>
                <w:color w:val="0C0C0C"/>
              </w:rPr>
              <w:t>（一）病媒生物防制宣传</w:t>
            </w:r>
          </w:p>
          <w:p>
            <w:pPr>
              <w:pStyle w:val="null3"/>
              <w:ind w:firstLine="600"/>
              <w:jc w:val="left"/>
            </w:pPr>
            <w:r>
              <w:rPr>
                <w:rFonts w:ascii="仿宋_GB2312" w:hAnsi="仿宋_GB2312" w:cs="仿宋_GB2312" w:eastAsia="仿宋_GB2312"/>
                <w:sz w:val="30"/>
                <w:color w:val="0C0C0C"/>
              </w:rPr>
              <w:t>为更好地营造三亚市育才生态区病媒生物防制氛围，提高病媒生物防制工作参与面，使各部门单位与广大群众更加熟悉了解病媒生物危害与防制知识，更加积极地参与到日常病媒生物防制工作中来，专业消杀公司应在全面开展病媒生物防制工作前和工作中，在人口集中的广场、公园、社区开展每年不少于四次的大型病媒生物防制知识宣传活动。宣传采取搭建宣传拱门、悬挂宣传横幅、展出宣传展板、发放</w:t>
            </w:r>
            <w:r>
              <w:rPr>
                <w:rFonts w:ascii="仿宋_GB2312" w:hAnsi="仿宋_GB2312" w:cs="仿宋_GB2312" w:eastAsia="仿宋_GB2312"/>
                <w:sz w:val="30"/>
                <w:color w:val="0C0C0C"/>
              </w:rPr>
              <w:t>“除四害”手册和药品等多种形式向广大群众灌输病媒生物防制知识，提高人民群众除害防病意识。</w:t>
            </w:r>
          </w:p>
          <w:p>
            <w:pPr>
              <w:pStyle w:val="null3"/>
              <w:jc w:val="left"/>
            </w:pPr>
            <w:r>
              <w:rPr>
                <w:rFonts w:ascii="仿宋_GB2312" w:hAnsi="仿宋_GB2312" w:cs="仿宋_GB2312" w:eastAsia="仿宋_GB2312"/>
                <w:sz w:val="30"/>
                <w:color w:val="0C0C0C"/>
              </w:rPr>
              <w:t>（二）病媒生物防制知识培训</w:t>
            </w:r>
          </w:p>
          <w:p>
            <w:pPr>
              <w:pStyle w:val="null3"/>
              <w:ind w:firstLine="600"/>
              <w:jc w:val="left"/>
            </w:pPr>
            <w:r>
              <w:rPr>
                <w:rFonts w:ascii="仿宋_GB2312" w:hAnsi="仿宋_GB2312" w:cs="仿宋_GB2312" w:eastAsia="仿宋_GB2312"/>
                <w:sz w:val="30"/>
                <w:color w:val="0C0C0C"/>
              </w:rPr>
              <w:t>为不断提高三亚市育才生态区病媒生物防控技术和管理水平，专业公司应对三亚市育才生态区政府机关相关工作人员、各社区爱卫专干每年至少组织两次病媒生物防制知识培训。通过培训使得各爱卫工作人员对病媒生物防制知识和病媒生物防制监理、监测、考核验收工作有更深入的了解，为在监督专业公司病媒生物防制工作过程中打下坚实技术基础和提高管理水平。</w:t>
            </w:r>
          </w:p>
          <w:p>
            <w:pPr>
              <w:pStyle w:val="null3"/>
              <w:jc w:val="left"/>
            </w:pPr>
            <w:r>
              <w:rPr>
                <w:rFonts w:ascii="仿宋_GB2312" w:hAnsi="仿宋_GB2312" w:cs="仿宋_GB2312" w:eastAsia="仿宋_GB2312"/>
                <w:sz w:val="30"/>
                <w:color w:val="0C0C0C"/>
              </w:rPr>
              <w:t>（三）病媒生物防制措施要求</w:t>
            </w:r>
          </w:p>
          <w:p>
            <w:pPr>
              <w:pStyle w:val="null3"/>
              <w:jc w:val="left"/>
            </w:pPr>
            <w:r>
              <w:rPr>
                <w:rFonts w:ascii="仿宋_GB2312" w:hAnsi="仿宋_GB2312" w:cs="仿宋_GB2312" w:eastAsia="仿宋_GB2312"/>
                <w:sz w:val="30"/>
                <w:b/>
                <w:color w:val="0C0C0C"/>
              </w:rPr>
              <w:t>1、作业要求</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30"/>
                <w:color w:val="0C0C0C"/>
              </w:rPr>
              <w:t>（</w:t>
            </w:r>
            <w:r>
              <w:rPr>
                <w:rFonts w:ascii="仿宋_GB2312" w:hAnsi="仿宋_GB2312" w:cs="仿宋_GB2312" w:eastAsia="仿宋_GB2312"/>
                <w:sz w:val="30"/>
                <w:color w:val="0C0C0C"/>
              </w:rPr>
              <w:t>1）实施杀灭作业前，必须先到现场调查病媒生物的基本情况、记录详细，对病媒生物的种类、栖息部位、密度状况及孳生环境等情况有全面的了解，因地制宜地制定合理的害虫综合控制方案。</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2）根据控制方案备好药品器械和个人防护用品。</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3）实施防治作业，应遵守安全操作规定，合理用药，施药到位，保证防治效果，并防止药品污染环境。</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4）作业完成后应认真填写《灭鼠杀虫服务记录卡》并交由采购人签认，社区、区卫生健康委员会各一份，保存备查。</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5）根据卫生害虫种类和有关规定，定期进行虫害密度监测和防治效果监测，监测资料及时统计、分析上报区卫生健康委员会，并归档保存。</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6）根据实际工作需要，供应商每天通过美篇的方式向相关职能部门报送当天工作情况及存在的问题，以便于区统一协调督办整改。</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7）每季度报送一份有利于三亚市育才生态区病媒生物环境改善的可行性方案，内容包含三亚市育才生态区存在的问题以及改善建议及措施。</w:t>
            </w:r>
          </w:p>
          <w:p>
            <w:pPr>
              <w:pStyle w:val="null3"/>
              <w:jc w:val="left"/>
            </w:pPr>
            <w:r>
              <w:rPr>
                <w:rFonts w:ascii="仿宋_GB2312" w:hAnsi="仿宋_GB2312" w:cs="仿宋_GB2312" w:eastAsia="仿宋_GB2312"/>
                <w:sz w:val="30"/>
                <w:b/>
                <w:color w:val="0C0C0C"/>
              </w:rPr>
              <w:t>2、人员要求</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1）从事三亚市育才生态区病媒生物防制消杀工作的人员均需取得由人力资源和社会保障部门颁发的《中华人民共和国有害生物防治职业资格证书》，并统一着装，持证上岗，文明服务，着装要符合防护要求。</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2）建成区防治的范围原则上每平方公里不少于一个防治操作工作人员。</w:t>
            </w:r>
          </w:p>
          <w:p>
            <w:pPr>
              <w:pStyle w:val="null3"/>
              <w:jc w:val="left"/>
            </w:pPr>
            <w:r>
              <w:rPr>
                <w:rFonts w:ascii="仿宋_GB2312" w:hAnsi="仿宋_GB2312" w:cs="仿宋_GB2312" w:eastAsia="仿宋_GB2312"/>
                <w:sz w:val="30"/>
                <w:b/>
                <w:color w:val="0C0C0C"/>
              </w:rPr>
              <w:t>3、药物和器械要求</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1）卫生害虫防治所使用的药物必须是国家规定允许使用的卫生杀虫剂（以下简称药物），其使用范围、使用剂型、浓度、剂量应符合规范要求。</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2）从事卫生害虫防治服务的单位应确保所使用的药物符合国家和市有关部门的现行规定。</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3）药物必须是国家有关主管部门批准生产（具有三证）的卫生杀虫剂的合格产品。药物包装应符合化工产品通用标准。严禁把农用杀虫剂、国家违禁药品用于病媒生物防治工作，药品每三个月更换一次。</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4）不同类型药物的混合配伍用药，应注意互补增效作用，并进行相应的测试，避免两用药配伍产生拮抗作用，影响防治效果。</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5）药物在不同环境用于不同的防治对象，应采用相配套的喷洒器械。滞留喷洒应采用手动或背负式、手推式机动喷雾器，室内空间喷杀应采用超低容量电动喷雾机，特殊环境喷杀应采用热烟雾发生机或机动喷雾器。</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6）用于卫生害虫防治的药物，其性能应符合化学性质的稳定，且残效期较长；安全、高效、低毒，对人畜及环境无害；具有显著的击倒和致死作用等要求。</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7）药物必须存放在专用仓库，分类离墙离地存放，并设有专人管理，要有建全的药物采购及进出仓库的制度，不得使用霉烂变质的药物，发现过期药品，需及时更换。</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8）存放药物专用仓库，应当符合有关安全防火规定，要设置相应的通风、防爆、防火、报警等安全设施。</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9）盛装药物的容器，入库时必须检查包装是否完好无损。药物使用完毕，应按照环境保护法的有关规定，妥善处理。</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30"/>
                <w:b/>
                <w:color w:val="0C0C0C"/>
              </w:rPr>
              <w:t>4、安全防护措施</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1）从事卫生虫害防治从业人员必须经过职业培训，熟悉卫生杀虫器械的使用，并熟知所用药物说明书上的注意事项和急救措施，必须持有《中华人民共和国有害防制员职业资格证书》。</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2）在操作过程中必须戴防毒口罩及手套、穿长袖衣、长裤和鞋袜，佩戴上岗证，配备解毒药品。</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3）防治人员应以体魄健康的中青年为宜。患皮肤病者，有禁忌症者以及“三期”（即经期、孕期、哺乳期）妇女不得从事配药、施药工作。</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4）药物稀释喷杀的操作人员，应熟悉药物的性质和配制方法，使用专门的量具，按要求正确配置使用。</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5）定期检测施药器械和所有的密封（圈）垫及断流阀，保证使用性能良好，以防发生渗漏，污染皮肤及其它现场物品；不得使用质量低劣或时有故障的器械，防止器械伤人。</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6）室内喷药应关掉电风扇及抽风设备。</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7）作业时禁止吸烟、饮酒、吃东西，不能用手擦嘴、眼睛，绝对不准互相喷射。作业后喝水、抽烟、吃东西前，必须有肥皂彻底洗手、洗脸、清水漱口。作业完毕应及时洗澡，换洗防护用品。</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8）施药人员每天喷药时间一般不超过6小时，使用背负式机动喷雾机、热烟雾发生机要两人轮换操作。</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9）当皮肤、眼睛粘有药液时，应立即有肥皂或清水冲洗；如出现头痛、头晕、恶心、呕吐等症状时，应立即离开施药现场，并及时送医院治疗。</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10）施药结束后，应及时清洗器械，盛药的空瓶或容器应集中处理，不得任意丢弃或作它用。未用完的药液或混药剂应加上标签，运回仓库妥善保管。</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11）在作业过程中，作业人员出现安全事故由中标人全权负责。</w:t>
            </w:r>
          </w:p>
          <w:p>
            <w:pPr>
              <w:pStyle w:val="null3"/>
              <w:jc w:val="left"/>
            </w:pPr>
            <w:r>
              <w:rPr>
                <w:rFonts w:ascii="仿宋_GB2312" w:hAnsi="仿宋_GB2312" w:cs="仿宋_GB2312" w:eastAsia="仿宋_GB2312"/>
                <w:sz w:val="30"/>
                <w:b/>
                <w:color w:val="0C0C0C"/>
              </w:rPr>
              <w:t>5、消杀次数要求</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1）中标人每月对防治范围组织全面消杀两次，每季度开展一次扩大至全域范围消杀。逢2、3、4、5、8、9、10月份，每月消杀3-4次；</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2）在承包服务期限内，如遇病媒生物突发事件和应急消杀工作，中标人要第一时间到达现场，按采购人的要求进行全面防治，待防治工作结束后，由此产生的防治费用由双方协商解决。</w:t>
            </w:r>
          </w:p>
          <w:p>
            <w:pPr>
              <w:pStyle w:val="null3"/>
              <w:jc w:val="left"/>
            </w:pPr>
            <w:r>
              <w:rPr>
                <w:rFonts w:ascii="仿宋_GB2312" w:hAnsi="仿宋_GB2312" w:cs="仿宋_GB2312" w:eastAsia="仿宋_GB2312"/>
                <w:sz w:val="30"/>
                <w:b/>
                <w:color w:val="0C0C0C"/>
              </w:rPr>
              <w:t>6、宣传、培训要求</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1）为营造良好的病媒生物防治氛围，提高三亚市育才生态区病媒生物防治工作参与面，要求中标人每季度在人员集中的广场、公园、社区组织一次大型病媒生物防治知识宣传活动；</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2）为不断提高三亚市育才生态区病媒生物防控技术和管理水平，中标人应对公司防治人员每季度组织一次病媒生物防制知识培训；对三亚市育才生态区政府机关相关工作人员、各社区爱卫专干每年组织一次病媒生物防制知识培训。</w:t>
            </w:r>
          </w:p>
          <w:p>
            <w:pPr>
              <w:pStyle w:val="null3"/>
              <w:jc w:val="left"/>
            </w:pPr>
            <w:r>
              <w:rPr>
                <w:rFonts w:ascii="仿宋_GB2312" w:hAnsi="仿宋_GB2312" w:cs="仿宋_GB2312" w:eastAsia="仿宋_GB2312"/>
                <w:sz w:val="30"/>
                <w:b/>
                <w:color w:val="0C0C0C"/>
              </w:rPr>
              <w:t>7、服务组织实施方案</w:t>
            </w:r>
          </w:p>
          <w:p>
            <w:pPr>
              <w:pStyle w:val="null3"/>
              <w:jc w:val="left"/>
            </w:pPr>
            <w:r>
              <w:rPr>
                <w:rFonts w:ascii="仿宋_GB2312" w:hAnsi="仿宋_GB2312" w:cs="仿宋_GB2312" w:eastAsia="仿宋_GB2312"/>
                <w:sz w:val="30"/>
                <w:color w:val="0C0C0C"/>
              </w:rPr>
              <w:t>中标人须制定完整、可行、详细的消杀服务组织实施方案，明确组织机构、人员配备、消杀要求、安全措施、奖惩措施、应急预案等。</w:t>
            </w:r>
          </w:p>
          <w:p>
            <w:pPr>
              <w:pStyle w:val="null3"/>
              <w:jc w:val="left"/>
            </w:pPr>
            <w:r>
              <w:rPr>
                <w:rFonts w:ascii="仿宋_GB2312" w:hAnsi="仿宋_GB2312" w:cs="仿宋_GB2312" w:eastAsia="仿宋_GB2312"/>
                <w:sz w:val="30"/>
                <w:color w:val="0C0C0C"/>
              </w:rPr>
              <w:t>员工劳动保障</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1）中标人必须与员工签订书面劳动合同；</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2）中标人支付员工工资不能低于三亚市最低标准。三亚市最低工资标准发生变化时，应适时作出相应调整；</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3）中标人必须按国家规定为员工购买社保；</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4）中标人必须保障员工正常休息时间；</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5）中标人必须执行《劳动法》有关员工保障的其他规定。</w:t>
            </w:r>
          </w:p>
          <w:p>
            <w:pPr>
              <w:pStyle w:val="null3"/>
              <w:spacing w:before="105" w:after="105"/>
              <w:jc w:val="both"/>
              <w:outlineLvl w:val="1"/>
            </w:pPr>
            <w:r>
              <w:rPr>
                <w:rFonts w:ascii="仿宋_GB2312" w:hAnsi="仿宋_GB2312" w:cs="仿宋_GB2312" w:eastAsia="仿宋_GB2312"/>
                <w:sz w:val="30"/>
                <w:b/>
                <w:color w:val="0C0C0C"/>
              </w:rPr>
              <w:t>六、环境病媒生物防治标准</w:t>
            </w:r>
          </w:p>
          <w:p>
            <w:pPr>
              <w:pStyle w:val="null3"/>
              <w:ind w:firstLine="600"/>
              <w:jc w:val="left"/>
            </w:pPr>
            <w:r>
              <w:rPr>
                <w:rFonts w:ascii="仿宋_GB2312" w:hAnsi="仿宋_GB2312" w:cs="仿宋_GB2312" w:eastAsia="仿宋_GB2312"/>
                <w:sz w:val="30"/>
                <w:color w:val="0C0C0C"/>
              </w:rPr>
              <w:t>符合全国爱国卫生运动委员会、卫生部《病媒生物预防控制管理规定》、全国爱卫办关于印发《灭鼠、蚊、蝇、蟑螂现场考核办法》、《病媒生物密度控制水平鼠类》（</w:t>
            </w:r>
            <w:r>
              <w:rPr>
                <w:rFonts w:ascii="仿宋_GB2312" w:hAnsi="仿宋_GB2312" w:cs="仿宋_GB2312" w:eastAsia="仿宋_GB2312"/>
                <w:sz w:val="30"/>
                <w:color w:val="0C0C0C"/>
              </w:rPr>
              <w:t>GB/T27770-2011）、《病媒生物密度控制水平蚊虫》（GB/T27771-2011）、《病媒生物密度控制水平蝇类》（GB/T27772-2011）、《病媒生物密度控制水平蜚蠊》（GB/T27773-2011）、《海南省爱国卫生管理条例》、《三亚市除“四害”管理暂行规定》等规范文件，把三亚市育才生态区内、外环境病媒生物密度控制在国家病媒生物控制水平C级标准之内，健康创建示范点控制在国家病媒生物控制水平B级标准之内。国家标准发生变化时，按最新标准执行。</w:t>
            </w:r>
          </w:p>
          <w:p>
            <w:pPr>
              <w:pStyle w:val="null3"/>
              <w:jc w:val="left"/>
            </w:pPr>
            <w:r>
              <w:rPr>
                <w:rFonts w:ascii="仿宋_GB2312" w:hAnsi="仿宋_GB2312" w:cs="仿宋_GB2312" w:eastAsia="仿宋_GB2312"/>
                <w:sz w:val="30"/>
                <w:b/>
                <w:color w:val="0C0C0C"/>
              </w:rPr>
              <w:t>七、密度监测、检查和考核验收</w:t>
            </w:r>
          </w:p>
          <w:p>
            <w:pPr>
              <w:pStyle w:val="null3"/>
              <w:ind w:firstLine="600"/>
              <w:jc w:val="left"/>
            </w:pPr>
            <w:r>
              <w:rPr>
                <w:rFonts w:ascii="仿宋_GB2312" w:hAnsi="仿宋_GB2312" w:cs="仿宋_GB2312" w:eastAsia="仿宋_GB2312"/>
                <w:sz w:val="30"/>
                <w:color w:val="0C0C0C"/>
              </w:rPr>
              <w:t>内外环境病媒生物密度监测、检查、考核验收工作，在采购人指导下进行。中标人提供内外环境病媒生物密度监测、检查、考核验收中所使用的器材、药物及交通工具等。采购人聘请第三方专业评估机构对三亚市育才生态区病媒生物防制工作进行监管、效果评估、密度调查和每阶段的考核验收，每次工作情况须造册登记，社区村（居）委会签字确认，作为工作进度、经费拨付、验收的依据。检查验收的结果，在检查后的</w:t>
            </w:r>
            <w:r>
              <w:rPr>
                <w:rFonts w:ascii="仿宋_GB2312" w:hAnsi="仿宋_GB2312" w:cs="仿宋_GB2312" w:eastAsia="仿宋_GB2312"/>
                <w:sz w:val="30"/>
                <w:color w:val="0C0C0C"/>
              </w:rPr>
              <w:t>10个工作日内，以书面形式通报给中标人（紧急情况下，现场口头通报）。中标人要针对存在的问题，及时落实整改。并在规定的期限内，将整改情况以书面反馈给采购人。中标人也要自行做到经常性地进行自我检查和监测，把三亚市育才生态区内、外环境病媒生物密度控制在国家病媒生物控制水平C级标准之内，健康创建示范点控制在国家病媒生物控制水平B级标准之内。国家标准发生变化时，按最新标准执行。</w:t>
            </w:r>
          </w:p>
          <w:p>
            <w:pPr>
              <w:pStyle w:val="null3"/>
              <w:jc w:val="left"/>
            </w:pPr>
            <w:r>
              <w:rPr>
                <w:rFonts w:ascii="仿宋_GB2312" w:hAnsi="仿宋_GB2312" w:cs="仿宋_GB2312" w:eastAsia="仿宋_GB2312"/>
                <w:sz w:val="30"/>
                <w:b/>
                <w:color w:val="0C0C0C"/>
              </w:rPr>
              <w:t>八、</w:t>
            </w:r>
            <w:r>
              <w:rPr>
                <w:rFonts w:ascii="仿宋_GB2312" w:hAnsi="仿宋_GB2312" w:cs="仿宋_GB2312" w:eastAsia="仿宋_GB2312"/>
                <w:sz w:val="30"/>
                <w:b/>
                <w:color w:val="0C0C0C"/>
              </w:rPr>
              <w:t>违约责任</w:t>
            </w:r>
          </w:p>
          <w:p>
            <w:pPr>
              <w:pStyle w:val="null3"/>
              <w:jc w:val="left"/>
            </w:pPr>
            <w:r>
              <w:rPr>
                <w:rFonts w:ascii="仿宋_GB2312" w:hAnsi="仿宋_GB2312" w:cs="仿宋_GB2312" w:eastAsia="仿宋_GB2312"/>
                <w:sz w:val="30"/>
                <w:color w:val="0C0C0C"/>
              </w:rPr>
              <w:t>（一）承包期间，遇国家、省、市、区和第三方专业评估机构任何一方或联合组织的检查、验收，病媒生物密度达不到国家标准《病媒生物密度控制水平</w:t>
            </w:r>
            <w:r>
              <w:rPr>
                <w:rFonts w:ascii="仿宋_GB2312" w:hAnsi="仿宋_GB2312" w:cs="仿宋_GB2312" w:eastAsia="仿宋_GB2312"/>
                <w:sz w:val="30"/>
                <w:color w:val="0C0C0C"/>
              </w:rPr>
              <w:t>鼠类》（</w:t>
            </w:r>
            <w:r>
              <w:rPr>
                <w:rFonts w:ascii="仿宋_GB2312" w:hAnsi="仿宋_GB2312" w:cs="仿宋_GB2312" w:eastAsia="仿宋_GB2312"/>
                <w:sz w:val="30"/>
                <w:color w:val="0C0C0C"/>
              </w:rPr>
              <w:t>GB/T27770-2011）、《病媒生物密度控制水平 蚊虫》（GB/T27771-2011）、《病媒生物密度控制水平 蝇类》（GB/T27772-2011）、《病媒生物密度控制水平 蜚蠊》（GB/T27773-2011）分情况从承包款中扣除相应违约金，具体如下：</w:t>
            </w:r>
          </w:p>
          <w:p>
            <w:pPr>
              <w:pStyle w:val="null3"/>
              <w:ind w:firstLine="600"/>
              <w:jc w:val="left"/>
            </w:pPr>
            <w:r>
              <w:rPr>
                <w:rFonts w:ascii="仿宋_GB2312" w:hAnsi="仿宋_GB2312" w:cs="仿宋_GB2312" w:eastAsia="仿宋_GB2312"/>
                <w:sz w:val="30"/>
                <w:color w:val="0C0C0C"/>
              </w:rPr>
              <w:t>每次检查鼠、蚊、蝇、蜚蠊四项检测中其中一项超过国家标准的，扣除人民币</w:t>
            </w:r>
            <w:r>
              <w:rPr>
                <w:rFonts w:ascii="仿宋_GB2312" w:hAnsi="仿宋_GB2312" w:cs="仿宋_GB2312" w:eastAsia="仿宋_GB2312"/>
                <w:sz w:val="30"/>
                <w:color w:val="0C0C0C"/>
              </w:rPr>
              <w:t>30000元违约金，并按规定在7天内整改达标。</w:t>
            </w:r>
          </w:p>
          <w:p>
            <w:pPr>
              <w:pStyle w:val="null3"/>
              <w:ind w:firstLine="600"/>
              <w:jc w:val="left"/>
            </w:pPr>
            <w:r>
              <w:rPr>
                <w:rFonts w:ascii="仿宋_GB2312" w:hAnsi="仿宋_GB2312" w:cs="仿宋_GB2312" w:eastAsia="仿宋_GB2312"/>
                <w:sz w:val="30"/>
                <w:color w:val="0C0C0C"/>
              </w:rPr>
              <w:t>每次检查鼠、蚊、蝇、蜚蠊四项检测中其中两项超过国家标准的，扣除人民币</w:t>
            </w:r>
            <w:r>
              <w:rPr>
                <w:rFonts w:ascii="仿宋_GB2312" w:hAnsi="仿宋_GB2312" w:cs="仿宋_GB2312" w:eastAsia="仿宋_GB2312"/>
                <w:sz w:val="30"/>
                <w:color w:val="0C0C0C"/>
              </w:rPr>
              <w:t>40000元违约金，并按规定在7天内整改达标。</w:t>
            </w:r>
          </w:p>
          <w:p>
            <w:pPr>
              <w:pStyle w:val="null3"/>
              <w:ind w:firstLine="600"/>
              <w:jc w:val="left"/>
            </w:pPr>
            <w:r>
              <w:rPr>
                <w:rFonts w:ascii="仿宋_GB2312" w:hAnsi="仿宋_GB2312" w:cs="仿宋_GB2312" w:eastAsia="仿宋_GB2312"/>
                <w:sz w:val="30"/>
                <w:color w:val="0C0C0C"/>
              </w:rPr>
              <w:t>每次检查鼠、蚊、蝇、蜚蠊四项检测中其中三项超过国家标准的，扣除人民币</w:t>
            </w:r>
            <w:r>
              <w:rPr>
                <w:rFonts w:ascii="仿宋_GB2312" w:hAnsi="仿宋_GB2312" w:cs="仿宋_GB2312" w:eastAsia="仿宋_GB2312"/>
                <w:sz w:val="30"/>
                <w:color w:val="0C0C0C"/>
              </w:rPr>
              <w:t>50000元违约金，并按规定在7天内整改达标。</w:t>
            </w:r>
          </w:p>
          <w:p>
            <w:pPr>
              <w:pStyle w:val="null3"/>
              <w:ind w:firstLine="600"/>
              <w:jc w:val="left"/>
            </w:pPr>
            <w:r>
              <w:rPr>
                <w:rFonts w:ascii="仿宋_GB2312" w:hAnsi="仿宋_GB2312" w:cs="仿宋_GB2312" w:eastAsia="仿宋_GB2312"/>
                <w:sz w:val="30"/>
                <w:color w:val="0C0C0C"/>
              </w:rPr>
              <w:t>每次检查鼠、蚊、蝇、蜚蠊四项检测中其中四项超过国家标准的，扣除人民币</w:t>
            </w:r>
            <w:r>
              <w:rPr>
                <w:rFonts w:ascii="仿宋_GB2312" w:hAnsi="仿宋_GB2312" w:cs="仿宋_GB2312" w:eastAsia="仿宋_GB2312"/>
                <w:sz w:val="30"/>
                <w:color w:val="0C0C0C"/>
              </w:rPr>
              <w:t>60000元违约金，并按规定在7天内整改达标。</w:t>
            </w:r>
          </w:p>
          <w:p>
            <w:pPr>
              <w:pStyle w:val="null3"/>
              <w:ind w:firstLine="600"/>
              <w:jc w:val="left"/>
            </w:pPr>
            <w:r>
              <w:rPr>
                <w:rFonts w:ascii="仿宋_GB2312" w:hAnsi="仿宋_GB2312" w:cs="仿宋_GB2312" w:eastAsia="仿宋_GB2312"/>
                <w:sz w:val="30"/>
                <w:color w:val="0C0C0C"/>
              </w:rPr>
              <w:t>整改复审的第三方评估费，由采购人按照原评估合同的单次评估费金额扣除中标人的防制服务费支出，经整改后仍不达标的，采购人有权对中标人给予</w:t>
            </w:r>
            <w:r>
              <w:rPr>
                <w:rFonts w:ascii="仿宋_GB2312" w:hAnsi="仿宋_GB2312" w:cs="仿宋_GB2312" w:eastAsia="仿宋_GB2312"/>
                <w:sz w:val="30"/>
                <w:color w:val="0C0C0C"/>
              </w:rPr>
              <w:t>70000元的罚款，采购人有权解除合同。</w:t>
            </w:r>
          </w:p>
          <w:p>
            <w:pPr>
              <w:pStyle w:val="null3"/>
              <w:jc w:val="left"/>
            </w:pPr>
            <w:r>
              <w:rPr>
                <w:rFonts w:ascii="仿宋_GB2312" w:hAnsi="仿宋_GB2312" w:cs="仿宋_GB2312" w:eastAsia="仿宋_GB2312"/>
                <w:sz w:val="30"/>
                <w:color w:val="0C0C0C"/>
              </w:rPr>
              <w:t>（二）每年考核验收两次以上达不到国家标准的，采购人有权对中标人给予</w:t>
            </w:r>
            <w:r>
              <w:rPr>
                <w:rFonts w:ascii="仿宋_GB2312" w:hAnsi="仿宋_GB2312" w:cs="仿宋_GB2312" w:eastAsia="仿宋_GB2312"/>
                <w:sz w:val="30"/>
                <w:color w:val="0C0C0C"/>
              </w:rPr>
              <w:t>80000元罚款，采购人有权解除合同。</w:t>
            </w:r>
          </w:p>
          <w:p>
            <w:pPr>
              <w:pStyle w:val="null3"/>
              <w:jc w:val="left"/>
            </w:pPr>
            <w:r>
              <w:rPr>
                <w:rFonts w:ascii="仿宋_GB2312" w:hAnsi="仿宋_GB2312" w:cs="仿宋_GB2312" w:eastAsia="仿宋_GB2312"/>
                <w:sz w:val="30"/>
                <w:color w:val="0C0C0C"/>
              </w:rPr>
              <w:t>（三）承包期间，遇国家卫生城市专家组检查，三亚市育才生态区病媒生物密度达不到国家标准的，影响三亚市评分的，扣除承包总额的</w:t>
            </w:r>
            <w:r>
              <w:rPr>
                <w:rFonts w:ascii="仿宋_GB2312" w:hAnsi="仿宋_GB2312" w:cs="仿宋_GB2312" w:eastAsia="仿宋_GB2312"/>
                <w:sz w:val="30"/>
                <w:color w:val="0C0C0C"/>
              </w:rPr>
              <w:t>20%作为罚款，同时采购人有权解除合同。</w:t>
            </w:r>
          </w:p>
          <w:p>
            <w:pPr>
              <w:pStyle w:val="null3"/>
              <w:jc w:val="left"/>
            </w:pPr>
            <w:r>
              <w:rPr>
                <w:rFonts w:ascii="仿宋_GB2312" w:hAnsi="仿宋_GB2312" w:cs="仿宋_GB2312" w:eastAsia="仿宋_GB2312"/>
                <w:sz w:val="30"/>
                <w:b/>
                <w:color w:val="0C0C0C"/>
              </w:rPr>
              <w:t>九、工作职责</w:t>
            </w:r>
          </w:p>
          <w:p>
            <w:pPr>
              <w:pStyle w:val="null3"/>
              <w:jc w:val="left"/>
            </w:pPr>
            <w:r>
              <w:rPr>
                <w:rFonts w:ascii="仿宋_GB2312" w:hAnsi="仿宋_GB2312" w:cs="仿宋_GB2312" w:eastAsia="仿宋_GB2312"/>
                <w:sz w:val="30"/>
                <w:color w:val="0C0C0C"/>
              </w:rPr>
              <w:t xml:space="preserve">    </w:t>
            </w:r>
            <w:r>
              <w:rPr>
                <w:rFonts w:ascii="仿宋_GB2312" w:hAnsi="仿宋_GB2312" w:cs="仿宋_GB2312" w:eastAsia="仿宋_GB2312"/>
                <w:sz w:val="30"/>
                <w:color w:val="0C0C0C"/>
              </w:rPr>
              <w:t>（一）中标人的职责</w:t>
            </w:r>
          </w:p>
          <w:p>
            <w:pPr>
              <w:pStyle w:val="null3"/>
              <w:jc w:val="left"/>
            </w:pPr>
            <w:r>
              <w:rPr>
                <w:rFonts w:ascii="仿宋_GB2312" w:hAnsi="仿宋_GB2312" w:cs="仿宋_GB2312" w:eastAsia="仿宋_GB2312"/>
                <w:sz w:val="30"/>
                <w:color w:val="0C0C0C"/>
              </w:rPr>
              <w:t xml:space="preserve">    </w:t>
            </w:r>
            <w:r>
              <w:rPr>
                <w:rFonts w:ascii="仿宋_GB2312" w:hAnsi="仿宋_GB2312" w:cs="仿宋_GB2312" w:eastAsia="仿宋_GB2312"/>
                <w:sz w:val="30"/>
                <w:color w:val="0C0C0C"/>
              </w:rPr>
              <w:t>1、负责责任辖区内病媒生物防制技术资料、科普知识宣传资料的印制和发放。</w:t>
            </w:r>
          </w:p>
          <w:p>
            <w:pPr>
              <w:pStyle w:val="null3"/>
              <w:jc w:val="left"/>
            </w:pPr>
            <w:r>
              <w:rPr>
                <w:rFonts w:ascii="仿宋_GB2312" w:hAnsi="仿宋_GB2312" w:cs="仿宋_GB2312" w:eastAsia="仿宋_GB2312"/>
                <w:sz w:val="30"/>
                <w:color w:val="0C0C0C"/>
              </w:rPr>
              <w:t xml:space="preserve">    </w:t>
            </w:r>
            <w:r>
              <w:rPr>
                <w:rFonts w:ascii="仿宋_GB2312" w:hAnsi="仿宋_GB2312" w:cs="仿宋_GB2312" w:eastAsia="仿宋_GB2312"/>
                <w:sz w:val="30"/>
                <w:color w:val="0C0C0C"/>
              </w:rPr>
              <w:t>2、负责对责任辖区的病媒生物侵害程度进行摸底调查、制定详细的技术防制和施工方案并组织实施。</w:t>
            </w:r>
          </w:p>
          <w:p>
            <w:pPr>
              <w:pStyle w:val="null3"/>
              <w:jc w:val="left"/>
            </w:pPr>
            <w:r>
              <w:rPr>
                <w:rFonts w:ascii="仿宋_GB2312" w:hAnsi="仿宋_GB2312" w:cs="仿宋_GB2312" w:eastAsia="仿宋_GB2312"/>
                <w:sz w:val="30"/>
                <w:color w:val="0C0C0C"/>
              </w:rPr>
              <w:t xml:space="preserve">    </w:t>
            </w:r>
            <w:r>
              <w:rPr>
                <w:rFonts w:ascii="仿宋_GB2312" w:hAnsi="仿宋_GB2312" w:cs="仿宋_GB2312" w:eastAsia="仿宋_GB2312"/>
                <w:sz w:val="30"/>
                <w:color w:val="0C0C0C"/>
              </w:rPr>
              <w:t>3、负责服务范围内的四防（防鼠、防蚊、防蝇、防蟑）设施建设及具体的监督实施。</w:t>
            </w:r>
          </w:p>
          <w:p>
            <w:pPr>
              <w:pStyle w:val="null3"/>
              <w:jc w:val="left"/>
            </w:pPr>
            <w:r>
              <w:rPr>
                <w:rFonts w:ascii="仿宋_GB2312" w:hAnsi="仿宋_GB2312" w:cs="仿宋_GB2312" w:eastAsia="仿宋_GB2312"/>
                <w:sz w:val="30"/>
                <w:color w:val="0C0C0C"/>
              </w:rPr>
              <w:t xml:space="preserve">    </w:t>
            </w:r>
            <w:r>
              <w:rPr>
                <w:rFonts w:ascii="仿宋_GB2312" w:hAnsi="仿宋_GB2312" w:cs="仿宋_GB2312" w:eastAsia="仿宋_GB2312"/>
                <w:sz w:val="30"/>
                <w:color w:val="0C0C0C"/>
              </w:rPr>
              <w:t>4、负责对社区、单位、爱国卫生专干进行病媒生物防制技术培训，每半年不少于1次。</w:t>
            </w:r>
          </w:p>
          <w:p>
            <w:pPr>
              <w:pStyle w:val="null3"/>
              <w:jc w:val="left"/>
            </w:pPr>
            <w:r>
              <w:rPr>
                <w:rFonts w:ascii="仿宋_GB2312" w:hAnsi="仿宋_GB2312" w:cs="仿宋_GB2312" w:eastAsia="仿宋_GB2312"/>
                <w:sz w:val="30"/>
                <w:color w:val="0C0C0C"/>
              </w:rPr>
              <w:t xml:space="preserve">    </w:t>
            </w:r>
            <w:r>
              <w:rPr>
                <w:rFonts w:ascii="仿宋_GB2312" w:hAnsi="仿宋_GB2312" w:cs="仿宋_GB2312" w:eastAsia="仿宋_GB2312"/>
                <w:sz w:val="30"/>
                <w:color w:val="0C0C0C"/>
              </w:rPr>
              <w:t>5、负责定期向采购人和市爱卫办提供责任区域内的疫情、病媒生物的密度监测及防制情况报告，每月1次。</w:t>
            </w:r>
          </w:p>
          <w:p>
            <w:pPr>
              <w:pStyle w:val="null3"/>
              <w:jc w:val="left"/>
            </w:pPr>
            <w:r>
              <w:rPr>
                <w:rFonts w:ascii="仿宋_GB2312" w:hAnsi="仿宋_GB2312" w:cs="仿宋_GB2312" w:eastAsia="仿宋_GB2312"/>
                <w:sz w:val="30"/>
                <w:color w:val="0C0C0C"/>
              </w:rPr>
              <w:t xml:space="preserve">    </w:t>
            </w:r>
            <w:r>
              <w:rPr>
                <w:rFonts w:ascii="仿宋_GB2312" w:hAnsi="仿宋_GB2312" w:cs="仿宋_GB2312" w:eastAsia="仿宋_GB2312"/>
                <w:sz w:val="30"/>
                <w:color w:val="0C0C0C"/>
              </w:rPr>
              <w:t>6、负责因消杀药物引起的中毒事件的处理。</w:t>
            </w:r>
          </w:p>
          <w:p>
            <w:pPr>
              <w:pStyle w:val="null3"/>
              <w:jc w:val="left"/>
            </w:pPr>
            <w:r>
              <w:rPr>
                <w:rFonts w:ascii="仿宋_GB2312" w:hAnsi="仿宋_GB2312" w:cs="仿宋_GB2312" w:eastAsia="仿宋_GB2312"/>
                <w:sz w:val="30"/>
                <w:color w:val="0C0C0C"/>
              </w:rPr>
              <w:t xml:space="preserve">    </w:t>
            </w:r>
            <w:r>
              <w:rPr>
                <w:rFonts w:ascii="仿宋_GB2312" w:hAnsi="仿宋_GB2312" w:cs="仿宋_GB2312" w:eastAsia="仿宋_GB2312"/>
                <w:sz w:val="30"/>
                <w:color w:val="0C0C0C"/>
              </w:rPr>
              <w:t>7、消杀器材和药物必须符合国家标准。</w:t>
            </w:r>
          </w:p>
          <w:p>
            <w:pPr>
              <w:pStyle w:val="null3"/>
              <w:ind w:firstLine="600"/>
              <w:jc w:val="left"/>
            </w:pPr>
            <w:r>
              <w:rPr>
                <w:rFonts w:ascii="仿宋_GB2312" w:hAnsi="仿宋_GB2312" w:cs="仿宋_GB2312" w:eastAsia="仿宋_GB2312"/>
                <w:sz w:val="30"/>
                <w:color w:val="0C0C0C"/>
              </w:rPr>
              <w:t>8、每次工作情况须造册登记，社区负责病媒生物防治人员或社区网格长签名，作为工作进度、经费拨付、验收的依据。</w:t>
            </w:r>
          </w:p>
          <w:p>
            <w:pPr>
              <w:pStyle w:val="null3"/>
              <w:ind w:firstLine="600"/>
              <w:jc w:val="left"/>
            </w:pPr>
            <w:r>
              <w:rPr>
                <w:rFonts w:ascii="仿宋_GB2312" w:hAnsi="仿宋_GB2312" w:cs="仿宋_GB2312" w:eastAsia="仿宋_GB2312"/>
                <w:sz w:val="30"/>
                <w:color w:val="0C0C0C"/>
              </w:rPr>
              <w:t>9、中标人须为采购人购买“公众责任保险”⑴综合公共责任保险，⑵场所责任保险，⑶承包人责任保险，⑷承运人责任保险。</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30"/>
                <w:b/>
                <w:color w:val="0C0C0C"/>
              </w:rPr>
              <w:t>一、项目</w:t>
            </w:r>
            <w:r>
              <w:rPr>
                <w:rFonts w:ascii="仿宋_GB2312" w:hAnsi="仿宋_GB2312" w:cs="仿宋_GB2312" w:eastAsia="仿宋_GB2312"/>
                <w:sz w:val="30"/>
                <w:b/>
                <w:color w:val="0C0C0C"/>
              </w:rPr>
              <w:t>信息</w:t>
            </w:r>
          </w:p>
          <w:p>
            <w:pPr>
              <w:pStyle w:val="null3"/>
              <w:jc w:val="left"/>
            </w:pPr>
            <w:r>
              <w:rPr>
                <w:rFonts w:ascii="仿宋_GB2312" w:hAnsi="仿宋_GB2312" w:cs="仿宋_GB2312" w:eastAsia="仿宋_GB2312"/>
                <w:sz w:val="30"/>
                <w:color w:val="0C0C0C"/>
                <w:shd w:fill="FFFFFF" w:val="clear"/>
              </w:rPr>
              <w:t>（一）</w:t>
            </w:r>
            <w:r>
              <w:rPr>
                <w:rFonts w:ascii="仿宋_GB2312" w:hAnsi="仿宋_GB2312" w:cs="仿宋_GB2312" w:eastAsia="仿宋_GB2312"/>
                <w:sz w:val="30"/>
                <w:color w:val="0C0C0C"/>
                <w:shd w:fill="FFFFFF" w:val="clear"/>
              </w:rPr>
              <w:t>项目预算：</w:t>
            </w:r>
            <w:r>
              <w:rPr>
                <w:rFonts w:ascii="仿宋_GB2312" w:hAnsi="仿宋_GB2312" w:cs="仿宋_GB2312" w:eastAsia="仿宋_GB2312"/>
                <w:sz w:val="30"/>
                <w:color w:val="0C0C0C"/>
                <w:shd w:fill="FFFFFF" w:val="clear"/>
              </w:rPr>
              <w:t>1920000.00元/年。</w:t>
            </w:r>
          </w:p>
          <w:p>
            <w:pPr>
              <w:pStyle w:val="null3"/>
              <w:jc w:val="left"/>
            </w:pPr>
            <w:r>
              <w:rPr>
                <w:rFonts w:ascii="仿宋_GB2312" w:hAnsi="仿宋_GB2312" w:cs="仿宋_GB2312" w:eastAsia="仿宋_GB2312"/>
                <w:sz w:val="30"/>
                <w:color w:val="0C0C0C"/>
              </w:rPr>
              <w:t>（二）</w:t>
            </w:r>
            <w:r>
              <w:rPr>
                <w:rFonts w:ascii="仿宋_GB2312" w:hAnsi="仿宋_GB2312" w:cs="仿宋_GB2312" w:eastAsia="仿宋_GB2312"/>
                <w:sz w:val="30"/>
                <w:color w:val="0C0C0C"/>
              </w:rPr>
              <w:t>服务期</w:t>
            </w:r>
            <w:r>
              <w:rPr>
                <w:rFonts w:ascii="仿宋_GB2312" w:hAnsi="仿宋_GB2312" w:cs="仿宋_GB2312" w:eastAsia="仿宋_GB2312"/>
                <w:sz w:val="30"/>
                <w:color w:val="0C0C0C"/>
              </w:rPr>
              <w:t>：三年</w:t>
            </w:r>
            <w:r>
              <w:rPr>
                <w:rFonts w:ascii="仿宋_GB2312" w:hAnsi="仿宋_GB2312" w:cs="仿宋_GB2312" w:eastAsia="仿宋_GB2312"/>
                <w:sz w:val="30"/>
                <w:color w:val="0C0C0C"/>
              </w:rPr>
              <w:t>，</w:t>
            </w:r>
            <w:r>
              <w:rPr>
                <w:rFonts w:ascii="仿宋_GB2312" w:hAnsi="仿宋_GB2312" w:cs="仿宋_GB2312" w:eastAsia="仿宋_GB2312"/>
                <w:sz w:val="30"/>
                <w:color w:val="0C0C0C"/>
              </w:rPr>
              <w:t>合同一年一签</w:t>
            </w:r>
            <w:r>
              <w:rPr>
                <w:rFonts w:ascii="仿宋_GB2312" w:hAnsi="仿宋_GB2312" w:cs="仿宋_GB2312" w:eastAsia="仿宋_GB2312"/>
                <w:sz w:val="30"/>
                <w:color w:val="0C0C0C"/>
              </w:rPr>
              <w:t>（服务具体起止时间以合同约定为准）</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三</w:t>
            </w:r>
            <w:r>
              <w:rPr>
                <w:rFonts w:ascii="仿宋_GB2312" w:hAnsi="仿宋_GB2312" w:cs="仿宋_GB2312" w:eastAsia="仿宋_GB2312"/>
                <w:sz w:val="30"/>
                <w:color w:val="0C0C0C"/>
              </w:rPr>
              <w:t>）</w:t>
            </w:r>
            <w:r>
              <w:rPr>
                <w:rFonts w:ascii="仿宋_GB2312" w:hAnsi="仿宋_GB2312" w:cs="仿宋_GB2312" w:eastAsia="仿宋_GB2312"/>
                <w:sz w:val="30"/>
                <w:color w:val="0C0C0C"/>
                <w:shd w:fill="FFFFFF" w:val="clear"/>
              </w:rPr>
              <w:t>服务地</w:t>
            </w:r>
            <w:r>
              <w:rPr>
                <w:rFonts w:ascii="仿宋_GB2312" w:hAnsi="仿宋_GB2312" w:cs="仿宋_GB2312" w:eastAsia="仿宋_GB2312"/>
                <w:sz w:val="30"/>
                <w:color w:val="0C0C0C"/>
              </w:rPr>
              <w:t>点（</w:t>
            </w:r>
            <w:r>
              <w:rPr>
                <w:rFonts w:ascii="仿宋_GB2312" w:hAnsi="仿宋_GB2312" w:cs="仿宋_GB2312" w:eastAsia="仿宋_GB2312"/>
                <w:sz w:val="30"/>
                <w:color w:val="0C0C0C"/>
              </w:rPr>
              <w:t>范围</w:t>
            </w:r>
            <w:r>
              <w:rPr>
                <w:rFonts w:ascii="仿宋_GB2312" w:hAnsi="仿宋_GB2312" w:cs="仿宋_GB2312" w:eastAsia="仿宋_GB2312"/>
                <w:sz w:val="30"/>
                <w:color w:val="0C0C0C"/>
              </w:rPr>
              <w:t>）</w:t>
            </w:r>
            <w:r>
              <w:rPr>
                <w:rFonts w:ascii="仿宋_GB2312" w:hAnsi="仿宋_GB2312" w:cs="仿宋_GB2312" w:eastAsia="仿宋_GB2312"/>
                <w:sz w:val="30"/>
                <w:color w:val="0C0C0C"/>
              </w:rPr>
              <w:t>：三亚市育才生态区</w:t>
            </w:r>
          </w:p>
          <w:p>
            <w:pPr>
              <w:pStyle w:val="null3"/>
              <w:jc w:val="left"/>
            </w:pPr>
            <w:r>
              <w:rPr>
                <w:rFonts w:ascii="仿宋_GB2312" w:hAnsi="仿宋_GB2312" w:cs="仿宋_GB2312" w:eastAsia="仿宋_GB2312"/>
                <w:sz w:val="30"/>
                <w:color w:val="0C0C0C"/>
              </w:rPr>
              <w:t>（</w:t>
            </w:r>
            <w:r>
              <w:rPr>
                <w:rFonts w:ascii="仿宋_GB2312" w:hAnsi="仿宋_GB2312" w:cs="仿宋_GB2312" w:eastAsia="仿宋_GB2312"/>
                <w:sz w:val="30"/>
                <w:color w:val="0C0C0C"/>
              </w:rPr>
              <w:t>四</w:t>
            </w:r>
            <w:r>
              <w:rPr>
                <w:rFonts w:ascii="仿宋_GB2312" w:hAnsi="仿宋_GB2312" w:cs="仿宋_GB2312" w:eastAsia="仿宋_GB2312"/>
                <w:sz w:val="30"/>
                <w:color w:val="0C0C0C"/>
              </w:rPr>
              <w:t>）</w:t>
            </w:r>
            <w:r>
              <w:rPr>
                <w:rFonts w:ascii="仿宋_GB2312" w:hAnsi="仿宋_GB2312" w:cs="仿宋_GB2312" w:eastAsia="仿宋_GB2312"/>
                <w:sz w:val="30"/>
                <w:color w:val="0C0C0C"/>
              </w:rPr>
              <w:t>服务标准：合格</w:t>
            </w:r>
          </w:p>
          <w:p>
            <w:pPr>
              <w:pStyle w:val="null3"/>
              <w:jc w:val="left"/>
            </w:pPr>
            <w:r>
              <w:rPr>
                <w:rFonts w:ascii="仿宋_GB2312" w:hAnsi="仿宋_GB2312" w:cs="仿宋_GB2312" w:eastAsia="仿宋_GB2312"/>
                <w:sz w:val="30"/>
                <w:b/>
                <w:color w:val="0C0C0C"/>
              </w:rPr>
              <w:t>二、承包方式及付款方式</w:t>
            </w:r>
          </w:p>
          <w:p>
            <w:pPr>
              <w:pStyle w:val="null3"/>
              <w:jc w:val="left"/>
            </w:pPr>
            <w:r>
              <w:rPr>
                <w:rFonts w:ascii="仿宋_GB2312" w:hAnsi="仿宋_GB2312" w:cs="仿宋_GB2312" w:eastAsia="仿宋_GB2312"/>
                <w:sz w:val="30"/>
                <w:color w:val="0C0C0C"/>
              </w:rPr>
              <w:t>（一）中标人未正式入场服务前，由采购人委托代管公司服务，代管期间服务费以本次中标金额为基数，支付费用计算公式：中标金额</w:t>
            </w:r>
            <w:r>
              <w:rPr>
                <w:rFonts w:ascii="仿宋_GB2312" w:hAnsi="仿宋_GB2312" w:cs="仿宋_GB2312" w:eastAsia="仿宋_GB2312"/>
                <w:sz w:val="30"/>
                <w:color w:val="0C0C0C"/>
              </w:rPr>
              <w:t>÷12（个月）÷30（天）×X（天）；12（个月）为：202 年  月  日-202  年  月  日；X（天）为：202  年  月  日至今签订合同之日（天），经公示无异议后，由中标人扣税后一次支付给代管公司。</w:t>
            </w:r>
          </w:p>
          <w:p>
            <w:pPr>
              <w:pStyle w:val="null3"/>
              <w:jc w:val="left"/>
            </w:pPr>
            <w:r>
              <w:rPr>
                <w:rFonts w:ascii="仿宋_GB2312" w:hAnsi="仿宋_GB2312" w:cs="仿宋_GB2312" w:eastAsia="仿宋_GB2312"/>
                <w:sz w:val="30"/>
                <w:color w:val="0C0C0C"/>
              </w:rPr>
              <w:t>（二）采用全包干形式，即业务包干、经费包干。采购人将育才生态区</w:t>
            </w:r>
            <w:r>
              <w:rPr>
                <w:rFonts w:ascii="仿宋_GB2312" w:hAnsi="仿宋_GB2312" w:cs="仿宋_GB2312" w:eastAsia="仿宋_GB2312"/>
                <w:sz w:val="30"/>
                <w:color w:val="0C0C0C"/>
              </w:rPr>
              <w:t>2026年—2029年病媒生物防制任务交给中标人，中标人按采购人的管理要求和标准组织病媒防制工作，并接受采购人的指导、监督。</w:t>
            </w:r>
          </w:p>
          <w:p>
            <w:pPr>
              <w:pStyle w:val="null3"/>
              <w:jc w:val="left"/>
            </w:pPr>
            <w:r>
              <w:rPr>
                <w:rFonts w:ascii="仿宋_GB2312" w:hAnsi="仿宋_GB2312" w:cs="仿宋_GB2312" w:eastAsia="仿宋_GB2312"/>
                <w:sz w:val="30"/>
                <w:b/>
                <w:color w:val="0C0C0C"/>
              </w:rPr>
              <w:t>三、其他要求</w:t>
            </w:r>
          </w:p>
          <w:p>
            <w:pPr>
              <w:pStyle w:val="null3"/>
              <w:jc w:val="left"/>
            </w:pPr>
            <w:r>
              <w:rPr>
                <w:rFonts w:ascii="仿宋_GB2312" w:hAnsi="仿宋_GB2312" w:cs="仿宋_GB2312" w:eastAsia="仿宋_GB2312"/>
                <w:sz w:val="30"/>
                <w:color w:val="0C0C0C"/>
              </w:rPr>
              <w:t>（一）签订合同前，乙方</w:t>
            </w:r>
            <w:r>
              <w:rPr>
                <w:rFonts w:ascii="仿宋_GB2312" w:hAnsi="仿宋_GB2312" w:cs="仿宋_GB2312" w:eastAsia="仿宋_GB2312"/>
                <w:sz w:val="30"/>
                <w:color w:val="0C0C0C"/>
              </w:rPr>
              <w:t>(中标方)须将中标总金额的5%（三爱卫会【2015】2号）留给甲方作为病媒防制工作监理、效果评估经费。</w:t>
            </w:r>
          </w:p>
          <w:p>
            <w:pPr>
              <w:pStyle w:val="null3"/>
              <w:jc w:val="left"/>
            </w:pPr>
            <w:r>
              <w:rPr>
                <w:rFonts w:ascii="仿宋_GB2312" w:hAnsi="仿宋_GB2312" w:cs="仿宋_GB2312" w:eastAsia="仿宋_GB2312"/>
                <w:sz w:val="30"/>
                <w:color w:val="0C0C0C"/>
              </w:rPr>
              <w:t>（二）以合同签订日期开始，以每</w:t>
            </w:r>
            <w:r>
              <w:rPr>
                <w:rFonts w:ascii="仿宋_GB2312" w:hAnsi="仿宋_GB2312" w:cs="仿宋_GB2312" w:eastAsia="仿宋_GB2312"/>
                <w:sz w:val="30"/>
                <w:color w:val="0C0C0C"/>
              </w:rPr>
              <w:t>12个月为一周期，每个周期内，若乙方有3次以上（含3次），经甲方聘请的专业评估机构评估不达标或是在重大检查中存在较多问题被通报批评的，甲方可选择单方面终止合同，且不存在任何违约责任。</w:t>
            </w:r>
          </w:p>
          <w:p>
            <w:pPr>
              <w:pStyle w:val="null3"/>
              <w:jc w:val="left"/>
            </w:pPr>
            <w:r>
              <w:rPr>
                <w:rFonts w:ascii="仿宋_GB2312" w:hAnsi="仿宋_GB2312" w:cs="仿宋_GB2312" w:eastAsia="仿宋_GB2312"/>
                <w:sz w:val="30"/>
                <w:color w:val="0C0C0C"/>
              </w:rPr>
              <w:t>（三）其他未尽事宜以合同约定为准。</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特定资格条件</w:t>
            </w:r>
          </w:p>
        </w:tc>
        <w:tc>
          <w:tcPr>
            <w:tcW w:type="dxa" w:w="3322"/>
          </w:tcPr>
          <w:p>
            <w:pPr>
              <w:pStyle w:val="null3"/>
              <w:jc w:val="left"/>
            </w:pPr>
            <w:r>
              <w:rPr>
                <w:rFonts w:ascii="仿宋_GB2312" w:hAnsi="仿宋_GB2312" w:cs="仿宋_GB2312" w:eastAsia="仿宋_GB2312"/>
              </w:rPr>
              <w:t>3.1、供应商需具备《海南省病媒生物预防控制有偿服务机构备案书》（提供机构备案书加盖公章）； 3.2、参加政府采购活动前三年内，无环保类行政处罚记录（提供承诺函加盖公章）； 3.3、单位负责人为同一人或者存在直接控股、管理关系的不同供应商，不得参加同一合同项下的政府采购活动；除单一来源的项目，为采购项目提供整体设计、规范编制或者项目管理、监理、检测等服务的供应商，不得再参加该采购项目的其他采购活动(提供承诺函加盖公章）； 3.4、提供政府采购供应商信用承诺书。</w:t>
            </w:r>
          </w:p>
        </w:tc>
        <w:tc>
          <w:tcPr>
            <w:tcW w:type="dxa" w:w="1661"/>
          </w:tcPr>
          <w:p>
            <w:pPr>
              <w:pStyle w:val="null3"/>
              <w:jc w:val="left"/>
            </w:pPr>
            <w:r>
              <w:rPr>
                <w:rFonts w:ascii="仿宋_GB2312" w:hAnsi="仿宋_GB2312" w:cs="仿宋_GB2312" w:eastAsia="仿宋_GB2312"/>
              </w:rPr>
              <w:t>特定资格要求材料</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技术评审方案 封面 商业信誉、财务会计制度、缴纳税收和社保的承诺函 无不良信用承诺书 具有独立承担民事责任的能力证明文件 供应商承诺函 磋商保证金缴纳证明材料 特定资格要求材料 其他材料 投标函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供应商承诺函 商务应答表 供应商应提交的相关证明材料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 供应商应提交的相关证明材料</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技术部分51.00分</w:t>
            </w:r>
          </w:p>
          <w:p>
            <w:pPr>
              <w:pStyle w:val="null3"/>
              <w:jc w:val="left"/>
            </w:pPr>
            <w:r>
              <w:rPr>
                <w:rFonts w:ascii="仿宋_GB2312" w:hAnsi="仿宋_GB2312" w:cs="仿宋_GB2312" w:eastAsia="仿宋_GB2312"/>
              </w:rPr>
              <w:t>商务部分39.00分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服务实施方案</w:t>
            </w:r>
          </w:p>
        </w:tc>
        <w:tc>
          <w:tcPr>
            <w:tcW w:type="dxa" w:w="2492"/>
          </w:tcPr>
          <w:p>
            <w:pPr>
              <w:pStyle w:val="null3"/>
              <w:jc w:val="left"/>
            </w:pPr>
            <w:r>
              <w:rPr>
                <w:rFonts w:ascii="仿宋_GB2312" w:hAnsi="仿宋_GB2312" w:cs="仿宋_GB2312" w:eastAsia="仿宋_GB2312"/>
              </w:rPr>
              <w:t>根据供应商提供的服务实施方案进行赋分，包含但不限于以下内容：①防制环境的熟悉程度；②灭鼠方案；③灭蚊方案；④灭蝇方案；⑤灭蟑方案；⑥消杀方案；⑦残留药物处理及药物废弃物回收方案；⑧安全防控措施；⑨宣传服务。以上1-9项内容完整、切实可行的每项得3分；内容存在缺陷的（内容缺陷是指：内容非专门针对本项目或不适用项目特性的情形、内容简略粗糙或缺少关键节点、套用其他项目方案、内容前后矛盾、涉及的规范及标准错误、存在无法实现预期目标的风险等任意一种情形）每处扣1分，扣完为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tcPr>
          <w:p/>
        </w:tc>
        <w:tc>
          <w:tcPr>
            <w:tcW w:type="dxa" w:w="1661"/>
          </w:tcPr>
          <w:p>
            <w:pPr>
              <w:pStyle w:val="null3"/>
              <w:jc w:val="left"/>
            </w:pPr>
            <w:r>
              <w:rPr>
                <w:rFonts w:ascii="仿宋_GB2312" w:hAnsi="仿宋_GB2312" w:cs="仿宋_GB2312" w:eastAsia="仿宋_GB2312"/>
              </w:rPr>
              <w:t>防制技术方案</w:t>
            </w:r>
          </w:p>
        </w:tc>
        <w:tc>
          <w:tcPr>
            <w:tcW w:type="dxa" w:w="2492"/>
          </w:tcPr>
          <w:p>
            <w:pPr>
              <w:pStyle w:val="null3"/>
              <w:jc w:val="left"/>
            </w:pPr>
            <w:r>
              <w:rPr>
                <w:rFonts w:ascii="仿宋_GB2312" w:hAnsi="仿宋_GB2312" w:cs="仿宋_GB2312" w:eastAsia="仿宋_GB2312"/>
              </w:rPr>
              <w:t>根据供应商提供的防制技术方案进行赋分，包含但不限于以下内容：①组织机构；②人员搭配；③药品配备；④控制和监测设施；⑤仓库设置；⑥档案管理；⑦安全措施；⑧人员培训；⑨售后服务。 以上1-9项内容完整、切实可行的1项得2分；内容存在缺陷的（内容缺陷是指：内容非专门针对本项目或不适用项目特性的情形、内容简略粗糙或缺少关键节点、套用其他项目方案、内容前后矛盾、涉及的规范及标准错误、存在无法实现预期目标的风险等任意一种情形）每处扣1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tcPr>
          <w:p/>
        </w:tc>
        <w:tc>
          <w:tcPr>
            <w:tcW w:type="dxa" w:w="1661"/>
          </w:tcPr>
          <w:p>
            <w:pPr>
              <w:pStyle w:val="null3"/>
              <w:jc w:val="left"/>
            </w:pPr>
            <w:r>
              <w:rPr>
                <w:rFonts w:ascii="仿宋_GB2312" w:hAnsi="仿宋_GB2312" w:cs="仿宋_GB2312" w:eastAsia="仿宋_GB2312"/>
              </w:rPr>
              <w:t>突发应急方案</w:t>
            </w:r>
          </w:p>
        </w:tc>
        <w:tc>
          <w:tcPr>
            <w:tcW w:type="dxa" w:w="2492"/>
          </w:tcPr>
          <w:p>
            <w:pPr>
              <w:pStyle w:val="null3"/>
              <w:jc w:val="left"/>
            </w:pPr>
            <w:r>
              <w:rPr>
                <w:rFonts w:ascii="仿宋_GB2312" w:hAnsi="仿宋_GB2312" w:cs="仿宋_GB2312" w:eastAsia="仿宋_GB2312"/>
              </w:rPr>
              <w:t>根据供应商提供的突发应急方案进行赋分，包含但不限于以下内容：①突发公共卫生事件；②卫生中毒事件；③重大活动及迎检措施。 以上1-3项内容完整、切实可行的1项得2分；内容存在缺陷的（内容缺陷是指：内容非专门针对本项目或不适用项目特性的情形、内容简略粗糙或缺少关键节点、套用其他项目方案、内容前后矛盾、涉及的规范及标准错误、存在无法实现预期目标的风险等任意一种情形）每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类似业绩</w:t>
            </w:r>
          </w:p>
        </w:tc>
        <w:tc>
          <w:tcPr>
            <w:tcW w:type="dxa" w:w="2492"/>
          </w:tcPr>
          <w:p>
            <w:pPr>
              <w:pStyle w:val="null3"/>
              <w:jc w:val="left"/>
            </w:pPr>
            <w:r>
              <w:rPr>
                <w:rFonts w:ascii="仿宋_GB2312" w:hAnsi="仿宋_GB2312" w:cs="仿宋_GB2312" w:eastAsia="仿宋_GB2312"/>
              </w:rPr>
              <w:t>供应商自2021年1月（以合同签订时间为准）以来承接过类似项目，每提供一份项目业绩得1分，满分5分。证明材料：提供合同扫描件加盖单位公章，否则不得分。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管理体系认证</w:t>
            </w:r>
          </w:p>
        </w:tc>
        <w:tc>
          <w:tcPr>
            <w:tcW w:type="dxa" w:w="2492"/>
          </w:tcPr>
          <w:p>
            <w:pPr>
              <w:pStyle w:val="null3"/>
              <w:jc w:val="left"/>
            </w:pPr>
            <w:r>
              <w:rPr>
                <w:rFonts w:ascii="仿宋_GB2312" w:hAnsi="仿宋_GB2312" w:cs="仿宋_GB2312" w:eastAsia="仿宋_GB2312"/>
              </w:rPr>
              <w:t>供应商具有有效的质量管理体系认证证书，得1分；具有有效的环境管理体系认证证书得1分；具有有效的职业健康安全管理体系认证证书得1分。证明材料：提供在有效期内的证书扫描件和在全国认证认可信息公共服务平台查询证书信息的截图加盖单位公章，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人员实力</w:t>
            </w:r>
          </w:p>
        </w:tc>
        <w:tc>
          <w:tcPr>
            <w:tcW w:type="dxa" w:w="2492"/>
          </w:tcPr>
          <w:p>
            <w:pPr>
              <w:pStyle w:val="null3"/>
              <w:jc w:val="left"/>
            </w:pPr>
            <w:r>
              <w:rPr>
                <w:rFonts w:ascii="仿宋_GB2312" w:hAnsi="仿宋_GB2312" w:cs="仿宋_GB2312" w:eastAsia="仿宋_GB2312"/>
              </w:rPr>
              <w:t>拟投入本项目服务的人员具有有害生物防制员职业资格证书：1.具有高级职业资格(三级)证书或以上的每提供1人得1.5分，最高得4.5分； 2.具有中级职业资格(四级)或以上的每提供 1 人得1分，最高得3分；3.具有初级职业资格(五级)或以上的每提供1人得0.5分，最高得2.5分。个人持有不同等级证书的按最高等级计分，不得累计得分，本项满分10分。 证明材料：提供以上人员的有害生物防制员职业资格证书及2026年1月至今在本单位购买的任意连续三个月社保缴纳证明材料，且附上在技能人才评价证书全国联网查询系统（http://zscx.osta.org.cn/）输入有害生物防制员职业资格证书信息后的查询截图。所提供的证明材料均加盖单位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492"/>
          </w:tcPr>
          <w:p>
            <w:pPr>
              <w:pStyle w:val="null3"/>
              <w:jc w:val="left"/>
            </w:pPr>
            <w:r>
              <w:rPr>
                <w:rFonts w:ascii="仿宋_GB2312" w:hAnsi="仿宋_GB2312" w:cs="仿宋_GB2312" w:eastAsia="仿宋_GB2312"/>
              </w:rPr>
              <w:t>供应商具有县级（含）以上的有害生物防制或病媒生物防制行业协会颁发的有害生物防制服务机构资质等级证书：A级（或甲级）得6分；B级（或乙级）得4分；C级（或丙级）得2分。 证明材料：提供在有效期内的证书扫描件加盖单位公章，否则不得分。采购人会向发证机构核查中标人证书。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设备实力</w:t>
            </w:r>
          </w:p>
        </w:tc>
        <w:tc>
          <w:tcPr>
            <w:tcW w:type="dxa" w:w="2492"/>
          </w:tcPr>
          <w:p>
            <w:pPr>
              <w:pStyle w:val="null3"/>
              <w:jc w:val="left"/>
            </w:pPr>
            <w:r>
              <w:rPr>
                <w:rFonts w:ascii="仿宋_GB2312" w:hAnsi="仿宋_GB2312" w:cs="仿宋_GB2312" w:eastAsia="仿宋_GB2312"/>
              </w:rPr>
              <w:t>1.提供3台电动超低容量喷雾器的，得1分；每增加1台加1分，最高得3分；不足3台不得分。 2.提供3台背负式蓄电池超低容量喷雾机的，得1分；增加1台加1分，最高得3分；不足3台不得分。 3.提供5台热烟雾机的，得1分，每增加1台加1分，最高得3分；不足5台不得分。 4.提供1台车载式超低容量喷雾机得3分，没有不得分。 5.提供1台手推式常量喷雾器得3分，没有不得分。 证明材料：提供器械一览表（包括器械名称、型号、数量）、设备的图片、发票扫描件加盖公章。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HNZX-2026-028</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育才生态区2026-2029年病媒生物防制</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1(育才生态区2026-2029年病媒生物防制)</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C99000000-其他服务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1920000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详见附件：磋商保证金缴纳证明材料</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详见附件：无不良信用承诺书</w:t>
      </w:r>
    </w:p>
    <w:p>
      <w:pPr>
        <w:pStyle w:val="null3"/>
        <w:ind w:firstLine="960"/>
        <w:jc w:val="left"/>
      </w:pPr>
      <w:r>
        <w:rPr>
          <w:rFonts w:ascii="仿宋_GB2312" w:hAnsi="仿宋_GB2312" w:cs="仿宋_GB2312" w:eastAsia="仿宋_GB2312"/>
        </w:rPr>
        <w:t>详见附件：特定资格要求材料</w:t>
      </w:r>
    </w:p>
    <w:p>
      <w:pPr>
        <w:pStyle w:val="null3"/>
        <w:ind w:firstLine="960"/>
        <w:jc w:val="left"/>
      </w:pPr>
      <w:r>
        <w:rPr>
          <w:rFonts w:ascii="仿宋_GB2312" w:hAnsi="仿宋_GB2312" w:cs="仿宋_GB2312" w:eastAsia="仿宋_GB2312"/>
        </w:rPr>
        <w:t>详见附件：技术评审方案</w:t>
      </w:r>
    </w:p>
    <w:p>
      <w:pPr>
        <w:pStyle w:val="null3"/>
        <w:ind w:firstLine="960"/>
        <w:jc w:val="left"/>
      </w:pPr>
      <w:r>
        <w:rPr>
          <w:rFonts w:ascii="仿宋_GB2312" w:hAnsi="仿宋_GB2312" w:cs="仿宋_GB2312" w:eastAsia="仿宋_GB2312"/>
        </w:rPr>
        <w:t>详见附件：投标函</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