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08F6D">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建总康桥里有害生物防治服务</w:t>
      </w:r>
      <w:r>
        <w:rPr>
          <w:rFonts w:hint="eastAsia" w:ascii="方正小标宋简体" w:hAnsi="方正小标宋简体" w:eastAsia="方正小标宋简体" w:cs="方正小标宋简体"/>
          <w:sz w:val="32"/>
          <w:szCs w:val="32"/>
        </w:rPr>
        <w:t>合同</w:t>
      </w:r>
    </w:p>
    <w:p w14:paraId="031CDEF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甲方（采购方）：________________（以下简称“甲方”）</w:t>
      </w:r>
    </w:p>
    <w:p w14:paraId="61C4B44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乙方（服务方）：________________（以下简称“乙方”）</w:t>
      </w:r>
    </w:p>
    <w:p w14:paraId="5F57AF2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为创造洁净、安全的</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环境，保障甲方运营与活动的顺利开展，甲方委托乙方为</w:t>
      </w:r>
      <w:r>
        <w:rPr>
          <w:rFonts w:hint="eastAsia" w:ascii="仿宋_GB2312" w:hAnsi="仿宋_GB2312" w:eastAsia="仿宋_GB2312" w:cs="仿宋_GB2312"/>
          <w:sz w:val="28"/>
          <w:szCs w:val="28"/>
          <w:lang w:eastAsia="zh-CN"/>
        </w:rPr>
        <w:t>建总康桥里</w:t>
      </w:r>
      <w:r>
        <w:rPr>
          <w:rFonts w:hint="eastAsia" w:ascii="仿宋_GB2312" w:hAnsi="仿宋_GB2312" w:eastAsia="仿宋_GB2312" w:cs="仿宋_GB2312"/>
          <w:sz w:val="28"/>
          <w:szCs w:val="28"/>
        </w:rPr>
        <w:t>提供日常消杀服务。经双方友好协商，依据《中华人民共和国民法典》及相关法律法规，达成如下合同条款，以资共同遵守。</w:t>
      </w:r>
    </w:p>
    <w:p w14:paraId="70692FF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一、项目概况与服务期限</w:t>
      </w:r>
    </w:p>
    <w:p w14:paraId="49FB464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项目概况： 服务区域为</w:t>
      </w:r>
      <w:r>
        <w:rPr>
          <w:rFonts w:hint="eastAsia" w:ascii="仿宋_GB2312" w:hAnsi="仿宋_GB2312" w:eastAsia="仿宋_GB2312" w:cs="仿宋_GB2312"/>
          <w:sz w:val="28"/>
          <w:szCs w:val="28"/>
          <w:lang w:eastAsia="zh-CN"/>
        </w:rPr>
        <w:t>建总康桥里</w:t>
      </w:r>
      <w:r>
        <w:rPr>
          <w:rFonts w:hint="eastAsia" w:ascii="仿宋_GB2312" w:hAnsi="仿宋_GB2312" w:eastAsia="仿宋_GB2312" w:cs="仿宋_GB2312"/>
          <w:sz w:val="28"/>
          <w:szCs w:val="28"/>
        </w:rPr>
        <w:t>，本项目消杀防治总面积为26162.42㎡，其中地上公共区域面积为6581.92㎡，地下停车场面积为19580.50㎡。服务范围涵盖但不限于：公共区域、外围广场、设备房、男女洗手间、消防通道、办公区、外围道路、外围绿化区、污水井、下水道、污水沟、垃圾房、机房及电梯井等。</w:t>
      </w:r>
    </w:p>
    <w:p w14:paraId="600B848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服务期限： ____年，自____年__月__日起至____年__月__日止。</w:t>
      </w:r>
    </w:p>
    <w:p w14:paraId="797A221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若甲方因乙方服务质量未达标而提前终止合同，本合同自甲方书面通知送达乙方之日终止，双方按乙方实际提供服务的次数结算费用，甲方无需承担其他额外责任。</w:t>
      </w:r>
    </w:p>
    <w:p w14:paraId="285CA5D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二、服务范围与内容</w:t>
      </w:r>
    </w:p>
    <w:p w14:paraId="7E52128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乙方为甲方提供以下消杀服务，甲方有权根据项目实际情况调整服务内容，乙方须按甲方要求执行：</w:t>
      </w:r>
    </w:p>
    <w:p w14:paraId="7FCB3EB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“四害”消杀服务： 针对</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内办公区、公共区域开展鼠、蚊、蝇、蟑螂消杀作业，频次如下：</w:t>
      </w:r>
    </w:p>
    <w:p w14:paraId="7061BAA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灭鼠、蟑螂、蚊蝇：按季节规定频次开展灭蟑螂、蚊蝇消杀（5—10月每月2次，11—次年4月每月1次），同期每月穿插灭鼠投药1次并跟进2次效果检查。；</w:t>
      </w:r>
    </w:p>
    <w:p w14:paraId="08AC767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烟雾消杀：每2个月实施1次。</w:t>
      </w:r>
    </w:p>
    <w:p w14:paraId="0DB5271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配合保障工作： 配合甲方完成重大活动、迎检任务、防疫演练、节假日专项检查等保障工作，提供应急消杀支持。</w:t>
      </w:r>
    </w:p>
    <w:p w14:paraId="2918BEB4">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（3）消杀作业时间按甲方要求执行，优先避开</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运营高峰时段。</w:t>
      </w:r>
    </w:p>
    <w:p w14:paraId="570E21B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服务次数：暂估48次，最终按实结算。</w:t>
      </w:r>
    </w:p>
    <w:p w14:paraId="5795450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三、服务标准与技术要求</w:t>
      </w:r>
    </w:p>
    <w:p w14:paraId="1A17BD2B">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（一）人员配置要求</w:t>
      </w:r>
    </w:p>
    <w:p w14:paraId="2315B40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乙方须指定1名专职服务人员作为项目对接负责人，全程负责本项目日常协调与现场作业管理。该负责人及主要作业人员须持有病媒生物防治职业资格证。</w:t>
      </w:r>
    </w:p>
    <w:p w14:paraId="4BFC10CD">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每次消杀作业人员不少于2人，作业时须做好安全防护及现场提示。</w:t>
      </w:r>
    </w:p>
    <w:p w14:paraId="0A8D296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乙方应严格落实安全生产及防中毒措施，定期对服务人员进行安全操作培训。</w:t>
      </w:r>
    </w:p>
    <w:p w14:paraId="1E0E0A9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作业期间，服务人员须按甲方要求统一着装，佩戴统一工作牌上岗。</w:t>
      </w:r>
    </w:p>
    <w:p w14:paraId="015FC4D8">
      <w:pPr>
        <w:rPr>
          <w:rFonts w:hint="eastAsia" w:ascii="仿宋_GB2312" w:hAnsi="仿宋_GB2312" w:eastAsia="仿宋_GB2312" w:cs="仿宋_GB2312"/>
          <w:sz w:val="28"/>
          <w:szCs w:val="28"/>
        </w:rPr>
      </w:pPr>
    </w:p>
    <w:p w14:paraId="2361BA8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（二）服务标准</w:t>
      </w:r>
    </w:p>
    <w:p w14:paraId="4FC8008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常规服务频次： 每月常规服务以合同约定服务内容为准，具体消杀时间由甲乙双方协商确定。公共区域每月实施1—2次全面检查及综合处理（含滞留喷洒、空间喷雾、投饵等作业方式）。</w:t>
      </w:r>
    </w:p>
    <w:p w14:paraId="1357A3B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外围鼠控诱饵站： 乙方须在建筑外围设置鼠控诱饵站，并于每月常规服务中（1—2次/月）定期更换诱饵，同步做好更换记录。</w:t>
      </w:r>
    </w:p>
    <w:p w14:paraId="6B3C9064">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除虫日志制度： 乙方应在项目现场建立除虫日志制度，便于甲方工作人员及时发现、反馈并协调处理虫害问题。</w:t>
      </w:r>
    </w:p>
    <w:p w14:paraId="7F32AF5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书面整改建议： 每次常规服务过程中，乙方须对服务区域进行全面检查，针对建筑结构、环境卫生等虫害孳生因素进行详细记录并提出书面整改建议。</w:t>
      </w:r>
    </w:p>
    <w:p w14:paraId="7F2AE524">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用药安全责任： 乙方在投放药物时应合理选择施药点位，充分考虑对人、畜的安全性，避免引发安全事故或纠纷。若因乙方作业不当导致人员或禽畜出现中毒或过敏反应，经具有资质的检测机构核实确与所用药品相关的，乙方承担由此产生的一切责任及损失。</w:t>
      </w:r>
    </w:p>
    <w:p w14:paraId="65A1AF3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（三）相关资质及设备要求</w:t>
      </w:r>
    </w:p>
    <w:p w14:paraId="72B6D96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乙方所使用的杀虫剂须符合国家标准关于杀虫剂使用目录的规定，并向甲方提供完整的药品清单及“三证”资料（农药登记证或农药临时登记证、农药生产许可证或农药生产批准证、农药企业标准证）。</w:t>
      </w:r>
    </w:p>
    <w:p w14:paraId="186060D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乙方须向甲方预留不少于3份所使用的杀虫剂样品，以备查验。</w:t>
      </w:r>
    </w:p>
    <w:p w14:paraId="6E6C638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乙方使用的卫生杀虫剂须符合国家卫生杀虫剂安全使用准则，具体要求如下（包含但不限于以下品类）：</w:t>
      </w:r>
    </w:p>
    <w:p w14:paraId="1DD5A1E2">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 总有效成分含量≥12%右旋苯醚氰菊酯复配乳油；</w:t>
      </w:r>
    </w:p>
    <w:p w14:paraId="5115409A">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 总有效成分含量≥10%氯氟醚复配可湿性粉剂；</w:t>
      </w:r>
    </w:p>
    <w:p w14:paraId="2147BD9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 总有效成分含量≥6%甲氧苄氯菊酯复配微乳剂或水乳剂；</w:t>
      </w:r>
    </w:p>
    <w:p w14:paraId="0D06577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 总有效成分含量≥4%四氟醚或氯氟醚复配水乳剂；</w:t>
      </w:r>
    </w:p>
    <w:p w14:paraId="6CF3F7F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⑤ 严禁使用假药、劣药，如因药品质量问题造成甲方损失，乙方承担全部责任。</w:t>
      </w:r>
    </w:p>
    <w:p w14:paraId="17F8DFE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（四）验收与考核</w:t>
      </w:r>
    </w:p>
    <w:p w14:paraId="6394991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质量标准： 服务质量须达到全国爱卫会印发的《灭鼠、蚊、蝇、蟑螂标准》及福州市爱卫办的相关规定。</w:t>
      </w:r>
    </w:p>
    <w:p w14:paraId="72D25BE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服务报告： 每次消杀服务完成后，乙方须向甲方提交消杀服务报告，内容应涵盖本次服务范围、服务内容、服务人员、作业程序及服务达标情况等。</w:t>
      </w:r>
    </w:p>
    <w:p w14:paraId="56B5707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考核考评： 甲方在收到报告并完成现场效果核验后，于3个工作日内出具考核考评结果。如乙方消杀效果未达约定标准，应无条件进行返工或补充作业，并视情况增加服务频次及人员投入，由此产生的额外费用由乙方自行承担。</w:t>
      </w:r>
    </w:p>
    <w:p w14:paraId="05C5C45B">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季度考核： 甲方每季度对乙方消杀服务质量进行综合考核，考核结果与消杀服务费支付挂钩（具体考核细则详见附件二）。</w:t>
      </w:r>
    </w:p>
    <w:p w14:paraId="0BCDBD8A">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（五）应急响应要求</w:t>
      </w:r>
    </w:p>
    <w:p w14:paraId="44FDD41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乙方接到甲方通知后，须在2小时内响应，24小时内到达现场处置虫害突发事件；重大活动保障须按甲方要求提前完成消杀作业，确保活动期间</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环境达标。</w:t>
      </w:r>
    </w:p>
    <w:p w14:paraId="30E30234">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（六）档案管理要求</w:t>
      </w:r>
    </w:p>
    <w:p w14:paraId="17C7735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乙方须建立健全消杀服务档案，包括月度消杀记录、药品使用记录、虫情监测记录、应急处理记录等</w:t>
      </w:r>
      <w:bookmarkStart w:id="0" w:name="_GoBack"/>
      <w:bookmarkEnd w:id="0"/>
      <w:r>
        <w:rPr>
          <w:rFonts w:hint="eastAsia" w:ascii="仿宋_GB2312" w:hAnsi="仿宋_GB2312" w:eastAsia="仿宋_GB2312" w:cs="仿宋_GB2312"/>
          <w:sz w:val="28"/>
          <w:szCs w:val="28"/>
        </w:rPr>
        <w:t>，并配合甲方完成卫生主管部门的检查备案工作。</w:t>
      </w:r>
    </w:p>
    <w:p w14:paraId="3EC2DE0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四、服务费用及结算方式</w:t>
      </w:r>
    </w:p>
    <w:p w14:paraId="02CADFC3">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服务费用： 消杀服务费单次为人民币</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元（大写：</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元整），其中不含税金额</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元，税率为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%。该费用为固定包干价，</w:t>
      </w:r>
      <w:r>
        <w:rPr>
          <w:rFonts w:hint="eastAsia" w:ascii="仿宋_GB2312" w:hAnsi="仿宋_GB2312" w:eastAsia="仿宋_GB2312" w:cs="仿宋_GB2312"/>
          <w:sz w:val="28"/>
          <w:szCs w:val="28"/>
          <w:highlight w:val="none"/>
          <w:lang w:val="en-US" w:eastAsia="zh-CN"/>
        </w:rPr>
        <w:t>包含但不限于</w:t>
      </w:r>
      <w:r>
        <w:rPr>
          <w:rFonts w:hint="eastAsia" w:ascii="仿宋_GB2312" w:hAnsi="仿宋_GB2312" w:eastAsia="仿宋_GB2312" w:cs="仿宋_GB2312"/>
          <w:sz w:val="28"/>
          <w:szCs w:val="28"/>
          <w:highlight w:val="none"/>
        </w:rPr>
        <w:t>鼠、蟑、蚊、蝇基础四害治理与冷热烟雾深度熏杀作业，配套勘查、孳生地清理、设施加装、孔洞封堵、巡检复消、环境消毒及验收资料等所有费用。（具体详见附件1）。</w:t>
      </w:r>
    </w:p>
    <w:p w14:paraId="518798BF">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（2）本合同暂定</w:t>
      </w:r>
      <w:r>
        <w:rPr>
          <w:rFonts w:hint="eastAsia" w:ascii="仿宋_GB2312" w:hAnsi="仿宋_GB2312" w:eastAsia="仿宋_GB2312" w:cs="仿宋_GB2312"/>
          <w:sz w:val="28"/>
          <w:szCs w:val="28"/>
          <w:highlight w:val="none"/>
          <w:lang w:val="en-US" w:eastAsia="zh-CN"/>
        </w:rPr>
        <w:t>消杀</w:t>
      </w:r>
      <w:r>
        <w:rPr>
          <w:rFonts w:hint="eastAsia" w:ascii="仿宋_GB2312" w:hAnsi="仿宋_GB2312" w:eastAsia="仿宋_GB2312" w:cs="仿宋_GB2312"/>
          <w:sz w:val="28"/>
          <w:szCs w:val="28"/>
          <w:highlight w:val="none"/>
        </w:rPr>
        <w:t>次数为</w:t>
      </w:r>
      <w:r>
        <w:rPr>
          <w:rFonts w:hint="eastAsia" w:ascii="仿宋_GB2312" w:hAnsi="仿宋_GB2312" w:eastAsia="仿宋_GB2312" w:cs="仿宋_GB2312"/>
          <w:sz w:val="28"/>
          <w:szCs w:val="28"/>
          <w:highlight w:val="none"/>
          <w:lang w:val="en-US" w:eastAsia="zh-CN"/>
        </w:rPr>
        <w:t>48</w:t>
      </w:r>
      <w:r>
        <w:rPr>
          <w:rFonts w:hint="eastAsia" w:ascii="仿宋_GB2312" w:hAnsi="仿宋_GB2312" w:eastAsia="仿宋_GB2312" w:cs="仿宋_GB2312"/>
          <w:sz w:val="28"/>
          <w:szCs w:val="28"/>
          <w:highlight w:val="none"/>
        </w:rPr>
        <w:t>次，暂定合同总价为人民币</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元（大写：</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元整），其中不含税金额</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元，税率为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%。最终结算金额按实际</w:t>
      </w:r>
      <w:r>
        <w:rPr>
          <w:rFonts w:hint="eastAsia" w:ascii="仿宋_GB2312" w:hAnsi="仿宋_GB2312" w:eastAsia="仿宋_GB2312" w:cs="仿宋_GB2312"/>
          <w:sz w:val="28"/>
          <w:szCs w:val="28"/>
          <w:highlight w:val="none"/>
          <w:lang w:val="en-US" w:eastAsia="zh-CN"/>
        </w:rPr>
        <w:t>消杀</w:t>
      </w:r>
      <w:r>
        <w:rPr>
          <w:rFonts w:hint="eastAsia" w:ascii="仿宋_GB2312" w:hAnsi="仿宋_GB2312" w:eastAsia="仿宋_GB2312" w:cs="仿宋_GB2312"/>
          <w:sz w:val="28"/>
          <w:szCs w:val="28"/>
          <w:highlight w:val="none"/>
        </w:rPr>
        <w:t>次数 × 固定单价据实结算。</w:t>
      </w:r>
    </w:p>
    <w:p w14:paraId="2C0B355D">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（3）实际</w:t>
      </w:r>
      <w:r>
        <w:rPr>
          <w:rFonts w:hint="eastAsia" w:ascii="仿宋_GB2312" w:hAnsi="仿宋_GB2312" w:eastAsia="仿宋_GB2312" w:cs="仿宋_GB2312"/>
          <w:sz w:val="28"/>
          <w:szCs w:val="28"/>
          <w:highlight w:val="none"/>
          <w:lang w:val="en-US" w:eastAsia="zh-CN"/>
        </w:rPr>
        <w:t>消杀</w:t>
      </w:r>
      <w:r>
        <w:rPr>
          <w:rFonts w:hint="eastAsia" w:ascii="仿宋_GB2312" w:hAnsi="仿宋_GB2312" w:eastAsia="仿宋_GB2312" w:cs="仿宋_GB2312"/>
          <w:sz w:val="28"/>
          <w:szCs w:val="28"/>
          <w:highlight w:val="none"/>
        </w:rPr>
        <w:t>次数以双方确认的《清洗验收确认单》或甲方书面通知为准。</w:t>
      </w:r>
    </w:p>
    <w:p w14:paraId="2D6C01F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付款方式： 按季度据实结算。每季度结束后，乙方根据甲方季度考核结果开具等额合法有效的增值税发票，甲方在收到合规发票之日起15个工作日内，向乙方支付上季度消杀服务费用。若因乙方发票问题（如不符合税务规定）导致甲方被处罚，乙方须承担全部税款、罚款、滞纳金及前述三项总金额5%的赔偿款。</w:t>
      </w:r>
    </w:p>
    <w:p w14:paraId="1686EF2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五、双方的权利与义务</w:t>
      </w:r>
    </w:p>
    <w:p w14:paraId="1D29793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（一）甲方权利与义务</w:t>
      </w:r>
    </w:p>
    <w:p w14:paraId="58E3EB7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甲方指派专人对接乙方消杀服务工作，提供必要的作业便利条件，配合乙方开展服务；</w:t>
      </w:r>
    </w:p>
    <w:p w14:paraId="5D1CA86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甲方有权审核乙方的消杀作业方案，对不符合要求的方案提出修改意见，乙方须按甲方意见执行；</w:t>
      </w:r>
    </w:p>
    <w:p w14:paraId="30658382">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甲方有权对乙方消杀服务质量、作业人员进行监督检查，对不合格人员有权要求乙方限期调换，乙方须配合执行；</w:t>
      </w:r>
    </w:p>
    <w:p w14:paraId="6F193D7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甲方有权对乙方服务进行季度考核，考核结果与服务费支付挂钩，具体按附件二执行；</w:t>
      </w:r>
    </w:p>
    <w:p w14:paraId="0A2A62D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甲方应按本合同约定及时支付消杀服务费用；</w:t>
      </w:r>
    </w:p>
    <w:p w14:paraId="604D1C2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甲方仅对乙方服务进行监督管理，不与乙方人员建立劳动或劳务关系，不承担乙方人员的用工及安全责任。</w:t>
      </w:r>
    </w:p>
    <w:p w14:paraId="0475CE0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（二）乙方权利与义务</w:t>
      </w:r>
    </w:p>
    <w:p w14:paraId="21935A5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乙方须确保自身具备病媒生物防治服务的合法资质，作业人员均持有有效职业资格证书，资质有效期内持续有效，否则甲方有权解除合同并追究乙方违约责任；</w:t>
      </w:r>
    </w:p>
    <w:p w14:paraId="2928775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乙方须合法用工，自行承担作业人员的工资、社保、劳保福利等全部用工成本，处理用工纠纷不得影响本合同履行；</w:t>
      </w:r>
    </w:p>
    <w:p w14:paraId="03C0B31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乙方须为作业人员提供合格的安全防护设备，开展安全培训，作业过程中发生的人员安全事故，由乙方承担全部责任；造成甲方损失的，乙方须全额赔偿；</w:t>
      </w:r>
    </w:p>
    <w:p w14:paraId="2598B39D">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乙方须按本合同约定的频次、标准开展消杀作业，作业时间按甲方要求执行，不得影响</w:t>
      </w:r>
      <w:r>
        <w:rPr>
          <w:rFonts w:hint="eastAsia" w:ascii="仿宋_GB2312" w:hAnsi="仿宋_GB2312" w:eastAsia="仿宋_GB2312" w:cs="仿宋_GB2312"/>
          <w:sz w:val="28"/>
          <w:szCs w:val="28"/>
          <w:lang w:val="en-US" w:eastAsia="zh-CN"/>
        </w:rPr>
        <w:t>项目内商户</w:t>
      </w:r>
      <w:r>
        <w:rPr>
          <w:rFonts w:hint="eastAsia" w:ascii="仿宋_GB2312" w:hAnsi="仿宋_GB2312" w:eastAsia="仿宋_GB2312" w:cs="仿宋_GB2312"/>
          <w:sz w:val="28"/>
          <w:szCs w:val="28"/>
        </w:rPr>
        <w:t>正常运营；</w:t>
      </w:r>
    </w:p>
    <w:p w14:paraId="7AAEDF7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乙方使用的消杀药剂、设备须符合国家相关标准及爱卫办要求，无腐蚀性、无刺激性异味，对人体及环境安全；药剂更换须提前向甲方提交品牌、合格证、无危害性证明及样品，经甲方确认后方可使用；</w:t>
      </w:r>
    </w:p>
    <w:p w14:paraId="532C593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乙方投放鼠饵、开展消杀作业时，须设置醒目标识，标明投放日期、有效期及安全提示，避免人员误触；</w:t>
      </w:r>
    </w:p>
    <w:p w14:paraId="2FE02E0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乙方接到甲方投诉或突发事件通知后，须在2小时内响应，24小时内到现场处置；重大活动保障须按甲方要求提前完成消杀作业，确保活动期间</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环境达标；</w:t>
      </w:r>
    </w:p>
    <w:p w14:paraId="0D78369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乙方须按甲方要求建立消杀服务档案，每月提交消杀记录，配合甲方完成卫生主管部门的检查备案工作；</w:t>
      </w:r>
    </w:p>
    <w:p w14:paraId="7557DE1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乙方作业过程中须爱护甲方设施设备，因乙方原因造成设施损坏、物品丢失的，由乙方承担赔偿责任；</w:t>
      </w:r>
    </w:p>
    <w:p w14:paraId="7DEBF3A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本合同终止后3日内，乙方须完成现场清理、档案交接工作，与甲方或接管单位签署交接确认文件。</w:t>
      </w:r>
    </w:p>
    <w:p w14:paraId="60A4D8AB">
      <w:pPr>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六、违约责任</w:t>
      </w:r>
    </w:p>
    <w:p w14:paraId="45E5DC7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（一）甲方违约</w:t>
      </w:r>
    </w:p>
    <w:p w14:paraId="1A67752D">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甲方未按本合同第四条约定的期限支付服务费的，每逾期1日，应按逾期支付金额的万分之五向乙方支付违约金；逾期超过30日的，乙方有权暂停提供服务，待甲方付清欠款及违约金后恢复服务。</w:t>
      </w:r>
    </w:p>
    <w:p w14:paraId="0CFDAEE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（二）乙方违约</w:t>
      </w:r>
    </w:p>
    <w:p w14:paraId="7233F90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若乙方消杀服务不符合本合同约定标准，甲方有权要求乙方限期整改；若整改后仍未达标，甲方有权按附件二约定标准扣款。如扣款不足以弥补甲方损失，甲方有权从其他应付乙方款项中扣除，扣款以当月服务费用为限。</w:t>
      </w:r>
    </w:p>
    <w:p w14:paraId="7608751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乙方服务遭到属实投诉的，须及时整改；同一投诉事项一月内发生3次及以上的，甲方有权扣除当月服务费的3%作为违约金。</w:t>
      </w:r>
    </w:p>
    <w:p w14:paraId="379923DA">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乙方未按甲方要求更换不合格人员的，每逾期1日，按当月服务费的1%支付违约金；逾期超过5日的，甲方有权解除合同。</w:t>
      </w:r>
    </w:p>
    <w:p w14:paraId="1D42CF2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乙方出现下列情形之一的，视为严重违约，甲方有权立即解除合同，没收履约保证金（如有），并要求乙方支付相当于1个月服务费的违约金：</w:t>
      </w:r>
    </w:p>
    <w:p w14:paraId="27DDD52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（1）1个月内甲方收到乙方服务属实投诉超过3次（含）；</w:t>
      </w:r>
    </w:p>
    <w:p w14:paraId="6A425E1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（2）消杀服务存在瑕疵，导致甲方受到卫生主管部门处罚；</w:t>
      </w:r>
    </w:p>
    <w:p w14:paraId="6838D80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（3）作业过程中发生重大安全事故；</w:t>
      </w:r>
    </w:p>
    <w:p w14:paraId="3D4A1F44">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（4）未经甲方书面同意，将本合同服务整体或部分转包；</w:t>
      </w:r>
    </w:p>
    <w:p w14:paraId="5B7D6B8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（5）违反本合同其他约定，经甲方书面指出后逾期未改正；</w:t>
      </w:r>
    </w:p>
    <w:p w14:paraId="4DA05E92">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（6）无故提前终止服务。</w:t>
      </w:r>
    </w:p>
    <w:p w14:paraId="5D01B2E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乙方违约造成甲方损失的，违约金不足以弥补损失的，乙方须就差额部分予以赔偿。</w:t>
      </w:r>
    </w:p>
    <w:p w14:paraId="6A70F3E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合同终止后，乙方逾期未撤离现场的，每逾期1日，按当月服务费的3%支付滞留违约金。</w:t>
      </w:r>
    </w:p>
    <w:p w14:paraId="50895C2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甲方有权从应付乙方服务费中直接扣除乙方应承担的违约金、赔偿金。</w:t>
      </w:r>
    </w:p>
    <w:p w14:paraId="3F2F444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七、争议解决</w:t>
      </w:r>
    </w:p>
    <w:p w14:paraId="7BC4890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甲、乙双方在履行本合同过程中发生的争议，应首先友好协商解决；协商不成的，向甲方所在地有管辖权的人民法院提起诉讼。</w:t>
      </w:r>
    </w:p>
    <w:p w14:paraId="2D04AB1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八、其他约定</w:t>
      </w:r>
    </w:p>
    <w:p w14:paraId="0569143B">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本合同附件为本合同不可分割的组成部分，与本合同具有同等法律效力。</w:t>
      </w:r>
    </w:p>
    <w:p w14:paraId="5B01FB4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本合同未尽事宜，双方可另行协商并签署补充协议，补充协议与本合同具有同等法律效力。</w:t>
      </w:r>
    </w:p>
    <w:p w14:paraId="75218AE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本合同一式陆份，甲方执三份，乙方执三份，自双方法定代表人盖章（签字）并加盖公章之日起生效。</w:t>
      </w:r>
    </w:p>
    <w:p w14:paraId="47B14080">
      <w:pPr>
        <w:rPr>
          <w:rFonts w:hint="eastAsia" w:ascii="仿宋_GB2312" w:hAnsi="仿宋_GB2312" w:eastAsia="仿宋_GB2312" w:cs="仿宋_GB2312"/>
          <w:sz w:val="28"/>
          <w:szCs w:val="28"/>
        </w:rPr>
      </w:pPr>
    </w:p>
    <w:p w14:paraId="53D1DD8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______________________</w:t>
      </w:r>
    </w:p>
    <w:p w14:paraId="1952A91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法定代表人：______________</w:t>
      </w:r>
    </w:p>
    <w:p w14:paraId="2966A4A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签署日期：____年__月__日</w:t>
      </w:r>
    </w:p>
    <w:p w14:paraId="1D199F89">
      <w:pPr>
        <w:rPr>
          <w:rFonts w:hint="eastAsia" w:ascii="仿宋_GB2312" w:hAnsi="仿宋_GB2312" w:eastAsia="仿宋_GB2312" w:cs="仿宋_GB2312"/>
          <w:sz w:val="28"/>
          <w:szCs w:val="28"/>
        </w:rPr>
      </w:pPr>
    </w:p>
    <w:p w14:paraId="4E5F83B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乙方（盖章）： ______________________</w:t>
      </w:r>
    </w:p>
    <w:p w14:paraId="7AB4359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法定代表人：______________</w:t>
      </w:r>
    </w:p>
    <w:p w14:paraId="14EF2C4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签署日期：____年__月__日</w:t>
      </w:r>
    </w:p>
    <w:p w14:paraId="5A5831A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606AFE7F">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附件一</w:t>
      </w:r>
    </w:p>
    <w:p w14:paraId="13ECDCF5">
      <w:pPr>
        <w:widowControl/>
        <w:snapToGrid/>
        <w:spacing w:line="360" w:lineRule="auto"/>
        <w:jc w:val="center"/>
        <w:rPr>
          <w:rFonts w:hint="eastAsia" w:ascii="方正小标宋简体" w:hAnsi="方正小标宋简体" w:eastAsia="方正小标宋简体" w:cs="方正小标宋简体"/>
          <w:b w:val="0"/>
          <w:bCs w:val="0"/>
          <w:kern w:val="0"/>
          <w:sz w:val="28"/>
          <w:szCs w:val="28"/>
          <w:highlight w:val="none"/>
          <w:lang w:val="en-US" w:eastAsia="zh-CN" w:bidi="ar"/>
        </w:rPr>
      </w:pPr>
      <w:r>
        <w:rPr>
          <w:rFonts w:hint="eastAsia" w:ascii="方正小标宋简体" w:hAnsi="方正小标宋简体" w:eastAsia="方正小标宋简体" w:cs="方正小标宋简体"/>
          <w:b w:val="0"/>
          <w:bCs w:val="0"/>
          <w:kern w:val="0"/>
          <w:sz w:val="28"/>
          <w:szCs w:val="28"/>
          <w:highlight w:val="none"/>
          <w:lang w:bidi="ar"/>
        </w:rPr>
        <w:t xml:space="preserve">报 价 </w:t>
      </w:r>
      <w:r>
        <w:rPr>
          <w:rFonts w:hint="eastAsia" w:ascii="方正小标宋简体" w:hAnsi="方正小标宋简体" w:eastAsia="方正小标宋简体" w:cs="方正小标宋简体"/>
          <w:b w:val="0"/>
          <w:bCs w:val="0"/>
          <w:kern w:val="0"/>
          <w:sz w:val="28"/>
          <w:szCs w:val="28"/>
          <w:highlight w:val="none"/>
          <w:lang w:val="en-US" w:eastAsia="zh-CN" w:bidi="ar"/>
        </w:rPr>
        <w:t>函</w:t>
      </w:r>
    </w:p>
    <w:p w14:paraId="4FB17F61">
      <w:pPr>
        <w:widowControl/>
        <w:snapToGrid/>
        <w:spacing w:line="360" w:lineRule="auto"/>
        <w:ind w:firstLine="560" w:firstLineChars="200"/>
        <w:jc w:val="left"/>
        <w:rPr>
          <w:rFonts w:hint="eastAsia" w:ascii="仿宋_GB2312" w:hAnsi="仿宋_GB2312" w:eastAsia="仿宋_GB2312" w:cs="仿宋_GB2312"/>
          <w:b w:val="0"/>
          <w:bCs w:val="0"/>
          <w:kern w:val="0"/>
          <w:sz w:val="28"/>
          <w:szCs w:val="28"/>
          <w:highlight w:val="none"/>
          <w:lang w:bidi="ar"/>
        </w:rPr>
      </w:pPr>
      <w:r>
        <w:rPr>
          <w:rFonts w:hint="eastAsia" w:ascii="仿宋_GB2312" w:hAnsi="仿宋_GB2312" w:eastAsia="仿宋_GB2312" w:cs="仿宋_GB2312"/>
          <w:b w:val="0"/>
          <w:bCs w:val="0"/>
          <w:kern w:val="0"/>
          <w:sz w:val="28"/>
          <w:szCs w:val="28"/>
          <w:highlight w:val="none"/>
          <w:lang w:bidi="ar"/>
        </w:rPr>
        <w:t>我方已仔细阅读了</w:t>
      </w:r>
      <w:r>
        <w:rPr>
          <w:rFonts w:hint="eastAsia" w:ascii="仿宋_GB2312" w:hAnsi="仿宋_GB2312" w:eastAsia="仿宋_GB2312" w:cs="仿宋_GB2312"/>
          <w:b w:val="0"/>
          <w:bCs w:val="0"/>
          <w:kern w:val="0"/>
          <w:sz w:val="28"/>
          <w:szCs w:val="28"/>
          <w:highlight w:val="none"/>
          <w:u w:val="single"/>
          <w:lang w:eastAsia="zh-CN" w:bidi="ar"/>
        </w:rPr>
        <w:t>建总康桥里有害生物防治服务</w:t>
      </w:r>
      <w:r>
        <w:rPr>
          <w:rFonts w:hint="eastAsia" w:ascii="仿宋_GB2312" w:hAnsi="仿宋_GB2312" w:eastAsia="仿宋_GB2312" w:cs="仿宋_GB2312"/>
          <w:b w:val="0"/>
          <w:bCs w:val="0"/>
          <w:kern w:val="0"/>
          <w:sz w:val="28"/>
          <w:szCs w:val="28"/>
          <w:highlight w:val="none"/>
          <w:lang w:bidi="ar"/>
        </w:rPr>
        <w:t>询价公告的全部内容，我方完全响应公告中的技术要求，承诺有能力提供询价公告中约定的服务工作，并按合同约定履行义务。</w:t>
      </w:r>
    </w:p>
    <w:p w14:paraId="0BBE47CC">
      <w:pPr>
        <w:widowControl/>
        <w:numPr>
          <w:ilvl w:val="0"/>
          <w:numId w:val="1"/>
        </w:numPr>
        <w:snapToGrid/>
        <w:spacing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ar"/>
        </w:rPr>
      </w:pPr>
      <w:r>
        <w:rPr>
          <w:rFonts w:hint="eastAsia" w:ascii="仿宋_GB2312" w:hAnsi="仿宋_GB2312" w:eastAsia="仿宋_GB2312" w:cs="仿宋_GB2312"/>
          <w:b w:val="0"/>
          <w:bCs w:val="0"/>
          <w:kern w:val="0"/>
          <w:sz w:val="28"/>
          <w:szCs w:val="28"/>
          <w:highlight w:val="none"/>
          <w:lang w:val="en-US" w:eastAsia="zh-CN" w:bidi="ar"/>
        </w:rPr>
        <w:t>消杀服务报价</w:t>
      </w:r>
    </w:p>
    <w:tbl>
      <w:tblPr>
        <w:tblStyle w:val="9"/>
        <w:tblW w:w="9479" w:type="dxa"/>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8"/>
        <w:gridCol w:w="900"/>
        <w:gridCol w:w="1251"/>
        <w:gridCol w:w="2006"/>
        <w:gridCol w:w="863"/>
        <w:gridCol w:w="919"/>
        <w:gridCol w:w="1687"/>
        <w:gridCol w:w="1255"/>
      </w:tblGrid>
      <w:tr w14:paraId="22DE3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98" w:type="dxa"/>
            <w:vMerge w:val="restart"/>
            <w:vAlign w:val="center"/>
          </w:tcPr>
          <w:p w14:paraId="0CCA7618">
            <w:pPr>
              <w:widowControl/>
              <w:numPr>
                <w:ilvl w:val="0"/>
                <w:numId w:val="0"/>
              </w:numPr>
              <w:snapToGrid/>
              <w:spacing w:line="360" w:lineRule="auto"/>
              <w:jc w:val="center"/>
              <w:rPr>
                <w:rFonts w:hint="default" w:ascii="仿宋_GB2312" w:hAnsi="仿宋_GB2312" w:eastAsia="仿宋_GB2312" w:cs="仿宋_GB2312"/>
                <w:b w:val="0"/>
                <w:bCs w:val="0"/>
                <w:kern w:val="0"/>
                <w:sz w:val="24"/>
                <w:szCs w:val="24"/>
                <w:highlight w:val="none"/>
                <w:lang w:val="en-US" w:eastAsia="zh-CN" w:bidi="ar"/>
              </w:rPr>
            </w:pPr>
            <w:r>
              <w:rPr>
                <w:rFonts w:hint="eastAsia" w:ascii="仿宋_GB2312" w:hAnsi="仿宋_GB2312" w:eastAsia="仿宋_GB2312" w:cs="仿宋_GB2312"/>
                <w:b w:val="0"/>
                <w:bCs w:val="0"/>
                <w:kern w:val="0"/>
                <w:sz w:val="24"/>
                <w:szCs w:val="24"/>
                <w:highlight w:val="none"/>
                <w:lang w:val="en-US" w:eastAsia="zh-CN" w:bidi="ar"/>
              </w:rPr>
              <w:t>序号</w:t>
            </w:r>
          </w:p>
        </w:tc>
        <w:tc>
          <w:tcPr>
            <w:tcW w:w="900" w:type="dxa"/>
            <w:vMerge w:val="restart"/>
            <w:tcBorders>
              <w:bottom w:val="nil"/>
            </w:tcBorders>
            <w:vAlign w:val="center"/>
          </w:tcPr>
          <w:p w14:paraId="15082ED4">
            <w:pPr>
              <w:widowControl/>
              <w:numPr>
                <w:ilvl w:val="0"/>
                <w:numId w:val="0"/>
              </w:numPr>
              <w:snapToGrid/>
              <w:spacing w:line="360" w:lineRule="auto"/>
              <w:jc w:val="center"/>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项目</w:t>
            </w:r>
          </w:p>
          <w:p w14:paraId="1F318EA4">
            <w:pPr>
              <w:widowControl/>
              <w:numPr>
                <w:ilvl w:val="0"/>
                <w:numId w:val="0"/>
              </w:numPr>
              <w:snapToGrid/>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名称</w:t>
            </w:r>
          </w:p>
        </w:tc>
        <w:tc>
          <w:tcPr>
            <w:tcW w:w="3257" w:type="dxa"/>
            <w:gridSpan w:val="2"/>
            <w:vAlign w:val="center"/>
          </w:tcPr>
          <w:p w14:paraId="74E8D1ED">
            <w:pPr>
              <w:pStyle w:val="10"/>
              <w:spacing w:before="41" w:line="219" w:lineRule="auto"/>
              <w:ind w:left="581" w:firstLine="472"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服务频次</w:t>
            </w:r>
          </w:p>
        </w:tc>
        <w:tc>
          <w:tcPr>
            <w:tcW w:w="863" w:type="dxa"/>
            <w:vMerge w:val="restart"/>
            <w:vAlign w:val="center"/>
          </w:tcPr>
          <w:p w14:paraId="333E2566">
            <w:pPr>
              <w:pStyle w:val="10"/>
              <w:spacing w:before="161" w:line="219" w:lineRule="auto"/>
              <w:ind w:left="55"/>
              <w:jc w:val="center"/>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年限</w:t>
            </w:r>
          </w:p>
        </w:tc>
        <w:tc>
          <w:tcPr>
            <w:tcW w:w="919" w:type="dxa"/>
            <w:vMerge w:val="restart"/>
            <w:tcBorders>
              <w:bottom w:val="nil"/>
            </w:tcBorders>
            <w:vAlign w:val="center"/>
          </w:tcPr>
          <w:p w14:paraId="1111DF3B">
            <w:pPr>
              <w:pStyle w:val="10"/>
              <w:spacing w:before="161" w:line="219" w:lineRule="auto"/>
              <w:ind w:left="5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总次数</w:t>
            </w:r>
          </w:p>
        </w:tc>
        <w:tc>
          <w:tcPr>
            <w:tcW w:w="1687" w:type="dxa"/>
            <w:vMerge w:val="restart"/>
            <w:tcBorders>
              <w:bottom w:val="nil"/>
            </w:tcBorders>
            <w:vAlign w:val="center"/>
          </w:tcPr>
          <w:p w14:paraId="0F19E0C0">
            <w:pPr>
              <w:pStyle w:val="10"/>
              <w:spacing w:before="71" w:line="219" w:lineRule="auto"/>
              <w:jc w:val="center"/>
              <w:rPr>
                <w:rFonts w:hint="eastAsia"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rPr>
              <w:t>每次服务</w:t>
            </w:r>
            <w:r>
              <w:rPr>
                <w:rFonts w:hint="eastAsia" w:ascii="仿宋_GB2312" w:hAnsi="仿宋_GB2312" w:eastAsia="仿宋_GB2312" w:cs="仿宋_GB2312"/>
                <w:spacing w:val="-2"/>
                <w:sz w:val="24"/>
                <w:szCs w:val="24"/>
                <w:lang w:val="en-US" w:eastAsia="zh-CN"/>
              </w:rPr>
              <w:t>费用</w:t>
            </w:r>
          </w:p>
          <w:p w14:paraId="676ED229">
            <w:pPr>
              <w:pStyle w:val="10"/>
              <w:spacing w:before="71" w:line="219" w:lineRule="auto"/>
              <w:jc w:val="center"/>
              <w:rPr>
                <w:rFonts w:hint="default"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lang w:val="en-US" w:eastAsia="zh-CN"/>
              </w:rPr>
              <w:t>（元）</w:t>
            </w:r>
          </w:p>
        </w:tc>
        <w:tc>
          <w:tcPr>
            <w:tcW w:w="1255" w:type="dxa"/>
            <w:vMerge w:val="restart"/>
            <w:tcBorders>
              <w:bottom w:val="nil"/>
            </w:tcBorders>
            <w:vAlign w:val="center"/>
          </w:tcPr>
          <w:p w14:paraId="604427E9">
            <w:pPr>
              <w:pStyle w:val="10"/>
              <w:spacing w:before="71" w:line="219" w:lineRule="auto"/>
              <w:ind w:left="58"/>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w:t>
            </w:r>
          </w:p>
        </w:tc>
      </w:tr>
      <w:tr w14:paraId="0D563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98" w:type="dxa"/>
            <w:vMerge w:val="continue"/>
            <w:vAlign w:val="center"/>
          </w:tcPr>
          <w:p w14:paraId="5E4B6374">
            <w:pPr>
              <w:jc w:val="center"/>
              <w:rPr>
                <w:rFonts w:hint="eastAsia" w:ascii="仿宋_GB2312" w:hAnsi="仿宋_GB2312" w:eastAsia="仿宋_GB2312" w:cs="仿宋_GB2312"/>
                <w:sz w:val="24"/>
                <w:szCs w:val="24"/>
              </w:rPr>
            </w:pPr>
          </w:p>
        </w:tc>
        <w:tc>
          <w:tcPr>
            <w:tcW w:w="900" w:type="dxa"/>
            <w:vMerge w:val="continue"/>
            <w:tcBorders>
              <w:top w:val="nil"/>
            </w:tcBorders>
            <w:vAlign w:val="center"/>
          </w:tcPr>
          <w:p w14:paraId="15B5B5B6">
            <w:pPr>
              <w:jc w:val="center"/>
              <w:rPr>
                <w:rFonts w:hint="eastAsia" w:ascii="仿宋_GB2312" w:hAnsi="仿宋_GB2312" w:eastAsia="仿宋_GB2312" w:cs="仿宋_GB2312"/>
                <w:sz w:val="24"/>
                <w:szCs w:val="24"/>
              </w:rPr>
            </w:pPr>
          </w:p>
        </w:tc>
        <w:tc>
          <w:tcPr>
            <w:tcW w:w="1251" w:type="dxa"/>
            <w:vAlign w:val="center"/>
          </w:tcPr>
          <w:p w14:paraId="159698E4">
            <w:pPr>
              <w:pStyle w:val="10"/>
              <w:spacing w:before="37" w:line="219" w:lineRule="auto"/>
              <w:ind w:left="131"/>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5-10月</w:t>
            </w:r>
          </w:p>
        </w:tc>
        <w:tc>
          <w:tcPr>
            <w:tcW w:w="2006" w:type="dxa"/>
            <w:vAlign w:val="center"/>
          </w:tcPr>
          <w:p w14:paraId="1BBC4EFA">
            <w:pPr>
              <w:pStyle w:val="10"/>
              <w:spacing w:before="37" w:line="219" w:lineRule="auto"/>
              <w:ind w:left="7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11月-次年4月</w:t>
            </w:r>
          </w:p>
        </w:tc>
        <w:tc>
          <w:tcPr>
            <w:tcW w:w="863" w:type="dxa"/>
            <w:vMerge w:val="continue"/>
            <w:vAlign w:val="center"/>
          </w:tcPr>
          <w:p w14:paraId="33F3E00C">
            <w:pPr>
              <w:jc w:val="center"/>
              <w:rPr>
                <w:rFonts w:hint="eastAsia" w:ascii="仿宋_GB2312" w:hAnsi="仿宋_GB2312" w:eastAsia="仿宋_GB2312" w:cs="仿宋_GB2312"/>
                <w:sz w:val="24"/>
                <w:szCs w:val="24"/>
              </w:rPr>
            </w:pPr>
          </w:p>
        </w:tc>
        <w:tc>
          <w:tcPr>
            <w:tcW w:w="919" w:type="dxa"/>
            <w:vMerge w:val="continue"/>
            <w:tcBorders>
              <w:top w:val="nil"/>
            </w:tcBorders>
            <w:vAlign w:val="center"/>
          </w:tcPr>
          <w:p w14:paraId="4D757877">
            <w:pPr>
              <w:jc w:val="center"/>
              <w:rPr>
                <w:rFonts w:hint="eastAsia" w:ascii="仿宋_GB2312" w:hAnsi="仿宋_GB2312" w:eastAsia="仿宋_GB2312" w:cs="仿宋_GB2312"/>
                <w:sz w:val="24"/>
                <w:szCs w:val="24"/>
              </w:rPr>
            </w:pPr>
          </w:p>
        </w:tc>
        <w:tc>
          <w:tcPr>
            <w:tcW w:w="1687" w:type="dxa"/>
            <w:vMerge w:val="continue"/>
            <w:tcBorders>
              <w:top w:val="nil"/>
            </w:tcBorders>
            <w:vAlign w:val="center"/>
          </w:tcPr>
          <w:p w14:paraId="4EC14300">
            <w:pPr>
              <w:jc w:val="center"/>
              <w:rPr>
                <w:rFonts w:hint="eastAsia" w:ascii="仿宋_GB2312" w:hAnsi="仿宋_GB2312" w:eastAsia="仿宋_GB2312" w:cs="仿宋_GB2312"/>
                <w:sz w:val="24"/>
                <w:szCs w:val="24"/>
              </w:rPr>
            </w:pPr>
          </w:p>
        </w:tc>
        <w:tc>
          <w:tcPr>
            <w:tcW w:w="1255" w:type="dxa"/>
            <w:vMerge w:val="continue"/>
            <w:tcBorders>
              <w:top w:val="nil"/>
            </w:tcBorders>
            <w:vAlign w:val="center"/>
          </w:tcPr>
          <w:p w14:paraId="1982AB7E">
            <w:pPr>
              <w:jc w:val="center"/>
              <w:rPr>
                <w:rFonts w:hint="eastAsia" w:ascii="仿宋_GB2312" w:hAnsi="仿宋_GB2312" w:eastAsia="仿宋_GB2312" w:cs="仿宋_GB2312"/>
                <w:sz w:val="24"/>
                <w:szCs w:val="24"/>
              </w:rPr>
            </w:pPr>
          </w:p>
        </w:tc>
      </w:tr>
      <w:tr w14:paraId="6D707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8" w:type="dxa"/>
            <w:vAlign w:val="center"/>
          </w:tcPr>
          <w:p w14:paraId="4B80D025">
            <w:pPr>
              <w:pStyle w:val="10"/>
              <w:tabs>
                <w:tab w:val="left" w:pos="103"/>
              </w:tabs>
              <w:spacing w:before="17" w:line="213" w:lineRule="auto"/>
              <w:ind w:left="24" w:right="189"/>
              <w:jc w:val="center"/>
              <w:rPr>
                <w:rFonts w:hint="eastAsia"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lang w:val="en-US" w:eastAsia="zh-CN"/>
              </w:rPr>
              <w:t>1</w:t>
            </w:r>
          </w:p>
        </w:tc>
        <w:tc>
          <w:tcPr>
            <w:tcW w:w="900" w:type="dxa"/>
            <w:vAlign w:val="center"/>
          </w:tcPr>
          <w:p w14:paraId="21945F7D">
            <w:pPr>
              <w:pStyle w:val="10"/>
              <w:tabs>
                <w:tab w:val="left" w:pos="103"/>
              </w:tabs>
              <w:spacing w:before="17" w:line="213" w:lineRule="auto"/>
              <w:ind w:left="24" w:right="189"/>
              <w:jc w:val="center"/>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四害</w:t>
            </w:r>
          </w:p>
          <w:p w14:paraId="2A7A02EF">
            <w:pPr>
              <w:pStyle w:val="10"/>
              <w:tabs>
                <w:tab w:val="left" w:pos="103"/>
              </w:tabs>
              <w:spacing w:before="17" w:line="213" w:lineRule="auto"/>
              <w:ind w:left="24" w:right="18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消杀</w:t>
            </w:r>
          </w:p>
        </w:tc>
        <w:tc>
          <w:tcPr>
            <w:tcW w:w="1251" w:type="dxa"/>
            <w:vAlign w:val="center"/>
          </w:tcPr>
          <w:p w14:paraId="6EBDAC49">
            <w:pPr>
              <w:pStyle w:val="10"/>
              <w:spacing w:before="198" w:line="219"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2次</w:t>
            </w:r>
          </w:p>
        </w:tc>
        <w:tc>
          <w:tcPr>
            <w:tcW w:w="2006" w:type="dxa"/>
            <w:vAlign w:val="center"/>
          </w:tcPr>
          <w:p w14:paraId="0995543E">
            <w:pPr>
              <w:pStyle w:val="10"/>
              <w:spacing w:before="198" w:line="219"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1次</w:t>
            </w:r>
          </w:p>
        </w:tc>
        <w:tc>
          <w:tcPr>
            <w:tcW w:w="863" w:type="dxa"/>
            <w:vAlign w:val="center"/>
          </w:tcPr>
          <w:p w14:paraId="35D305A3">
            <w:pPr>
              <w:pStyle w:val="10"/>
              <w:spacing w:before="198" w:line="219" w:lineRule="auto"/>
              <w:ind w:left="125"/>
              <w:jc w:val="center"/>
              <w:rPr>
                <w:rFonts w:hint="default" w:ascii="仿宋_GB2312" w:hAnsi="仿宋_GB2312" w:eastAsia="仿宋_GB2312" w:cs="仿宋_GB2312"/>
                <w:spacing w:val="1"/>
                <w:sz w:val="24"/>
                <w:szCs w:val="24"/>
                <w:lang w:val="en-US" w:eastAsia="zh-CN"/>
              </w:rPr>
            </w:pPr>
            <w:r>
              <w:rPr>
                <w:rFonts w:hint="eastAsia" w:ascii="仿宋_GB2312" w:hAnsi="仿宋_GB2312" w:eastAsia="仿宋_GB2312" w:cs="仿宋_GB2312"/>
                <w:spacing w:val="1"/>
                <w:sz w:val="24"/>
                <w:szCs w:val="24"/>
                <w:lang w:val="en-US" w:eastAsia="zh-CN"/>
              </w:rPr>
              <w:t>2年</w:t>
            </w:r>
          </w:p>
        </w:tc>
        <w:tc>
          <w:tcPr>
            <w:tcW w:w="919" w:type="dxa"/>
            <w:vAlign w:val="center"/>
          </w:tcPr>
          <w:p w14:paraId="0F20EB44">
            <w:pPr>
              <w:pStyle w:val="10"/>
              <w:spacing w:before="198" w:line="219" w:lineRule="auto"/>
              <w:ind w:left="12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36</w:t>
            </w:r>
            <w:r>
              <w:rPr>
                <w:rFonts w:hint="eastAsia" w:ascii="仿宋_GB2312" w:hAnsi="仿宋_GB2312" w:eastAsia="仿宋_GB2312" w:cs="仿宋_GB2312"/>
                <w:spacing w:val="1"/>
                <w:sz w:val="24"/>
                <w:szCs w:val="24"/>
              </w:rPr>
              <w:t>次</w:t>
            </w:r>
          </w:p>
        </w:tc>
        <w:tc>
          <w:tcPr>
            <w:tcW w:w="1687" w:type="dxa"/>
            <w:vAlign w:val="center"/>
          </w:tcPr>
          <w:p w14:paraId="0599157F">
            <w:pPr>
              <w:pStyle w:val="10"/>
              <w:spacing w:before="21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lang w:val="en-US" w:eastAsia="zh-CN"/>
              </w:rPr>
              <w:t>最高限价</w:t>
            </w:r>
            <w:r>
              <w:rPr>
                <w:rFonts w:hint="eastAsia" w:ascii="仿宋_GB2312" w:hAnsi="仿宋_GB2312" w:eastAsia="仿宋_GB2312" w:cs="仿宋_GB2312"/>
                <w:spacing w:val="-2"/>
                <w:sz w:val="24"/>
                <w:szCs w:val="24"/>
              </w:rPr>
              <w:t>560</w:t>
            </w:r>
          </w:p>
        </w:tc>
        <w:tc>
          <w:tcPr>
            <w:tcW w:w="1255" w:type="dxa"/>
            <w:vAlign w:val="center"/>
          </w:tcPr>
          <w:p w14:paraId="0328EA4A">
            <w:pPr>
              <w:pStyle w:val="10"/>
              <w:spacing w:before="212"/>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税率   %</w:t>
            </w:r>
          </w:p>
        </w:tc>
      </w:tr>
      <w:tr w14:paraId="6D431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598" w:type="dxa"/>
            <w:vAlign w:val="center"/>
          </w:tcPr>
          <w:p w14:paraId="61233DAD">
            <w:pPr>
              <w:pStyle w:val="10"/>
              <w:tabs>
                <w:tab w:val="left" w:pos="103"/>
              </w:tabs>
              <w:spacing w:before="49" w:line="224" w:lineRule="auto"/>
              <w:ind w:left="24" w:right="190"/>
              <w:jc w:val="center"/>
              <w:rPr>
                <w:rFonts w:hint="eastAsia"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lang w:val="en-US" w:eastAsia="zh-CN"/>
              </w:rPr>
              <w:t>2</w:t>
            </w:r>
          </w:p>
        </w:tc>
        <w:tc>
          <w:tcPr>
            <w:tcW w:w="900" w:type="dxa"/>
            <w:vAlign w:val="center"/>
          </w:tcPr>
          <w:p w14:paraId="37C267F5">
            <w:pPr>
              <w:pStyle w:val="10"/>
              <w:tabs>
                <w:tab w:val="left" w:pos="103"/>
              </w:tabs>
              <w:spacing w:before="49" w:line="224" w:lineRule="auto"/>
              <w:ind w:left="24" w:right="190"/>
              <w:jc w:val="center"/>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烟雾</w:t>
            </w:r>
          </w:p>
          <w:p w14:paraId="3528A2D5">
            <w:pPr>
              <w:pStyle w:val="10"/>
              <w:tabs>
                <w:tab w:val="left" w:pos="103"/>
              </w:tabs>
              <w:spacing w:before="49" w:line="224" w:lineRule="auto"/>
              <w:ind w:left="24" w:right="19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消杀</w:t>
            </w:r>
          </w:p>
        </w:tc>
        <w:tc>
          <w:tcPr>
            <w:tcW w:w="3257" w:type="dxa"/>
            <w:gridSpan w:val="2"/>
            <w:vAlign w:val="center"/>
          </w:tcPr>
          <w:p w14:paraId="6C02A679">
            <w:pPr>
              <w:pStyle w:val="10"/>
              <w:spacing w:before="72" w:line="265" w:lineRule="auto"/>
              <w:ind w:left="11" w:firstLine="4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2、3月施工一次；4、5月</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8"/>
                <w:sz w:val="24"/>
                <w:szCs w:val="24"/>
              </w:rPr>
              <w:t>施工一次、6、7月份施工一</w:t>
            </w:r>
            <w:r>
              <w:rPr>
                <w:rFonts w:hint="eastAsia" w:ascii="仿宋_GB2312" w:hAnsi="仿宋_GB2312" w:eastAsia="仿宋_GB2312" w:cs="仿宋_GB2312"/>
                <w:spacing w:val="-13"/>
                <w:sz w:val="24"/>
                <w:szCs w:val="24"/>
              </w:rPr>
              <w:t>次；8、9月份施工一次；10、</w:t>
            </w:r>
            <w:r>
              <w:rPr>
                <w:rFonts w:hint="eastAsia" w:ascii="仿宋_GB2312" w:hAnsi="仿宋_GB2312" w:eastAsia="仿宋_GB2312" w:cs="仿宋_GB2312"/>
                <w:spacing w:val="-1"/>
                <w:sz w:val="24"/>
                <w:szCs w:val="24"/>
              </w:rPr>
              <w:t>11月份施工一次</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12月份施工一次</w:t>
            </w:r>
          </w:p>
        </w:tc>
        <w:tc>
          <w:tcPr>
            <w:tcW w:w="863" w:type="dxa"/>
            <w:vAlign w:val="center"/>
          </w:tcPr>
          <w:p w14:paraId="6906B214">
            <w:pPr>
              <w:pStyle w:val="10"/>
              <w:spacing w:before="49" w:line="219" w:lineRule="auto"/>
              <w:ind w:left="166"/>
              <w:jc w:val="center"/>
              <w:rPr>
                <w:rFonts w:hint="default"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lang w:val="en-US" w:eastAsia="zh-CN"/>
              </w:rPr>
              <w:t>2年</w:t>
            </w:r>
          </w:p>
        </w:tc>
        <w:tc>
          <w:tcPr>
            <w:tcW w:w="919" w:type="dxa"/>
            <w:vAlign w:val="center"/>
          </w:tcPr>
          <w:p w14:paraId="063CA8BB">
            <w:pPr>
              <w:pStyle w:val="10"/>
              <w:spacing w:before="49" w:line="219" w:lineRule="auto"/>
              <w:ind w:left="166"/>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lang w:val="en-US" w:eastAsia="zh-CN"/>
              </w:rPr>
              <w:t>12</w:t>
            </w:r>
            <w:r>
              <w:rPr>
                <w:rFonts w:hint="eastAsia" w:ascii="仿宋_GB2312" w:hAnsi="仿宋_GB2312" w:eastAsia="仿宋_GB2312" w:cs="仿宋_GB2312"/>
                <w:spacing w:val="-2"/>
                <w:sz w:val="24"/>
                <w:szCs w:val="24"/>
              </w:rPr>
              <w:t>次</w:t>
            </w:r>
          </w:p>
        </w:tc>
        <w:tc>
          <w:tcPr>
            <w:tcW w:w="1687" w:type="dxa"/>
            <w:vAlign w:val="center"/>
          </w:tcPr>
          <w:p w14:paraId="5C210600">
            <w:pPr>
              <w:pStyle w:val="10"/>
              <w:spacing w:before="4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lang w:val="en-US" w:eastAsia="zh-CN"/>
              </w:rPr>
              <w:t>最高限价</w:t>
            </w:r>
            <w:r>
              <w:rPr>
                <w:rFonts w:hint="eastAsia" w:ascii="仿宋_GB2312" w:hAnsi="仿宋_GB2312" w:eastAsia="仿宋_GB2312" w:cs="仿宋_GB2312"/>
                <w:spacing w:val="-2"/>
                <w:sz w:val="24"/>
                <w:szCs w:val="24"/>
              </w:rPr>
              <w:t>560</w:t>
            </w:r>
          </w:p>
        </w:tc>
        <w:tc>
          <w:tcPr>
            <w:tcW w:w="1255" w:type="dxa"/>
            <w:vAlign w:val="center"/>
          </w:tcPr>
          <w:p w14:paraId="0204CC8D">
            <w:pPr>
              <w:pStyle w:val="10"/>
              <w:spacing w:before="4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税率   %</w:t>
            </w:r>
          </w:p>
        </w:tc>
      </w:tr>
      <w:tr w14:paraId="0513C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9479" w:type="dxa"/>
            <w:gridSpan w:val="8"/>
            <w:vAlign w:val="center"/>
          </w:tcPr>
          <w:p w14:paraId="2D10E238">
            <w:pPr>
              <w:numPr>
                <w:ilvl w:val="0"/>
                <w:numId w:val="0"/>
              </w:numPr>
              <w:jc w:val="left"/>
              <w:rPr>
                <w:rFonts w:hint="eastAsia" w:ascii="仿宋_GB2312" w:hAnsi="楷体" w:eastAsia="仿宋_GB2312" w:cs="仿宋"/>
                <w:sz w:val="24"/>
                <w:szCs w:val="24"/>
                <w:highlight w:val="none"/>
                <w:lang w:val="en-US" w:eastAsia="zh-CN"/>
              </w:rPr>
            </w:pPr>
            <w:r>
              <w:rPr>
                <w:rFonts w:hint="eastAsia" w:ascii="仿宋_GB2312" w:hAnsi="楷体" w:eastAsia="仿宋_GB2312" w:cs="仿宋"/>
                <w:sz w:val="24"/>
                <w:szCs w:val="24"/>
                <w:highlight w:val="none"/>
                <w:lang w:val="en-US" w:eastAsia="zh-CN"/>
              </w:rPr>
              <w:t>备注：</w:t>
            </w:r>
          </w:p>
          <w:p w14:paraId="0FEBF75C">
            <w:pPr>
              <w:numPr>
                <w:ilvl w:val="0"/>
                <w:numId w:val="0"/>
              </w:numPr>
              <w:ind w:left="199" w:leftChars="95" w:firstLine="480" w:firstLineChars="200"/>
              <w:jc w:val="left"/>
              <w:rPr>
                <w:rFonts w:hint="eastAsia" w:ascii="仿宋_GB2312" w:hAnsi="仿宋_GB2312" w:eastAsia="仿宋_GB2312" w:cs="仿宋_GB2312"/>
                <w:sz w:val="24"/>
                <w:szCs w:val="24"/>
                <w:lang w:val="en-US" w:eastAsia="zh-CN"/>
              </w:rPr>
            </w:pPr>
            <w:r>
              <w:rPr>
                <w:rFonts w:hint="eastAsia" w:ascii="仿宋_GB2312" w:hAnsi="楷体" w:eastAsia="仿宋_GB2312" w:cs="仿宋"/>
                <w:sz w:val="24"/>
                <w:szCs w:val="24"/>
                <w:highlight w:val="none"/>
                <w:lang w:val="en-US" w:eastAsia="zh-CN"/>
              </w:rPr>
              <w:t>价格为含税价，</w:t>
            </w:r>
            <w:r>
              <w:rPr>
                <w:rFonts w:hint="eastAsia" w:ascii="仿宋_GB2312" w:hAnsi="楷体" w:eastAsia="仿宋_GB2312" w:cs="仿宋"/>
                <w:sz w:val="24"/>
                <w:szCs w:val="24"/>
                <w:highlight w:val="none"/>
              </w:rPr>
              <w:t>包含鼠、蟑、蚊、蝇基础四害治理与冷热烟雾深度熏杀作业，配套勘查、孳生地清理、设施加装、孔洞封堵、巡检复消、环境消毒及验收资料等所有费用</w:t>
            </w:r>
            <w:r>
              <w:rPr>
                <w:rFonts w:hint="eastAsia" w:ascii="仿宋_GB2312" w:hAnsi="楷体" w:eastAsia="仿宋_GB2312" w:cs="仿宋"/>
                <w:sz w:val="24"/>
                <w:szCs w:val="24"/>
                <w:highlight w:val="none"/>
                <w:lang w:val="en-US" w:eastAsia="zh-CN"/>
              </w:rPr>
              <w:t>。</w:t>
            </w:r>
          </w:p>
        </w:tc>
      </w:tr>
    </w:tbl>
    <w:p w14:paraId="2D179847">
      <w:pPr>
        <w:pStyle w:val="6"/>
        <w:widowControl/>
        <w:spacing w:line="360" w:lineRule="auto"/>
        <w:ind w:left="0" w:leftChars="0" w:firstLine="560" w:firstLineChars="200"/>
        <w:jc w:val="left"/>
        <w:textAlignment w:val="top"/>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报价单位（盖章）：</w:t>
      </w:r>
    </w:p>
    <w:p w14:paraId="56BFF344">
      <w:pPr>
        <w:pStyle w:val="6"/>
        <w:spacing w:line="360" w:lineRule="auto"/>
        <w:ind w:left="0" w:leftChars="0" w:firstLine="560" w:firstLineChars="200"/>
        <w:rPr>
          <w:rFonts w:hint="eastAsia" w:ascii="仿宋_GB2312" w:hAnsi="仿宋_GB2312" w:eastAsia="仿宋_GB2312" w:cs="仿宋_GB2312"/>
          <w:b w:val="0"/>
          <w:bCs w:val="0"/>
          <w:kern w:val="0"/>
          <w:sz w:val="28"/>
          <w:szCs w:val="28"/>
          <w:highlight w:val="none"/>
          <w:lang w:bidi="ar"/>
        </w:rPr>
      </w:pPr>
      <w:r>
        <w:rPr>
          <w:rFonts w:hint="eastAsia" w:ascii="仿宋_GB2312" w:hAnsi="仿宋_GB2312" w:eastAsia="仿宋_GB2312" w:cs="仿宋_GB2312"/>
          <w:b w:val="0"/>
          <w:bCs w:val="0"/>
          <w:kern w:val="0"/>
          <w:sz w:val="28"/>
          <w:szCs w:val="28"/>
          <w:highlight w:val="none"/>
          <w:lang w:bidi="ar"/>
        </w:rPr>
        <w:t>联系人：</w:t>
      </w:r>
    </w:p>
    <w:p w14:paraId="6A5AADD8">
      <w:pPr>
        <w:pStyle w:val="6"/>
        <w:spacing w:line="360" w:lineRule="auto"/>
        <w:ind w:left="0" w:leftChars="0" w:firstLine="560" w:firstLineChars="200"/>
        <w:rPr>
          <w:rFonts w:hint="eastAsia" w:ascii="仿宋_GB2312" w:hAnsi="仿宋_GB2312" w:eastAsia="仿宋_GB2312" w:cs="仿宋_GB2312"/>
          <w:b w:val="0"/>
          <w:bCs w:val="0"/>
          <w:kern w:val="0"/>
          <w:sz w:val="28"/>
          <w:szCs w:val="28"/>
          <w:highlight w:val="none"/>
          <w:lang w:bidi="ar"/>
        </w:rPr>
      </w:pPr>
      <w:r>
        <w:rPr>
          <w:rFonts w:hint="eastAsia" w:ascii="仿宋_GB2312" w:hAnsi="仿宋_GB2312" w:eastAsia="仿宋_GB2312" w:cs="仿宋_GB2312"/>
          <w:b w:val="0"/>
          <w:bCs w:val="0"/>
          <w:kern w:val="0"/>
          <w:sz w:val="28"/>
          <w:szCs w:val="28"/>
          <w:highlight w:val="none"/>
          <w:lang w:bidi="ar"/>
        </w:rPr>
        <w:t>联系电话：</w:t>
      </w:r>
    </w:p>
    <w:p w14:paraId="049FA806">
      <w:pPr>
        <w:snapToGrid/>
        <w:spacing w:line="240" w:lineRule="auto"/>
        <w:ind w:firstLine="560" w:firstLineChars="200"/>
        <w:rPr>
          <w:rFonts w:hint="eastAsia" w:ascii="仿宋_GB2312" w:hAnsi="仿宋_GB2312" w:eastAsia="仿宋_GB2312" w:cs="仿宋_GB2312"/>
          <w:b w:val="0"/>
          <w:bCs w:val="0"/>
          <w:kern w:val="0"/>
          <w:sz w:val="28"/>
          <w:szCs w:val="28"/>
          <w:highlight w:val="none"/>
          <w:lang w:val="en-US" w:eastAsia="zh-CN" w:bidi="ar"/>
        </w:rPr>
      </w:pPr>
      <w:r>
        <w:rPr>
          <w:rFonts w:hint="eastAsia" w:ascii="仿宋_GB2312" w:hAnsi="仿宋_GB2312" w:eastAsia="仿宋_GB2312" w:cs="仿宋_GB2312"/>
          <w:b w:val="0"/>
          <w:bCs w:val="0"/>
          <w:kern w:val="0"/>
          <w:sz w:val="28"/>
          <w:szCs w:val="28"/>
          <w:highlight w:val="none"/>
          <w:lang w:val="en-US" w:eastAsia="zh-CN" w:bidi="ar"/>
        </w:rPr>
        <w:t>日期：</w:t>
      </w:r>
    </w:p>
    <w:p w14:paraId="7235BFB0">
      <w:pPr>
        <w:snapToGrid/>
        <w:spacing w:line="240" w:lineRule="auto"/>
        <w:ind w:firstLine="0" w:firstLineChars="0"/>
        <w:rPr>
          <w:rFonts w:hint="eastAsia" w:ascii="仿宋_GB2312" w:hAnsi="仿宋_GB2312" w:eastAsia="仿宋_GB2312" w:cs="仿宋_GB2312"/>
          <w:b w:val="0"/>
          <w:bCs w:val="0"/>
          <w:kern w:val="0"/>
          <w:sz w:val="28"/>
          <w:szCs w:val="28"/>
          <w:highlight w:val="none"/>
          <w:lang w:val="en-US" w:eastAsia="zh-CN" w:bidi="ar"/>
        </w:rPr>
      </w:pPr>
      <w:r>
        <w:rPr>
          <w:rFonts w:hint="eastAsia" w:ascii="仿宋_GB2312" w:hAnsi="仿宋_GB2312" w:eastAsia="仿宋_GB2312" w:cs="仿宋_GB2312"/>
          <w:b w:val="0"/>
          <w:bCs w:val="0"/>
          <w:kern w:val="0"/>
          <w:sz w:val="28"/>
          <w:szCs w:val="28"/>
          <w:highlight w:val="none"/>
          <w:lang w:val="en-US" w:eastAsia="zh-CN" w:bidi="ar"/>
        </w:rPr>
        <w:br w:type="page"/>
      </w:r>
    </w:p>
    <w:p w14:paraId="26715FC5">
      <w:pP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附件二</w:t>
      </w:r>
    </w:p>
    <w:p w14:paraId="4E586EFA">
      <w:pPr>
        <w:pStyle w:val="11"/>
        <w:jc w:val="center"/>
        <w:rPr>
          <w:rFonts w:hint="default"/>
          <w:b/>
          <w:sz w:val="28"/>
          <w:szCs w:val="28"/>
          <w:highlight w:val="none"/>
        </w:rPr>
      </w:pPr>
      <w:r>
        <w:rPr>
          <w:rFonts w:ascii="宋体" w:hAnsi="宋体" w:eastAsia="宋体" w:cs="宋体"/>
          <w:b/>
          <w:color w:val="000000"/>
          <w:sz w:val="28"/>
          <w:szCs w:val="28"/>
          <w:highlight w:val="none"/>
        </w:rPr>
        <w:t>有害生物防治项目考核表（考核分数取整数）</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9"/>
        <w:gridCol w:w="709"/>
        <w:gridCol w:w="5137"/>
        <w:gridCol w:w="450"/>
        <w:gridCol w:w="550"/>
        <w:gridCol w:w="875"/>
      </w:tblGrid>
      <w:tr w14:paraId="5552D1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358"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7D89DB4">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sz w:val="21"/>
                <w:highlight w:val="none"/>
              </w:rPr>
              <w:t>消杀项目</w:t>
            </w:r>
          </w:p>
        </w:tc>
        <w:tc>
          <w:tcPr>
            <w:tcW w:w="513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5691754">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sz w:val="21"/>
                <w:highlight w:val="none"/>
              </w:rPr>
              <w:t>考核标准</w:t>
            </w:r>
          </w:p>
        </w:tc>
        <w:tc>
          <w:tcPr>
            <w:tcW w:w="4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AC4B36C">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sz w:val="21"/>
                <w:highlight w:val="none"/>
              </w:rPr>
              <w:t>分值</w:t>
            </w:r>
          </w:p>
        </w:tc>
        <w:tc>
          <w:tcPr>
            <w:tcW w:w="5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232008C">
            <w:pPr>
              <w:pStyle w:val="11"/>
              <w:jc w:val="center"/>
              <w:rPr>
                <w:rFonts w:hint="eastAsia" w:ascii="仿宋_GB2312" w:hAnsi="仿宋_GB2312" w:eastAsia="仿宋_GB2312" w:cs="仿宋_GB2312"/>
                <w:color w:val="000000"/>
                <w:sz w:val="21"/>
                <w:highlight w:val="none"/>
              </w:rPr>
            </w:pPr>
            <w:r>
              <w:rPr>
                <w:rFonts w:hint="eastAsia" w:ascii="仿宋_GB2312" w:hAnsi="仿宋_GB2312" w:eastAsia="仿宋_GB2312" w:cs="仿宋_GB2312"/>
                <w:color w:val="000000"/>
                <w:sz w:val="21"/>
                <w:highlight w:val="none"/>
              </w:rPr>
              <w:t>扣分</w:t>
            </w:r>
          </w:p>
        </w:tc>
        <w:tc>
          <w:tcPr>
            <w:tcW w:w="8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BB59AFC">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sz w:val="21"/>
                <w:highlight w:val="none"/>
              </w:rPr>
              <w:t>扣分情况说明</w:t>
            </w:r>
          </w:p>
        </w:tc>
      </w:tr>
      <w:tr w14:paraId="148021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135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E41C02">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sz w:val="21"/>
                <w:highlight w:val="none"/>
              </w:rPr>
              <w:t>消杀计划及实施情况</w:t>
            </w:r>
          </w:p>
        </w:tc>
        <w:tc>
          <w:tcPr>
            <w:tcW w:w="513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258B9E">
            <w:pPr>
              <w:pStyle w:val="11"/>
              <w:jc w:val="left"/>
              <w:rPr>
                <w:rFonts w:hint="eastAsia" w:ascii="仿宋_GB2312" w:hAnsi="仿宋_GB2312" w:eastAsia="仿宋_GB2312" w:cs="仿宋_GB2312"/>
                <w:sz w:val="16"/>
                <w:szCs w:val="16"/>
                <w:highlight w:val="none"/>
              </w:rPr>
            </w:pPr>
            <w:r>
              <w:rPr>
                <w:rFonts w:hint="eastAsia" w:ascii="仿宋_GB2312" w:hAnsi="仿宋_GB2312" w:eastAsia="仿宋_GB2312" w:cs="仿宋_GB2312"/>
                <w:color w:val="000000"/>
                <w:sz w:val="18"/>
                <w:szCs w:val="16"/>
                <w:highlight w:val="none"/>
              </w:rPr>
              <w:t>按要求制定本月消杀工作计划，并遵照实施；每月进行消杀次数不少于合同规定次数。</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9E684F">
            <w:pPr>
              <w:pStyle w:val="11"/>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5</w:t>
            </w:r>
          </w:p>
        </w:tc>
        <w:tc>
          <w:tcPr>
            <w:tcW w:w="5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4A4DCA">
            <w:pPr>
              <w:pStyle w:val="11"/>
              <w:jc w:val="center"/>
              <w:rPr>
                <w:rFonts w:hint="eastAsia" w:ascii="仿宋_GB2312" w:hAnsi="仿宋_GB2312" w:eastAsia="仿宋_GB2312" w:cs="仿宋_GB2312"/>
                <w:highlight w:val="none"/>
              </w:rPr>
            </w:pPr>
          </w:p>
        </w:tc>
        <w:tc>
          <w:tcPr>
            <w:tcW w:w="8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8FA2E9">
            <w:pPr>
              <w:pStyle w:val="11"/>
              <w:jc w:val="center"/>
              <w:rPr>
                <w:rFonts w:hint="eastAsia" w:ascii="仿宋_GB2312" w:hAnsi="仿宋_GB2312" w:eastAsia="仿宋_GB2312" w:cs="仿宋_GB2312"/>
                <w:highlight w:val="none"/>
              </w:rPr>
            </w:pPr>
          </w:p>
        </w:tc>
      </w:tr>
      <w:tr w14:paraId="615B05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7798CE">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sz w:val="21"/>
                <w:highlight w:val="none"/>
              </w:rPr>
              <w:t>消</w:t>
            </w:r>
          </w:p>
          <w:p w14:paraId="024AE2B6">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sz w:val="21"/>
                <w:highlight w:val="none"/>
              </w:rPr>
              <w:t>杀</w:t>
            </w:r>
          </w:p>
          <w:p w14:paraId="76118863">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sz w:val="21"/>
                <w:highlight w:val="none"/>
              </w:rPr>
              <w:t>效</w:t>
            </w:r>
          </w:p>
          <w:p w14:paraId="4CAD463C">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sz w:val="21"/>
                <w:highlight w:val="none"/>
              </w:rPr>
              <w:t>果</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AB5FFE">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sz w:val="21"/>
                <w:highlight w:val="none"/>
              </w:rPr>
              <w:t>灭鼠</w:t>
            </w:r>
          </w:p>
        </w:tc>
        <w:tc>
          <w:tcPr>
            <w:tcW w:w="513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C07C7C">
            <w:pPr>
              <w:pStyle w:val="11"/>
              <w:jc w:val="left"/>
              <w:rPr>
                <w:rFonts w:hint="eastAsia" w:ascii="仿宋_GB2312" w:hAnsi="仿宋_GB2312" w:eastAsia="仿宋_GB2312" w:cs="仿宋_GB2312"/>
                <w:sz w:val="16"/>
                <w:szCs w:val="16"/>
                <w:highlight w:val="none"/>
              </w:rPr>
            </w:pPr>
            <w:r>
              <w:rPr>
                <w:rFonts w:hint="eastAsia" w:ascii="仿宋_GB2312" w:hAnsi="仿宋_GB2312" w:eastAsia="仿宋_GB2312" w:cs="仿宋_GB2312"/>
                <w:color w:val="000000"/>
                <w:sz w:val="18"/>
                <w:szCs w:val="16"/>
                <w:highlight w:val="none"/>
              </w:rPr>
              <w:t>检查重点区域外围围墙周边、各进出口门内外两侧、天花板吊顶上方、食堂、厨房、所有可能导致老鼠进入的门窗缝隙、孔洞（&gt;0.6cm）等未有明显鼠迹。（扣分标准：每发现1处明显鼠迹扣2分，扣完为止）</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D55A39">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15</w:t>
            </w:r>
          </w:p>
        </w:tc>
        <w:tc>
          <w:tcPr>
            <w:tcW w:w="5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E148DA">
            <w:pPr>
              <w:pStyle w:val="11"/>
              <w:jc w:val="center"/>
              <w:rPr>
                <w:rFonts w:hint="eastAsia" w:ascii="仿宋_GB2312" w:hAnsi="仿宋_GB2312" w:eastAsia="仿宋_GB2312" w:cs="仿宋_GB2312"/>
                <w:highlight w:val="none"/>
              </w:rPr>
            </w:pPr>
          </w:p>
        </w:tc>
        <w:tc>
          <w:tcPr>
            <w:tcW w:w="8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618ACB9">
            <w:pPr>
              <w:pStyle w:val="11"/>
              <w:jc w:val="center"/>
              <w:rPr>
                <w:rFonts w:hint="eastAsia" w:ascii="仿宋_GB2312" w:hAnsi="仿宋_GB2312" w:eastAsia="仿宋_GB2312" w:cs="仿宋_GB2312"/>
                <w:highlight w:val="none"/>
              </w:rPr>
            </w:pPr>
          </w:p>
        </w:tc>
      </w:tr>
      <w:tr w14:paraId="0F2794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649" w:type="dxa"/>
            <w:vMerge w:val="continue"/>
            <w:tcBorders>
              <w:top w:val="nil"/>
              <w:left w:val="single" w:color="000000" w:sz="4" w:space="0"/>
              <w:bottom w:val="single" w:color="000000" w:sz="4" w:space="0"/>
              <w:right w:val="single" w:color="000000" w:sz="4" w:space="0"/>
            </w:tcBorders>
            <w:vAlign w:val="center"/>
          </w:tcPr>
          <w:p w14:paraId="4721BBA8">
            <w:pPr>
              <w:jc w:val="center"/>
              <w:rPr>
                <w:rFonts w:hint="eastAsia" w:ascii="仿宋_GB2312" w:hAnsi="仿宋_GB2312" w:eastAsia="仿宋_GB2312" w:cs="仿宋_GB2312"/>
                <w:highlight w:val="none"/>
              </w:rPr>
            </w:pP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C0E17D">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sz w:val="21"/>
                <w:highlight w:val="none"/>
              </w:rPr>
              <w:t>灭蚊</w:t>
            </w:r>
          </w:p>
        </w:tc>
        <w:tc>
          <w:tcPr>
            <w:tcW w:w="5137"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14:paraId="1F7D59BF">
            <w:pPr>
              <w:pStyle w:val="11"/>
              <w:jc w:val="left"/>
              <w:rPr>
                <w:rFonts w:hint="eastAsia" w:ascii="仿宋_GB2312" w:hAnsi="仿宋_GB2312" w:eastAsia="仿宋_GB2312" w:cs="仿宋_GB2312"/>
                <w:sz w:val="16"/>
                <w:szCs w:val="16"/>
                <w:highlight w:val="none"/>
              </w:rPr>
            </w:pPr>
            <w:r>
              <w:rPr>
                <w:rFonts w:hint="eastAsia" w:ascii="仿宋_GB2312" w:hAnsi="仿宋_GB2312" w:eastAsia="仿宋_GB2312" w:cs="仿宋_GB2312"/>
                <w:color w:val="000000"/>
                <w:sz w:val="18"/>
                <w:szCs w:val="16"/>
                <w:highlight w:val="none"/>
              </w:rPr>
              <w:t>检查食堂建筑外墙、外围绿化带，垃圾堆放处、下水道等污水极易积水的洼地，公共区域内环境；外围、下水道及车场有积水地方投放药物进行药物喷洒后无明显蚊蝇在飞及孳生。（扣分标准：每发现1处蚊、蝇幼孳生或明显成蚊、蝇扣2分，扣完为止）</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76AADA">
            <w:pPr>
              <w:pStyle w:val="11"/>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10</w:t>
            </w:r>
          </w:p>
        </w:tc>
        <w:tc>
          <w:tcPr>
            <w:tcW w:w="5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74F42E">
            <w:pPr>
              <w:pStyle w:val="11"/>
              <w:jc w:val="center"/>
              <w:rPr>
                <w:rFonts w:hint="eastAsia" w:ascii="仿宋_GB2312" w:hAnsi="仿宋_GB2312" w:eastAsia="仿宋_GB2312" w:cs="仿宋_GB2312"/>
                <w:highlight w:val="none"/>
              </w:rPr>
            </w:pPr>
          </w:p>
        </w:tc>
        <w:tc>
          <w:tcPr>
            <w:tcW w:w="8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406F7A">
            <w:pPr>
              <w:pStyle w:val="11"/>
              <w:jc w:val="center"/>
              <w:rPr>
                <w:rFonts w:hint="eastAsia" w:ascii="仿宋_GB2312" w:hAnsi="仿宋_GB2312" w:eastAsia="仿宋_GB2312" w:cs="仿宋_GB2312"/>
                <w:highlight w:val="none"/>
              </w:rPr>
            </w:pPr>
          </w:p>
        </w:tc>
      </w:tr>
      <w:tr w14:paraId="29AFFA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649" w:type="dxa"/>
            <w:vMerge w:val="continue"/>
            <w:tcBorders>
              <w:top w:val="nil"/>
              <w:left w:val="single" w:color="000000" w:sz="4" w:space="0"/>
              <w:bottom w:val="single" w:color="000000" w:sz="4" w:space="0"/>
              <w:right w:val="single" w:color="000000" w:sz="4" w:space="0"/>
            </w:tcBorders>
            <w:vAlign w:val="center"/>
          </w:tcPr>
          <w:p w14:paraId="6CC13670">
            <w:pPr>
              <w:jc w:val="center"/>
              <w:rPr>
                <w:rFonts w:hint="eastAsia" w:ascii="仿宋_GB2312" w:hAnsi="仿宋_GB2312" w:eastAsia="仿宋_GB2312" w:cs="仿宋_GB2312"/>
                <w:highlight w:val="none"/>
              </w:rPr>
            </w:pP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5DCD3A">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sz w:val="21"/>
                <w:highlight w:val="none"/>
              </w:rPr>
              <w:t>灭蝇</w:t>
            </w:r>
          </w:p>
        </w:tc>
        <w:tc>
          <w:tcPr>
            <w:tcW w:w="5137" w:type="dxa"/>
            <w:vMerge w:val="continue"/>
            <w:tcBorders>
              <w:top w:val="nil"/>
              <w:left w:val="nil"/>
              <w:bottom w:val="single" w:color="000000" w:sz="4" w:space="0"/>
              <w:right w:val="single" w:color="000000" w:sz="4" w:space="0"/>
            </w:tcBorders>
            <w:tcMar>
              <w:top w:w="0" w:type="dxa"/>
              <w:left w:w="105" w:type="dxa"/>
              <w:bottom w:w="0" w:type="dxa"/>
              <w:right w:w="105" w:type="dxa"/>
            </w:tcMar>
            <w:vAlign w:val="center"/>
          </w:tcPr>
          <w:p w14:paraId="5F9C354E">
            <w:pPr>
              <w:jc w:val="left"/>
              <w:rPr>
                <w:rFonts w:hint="eastAsia" w:ascii="仿宋_GB2312" w:hAnsi="仿宋_GB2312" w:eastAsia="仿宋_GB2312" w:cs="仿宋_GB2312"/>
                <w:sz w:val="18"/>
                <w:szCs w:val="21"/>
                <w:highlight w:val="none"/>
              </w:rPr>
            </w:pP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87DF75">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10</w:t>
            </w:r>
          </w:p>
        </w:tc>
        <w:tc>
          <w:tcPr>
            <w:tcW w:w="5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6AAD45">
            <w:pPr>
              <w:pStyle w:val="11"/>
              <w:jc w:val="center"/>
              <w:rPr>
                <w:rFonts w:hint="eastAsia" w:ascii="仿宋_GB2312" w:hAnsi="仿宋_GB2312" w:eastAsia="仿宋_GB2312" w:cs="仿宋_GB2312"/>
                <w:highlight w:val="none"/>
              </w:rPr>
            </w:pPr>
          </w:p>
        </w:tc>
        <w:tc>
          <w:tcPr>
            <w:tcW w:w="8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7A44B8">
            <w:pPr>
              <w:pStyle w:val="11"/>
              <w:jc w:val="center"/>
              <w:rPr>
                <w:rFonts w:hint="eastAsia" w:ascii="仿宋_GB2312" w:hAnsi="仿宋_GB2312" w:eastAsia="仿宋_GB2312" w:cs="仿宋_GB2312"/>
                <w:highlight w:val="none"/>
              </w:rPr>
            </w:pPr>
          </w:p>
        </w:tc>
      </w:tr>
      <w:tr w14:paraId="0501D6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111" w:hRule="atLeast"/>
        </w:trPr>
        <w:tc>
          <w:tcPr>
            <w:tcW w:w="649" w:type="dxa"/>
            <w:vMerge w:val="continue"/>
            <w:tcBorders>
              <w:top w:val="nil"/>
              <w:left w:val="single" w:color="000000" w:sz="4" w:space="0"/>
              <w:bottom w:val="single" w:color="000000" w:sz="4" w:space="0"/>
              <w:right w:val="single" w:color="000000" w:sz="4" w:space="0"/>
            </w:tcBorders>
            <w:vAlign w:val="center"/>
          </w:tcPr>
          <w:p w14:paraId="5968C806">
            <w:pPr>
              <w:jc w:val="center"/>
              <w:rPr>
                <w:rFonts w:hint="eastAsia" w:ascii="仿宋_GB2312" w:hAnsi="仿宋_GB2312" w:eastAsia="仿宋_GB2312" w:cs="仿宋_GB2312"/>
                <w:highlight w:val="none"/>
              </w:rPr>
            </w:pP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88AF47">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sz w:val="21"/>
                <w:highlight w:val="none"/>
              </w:rPr>
              <w:t>灭蟑螂</w:t>
            </w:r>
          </w:p>
        </w:tc>
        <w:tc>
          <w:tcPr>
            <w:tcW w:w="513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EA0AA1">
            <w:pPr>
              <w:pStyle w:val="11"/>
              <w:jc w:val="left"/>
              <w:rPr>
                <w:rFonts w:hint="eastAsia" w:ascii="仿宋_GB2312" w:hAnsi="仿宋_GB2312" w:eastAsia="仿宋_GB2312" w:cs="仿宋_GB2312"/>
                <w:sz w:val="16"/>
                <w:szCs w:val="16"/>
                <w:highlight w:val="none"/>
              </w:rPr>
            </w:pPr>
            <w:r>
              <w:rPr>
                <w:rFonts w:hint="eastAsia" w:ascii="仿宋_GB2312" w:hAnsi="仿宋_GB2312" w:eastAsia="仿宋_GB2312" w:cs="仿宋_GB2312"/>
                <w:color w:val="000000"/>
                <w:sz w:val="18"/>
                <w:szCs w:val="16"/>
                <w:highlight w:val="none"/>
              </w:rPr>
              <w:t>下水道热烟雾灭蟑螂服务不小于合同次数，对全院外环境（院内建筑物外围）下水道进行一次热烟雾消杀后无明显蟑螂。（扣分标准：抽查下水道井口，每发现明显蟑螂活动扣2分，扣完为止）</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4EE4DE">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10</w:t>
            </w:r>
          </w:p>
        </w:tc>
        <w:tc>
          <w:tcPr>
            <w:tcW w:w="5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4FD73E">
            <w:pPr>
              <w:pStyle w:val="11"/>
              <w:jc w:val="center"/>
              <w:rPr>
                <w:rFonts w:hint="eastAsia" w:ascii="仿宋_GB2312" w:hAnsi="仿宋_GB2312" w:eastAsia="仿宋_GB2312" w:cs="仿宋_GB2312"/>
                <w:highlight w:val="none"/>
              </w:rPr>
            </w:pPr>
          </w:p>
        </w:tc>
        <w:tc>
          <w:tcPr>
            <w:tcW w:w="8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9D4830">
            <w:pPr>
              <w:pStyle w:val="11"/>
              <w:jc w:val="center"/>
              <w:rPr>
                <w:rFonts w:hint="eastAsia" w:ascii="仿宋_GB2312" w:hAnsi="仿宋_GB2312" w:eastAsia="仿宋_GB2312" w:cs="仿宋_GB2312"/>
                <w:highlight w:val="none"/>
              </w:rPr>
            </w:pPr>
          </w:p>
        </w:tc>
      </w:tr>
      <w:tr w14:paraId="7BB450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81961A">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sz w:val="21"/>
                <w:highlight w:val="none"/>
              </w:rPr>
              <w:t>工具及药物使用情况</w:t>
            </w:r>
          </w:p>
        </w:tc>
        <w:tc>
          <w:tcPr>
            <w:tcW w:w="513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3BDFC5">
            <w:pPr>
              <w:pStyle w:val="11"/>
              <w:jc w:val="left"/>
              <w:rPr>
                <w:rFonts w:hint="eastAsia" w:ascii="仿宋_GB2312" w:hAnsi="仿宋_GB2312" w:eastAsia="仿宋_GB2312" w:cs="仿宋_GB2312"/>
                <w:sz w:val="16"/>
                <w:szCs w:val="16"/>
                <w:highlight w:val="none"/>
              </w:rPr>
            </w:pPr>
            <w:r>
              <w:rPr>
                <w:rFonts w:hint="eastAsia" w:ascii="仿宋_GB2312" w:hAnsi="仿宋_GB2312" w:eastAsia="仿宋_GB2312" w:cs="仿宋_GB2312"/>
                <w:color w:val="000000"/>
                <w:sz w:val="18"/>
                <w:szCs w:val="16"/>
                <w:highlight w:val="none"/>
              </w:rPr>
              <w:t>工具及药物使用符合要求（药品“三证”齐全、配比正确、设备正常、无违规用药）。（扣分标准：每发现1项不合规扣3分，扣完为止）</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1090AE">
            <w:pPr>
              <w:pStyle w:val="11"/>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20</w:t>
            </w:r>
          </w:p>
        </w:tc>
        <w:tc>
          <w:tcPr>
            <w:tcW w:w="5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97B376">
            <w:pPr>
              <w:pStyle w:val="11"/>
              <w:jc w:val="center"/>
              <w:rPr>
                <w:rFonts w:hint="eastAsia" w:ascii="仿宋_GB2312" w:hAnsi="仿宋_GB2312" w:eastAsia="仿宋_GB2312" w:cs="仿宋_GB2312"/>
                <w:highlight w:val="none"/>
              </w:rPr>
            </w:pPr>
          </w:p>
        </w:tc>
        <w:tc>
          <w:tcPr>
            <w:tcW w:w="8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10F29E">
            <w:pPr>
              <w:pStyle w:val="11"/>
              <w:jc w:val="center"/>
              <w:rPr>
                <w:rFonts w:hint="eastAsia" w:ascii="仿宋_GB2312" w:hAnsi="仿宋_GB2312" w:eastAsia="仿宋_GB2312" w:cs="仿宋_GB2312"/>
                <w:highlight w:val="none"/>
              </w:rPr>
            </w:pPr>
          </w:p>
        </w:tc>
      </w:tr>
      <w:tr w14:paraId="1089AB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130C7DD">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sz w:val="21"/>
                <w:highlight w:val="none"/>
              </w:rPr>
              <w:t>服务态度</w:t>
            </w:r>
          </w:p>
        </w:tc>
        <w:tc>
          <w:tcPr>
            <w:tcW w:w="5137" w:type="dxa"/>
            <w:tcBorders>
              <w:top w:val="nil"/>
              <w:left w:val="nil"/>
              <w:bottom w:val="single" w:color="000000" w:sz="4" w:space="0"/>
              <w:right w:val="single" w:color="000000" w:sz="4" w:space="0"/>
            </w:tcBorders>
            <w:tcMar>
              <w:top w:w="0" w:type="dxa"/>
              <w:left w:w="105" w:type="dxa"/>
              <w:bottom w:w="0" w:type="dxa"/>
              <w:right w:w="105" w:type="dxa"/>
            </w:tcMar>
            <w:vAlign w:val="center"/>
          </w:tcPr>
          <w:tbl>
            <w:tblPr>
              <w:tblStyle w:val="7"/>
              <w:tblW w:w="0" w:type="auto"/>
              <w:tblInd w:w="0" w:type="dxa"/>
              <w:shd w:val="clear" w:color="auto" w:fill="FFFFFF"/>
              <w:tblLayout w:type="autofit"/>
              <w:tblCellMar>
                <w:top w:w="15" w:type="dxa"/>
                <w:left w:w="15" w:type="dxa"/>
                <w:bottom w:w="15" w:type="dxa"/>
                <w:right w:w="15" w:type="dxa"/>
              </w:tblCellMar>
            </w:tblPr>
            <w:tblGrid>
              <w:gridCol w:w="4927"/>
            </w:tblGrid>
            <w:tr w14:paraId="4AEF4FEC">
              <w:tblPrEx>
                <w:shd w:val="clear" w:color="auto" w:fill="FFFFFF"/>
                <w:tblCellMar>
                  <w:top w:w="15" w:type="dxa"/>
                  <w:left w:w="15" w:type="dxa"/>
                  <w:bottom w:w="15" w:type="dxa"/>
                  <w:right w:w="15" w:type="dxa"/>
                </w:tblCellMar>
              </w:tblPrEx>
              <w:tc>
                <w:tcPr>
                  <w:tcW w:w="0" w:type="auto"/>
                  <w:shd w:val="clear" w:color="auto" w:fill="FFFFFF"/>
                  <w:tcMar>
                    <w:top w:w="100" w:type="dxa"/>
                    <w:left w:w="160" w:type="dxa"/>
                    <w:bottom w:w="100" w:type="dxa"/>
                    <w:right w:w="160" w:type="dxa"/>
                  </w:tcMar>
                  <w:vAlign w:val="center"/>
                </w:tcPr>
                <w:p w14:paraId="724F0012">
                  <w:pPr>
                    <w:widowControl/>
                    <w:jc w:val="left"/>
                    <w:rPr>
                      <w:rFonts w:hint="eastAsia" w:ascii="仿宋_GB2312" w:hAnsi="仿宋_GB2312" w:eastAsia="仿宋_GB2312" w:cs="仿宋_GB2312"/>
                      <w:color w:val="0F1115"/>
                      <w:sz w:val="13"/>
                      <w:szCs w:val="13"/>
                      <w:highlight w:val="none"/>
                    </w:rPr>
                  </w:pPr>
                  <w:r>
                    <w:rPr>
                      <w:rFonts w:hint="eastAsia" w:ascii="仿宋_GB2312" w:hAnsi="仿宋_GB2312" w:eastAsia="仿宋_GB2312" w:cs="仿宋_GB2312"/>
                      <w:color w:val="000000"/>
                      <w:kern w:val="0"/>
                      <w:sz w:val="18"/>
                      <w:szCs w:val="16"/>
                      <w:highlight w:val="none"/>
                    </w:rPr>
                    <w:t>接听电话、现场服务、服务人员均热情有礼地对待管理人员和业主客户。（扣分标准：每发生1次有效投诉服务态度问题扣2分，扣完为止）</w:t>
                  </w:r>
                </w:p>
              </w:tc>
            </w:tr>
          </w:tbl>
          <w:p w14:paraId="2630E0B9">
            <w:pPr>
              <w:pStyle w:val="11"/>
              <w:jc w:val="left"/>
              <w:rPr>
                <w:rFonts w:hint="eastAsia" w:ascii="仿宋_GB2312" w:hAnsi="仿宋_GB2312" w:eastAsia="仿宋_GB2312" w:cs="仿宋_GB2312"/>
                <w:sz w:val="16"/>
                <w:szCs w:val="16"/>
                <w:highlight w:val="none"/>
              </w:rPr>
            </w:pP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15E77E">
            <w:pPr>
              <w:pStyle w:val="11"/>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10</w:t>
            </w:r>
          </w:p>
        </w:tc>
        <w:tc>
          <w:tcPr>
            <w:tcW w:w="5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08523E">
            <w:pPr>
              <w:pStyle w:val="11"/>
              <w:jc w:val="center"/>
              <w:rPr>
                <w:rFonts w:hint="eastAsia" w:ascii="仿宋_GB2312" w:hAnsi="仿宋_GB2312" w:eastAsia="仿宋_GB2312" w:cs="仿宋_GB2312"/>
                <w:highlight w:val="none"/>
              </w:rPr>
            </w:pPr>
          </w:p>
        </w:tc>
        <w:tc>
          <w:tcPr>
            <w:tcW w:w="8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AA4D20">
            <w:pPr>
              <w:pStyle w:val="11"/>
              <w:jc w:val="center"/>
              <w:rPr>
                <w:rFonts w:hint="eastAsia" w:ascii="仿宋_GB2312" w:hAnsi="仿宋_GB2312" w:eastAsia="仿宋_GB2312" w:cs="仿宋_GB2312"/>
                <w:highlight w:val="none"/>
              </w:rPr>
            </w:pPr>
          </w:p>
        </w:tc>
      </w:tr>
      <w:tr w14:paraId="4579DD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35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3B1102">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sz w:val="21"/>
                <w:highlight w:val="none"/>
              </w:rPr>
              <w:t>投诉处理</w:t>
            </w:r>
          </w:p>
        </w:tc>
        <w:tc>
          <w:tcPr>
            <w:tcW w:w="513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AE9B8C">
            <w:pPr>
              <w:pStyle w:val="11"/>
              <w:jc w:val="left"/>
              <w:rPr>
                <w:rFonts w:hint="eastAsia" w:ascii="仿宋_GB2312" w:hAnsi="仿宋_GB2312" w:eastAsia="仿宋_GB2312" w:cs="仿宋_GB2312"/>
                <w:sz w:val="16"/>
                <w:szCs w:val="16"/>
                <w:highlight w:val="none"/>
              </w:rPr>
            </w:pPr>
            <w:r>
              <w:rPr>
                <w:rFonts w:hint="eastAsia" w:ascii="仿宋_GB2312" w:hAnsi="仿宋_GB2312" w:eastAsia="仿宋_GB2312" w:cs="仿宋_GB2312"/>
                <w:color w:val="000000"/>
                <w:sz w:val="18"/>
                <w:szCs w:val="16"/>
                <w:highlight w:val="none"/>
              </w:rPr>
              <w:t>因消杀质量不过关，造成四害影响严重的。（扣分标准：每发生1次有效质量投诉扣3分，可累计扣分，本项扣完为止）</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855664">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10</w:t>
            </w:r>
          </w:p>
        </w:tc>
        <w:tc>
          <w:tcPr>
            <w:tcW w:w="5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CDD325">
            <w:pPr>
              <w:pStyle w:val="11"/>
              <w:jc w:val="center"/>
              <w:rPr>
                <w:rFonts w:hint="eastAsia" w:ascii="仿宋_GB2312" w:hAnsi="仿宋_GB2312" w:eastAsia="仿宋_GB2312" w:cs="仿宋_GB2312"/>
                <w:highlight w:val="none"/>
              </w:rPr>
            </w:pPr>
          </w:p>
        </w:tc>
        <w:tc>
          <w:tcPr>
            <w:tcW w:w="8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9E88D1">
            <w:pPr>
              <w:pStyle w:val="11"/>
              <w:jc w:val="center"/>
              <w:rPr>
                <w:rFonts w:hint="eastAsia" w:ascii="仿宋_GB2312" w:hAnsi="仿宋_GB2312" w:eastAsia="仿宋_GB2312" w:cs="仿宋_GB2312"/>
                <w:highlight w:val="none"/>
              </w:rPr>
            </w:pPr>
          </w:p>
        </w:tc>
      </w:tr>
      <w:tr w14:paraId="77D475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8370"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6DAFD9F">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sz w:val="21"/>
                <w:highlight w:val="none"/>
              </w:rPr>
              <w:t>总得分：      分</w:t>
            </w:r>
          </w:p>
        </w:tc>
      </w:tr>
      <w:tr w14:paraId="370682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8370"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CDAD11">
            <w:pPr>
              <w:pStyle w:val="11"/>
              <w:jc w:val="left"/>
              <w:rPr>
                <w:rFonts w:hint="eastAsia" w:ascii="仿宋_GB2312" w:hAnsi="仿宋_GB2312" w:eastAsia="仿宋_GB2312" w:cs="仿宋_GB2312"/>
                <w:highlight w:val="none"/>
              </w:rPr>
            </w:pPr>
            <w:r>
              <w:rPr>
                <w:rFonts w:hint="eastAsia" w:ascii="仿宋_GB2312" w:hAnsi="仿宋_GB2312" w:eastAsia="仿宋_GB2312" w:cs="仿宋_GB2312"/>
                <w:color w:val="000000"/>
                <w:szCs w:val="18"/>
                <w:highlight w:val="none"/>
              </w:rPr>
              <w:t>备注：（1）总分100分，≥90分为良好，全额发放当月服务费；（2）89-85分，扣除10%当月服务费，在当月服务费中体现；（3）84-80分，扣除20%当月服务费，在当月服务费中体现；（4）70-79分，扣除50%当月服务费，在当月服务费中体现。（5）＜70分，扣除100%当月服务费，在当月服务费中体现。（6）累计两次月考评得分70分以下，采购人有权单方面终止合同，且中标人须赔偿采购人3个月的服务费，在新的服务公司进驻前，中标人应无条件延续原来的工作内容，在此期间所产生的服务费由中标人承担。</w:t>
            </w:r>
          </w:p>
        </w:tc>
      </w:tr>
    </w:tbl>
    <w:p w14:paraId="39645DCC">
      <w:pPr>
        <w:pStyle w:val="11"/>
        <w:jc w:val="both"/>
        <w:rPr>
          <w:rFonts w:ascii="宋体" w:hAnsi="宋体" w:eastAsia="宋体" w:cs="宋体"/>
          <w:color w:val="000000"/>
          <w:sz w:val="21"/>
          <w:highlight w:val="none"/>
        </w:rPr>
      </w:pPr>
    </w:p>
    <w:p w14:paraId="281BC170">
      <w:pPr>
        <w:pStyle w:val="11"/>
        <w:jc w:val="both"/>
        <w:rPr>
          <w:rFonts w:hint="default" w:ascii="仿宋_GB2312" w:hAnsi="仿宋_GB2312" w:eastAsia="仿宋_GB2312" w:cs="仿宋_GB2312"/>
          <w:color w:val="000000"/>
          <w:sz w:val="28"/>
          <w:szCs w:val="28"/>
          <w:highlight w:val="none"/>
          <w:lang w:val="en-US" w:eastAsia="zh-CN"/>
        </w:rPr>
      </w:pPr>
      <w:r>
        <w:rPr>
          <w:rFonts w:ascii="宋体" w:hAnsi="宋体" w:eastAsia="宋体" w:cs="宋体"/>
          <w:color w:val="000000"/>
          <w:sz w:val="21"/>
          <w:highlight w:val="none"/>
        </w:rPr>
        <w:t>时间：年  月   日             考核人：            项目负责人签字：</w:t>
      </w:r>
    </w:p>
    <w:p w14:paraId="55B38699">
      <w:pPr>
        <w:snapToGrid/>
        <w:spacing w:line="240" w:lineRule="auto"/>
        <w:ind w:firstLine="560" w:firstLineChars="200"/>
        <w:rPr>
          <w:rFonts w:hint="eastAsia" w:ascii="仿宋_GB2312" w:hAnsi="仿宋_GB2312" w:eastAsia="仿宋_GB2312" w:cs="仿宋_GB2312"/>
          <w:b w:val="0"/>
          <w:bCs w:val="0"/>
          <w:kern w:val="0"/>
          <w:sz w:val="28"/>
          <w:szCs w:val="28"/>
          <w:highlight w:val="none"/>
          <w:lang w:val="en-US" w:eastAsia="zh-CN" w:bidi="ar"/>
        </w:rPr>
      </w:pPr>
    </w:p>
    <w:p w14:paraId="71BFA58E">
      <w:pPr>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27FD5"/>
    <w:multiLevelType w:val="singleLevel"/>
    <w:tmpl w:val="A3327FD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C50CE"/>
    <w:rsid w:val="0E171147"/>
    <w:rsid w:val="299A5C75"/>
    <w:rsid w:val="2AC0008D"/>
    <w:rsid w:val="31E431A8"/>
    <w:rsid w:val="3EFF26AB"/>
    <w:rsid w:val="479C694B"/>
    <w:rsid w:val="65BA0F7A"/>
    <w:rsid w:val="66F26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Indent"/>
    <w:basedOn w:val="1"/>
    <w:next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qFormat/>
    <w:uiPriority w:val="0"/>
    <w:pPr>
      <w:tabs>
        <w:tab w:val="left" w:pos="4606"/>
      </w:tabs>
      <w:ind w:firstLine="420" w:firstLineChars="20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15"/>
      <w:szCs w:val="15"/>
      <w:lang w:val="en-US" w:eastAsia="en-US" w:bidi="ar-SA"/>
    </w:rPr>
  </w:style>
  <w:style w:type="paragraph" w:customStyle="1" w:styleId="11">
    <w:name w:val="null3"/>
    <w:autoRedefine/>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4662</Words>
  <Characters>4852</Characters>
  <Lines>0</Lines>
  <Paragraphs>0</Paragraphs>
  <TotalTime>9</TotalTime>
  <ScaleCrop>false</ScaleCrop>
  <LinksUpToDate>false</LinksUpToDate>
  <CharactersWithSpaces>4909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2026-07-14T02:31:00Z</dcterms:created>
  <dc:creator>Administrator</dc:creator>
  <cp:lastModifiedBy>滕思佳</cp:lastModifiedBy>
  <dcterms:modified xsi:type="dcterms:W3CDTF">2026-07-21T01:35:23Z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eyJoZGlkIjoiYzVkMWI3NWU0MWUwY2JkOGJjNGM0OTY4YzhkNjM4ZjciLCJ1c2VySWQiOiIxNTE0MDc3NDc1In0=</vt:lpwstr>
  </property>
  <property fmtid="{D5CDD505-2E9C-101B-9397-08002B2CF9AE}" pid="4" name="ICV">
    <vt:lpwstr>F1D04E15B3E14DBA9C5C83745F8341E1_12</vt:lpwstr>
  </property>
</Properties>
</file>