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440203-2026-00436</w:t>
      </w:r>
    </w:p>
    <w:p>
      <w:pPr>
        <w:pStyle w:val="null3"/>
        <w:jc w:val="center"/>
        <w:outlineLvl w:val="3"/>
      </w:pPr>
      <w:r>
        <w:rPr>
          <w:sz w:val="24"/>
          <w:b/>
        </w:rPr>
        <w:t>采购项目编号：</w:t>
      </w:r>
      <w:r>
        <w:rPr>
          <w:sz w:val="24"/>
          <w:b/>
        </w:rPr>
        <w:t>MZSG26ZB010</w:t>
      </w:r>
    </w:p>
    <w:p>
      <w:pPr>
        <w:pStyle w:val="null3"/>
        <w:jc w:val="center"/>
        <w:outlineLvl w:val="3"/>
      </w:pPr>
      <w:r>
        <w:rPr>
          <w:sz w:val="24"/>
          <w:b/>
        </w:rPr>
        <w:t>项目名称：</w:t>
      </w:r>
      <w:r>
        <w:rPr>
          <w:sz w:val="24"/>
          <w:b/>
        </w:rPr>
        <w:t>广东省韶关市武江区2026年中央财政林草有害生物防治项目</w:t>
      </w:r>
    </w:p>
    <w:p>
      <w:pPr>
        <w:pStyle w:val="null3"/>
        <w:jc w:val="center"/>
        <w:outlineLvl w:val="3"/>
      </w:pPr>
      <w:r>
        <w:rPr>
          <w:sz w:val="24"/>
          <w:b/>
        </w:rPr>
        <w:t>采购人：</w:t>
      </w:r>
      <w:r>
        <w:rPr>
          <w:sz w:val="24"/>
          <w:b/>
        </w:rPr>
        <w:t>韶关市武江区自然资源局</w:t>
      </w:r>
    </w:p>
    <w:p>
      <w:pPr>
        <w:pStyle w:val="null3"/>
        <w:jc w:val="center"/>
        <w:outlineLvl w:val="3"/>
      </w:pPr>
      <w:r>
        <w:rPr>
          <w:sz w:val="24"/>
          <w:b/>
        </w:rPr>
        <w:t>采购代理机构：</w:t>
      </w:r>
      <w:r>
        <w:rPr>
          <w:sz w:val="24"/>
          <w:b/>
        </w:rPr>
        <w:t>广东明正项目管理有限公司韶关分公司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广东明正项目管理有限公司韶关分公司</w:t>
      </w:r>
      <w:r>
        <w:rPr/>
        <w:t>受</w:t>
      </w:r>
      <w:r>
        <w:rPr/>
        <w:t>韶关市武江区自然资源局</w:t>
      </w:r>
      <w:r>
        <w:rPr/>
        <w:t>的委托，采用</w:t>
      </w:r>
      <w:r>
        <w:rPr/>
        <w:t>竞争性磋商</w:t>
      </w:r>
      <w:r>
        <w:rPr/>
        <w:t>方式组织采购</w:t>
      </w:r>
      <w:r>
        <w:rPr/>
        <w:t>广东省韶关市武江区2026年中央财政林草有害生物防治项目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广东省韶关市武江区2026年中央财政林草有害生物防治项目</w:t>
      </w:r>
    </w:p>
    <w:p>
      <w:pPr>
        <w:pStyle w:val="null3"/>
        <w:ind w:firstLine="480"/>
      </w:pPr>
      <w:r>
        <w:rPr/>
        <w:t>采购计划编号：</w:t>
      </w:r>
      <w:r>
        <w:rPr/>
        <w:t>440203-2026-00436</w:t>
      </w:r>
    </w:p>
    <w:p>
      <w:pPr>
        <w:pStyle w:val="null3"/>
        <w:ind w:firstLine="480"/>
      </w:pPr>
      <w:r>
        <w:rPr/>
        <w:t>采购项目编号：</w:t>
      </w:r>
      <w:r>
        <w:rPr/>
        <w:t>MZSG26ZB010</w:t>
      </w:r>
    </w:p>
    <w:p>
      <w:pPr>
        <w:pStyle w:val="null3"/>
        <w:ind w:firstLine="480"/>
      </w:pPr>
      <w:r>
        <w:rPr/>
        <w:t>采购方式：</w:t>
      </w:r>
      <w:r>
        <w:rPr/>
        <w:t>竞争性磋商</w:t>
      </w:r>
    </w:p>
    <w:p>
      <w:pPr>
        <w:pStyle w:val="null3"/>
        <w:ind w:firstLine="480"/>
      </w:pPr>
      <w:r>
        <w:rPr/>
        <w:t>预算金额：</w:t>
      </w:r>
      <w:r>
        <w:rPr/>
        <w:t>1,583,160.00</w:t>
      </w:r>
      <w:r>
        <w:rPr/>
        <w:t>元</w:t>
      </w:r>
    </w:p>
    <w:p>
      <w:pPr>
        <w:pStyle w:val="null3"/>
        <w:outlineLvl w:val="3"/>
      </w:pPr>
      <w:r>
        <w:rPr>
          <w:sz w:val="24"/>
          <w:b/>
        </w:rPr>
        <w:t>2.项目内容及需求情况（采购项目技术规格、参数及要求）</w:t>
      </w:r>
    </w:p>
    <w:p>
      <w:pPr>
        <w:pStyle w:val="null3"/>
      </w:pPr>
      <w:r>
        <w:rPr/>
        <w:t>采购包1(广东省韶关市武江区2026年中央财政林草有害生物防治项目):</w:t>
      </w:r>
    </w:p>
    <w:p>
      <w:pPr>
        <w:pStyle w:val="null3"/>
      </w:pPr>
      <w:r>
        <w:rPr/>
        <w:t>采购包预算金额：1,583,160.00元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林业有害生物防治服务</w:t>
            </w:r>
          </w:p>
        </w:tc>
        <w:tc>
          <w:tcPr>
            <w:tcW w:type="dxa" w:w="2052"/>
          </w:tcPr>
          <w:p>
            <w:pPr>
              <w:pStyle w:val="null3"/>
            </w:pPr>
            <w:r>
              <w:rPr/>
              <w:t>广东省韶关市武江区2026年中央财政林草有害生物防治项目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1,583,160.00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合同履行期限：合同签订之日起至2026年12月31日，质保期：2027年01月01日至2027年05月30日，具体以合同签订时间为准。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2）有依法缴纳税收和社会保障资金的良好记录：响应文件中提供《资格条件承诺函》。</w:t>
      </w:r>
    </w:p>
    <w:p>
      <w:pPr>
        <w:pStyle w:val="null3"/>
      </w:pPr>
      <w:r>
        <w:rPr/>
        <w:t>3）具有良好的商业信誉和健全的财务会计制度：响应文件中提供《资格条件承诺函》。</w:t>
      </w:r>
    </w:p>
    <w:p>
      <w:pPr>
        <w:pStyle w:val="null3"/>
      </w:pPr>
      <w:r>
        <w:rPr/>
        <w:t>4）履行合同所必需的设备和专业技术能力：响应文件中提供《资格条件承诺函》。</w:t>
      </w:r>
    </w:p>
    <w:p>
      <w:pPr>
        <w:pStyle w:val="null3"/>
      </w:pPr>
      <w:r>
        <w:rPr/>
        <w:t>5）参加采购活动前3年内，在经营活动中没有重大违法记录：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采购包1（广东省韶关市武江区2026年中央财政林草有害生物防治项目）：</w:t>
      </w:r>
      <w:r>
        <w:rPr/>
        <w:t>本项目属于专门面向中小企业采购，参与的供应商服务全部由符合政策要求的中小企业承接，提供《中小企业声明函》或属于监狱企业的证明材料或《残疾人福利性单位声明函》。（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采购包1（广东省韶关市武江区2026年中央财政林草有害生物防治项目）：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政府采购代理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3)供应商必须具有有效期内的林业有害生物防治组织资质丙级或以上资质。</w:t>
      </w:r>
    </w:p>
    <w:p>
      <w:pPr>
        <w:pStyle w:val="null3"/>
      </w:pPr>
      <w:r>
        <w:rPr/>
        <w:t>4)本采购包不接受联合体投标。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韶关市武江区自然资源局</w:t>
      </w:r>
    </w:p>
    <w:p>
      <w:pPr>
        <w:pStyle w:val="null3"/>
        <w:ind w:firstLine="480"/>
      </w:pPr>
      <w:r>
        <w:rPr/>
        <w:t>地址：</w:t>
      </w:r>
      <w:r>
        <w:rPr/>
        <w:t>韶关市武江区惠民南路42号</w:t>
      </w:r>
    </w:p>
    <w:p>
      <w:pPr>
        <w:pStyle w:val="null3"/>
        <w:ind w:firstLine="480"/>
      </w:pPr>
      <w:r>
        <w:rPr/>
        <w:t>联系方式：</w:t>
      </w:r>
      <w:r>
        <w:rPr/>
        <w:t>0751-6970218</w:t>
      </w:r>
    </w:p>
    <w:p>
      <w:pPr>
        <w:pStyle w:val="null3"/>
        <w:outlineLvl w:val="3"/>
      </w:pPr>
      <w:r>
        <w:rPr>
          <w:sz w:val="24"/>
          <w:b/>
        </w:rPr>
        <w:t>2.采购代理机构信息</w:t>
      </w:r>
    </w:p>
    <w:p>
      <w:pPr>
        <w:pStyle w:val="null3"/>
        <w:ind w:firstLine="480"/>
      </w:pPr>
      <w:r>
        <w:rPr/>
        <w:t>名称：</w:t>
      </w:r>
      <w:r>
        <w:rPr/>
        <w:t>广东明正项目管理有限公司韶关分公司</w:t>
      </w:r>
    </w:p>
    <w:p>
      <w:pPr>
        <w:pStyle w:val="null3"/>
        <w:ind w:firstLine="480"/>
      </w:pPr>
      <w:r>
        <w:rPr/>
        <w:t xml:space="preserve"> 地址：</w:t>
      </w:r>
      <w:r>
        <w:rPr/>
        <w:t>韶关市武江区惠民北路428号7楼</w:t>
      </w:r>
    </w:p>
    <w:p>
      <w:pPr>
        <w:pStyle w:val="null3"/>
        <w:ind w:firstLine="480"/>
      </w:pPr>
      <w:r>
        <w:rPr/>
        <w:t xml:space="preserve"> 联系方式：</w:t>
      </w:r>
      <w:r>
        <w:rPr/>
        <w:t>0751-8606998</w:t>
      </w:r>
    </w:p>
    <w:p>
      <w:pPr>
        <w:pStyle w:val="null3"/>
        <w:outlineLvl w:val="3"/>
      </w:pPr>
      <w:r>
        <w:rPr>
          <w:sz w:val="24"/>
          <w:b/>
        </w:rPr>
        <w:t xml:space="preserve"> 3.项目联系方式</w:t>
      </w:r>
    </w:p>
    <w:p>
      <w:pPr>
        <w:pStyle w:val="null3"/>
        <w:ind w:firstLine="480"/>
      </w:pPr>
      <w:r>
        <w:rPr/>
        <w:t xml:space="preserve"> 项目联系人：</w:t>
      </w:r>
      <w:r>
        <w:rPr/>
        <w:t>杨工</w:t>
      </w:r>
    </w:p>
    <w:p>
      <w:pPr>
        <w:pStyle w:val="null3"/>
        <w:ind w:firstLine="480"/>
      </w:pPr>
      <w:r>
        <w:rPr/>
        <w:t xml:space="preserve"> 电话：</w:t>
      </w:r>
      <w:r>
        <w:rPr/>
        <w:t>0751-8606998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广东明正项目管理有限公司韶关分公司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（一）项目简介</w:t>
      </w:r>
    </w:p>
    <w:p>
      <w:pPr>
        <w:pStyle w:val="null3"/>
        <w:ind w:firstLine="480"/>
        <w:jc w:val="both"/>
      </w:pPr>
      <w:r>
        <w:rPr>
          <w:sz w:val="24"/>
        </w:rPr>
        <w:t>为落实预防为主、综合治理的林草有害生物防治方针，守护森林资源安全，筑牢生态安</w:t>
      </w:r>
      <w:r>
        <w:rPr>
          <w:sz w:val="24"/>
        </w:rPr>
        <w:t>全防线，助力绿美广东生态建设，有效提升林草有害生物检疫、防治能力，韶关市申报《广东省韶关市武江区市</w:t>
      </w:r>
      <w:r>
        <w:rPr>
          <w:sz w:val="24"/>
        </w:rPr>
        <w:t>2026年中央财政林草有害生物防治项目》，并获国家林草局审核同意。</w:t>
      </w:r>
    </w:p>
    <w:p>
      <w:pPr>
        <w:pStyle w:val="null3"/>
        <w:ind w:firstLine="480"/>
        <w:jc w:val="both"/>
      </w:pPr>
      <w:r>
        <w:rPr>
          <w:sz w:val="24"/>
        </w:rPr>
        <w:t>项目总投资</w:t>
      </w:r>
      <w:r>
        <w:rPr>
          <w:sz w:val="24"/>
        </w:rPr>
        <w:t>158.3160万元，其中疫木除治98.3160万元，松树蛀干害虫防治60.0000万元</w:t>
      </w:r>
      <w:r>
        <w:rPr>
          <w:sz w:val="24"/>
        </w:rPr>
        <w:t>。</w:t>
      </w:r>
    </w:p>
    <w:p>
      <w:pPr>
        <w:pStyle w:val="null3"/>
        <w:ind w:firstLine="480"/>
        <w:jc w:val="both"/>
      </w:pPr>
      <w:r>
        <w:rPr>
          <w:sz w:val="24"/>
        </w:rPr>
        <w:t>（二）防治任务</w:t>
      </w:r>
    </w:p>
    <w:p>
      <w:pPr>
        <w:pStyle w:val="null3"/>
        <w:ind w:firstLine="480"/>
        <w:jc w:val="both"/>
      </w:pPr>
      <w:r>
        <w:rPr>
          <w:sz w:val="24"/>
        </w:rPr>
        <w:t>一是完成武江区</w:t>
      </w:r>
      <w:r>
        <w:rPr>
          <w:sz w:val="24"/>
        </w:rPr>
        <w:t>0.82万亩疫情发生小班的疫木清理；二是完成武江区1.2万亩涉及景观节点和高速沿线等区域的松树蛀干害虫防治工作。</w:t>
      </w:r>
    </w:p>
    <w:p>
      <w:pPr>
        <w:pStyle w:val="null3"/>
        <w:ind w:firstLine="480"/>
        <w:jc w:val="both"/>
      </w:pPr>
      <w:r>
        <w:rPr>
          <w:sz w:val="24"/>
        </w:rPr>
        <w:t>（三）技术依据</w:t>
      </w:r>
    </w:p>
    <w:p>
      <w:pPr>
        <w:pStyle w:val="null3"/>
        <w:ind w:firstLine="480"/>
        <w:jc w:val="both"/>
      </w:pPr>
      <w:r>
        <w:rPr>
          <w:sz w:val="24"/>
        </w:rPr>
        <w:t>（</w:t>
      </w:r>
      <w:r>
        <w:rPr>
          <w:sz w:val="24"/>
        </w:rPr>
        <w:t>1）法律法规</w:t>
      </w:r>
    </w:p>
    <w:p>
      <w:pPr>
        <w:pStyle w:val="null3"/>
        <w:ind w:firstLine="480"/>
        <w:jc w:val="both"/>
      </w:pPr>
      <w:r>
        <w:rPr>
          <w:sz w:val="24"/>
        </w:rPr>
        <w:t>1.《中华人民共和国森林法》（2020年7月1日起施行）；</w:t>
      </w:r>
    </w:p>
    <w:p>
      <w:pPr>
        <w:pStyle w:val="null3"/>
        <w:ind w:firstLine="480"/>
        <w:jc w:val="both"/>
      </w:pPr>
      <w:r>
        <w:rPr>
          <w:sz w:val="24"/>
        </w:rPr>
        <w:t>2.《中华人民共和国生物安全法》（2023年5月1日起施行）；</w:t>
      </w:r>
    </w:p>
    <w:p>
      <w:pPr>
        <w:pStyle w:val="null3"/>
        <w:ind w:firstLine="480"/>
        <w:jc w:val="both"/>
      </w:pPr>
      <w:r>
        <w:rPr>
          <w:sz w:val="24"/>
        </w:rPr>
        <w:t>3.《森林病虫害防治条例》（2026年3月20日起施行）；</w:t>
      </w:r>
    </w:p>
    <w:p>
      <w:pPr>
        <w:pStyle w:val="null3"/>
        <w:ind w:firstLine="480"/>
        <w:jc w:val="both"/>
      </w:pPr>
      <w:r>
        <w:rPr>
          <w:sz w:val="24"/>
        </w:rPr>
        <w:t>4.《广东省森林病虫害防治实施办法》（2022年）；</w:t>
      </w:r>
    </w:p>
    <w:p>
      <w:pPr>
        <w:pStyle w:val="null3"/>
        <w:ind w:firstLine="480"/>
        <w:jc w:val="both"/>
      </w:pPr>
      <w:r>
        <w:rPr>
          <w:sz w:val="24"/>
        </w:rPr>
        <w:t>5.《农药管理条例》（2022年3月29日第二次修订）。</w:t>
      </w:r>
    </w:p>
    <w:p>
      <w:pPr>
        <w:pStyle w:val="null3"/>
        <w:ind w:firstLine="480"/>
        <w:jc w:val="both"/>
      </w:pPr>
      <w:r>
        <w:rPr>
          <w:sz w:val="24"/>
        </w:rPr>
        <w:t>（</w:t>
      </w:r>
      <w:r>
        <w:rPr>
          <w:sz w:val="24"/>
        </w:rPr>
        <w:t>2）标准和规范性文件</w:t>
      </w:r>
    </w:p>
    <w:p>
      <w:pPr>
        <w:pStyle w:val="null3"/>
        <w:ind w:firstLine="480"/>
        <w:jc w:val="both"/>
      </w:pPr>
      <w:r>
        <w:rPr>
          <w:sz w:val="24"/>
        </w:rPr>
        <w:t>1.《松褐天牛防治技术规范》（LY/T 1866-2009）；</w:t>
      </w:r>
    </w:p>
    <w:p>
      <w:pPr>
        <w:pStyle w:val="null3"/>
        <w:ind w:firstLine="480"/>
        <w:jc w:val="both"/>
      </w:pPr>
      <w:r>
        <w:rPr>
          <w:sz w:val="24"/>
        </w:rPr>
        <w:t>2.《农药合理使用准则》（GB/T 8321.10-2018）；</w:t>
      </w:r>
    </w:p>
    <w:p>
      <w:pPr>
        <w:pStyle w:val="null3"/>
        <w:ind w:firstLine="480"/>
        <w:jc w:val="both"/>
      </w:pPr>
      <w:r>
        <w:rPr>
          <w:sz w:val="24"/>
        </w:rPr>
        <w:t>3.《松材线虫病防治项目计价指引》（T/GDFS 11-2022）。</w:t>
      </w:r>
    </w:p>
    <w:p>
      <w:pPr>
        <w:pStyle w:val="null3"/>
        <w:ind w:firstLine="480"/>
        <w:jc w:val="both"/>
      </w:pPr>
      <w:r>
        <w:rPr>
          <w:sz w:val="24"/>
        </w:rPr>
        <w:t>（</w:t>
      </w:r>
      <w:r>
        <w:rPr>
          <w:sz w:val="24"/>
        </w:rPr>
        <w:t>3）政策文件</w:t>
      </w:r>
    </w:p>
    <w:p>
      <w:pPr>
        <w:pStyle w:val="null3"/>
        <w:ind w:firstLine="480"/>
        <w:jc w:val="both"/>
      </w:pPr>
      <w:r>
        <w:rPr>
          <w:sz w:val="24"/>
        </w:rPr>
        <w:t>1.《国务院办公厅关于进一步加强林业有害生物防治工作的意见》（国办发〔2014〕26号）；</w:t>
      </w:r>
    </w:p>
    <w:p>
      <w:pPr>
        <w:pStyle w:val="null3"/>
        <w:ind w:firstLine="480"/>
        <w:jc w:val="both"/>
      </w:pPr>
      <w:r>
        <w:rPr>
          <w:sz w:val="24"/>
        </w:rPr>
        <w:t>2.《广东省人民政府办公厅关于进一步加强林业有害生物防治工作的通知》（粤府办明电〔2015〕166号）；</w:t>
      </w:r>
    </w:p>
    <w:p>
      <w:pPr>
        <w:pStyle w:val="null3"/>
        <w:ind w:firstLine="480"/>
        <w:jc w:val="both"/>
      </w:pPr>
      <w:r>
        <w:rPr>
          <w:sz w:val="24"/>
        </w:rPr>
        <w:t>3.国家林业和草原局关于印发《国家级林业有害生物中心测报点管理规定》的通知（林造发〔2018〕94号）；</w:t>
      </w:r>
    </w:p>
    <w:p>
      <w:pPr>
        <w:pStyle w:val="null3"/>
        <w:ind w:firstLine="480"/>
        <w:jc w:val="both"/>
      </w:pPr>
      <w:r>
        <w:rPr>
          <w:sz w:val="24"/>
        </w:rPr>
        <w:t>4.国家林业和草原局《关于重新印发〈松材线虫病疫区和疫木管理办法〉的通知》（林生规〔2023〕7号）；</w:t>
      </w:r>
    </w:p>
    <w:p>
      <w:pPr>
        <w:pStyle w:val="null3"/>
        <w:ind w:firstLine="480"/>
        <w:jc w:val="both"/>
      </w:pPr>
      <w:r>
        <w:rPr>
          <w:sz w:val="24"/>
        </w:rPr>
        <w:t>5.国家林业和草原局关于印发《松材线虫病防治技术方案（2024年版）》的通知（林生发〔2024〕78号）；</w:t>
      </w:r>
    </w:p>
    <w:p>
      <w:pPr>
        <w:pStyle w:val="null3"/>
        <w:ind w:firstLine="480"/>
        <w:jc w:val="both"/>
      </w:pPr>
      <w:r>
        <w:rPr>
          <w:sz w:val="24"/>
        </w:rPr>
        <w:t>6.国家林草局财政部《关于加强中央财政林业草原项目全流程管理的通知》（办规字〔2024〕260号）；</w:t>
      </w:r>
    </w:p>
    <w:p>
      <w:pPr>
        <w:pStyle w:val="null3"/>
        <w:ind w:firstLine="480"/>
        <w:jc w:val="both"/>
      </w:pPr>
      <w:r>
        <w:rPr>
          <w:sz w:val="24"/>
        </w:rPr>
        <w:t>7.财政部国家林草局关于印发《林业草原改革发展资金管理办法》的通知（财资环〔2025〕153号）；</w:t>
      </w:r>
    </w:p>
    <w:p>
      <w:pPr>
        <w:pStyle w:val="null3"/>
        <w:ind w:firstLine="480"/>
        <w:jc w:val="both"/>
      </w:pPr>
      <w:r>
        <w:rPr>
          <w:sz w:val="24"/>
        </w:rPr>
        <w:t>8.国家林业和草原局生物灾害防控中心关于印发《国家级林业有害生物中心测报点工作任务评价办法（试行）》的通知（防控发〔2023〕1号）；</w:t>
      </w:r>
    </w:p>
    <w:p>
      <w:pPr>
        <w:pStyle w:val="null3"/>
        <w:ind w:firstLine="480"/>
        <w:jc w:val="both"/>
      </w:pPr>
      <w:r>
        <w:rPr>
          <w:sz w:val="24"/>
        </w:rPr>
        <w:t>9.《国家林业和草原局生物灾害防控中心关于组织开展松树钻蛀类害虫系统调查的通知》（防控发〔2025〕9号）；</w:t>
      </w:r>
    </w:p>
    <w:p>
      <w:pPr>
        <w:pStyle w:val="null3"/>
        <w:ind w:firstLine="480"/>
        <w:jc w:val="both"/>
      </w:pPr>
      <w:r>
        <w:rPr>
          <w:sz w:val="24"/>
        </w:rPr>
        <w:t>10.广东省林业局办公室关于印发《广东省松材线虫病疫木除治技术等工作指引（试行）的通知》（粤林办函〔2020〕54号）；</w:t>
      </w:r>
    </w:p>
    <w:p>
      <w:pPr>
        <w:pStyle w:val="null3"/>
        <w:ind w:firstLine="480"/>
        <w:jc w:val="both"/>
      </w:pPr>
      <w:r>
        <w:rPr>
          <w:sz w:val="24"/>
        </w:rPr>
        <w:t>11.《广东省林业局办公室关于开展全省松树钻蛀类害虫系统调查的通知》（粤林办函〔2025〕45号）；</w:t>
      </w:r>
    </w:p>
    <w:p>
      <w:pPr>
        <w:pStyle w:val="null3"/>
        <w:ind w:firstLine="480"/>
        <w:jc w:val="both"/>
      </w:pPr>
      <w:r>
        <w:rPr>
          <w:sz w:val="24"/>
        </w:rPr>
        <w:t>12.广东省林业局关于印发《广东省松材线虫病综合治理技术指引》的通知（粤林函〔2025〕95号）；</w:t>
      </w:r>
    </w:p>
    <w:p>
      <w:pPr>
        <w:pStyle w:val="null3"/>
        <w:ind w:firstLine="480"/>
        <w:jc w:val="both"/>
      </w:pPr>
      <w:r>
        <w:rPr>
          <w:sz w:val="24"/>
        </w:rPr>
        <w:t>13.广东省林业局关于印发《广东省松材线虫病防治技术方案（2025年版）》的通知（粤林函〔2025〕108号）；</w:t>
      </w:r>
    </w:p>
    <w:p>
      <w:pPr>
        <w:pStyle w:val="null3"/>
        <w:ind w:firstLine="480"/>
        <w:jc w:val="both"/>
      </w:pPr>
      <w:r>
        <w:rPr>
          <w:sz w:val="24"/>
        </w:rPr>
        <w:t>14.《广东省财政厅关于提前下达2026年绿美广东六大提升行动专项资金的通知》（粤财资环〔2025〕165号）；</w:t>
      </w:r>
    </w:p>
    <w:p>
      <w:pPr>
        <w:pStyle w:val="null3"/>
        <w:ind w:firstLine="480"/>
        <w:jc w:val="both"/>
      </w:pPr>
      <w:r>
        <w:rPr>
          <w:sz w:val="24"/>
        </w:rPr>
        <w:t>15.《广东省林业局关于下达2026年度主要林业有害生物防治任务的通知》（粤林函〔2026〕76号）。</w:t>
      </w:r>
    </w:p>
    <w:p>
      <w:pPr>
        <w:pStyle w:val="null3"/>
        <w:ind w:firstLine="480"/>
        <w:jc w:val="both"/>
      </w:pPr>
      <w:r>
        <w:rPr>
          <w:sz w:val="24"/>
        </w:rPr>
        <w:t>（四）任务目标</w:t>
      </w:r>
    </w:p>
    <w:p>
      <w:pPr>
        <w:pStyle w:val="null3"/>
        <w:ind w:firstLine="480"/>
        <w:jc w:val="both"/>
      </w:pPr>
      <w:r>
        <w:rPr>
          <w:sz w:val="24"/>
        </w:rPr>
        <w:t>（</w:t>
      </w:r>
      <w:r>
        <w:rPr>
          <w:sz w:val="24"/>
        </w:rPr>
        <w:t>1）松材线虫病疫木除治</w:t>
      </w:r>
    </w:p>
    <w:p>
      <w:pPr>
        <w:pStyle w:val="null3"/>
        <w:ind w:firstLine="480"/>
        <w:jc w:val="both"/>
      </w:pPr>
      <w:r>
        <w:rPr>
          <w:sz w:val="24"/>
        </w:rPr>
        <w:t>完成</w:t>
      </w:r>
      <w:r>
        <w:rPr>
          <w:sz w:val="24"/>
        </w:rPr>
        <w:t>94个疫情发生小班的疫木除治工作，除治面积为0.82万亩。</w:t>
      </w:r>
    </w:p>
    <w:p>
      <w:pPr>
        <w:pStyle w:val="null3"/>
        <w:ind w:firstLine="480"/>
        <w:jc w:val="both"/>
      </w:pPr>
      <w:r>
        <w:rPr>
          <w:sz w:val="24"/>
        </w:rPr>
        <w:t>（</w:t>
      </w:r>
      <w:r>
        <w:rPr>
          <w:sz w:val="24"/>
        </w:rPr>
        <w:t>2）松树蛀干害虫防治</w:t>
      </w:r>
    </w:p>
    <w:p>
      <w:pPr>
        <w:pStyle w:val="null3"/>
        <w:ind w:firstLine="480"/>
        <w:jc w:val="both"/>
      </w:pPr>
      <w:r>
        <w:rPr>
          <w:sz w:val="24"/>
        </w:rPr>
        <w:t>对芙蓉山公园、韶州公园、韶关高铁站后山、乐广高速（</w:t>
      </w:r>
      <w:r>
        <w:rPr>
          <w:sz w:val="24"/>
        </w:rPr>
        <w:t>G0423）、京港澳高速(G4)、韶关北环高速(S84)等景观节点及交通干道两侧可视范围的非疫情松林小班开展枯死树除治，除治面积1.2万亩。</w:t>
      </w:r>
    </w:p>
    <w:p>
      <w:pPr>
        <w:pStyle w:val="null3"/>
        <w:ind w:firstLine="480"/>
        <w:jc w:val="both"/>
      </w:pPr>
      <w:r>
        <w:rPr>
          <w:sz w:val="24"/>
        </w:rPr>
        <w:t>（五）松材线虫病防治任务</w:t>
      </w:r>
    </w:p>
    <w:p>
      <w:pPr>
        <w:pStyle w:val="null3"/>
        <w:ind w:firstLine="480"/>
        <w:jc w:val="both"/>
      </w:pPr>
      <w:r>
        <w:rPr>
          <w:sz w:val="24"/>
        </w:rPr>
        <w:t>（</w:t>
      </w:r>
      <w:r>
        <w:rPr>
          <w:sz w:val="24"/>
        </w:rPr>
        <w:t>1）疫木清理</w:t>
      </w:r>
    </w:p>
    <w:p>
      <w:pPr>
        <w:pStyle w:val="null3"/>
        <w:ind w:firstLine="480"/>
        <w:jc w:val="both"/>
      </w:pPr>
      <w:r>
        <w:rPr>
          <w:sz w:val="24"/>
        </w:rPr>
        <w:t>清理范围为松材线虫病疫情发生小班面积</w:t>
      </w:r>
      <w:r>
        <w:rPr>
          <w:sz w:val="24"/>
        </w:rPr>
        <w:t>0.82万亩，设计94个小班，分布在重阳镇、西联镇、西河镇、龙归镇、江湾镇。</w:t>
      </w:r>
    </w:p>
    <w:p>
      <w:pPr>
        <w:pStyle w:val="null3"/>
        <w:ind w:firstLine="480"/>
        <w:jc w:val="both"/>
      </w:pPr>
      <w:r>
        <w:rPr>
          <w:sz w:val="24"/>
        </w:rPr>
        <w:t>（六）松树蛀干害虫防治任务</w:t>
      </w:r>
    </w:p>
    <w:p>
      <w:pPr>
        <w:pStyle w:val="null3"/>
        <w:ind w:firstLine="480"/>
        <w:jc w:val="both"/>
      </w:pPr>
      <w:r>
        <w:rPr>
          <w:sz w:val="24"/>
        </w:rPr>
        <w:t>对芙蓉山公园、韶州公园、韶关高铁站后山、乐广高速（</w:t>
      </w:r>
      <w:r>
        <w:rPr>
          <w:sz w:val="24"/>
        </w:rPr>
        <w:t>G0423）、京港澳高速(G4)、韶关北环高速(S84)等景观节点及交通干道两侧可视范围的非疫情松林小班开展枯死树除治（重要针对松墨天牛危害防治），防治面积1.2万亩。</w:t>
      </w:r>
    </w:p>
    <w:p>
      <w:pPr>
        <w:pStyle w:val="null3"/>
      </w:pPr>
      <w:r>
        <w:rPr/>
        <w:t>采购包1（广东省韶关市武江区2026年中央财政林草有害生物防治项目）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合同签订之日起至2026年12月31日，质保期：2027年01月01日至2027年05月30日，具体以合同签订时间为准。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1期：支付比例30%,签订合同后支付合同金额的30%</w:t>
            </w:r>
          </w:p>
          <w:p>
            <w:pPr>
              <w:pStyle w:val="null3"/>
            </w:pPr>
            <w:r>
              <w:rPr/>
              <w:t>2期：支付比例50%,完成主要交通干道两侧、景区以及发生小班范围等关键区域内的病枯死松树的清理和除害处理工作，支付合同金额的50%</w:t>
            </w:r>
          </w:p>
          <w:p>
            <w:pPr>
              <w:pStyle w:val="null3"/>
            </w:pPr>
            <w:r>
              <w:rPr/>
              <w:t>3期：支付比例20%,完成检查验收并确认合格后，支付合同金额的20%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1期：（一）检查与验收 1.甲方或甲方委托第三方监理单位对松材线虫病防治过程进行监督，并对防治效果进行检查和验收。 2.成交供应商必须按照规定工作时间、质量要求完成综合任务。 （二）验收标准 实行项目质量指导、监督、检查、验收制度，项目建设过程中，由甲方开展监督工作，项目建设完工后，由甲方按规定组织验收，验收标准依照国家相关标准、行业标准、地方标准或者其他标准、规范进行验收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投标报价应为供应商完成本项目全部内容所需费用的含税价，包括但不限于人工费、管理费、验收、检测、利润、保险等各类税费及采购合同包含的所有风险、责任等在合同实施过程中应预见或不可预见费用等。 2.在执行项目作业时，务必恪守安全文明施工的准则，确保施工全程的安全与有序。以下为需特别留意的事项。 防治施工过程安全保障： （1）野外作业，注意防摔倒、防划伤刺伤，尤其是砍伐枯死树过程中，一定要确保周围人员的安全； （2）林地草丛多有蚊虫、红火蚁、马蜂、蛇等出入，注意穿防护服，带好备用药品，行进中避免打草惊蛇，防止叮咬； （3）不得采摘野外蘑菇、果实等食用，防止毒蘑菇和喷施过农药的食物造成各类伤亡事故发生； （4）严禁在防火区吸烟，以避免火灾发生。防治施工人员不得在防火区域起明火、抽烟等，注意防止森林火灾； （5）在进行采伐作业时对于临近房屋、电线的枯死树木，必须采取套绳分段截取的方法，以防树木倒下时对房屋、电线或果树造成损害； （6）成交供应商应明确划定施工区域，并详尽阐述施工过程中将采用的技术与措施。施工期间，若遭遇任何阻碍或干扰，成交供应商应立即与相关管理部门沟通，并依其反馈与建议作出适当调整。若因成交供应商强行施工引发赔偿纠纷，所有后果将由成交供应商自行承担。 药物安全管理事项： （1）采用“统一购药、集中保管、按需发放、科学指导、正确施用”的原则进行药物安全管理，杜绝因不当用药引起的事故； （2）药物必须严格按照对应的药物使用说明书和作业设计要求使用，施药前，防治队伍提前进行专业的用药技术培训，熟悉药物使用对象和防治区域，掌握药物安全使用方法； （3）安排专人保管和分发药物，做好领药和用药登记，用剩的药物要及时回收统一保管，避免发生药物丢失事故； （4）防治人员在施药过程中必须穿安全工服，戴好专用口罩、手套，防止药物进入人体口鼻喉，对人体造成伤害； （5）不能在当地水源周围喷施药品，以免对当地水源造成污染； （6）防治人员应当严格按照农药的标签标注的使用范围、使用方法和剂量、使用技术要求和注意事项使用农药，不得扩大使用范围、加大用药剂量或者改变使用方法； （7）沾过药的桶、盆、瓢、纸、手套及清洗水等必须进行统一处理，不得随便乱放、乱扔、乱倒，防止污染水源、农田、菜地、果园等非用药区； （8）用完的药品包装瓶（袋）安排专人统一回收，防治单位必须做好药品使用及处理情况台账记录，处理方法可以集中用水清洗，并将洗后的水倒在目标有害生物分布区，严禁在溪流、池塘、水库等水源地清洗；包装瓶（袋）要集中销毁或生产企业回收处理，严禁随意乱处理。 3.现场踏勘: （1）投标前，采购人不组织现场踏勘。为确保投标的准确性和措施的可行性，供应商可自行对工程现场及周围环境进行踏勘，以便供应商获取有关编制响应文件和签署合同所需的所有资料。采购人对供应商做出的推论、理解和结论概不负责。 （2）供应商在现场勘察过程中，供应商应注意自身安全，如发生意外、财物或其他损失，不论任何原因所造成，采购人均不负责。 （3）现场勘察期间的交通、食宿由供应商自行安排，费用自理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广东省韶关市武江区2026年中央财政林草有害生物防治项目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1,583,160.00</w:t>
            </w:r>
          </w:p>
        </w:tc>
        <w:tc>
          <w:tcPr>
            <w:tcW w:type="dxa" w:w="933"/>
          </w:tcPr>
          <w:p>
            <w:pPr>
              <w:pStyle w:val="null3"/>
              <w:jc w:val="right"/>
            </w:pPr>
            <w:r>
              <w:rPr/>
              <w:t>1,583,160.00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广东省韶关市武江区2026年中央财政林草有害生物防治项目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一、松材线虫病疫木清理技术措施</w:t>
            </w:r>
          </w:p>
          <w:p>
            <w:pPr>
              <w:pStyle w:val="null3"/>
              <w:ind w:firstLine="480"/>
              <w:jc w:val="both"/>
            </w:pPr>
            <w:r>
              <w:rPr>
                <w:sz w:val="24"/>
              </w:rPr>
              <w:t>主要采取套袋消杀和变性处理的方式进行处理，具体如下：</w:t>
            </w:r>
          </w:p>
          <w:p>
            <w:pPr>
              <w:pStyle w:val="null3"/>
              <w:ind w:firstLine="480"/>
              <w:jc w:val="both"/>
            </w:pPr>
            <w:r>
              <w:rPr>
                <w:sz w:val="24"/>
              </w:rPr>
              <w:t>1.套袋消杀：适用于山高坡陡、不通道路、人迹罕至、林下草灌且丰富通行困难的区域。采用绩效承包方式，对范围内0.82万亩疫情小班发现的病枯死松树进行套袋消杀清理，具体技术措施如下：</w:t>
            </w:r>
          </w:p>
          <w:p>
            <w:pPr>
              <w:pStyle w:val="null3"/>
              <w:ind w:firstLine="480"/>
              <w:jc w:val="both"/>
            </w:pPr>
            <w:r>
              <w:rPr>
                <w:sz w:val="24"/>
              </w:rPr>
              <w:t>（</w:t>
            </w:r>
            <w:r>
              <w:rPr>
                <w:sz w:val="24"/>
              </w:rPr>
              <w:t>1）伐倒</w:t>
            </w:r>
          </w:p>
          <w:p>
            <w:pPr>
              <w:pStyle w:val="null3"/>
              <w:ind w:firstLine="480"/>
              <w:jc w:val="both"/>
            </w:pPr>
            <w:r>
              <w:rPr>
                <w:sz w:val="24"/>
              </w:rPr>
              <w:t>使用油锯等工具伐倒病死树，注意伐倒方向，尽量选择林间空隙处倒伏。可先从树干低部将树伐倒，再用油锯等贴地截短伐桩，伐桩要求不超过</w:t>
            </w:r>
            <w:r>
              <w:rPr>
                <w:sz w:val="24"/>
              </w:rPr>
              <w:t>5厘米，伐倒前先用水印相机对待伐倒树木拍照。</w:t>
            </w:r>
          </w:p>
          <w:p>
            <w:pPr>
              <w:pStyle w:val="null3"/>
              <w:ind w:firstLine="480"/>
              <w:jc w:val="both"/>
            </w:pPr>
            <w:r>
              <w:rPr>
                <w:sz w:val="24"/>
              </w:rPr>
              <w:t>（</w:t>
            </w:r>
            <w:r>
              <w:rPr>
                <w:sz w:val="24"/>
              </w:rPr>
              <w:t>2）整理</w:t>
            </w:r>
          </w:p>
          <w:p>
            <w:pPr>
              <w:pStyle w:val="null3"/>
              <w:ind w:firstLine="480"/>
              <w:jc w:val="both"/>
            </w:pPr>
            <w:r>
              <w:rPr>
                <w:sz w:val="24"/>
              </w:rPr>
              <w:t>使用油锯、砍刀等清理病死树主干和枝桠，截成小于</w:t>
            </w:r>
            <w:r>
              <w:rPr>
                <w:sz w:val="24"/>
              </w:rPr>
              <w:t>60厘米的木段，收集整理直径1厘米以上的枝桠和木段，做好装袋的准备。</w:t>
            </w:r>
          </w:p>
          <w:p>
            <w:pPr>
              <w:pStyle w:val="null3"/>
              <w:ind w:firstLine="480"/>
              <w:jc w:val="both"/>
            </w:pPr>
            <w:r>
              <w:rPr>
                <w:sz w:val="24"/>
              </w:rPr>
              <w:t>（</w:t>
            </w:r>
            <w:r>
              <w:rPr>
                <w:sz w:val="24"/>
              </w:rPr>
              <w:t>3）装袋</w:t>
            </w:r>
          </w:p>
          <w:p>
            <w:pPr>
              <w:pStyle w:val="null3"/>
              <w:ind w:firstLine="480"/>
              <w:jc w:val="both"/>
            </w:pPr>
            <w:r>
              <w:rPr>
                <w:sz w:val="24"/>
              </w:rPr>
              <w:t>判断树干和枝桠体积，选择（或裁剪成）合适的消杀袋（厚度</w:t>
            </w:r>
            <w:r>
              <w:rPr>
                <w:sz w:val="24"/>
              </w:rPr>
              <w:t>≥0.1毫米（10丝）），选择（或清理出）地势较平、地下没有尖锐物的区域作为堆放区，将消杀袋平铺放置，依次将木段、枝桠放入袋中。装袋过程中要小心轻放，防止消杀袋弄破漏气。</w:t>
            </w:r>
          </w:p>
          <w:p>
            <w:pPr>
              <w:pStyle w:val="null3"/>
              <w:ind w:firstLine="480"/>
              <w:jc w:val="both"/>
            </w:pPr>
            <w:r>
              <w:rPr>
                <w:sz w:val="24"/>
              </w:rPr>
              <w:t>（</w:t>
            </w:r>
            <w:r>
              <w:rPr>
                <w:sz w:val="24"/>
              </w:rPr>
              <w:t>4）检查密封性</w:t>
            </w:r>
          </w:p>
          <w:p>
            <w:pPr>
              <w:pStyle w:val="null3"/>
              <w:ind w:firstLine="480"/>
              <w:jc w:val="both"/>
            </w:pPr>
            <w:r>
              <w:rPr>
                <w:sz w:val="24"/>
              </w:rPr>
              <w:t>木段和枝桠装好后要仔细检查消杀袋密封性，发现有孔洞，要用胶带或其它粘合剂补好。桶形消杀袋用尼龙带双扎封两端口后检查密封性（或先封闭一端后扭紧另一端封口检查密封性），长方体形消杀袋扭紧上端封口后检查密封性。发现不密封或密封性较差的，要查明原因，堵塞孔洞。</w:t>
            </w:r>
          </w:p>
          <w:p>
            <w:pPr>
              <w:pStyle w:val="null3"/>
              <w:ind w:firstLine="480"/>
              <w:jc w:val="both"/>
            </w:pPr>
            <w:r>
              <w:rPr>
                <w:sz w:val="24"/>
              </w:rPr>
              <w:t>（</w:t>
            </w:r>
            <w:r>
              <w:rPr>
                <w:sz w:val="24"/>
              </w:rPr>
              <w:t>5）投药</w:t>
            </w:r>
          </w:p>
          <w:p>
            <w:pPr>
              <w:pStyle w:val="null3"/>
              <w:ind w:firstLine="480"/>
              <w:jc w:val="both"/>
            </w:pPr>
            <w:r>
              <w:rPr>
                <w:sz w:val="24"/>
              </w:rPr>
              <w:t>施工人员必须提前穿戴好合格有效的防毒面罩和防毒手套，在封口前投药，先扎紧消杀袋一侧，确定消杀袋密封后，从另一侧在消杀袋顶端迅速放入足量的消杀药剂（磷化铝按照</w:t>
            </w:r>
            <w:r>
              <w:rPr>
                <w:sz w:val="24"/>
              </w:rPr>
              <w:t>20-30克/立方米投放）后迅速双扎紧袋口进行除害处理。</w:t>
            </w:r>
          </w:p>
          <w:p>
            <w:pPr>
              <w:pStyle w:val="null3"/>
              <w:ind w:firstLine="480"/>
              <w:jc w:val="both"/>
            </w:pPr>
            <w:r>
              <w:rPr>
                <w:sz w:val="24"/>
              </w:rPr>
              <w:t>（</w:t>
            </w:r>
            <w:r>
              <w:rPr>
                <w:sz w:val="24"/>
              </w:rPr>
              <w:t>6）收尾</w:t>
            </w:r>
          </w:p>
          <w:p>
            <w:pPr>
              <w:pStyle w:val="null3"/>
              <w:ind w:firstLine="480"/>
              <w:jc w:val="both"/>
            </w:pPr>
            <w:r>
              <w:rPr>
                <w:sz w:val="24"/>
              </w:rPr>
              <w:t>检查防治现场是否有遗漏枝桠或木段，再次检查消杀袋密封性，如有不符合要求的要重新进行处理。同时，使用记号笔标明相关信息，包括清理时间、作业公司等；对伐桩、消杀袋等进行拍照留存（使用手机的</w:t>
            </w:r>
            <w:r>
              <w:rPr>
                <w:sz w:val="24"/>
              </w:rPr>
              <w:t>“水印相机APP”，要在照片上显示施工单位全称、时间、天气、地点、海拔、经纬度等信息）。</w:t>
            </w:r>
          </w:p>
          <w:p>
            <w:pPr>
              <w:pStyle w:val="null3"/>
              <w:ind w:firstLine="480"/>
              <w:jc w:val="both"/>
            </w:pPr>
            <w:r>
              <w:rPr>
                <w:sz w:val="24"/>
              </w:rPr>
              <w:t>（</w:t>
            </w:r>
            <w:r>
              <w:rPr>
                <w:sz w:val="24"/>
              </w:rPr>
              <w:t>7）伐桩处理</w:t>
            </w:r>
          </w:p>
          <w:p>
            <w:pPr>
              <w:pStyle w:val="null3"/>
              <w:ind w:firstLine="480"/>
              <w:jc w:val="both"/>
            </w:pPr>
            <w:r>
              <w:rPr>
                <w:sz w:val="24"/>
              </w:rPr>
              <w:t>伐桩高度不得超过</w:t>
            </w:r>
            <w:r>
              <w:rPr>
                <w:sz w:val="24"/>
              </w:rPr>
              <w:t>5厘米，可不做处理。</w:t>
            </w:r>
          </w:p>
          <w:p>
            <w:pPr>
              <w:pStyle w:val="null3"/>
              <w:ind w:firstLine="480"/>
              <w:jc w:val="both"/>
            </w:pPr>
            <w:r>
              <w:rPr>
                <w:sz w:val="24"/>
              </w:rPr>
              <w:t>（</w:t>
            </w:r>
            <w:r>
              <w:rPr>
                <w:sz w:val="24"/>
              </w:rPr>
              <w:t>8）信息化施工记录</w:t>
            </w:r>
          </w:p>
          <w:p>
            <w:pPr>
              <w:pStyle w:val="null3"/>
              <w:ind w:firstLine="480"/>
              <w:jc w:val="both"/>
            </w:pPr>
            <w:r>
              <w:rPr>
                <w:sz w:val="24"/>
              </w:rPr>
              <w:t>对每株采伐的疫木，要求使用手机的</w:t>
            </w:r>
            <w:r>
              <w:rPr>
                <w:sz w:val="24"/>
              </w:rPr>
              <w:t>“水印相机APP”拍照（照片上显示施工单位全称、时间、天气、地点、海拔、经纬度等信息）。</w:t>
            </w:r>
          </w:p>
          <w:p>
            <w:pPr>
              <w:pStyle w:val="null3"/>
              <w:ind w:firstLine="480"/>
              <w:jc w:val="both"/>
            </w:pPr>
            <w:r>
              <w:rPr>
                <w:sz w:val="24"/>
              </w:rPr>
              <w:t>在伐前、伐中、伐后都要拍照保存，并将伐桩位置、采伐前后状况、处理方式、病枯死树的胸径及地径、疫木的去向等信息登记在册，以确保疫木源头监管及除治施工数量的真实性。</w:t>
            </w:r>
          </w:p>
          <w:p>
            <w:pPr>
              <w:pStyle w:val="null3"/>
              <w:ind w:firstLine="480"/>
              <w:jc w:val="both"/>
            </w:pPr>
            <w:r>
              <w:rPr>
                <w:sz w:val="24"/>
              </w:rPr>
              <w:t>建立施工电子台账，施工单位用</w:t>
            </w:r>
            <w:r>
              <w:rPr>
                <w:sz w:val="24"/>
              </w:rPr>
              <w:t>“松材线虫病疫情防控监管平台”及其移动端监测APP采集并按照要求上报疫木除治数据。</w:t>
            </w:r>
          </w:p>
          <w:p>
            <w:pPr>
              <w:pStyle w:val="null3"/>
              <w:ind w:firstLine="480"/>
              <w:jc w:val="both"/>
            </w:pPr>
            <w:r>
              <w:rPr>
                <w:sz w:val="24"/>
              </w:rPr>
              <w:t>2.变性处理</w:t>
            </w:r>
          </w:p>
          <w:p>
            <w:pPr>
              <w:pStyle w:val="null3"/>
              <w:ind w:firstLine="480"/>
              <w:jc w:val="both"/>
            </w:pPr>
            <w:r>
              <w:rPr>
                <w:sz w:val="24"/>
              </w:rPr>
              <w:t>对于部分交通方便的，特别是</w:t>
            </w:r>
            <w:r>
              <w:rPr>
                <w:sz w:val="24"/>
              </w:rPr>
              <w:t>“四旁五边”（宅旁、村旁、地旁、水旁和山边、河边、路边、广场边、景区边）病枯死松树处理，可以在伐倒制材后运输到武江区指定的疫木加工点进行变性处理。将伐倒的病枯死树当天全部制材并开具《韶关市松材线虫病疫木变性处理通知单》后，由施工单位运输到有资质的松材线虫病疫木定点加工厂进行疫木变性处理。确保搬运过程疫木不流失、不遗落。</w:t>
            </w:r>
          </w:p>
          <w:p>
            <w:pPr>
              <w:pStyle w:val="null3"/>
              <w:ind w:firstLine="480"/>
              <w:jc w:val="both"/>
            </w:pPr>
            <w:r>
              <w:rPr>
                <w:sz w:val="24"/>
              </w:rPr>
              <w:t>采伐及木材处理按照《广东省松材线虫病疫木除治技术工作指引》（试行）的规定执行。</w:t>
            </w:r>
          </w:p>
          <w:p>
            <w:pPr>
              <w:pStyle w:val="null3"/>
              <w:ind w:firstLine="480"/>
              <w:jc w:val="both"/>
            </w:pPr>
            <w:r>
              <w:rPr>
                <w:sz w:val="24"/>
              </w:rPr>
              <w:t>二、松树蛀干害虫防治技术措施</w:t>
            </w:r>
          </w:p>
          <w:p>
            <w:pPr>
              <w:pStyle w:val="null3"/>
            </w:pPr>
            <w:r>
              <w:rPr>
                <w:sz w:val="24"/>
              </w:rPr>
              <w:t xml:space="preserve">      参照《广东省韶关市武江区</w:t>
            </w:r>
            <w:r>
              <w:rPr>
                <w:sz w:val="24"/>
              </w:rPr>
              <w:t>2026年中央财政林草有害生物防治项目作业设计》中松材线虫病疫木清理技术措施。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1.采购代理机构：本项目是指广东明正项目管理有限公司韶关分公司，负责整个采购活动的组织，依法负责编制和发布磋商文件，对磋商文件拥有最终的解释权，不以任何身份出任磋商小组成员。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韶关市武江区自然资源局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差额定率累进法收费：以中标（成交）通知书中的中标（成交）金额作为采购代理服务费的计算基数。参照中华人民共和国国家发展计划委员会颁发的计价格〔2002〕1980号、发改办价格〔2003〕857号及发改价格〔2011〕534号文规定的“服务类”计费标准计算后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广东明正项目管理有限公司韶关分公司</w:t>
      </w:r>
      <w:r>
        <w:rPr/>
        <w:t>代收。具体操作要求详见</w:t>
      </w:r>
      <w:r>
        <w:rPr/>
        <w:t>广东明正项目管理有限公司韶关分公司</w:t>
      </w:r>
      <w:r>
        <w:rPr/>
        <w:t>有关指引，递交事宜请自行咨询</w:t>
      </w:r>
      <w:r>
        <w:rPr/>
        <w:t>广东明正项目管理有限公司韶关分公司</w:t>
      </w:r>
      <w:r>
        <w:rPr/>
        <w:t>；请各供应商在响应文件递交截止时间前按须知前附表规定的金额递交至</w:t>
      </w:r>
      <w:r>
        <w:rPr/>
        <w:t>广东明正项目管理有限公司韶关分公司</w:t>
      </w:r>
      <w:r>
        <w:rPr/>
        <w:t>，到账情况以开启时</w:t>
      </w:r>
      <w:r>
        <w:rPr/>
        <w:t>广东明正项目管理有限公司韶关分公司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杨工</w:t>
      </w:r>
    </w:p>
    <w:p>
      <w:pPr>
        <w:pStyle w:val="null3"/>
        <w:ind w:firstLine="480"/>
      </w:pPr>
      <w:r>
        <w:rPr/>
        <w:t>电话：</w:t>
      </w:r>
      <w:r>
        <w:rPr/>
        <w:t>0751-8606998</w:t>
      </w:r>
    </w:p>
    <w:p>
      <w:pPr>
        <w:pStyle w:val="null3"/>
        <w:ind w:firstLine="480"/>
      </w:pPr>
      <w:r>
        <w:rPr/>
        <w:t>传真：</w:t>
      </w:r>
      <w:r>
        <w:rPr/>
        <w:t>/</w:t>
      </w:r>
    </w:p>
    <w:p>
      <w:pPr>
        <w:pStyle w:val="null3"/>
        <w:ind w:firstLine="480"/>
      </w:pPr>
      <w:r>
        <w:rPr/>
        <w:t>邮箱：</w:t>
      </w:r>
      <w:r>
        <w:rPr/>
        <w:t>gdmzsgfgs20178@163.com</w:t>
      </w:r>
    </w:p>
    <w:p>
      <w:pPr>
        <w:pStyle w:val="null3"/>
        <w:ind w:firstLine="480"/>
      </w:pPr>
      <w:r>
        <w:rPr/>
        <w:t>地址：</w:t>
      </w:r>
      <w:r>
        <w:rPr/>
        <w:t>韶关市武江区惠民北路428号7楼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政府采购监督管理机构名称：韶关市武江区政府采购管理办公室</w:t>
      </w:r>
    </w:p>
    <w:p>
      <w:pPr>
        <w:pStyle w:val="null3"/>
      </w:pPr>
      <w:r>
        <w:rPr/>
        <w:t>地 址：韶关市武江区惠民南路128号</w:t>
      </w:r>
    </w:p>
    <w:p>
      <w:pPr>
        <w:pStyle w:val="null3"/>
      </w:pPr>
      <w:r>
        <w:rPr/>
        <w:t>电 话：0751-6111686</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韶关市武江区2026年中央财政林草有害生物防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广东明正项目管理有限公司韶关分公司</w:t>
      </w:r>
      <w:r>
        <w:rPr/>
        <w:t>统一对外发布。</w:t>
      </w:r>
    </w:p>
    <w:p>
      <w:pPr>
        <w:pStyle w:val="null3"/>
        <w:ind w:firstLine="480"/>
      </w:pPr>
      <w:r>
        <w:rPr/>
        <w:t>（2）对</w:t>
      </w:r>
      <w:r>
        <w:rPr/>
        <w:t>广东明正项目管理有限公司韶关分公司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采购包1（广东省韶关市武江区2026年中央财政林草有害生物防治项目）：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采购包1（广东省韶关市武江区2026年中央财政林草有害生物防治项目）：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特定资格要求1</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政府采购代理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特定资格要求2</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特定资格要求3</w:t>
            </w:r>
          </w:p>
        </w:tc>
        <w:tc>
          <w:tcPr>
            <w:tcW w:type="dxa" w:w="4238"/>
          </w:tcPr>
          <w:p>
            <w:pPr>
              <w:pStyle w:val="null3"/>
            </w:pPr>
            <w:r>
              <w:rPr/>
              <w:t>供应商必须具有有效期内的林业有害生物防治组织资质丙级或以上资质。</w:t>
            </w:r>
          </w:p>
        </w:tc>
      </w:tr>
      <w:tr>
        <w:tc>
          <w:tcPr>
            <w:tcW w:type="dxa" w:w="890"/>
          </w:tcPr>
          <w:p>
            <w:pPr>
              <w:pStyle w:val="null3"/>
            </w:pPr>
            <w:r>
              <w:rPr/>
              <w:t>9</w:t>
            </w:r>
          </w:p>
        </w:tc>
        <w:tc>
          <w:tcPr>
            <w:tcW w:type="dxa" w:w="3178"/>
          </w:tcPr>
          <w:p>
            <w:pPr>
              <w:pStyle w:val="null3"/>
            </w:pPr>
            <w:r>
              <w:rPr/>
              <w:t>特定资格要求4</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参与的供应商服务全部由符合政策要求的中小企业承接，提供《中小企业声明函》或属于监狱企业的证明材料或《残疾人福利性单位声明函》。（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采购包1（广东省韶关市武江区2026年中央财政林草有害生物防治项目）：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响应承诺函已提交并符合磋商文件要求的，且响应有效期不少于磋商文件中载明的响应有效期。</w:t>
            </w:r>
          </w:p>
        </w:tc>
        <w:tc>
          <w:tcPr>
            <w:tcW w:type="dxa" w:w="4238"/>
          </w:tcPr>
          <w:p>
            <w:pPr>
              <w:pStyle w:val="null3"/>
            </w:pPr>
            <w:r>
              <w:rPr/>
              <w:t>响应承诺函已提交并符合磋商文件要求的，且响应有效期不少于磋商文件中载明的响应有效期。</w:t>
            </w:r>
          </w:p>
        </w:tc>
      </w:tr>
      <w:tr>
        <w:tc>
          <w:tcPr>
            <w:tcW w:type="dxa" w:w="890"/>
          </w:tcPr>
          <w:p>
            <w:pPr>
              <w:pStyle w:val="null3"/>
            </w:pPr>
            <w:r>
              <w:rPr/>
              <w:t>2</w:t>
            </w:r>
          </w:p>
        </w:tc>
        <w:tc>
          <w:tcPr>
            <w:tcW w:type="dxa" w:w="3178"/>
          </w:tcPr>
          <w:p>
            <w:pPr>
              <w:pStyle w:val="null3"/>
            </w:pPr>
            <w:r>
              <w:rPr/>
              <w:t>响应报价唯一，不高于采购需求规定的最高限价，且响应报价未明显低于其他通过符合性审查供应商的报价。</w:t>
            </w:r>
          </w:p>
        </w:tc>
        <w:tc>
          <w:tcPr>
            <w:tcW w:type="dxa" w:w="4238"/>
          </w:tcPr>
          <w:p>
            <w:pPr>
              <w:pStyle w:val="null3"/>
            </w:pPr>
            <w:r>
              <w:rPr/>
              <w:t>响应报价唯一，不高于采购需求规定的最高限价，且响应报价未明显低于其他通过符合性审查供应商的报价。</w:t>
            </w:r>
          </w:p>
        </w:tc>
      </w:tr>
      <w:tr>
        <w:tc>
          <w:tcPr>
            <w:tcW w:type="dxa" w:w="890"/>
          </w:tcPr>
          <w:p>
            <w:pPr>
              <w:pStyle w:val="null3"/>
            </w:pPr>
            <w:r>
              <w:rPr/>
              <w:t>3</w:t>
            </w:r>
          </w:p>
        </w:tc>
        <w:tc>
          <w:tcPr>
            <w:tcW w:type="dxa" w:w="3178"/>
          </w:tcPr>
          <w:p>
            <w:pPr>
              <w:pStyle w:val="null3"/>
            </w:pPr>
            <w:r>
              <w:rPr/>
              <w:t>已按磋商文件要求提供法定代表人/负责人证明书（附法定代表人/负责人身份证复印件）及授权委托书（附被授权人身份证复印件）的。</w:t>
            </w:r>
          </w:p>
        </w:tc>
        <w:tc>
          <w:tcPr>
            <w:tcW w:type="dxa" w:w="4238"/>
          </w:tcPr>
          <w:p>
            <w:pPr>
              <w:pStyle w:val="null3"/>
            </w:pPr>
            <w:r>
              <w:rPr/>
              <w:t>已按磋商文件要求提供法定代表人/负责人证明书（附法定代表人/负责人身份证复印件）及授权委托书（附被授权人身份证复印件）的。</w:t>
            </w:r>
          </w:p>
        </w:tc>
      </w:tr>
      <w:tr>
        <w:tc>
          <w:tcPr>
            <w:tcW w:type="dxa" w:w="890"/>
          </w:tcPr>
          <w:p>
            <w:pPr>
              <w:pStyle w:val="null3"/>
            </w:pPr>
            <w:r>
              <w:rPr/>
              <w:t>4</w:t>
            </w:r>
          </w:p>
        </w:tc>
        <w:tc>
          <w:tcPr>
            <w:tcW w:type="dxa" w:w="3178"/>
          </w:tcPr>
          <w:p>
            <w:pPr>
              <w:pStyle w:val="null3"/>
            </w:pPr>
            <w:r>
              <w:rPr/>
              <w:t>符合磋商文件规定的签署、盖章要求。</w:t>
            </w:r>
          </w:p>
        </w:tc>
        <w:tc>
          <w:tcPr>
            <w:tcW w:type="dxa" w:w="4238"/>
          </w:tcPr>
          <w:p>
            <w:pPr>
              <w:pStyle w:val="null3"/>
            </w:pPr>
            <w:r>
              <w:rPr/>
              <w:t>符合磋商文件规定的签署、盖章要求。</w:t>
            </w:r>
          </w:p>
        </w:tc>
      </w:tr>
      <w:tr>
        <w:tc>
          <w:tcPr>
            <w:tcW w:type="dxa" w:w="890"/>
          </w:tcPr>
          <w:p>
            <w:pPr>
              <w:pStyle w:val="null3"/>
            </w:pPr>
            <w:r>
              <w:rPr/>
              <w:t>5</w:t>
            </w:r>
          </w:p>
        </w:tc>
        <w:tc>
          <w:tcPr>
            <w:tcW w:type="dxa" w:w="3178"/>
          </w:tcPr>
          <w:p>
            <w:pPr>
              <w:pStyle w:val="null3"/>
            </w:pPr>
            <w:r>
              <w:rPr/>
              <w:t>响应文件完全满足磋商文件的实质性条款（即标注★号条款） 无负偏离的。</w:t>
            </w:r>
          </w:p>
        </w:tc>
        <w:tc>
          <w:tcPr>
            <w:tcW w:type="dxa" w:w="4238"/>
          </w:tcPr>
          <w:p>
            <w:pPr>
              <w:pStyle w:val="null3"/>
            </w:pPr>
            <w:r>
              <w:rPr/>
              <w:t>响应文件完全满足磋商文件的实质性条款（即标注★号条款） 无负偏离的。</w:t>
            </w:r>
          </w:p>
        </w:tc>
      </w:tr>
      <w:tr>
        <w:tc>
          <w:tcPr>
            <w:tcW w:type="dxa" w:w="890"/>
          </w:tcPr>
          <w:p>
            <w:pPr>
              <w:pStyle w:val="null3"/>
            </w:pPr>
            <w:r>
              <w:rPr/>
              <w:t>6</w:t>
            </w:r>
          </w:p>
        </w:tc>
        <w:tc>
          <w:tcPr>
            <w:tcW w:type="dxa" w:w="3178"/>
          </w:tcPr>
          <w:p>
            <w:pPr>
              <w:pStyle w:val="null3"/>
            </w:pPr>
            <w:r>
              <w:rPr/>
              <w:t>响应文件没有磋商文件中规定的其他无效响应条款的。</w:t>
            </w:r>
          </w:p>
        </w:tc>
        <w:tc>
          <w:tcPr>
            <w:tcW w:type="dxa" w:w="4238"/>
          </w:tcPr>
          <w:p>
            <w:pPr>
              <w:pStyle w:val="null3"/>
            </w:pPr>
            <w:r>
              <w:rPr/>
              <w:t>响应文件没有磋商文件中规定的其他无效响应条款的。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采购包1(广东省韶关市武江区2026年中央财政林草有害生物防治项目):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(10.0分)</w:t>
            </w:r>
          </w:p>
        </w:tc>
        <w:tc>
          <w:tcPr>
            <w:tcW w:type="dxa" w:w="5076"/>
          </w:tcPr>
          <w:p>
            <w:pPr>
              <w:pStyle w:val="null3"/>
              <w:jc w:val="left"/>
            </w:pPr>
            <w:r>
              <w:rPr/>
              <w:t>根据各供应商提供项目实施方案（包括但不限于承诺的技术指标、对项目所在地的了解情况及有针对性的作业措施等方面内容）进行综合评审： 1.实施方案内容完整，技术可行，思路清晰，目标明确，措施合理，具有针对性的，得10分； 2.实施方案内容基本完整，技术基本可行，思路基本清晰，目标基本明确，措施基本合理，基本具有针对性的，得7分； 3.实施方案内容不够完整，技术不够可行，思路不够清晰，目标不够明确，措施不够合理，不够具有针对性的，得4分； 4.实施方案内容不完整，技术不可行，思路不清晰，目标不明确，措施不合理，不具有针对性的，得1分。 注：其他情况或不提供不得分。</w:t>
            </w:r>
          </w:p>
        </w:tc>
      </w:tr>
      <w:tr>
        <w:tc>
          <w:tcPr>
            <w:tcW w:type="dxa" w:w="922"/>
            <w:gridSpan w:val="2"/>
            <w:vMerge/>
          </w:tcPr>
          <w:p/>
        </w:tc>
        <w:tc>
          <w:tcPr>
            <w:tcW w:type="dxa" w:w="2307"/>
          </w:tcPr>
          <w:p>
            <w:pPr>
              <w:pStyle w:val="null3"/>
              <w:jc w:val="left"/>
            </w:pPr>
            <w:r>
              <w:rPr/>
              <w:t>工期承诺及保障措施 (10.0分)</w:t>
            </w:r>
          </w:p>
        </w:tc>
        <w:tc>
          <w:tcPr>
            <w:tcW w:type="dxa" w:w="5076"/>
          </w:tcPr>
          <w:p>
            <w:pPr>
              <w:pStyle w:val="null3"/>
              <w:jc w:val="left"/>
            </w:pPr>
            <w:r>
              <w:rPr/>
              <w:t>根据各供应商提供的工期承诺及保障措施进行综合评审： 1.工期承诺及保障措施全面、合理的，得10分； 2.工期承诺及保障措施基本全面、基本合理的，得7分； 3.工期承诺及保障措施不够全面、不够合理的，得4分； 4.工期承诺及保障措施不全面、不合理的，得1分。 注：其他情况或不提供不得分。</w:t>
            </w:r>
          </w:p>
        </w:tc>
      </w:tr>
      <w:tr>
        <w:tc>
          <w:tcPr>
            <w:tcW w:type="dxa" w:w="922"/>
            <w:gridSpan w:val="2"/>
            <w:vMerge/>
          </w:tcPr>
          <w:p/>
        </w:tc>
        <w:tc>
          <w:tcPr>
            <w:tcW w:type="dxa" w:w="2307"/>
          </w:tcPr>
          <w:p>
            <w:pPr>
              <w:pStyle w:val="null3"/>
              <w:jc w:val="left"/>
            </w:pPr>
            <w:r>
              <w:rPr/>
              <w:t>质量承诺及保障措施 (10.0分)</w:t>
            </w:r>
          </w:p>
        </w:tc>
        <w:tc>
          <w:tcPr>
            <w:tcW w:type="dxa" w:w="5076"/>
          </w:tcPr>
          <w:p>
            <w:pPr>
              <w:pStyle w:val="null3"/>
              <w:jc w:val="left"/>
            </w:pPr>
            <w:r>
              <w:rPr/>
              <w:t>根据各供应商提供的质量承诺及保障措施进行综合评审： 1.质量承诺及保障措施全面、合理的，得10分； 2.质量承诺及保障措施基本全面、基本合理的，得7分； 3.质量承诺及保障措施不够全面、不够合理的，得4分； 4.质量承诺及保障措施不全面、不合理的，得1分。 注：其他情况或不提供不得分。</w:t>
            </w:r>
          </w:p>
        </w:tc>
      </w:tr>
      <w:tr>
        <w:tc>
          <w:tcPr>
            <w:tcW w:type="dxa" w:w="922"/>
            <w:gridSpan w:val="2"/>
            <w:vMerge/>
          </w:tcPr>
          <w:p/>
        </w:tc>
        <w:tc>
          <w:tcPr>
            <w:tcW w:type="dxa" w:w="2307"/>
          </w:tcPr>
          <w:p>
            <w:pPr>
              <w:pStyle w:val="null3"/>
              <w:jc w:val="left"/>
            </w:pPr>
            <w:r>
              <w:rPr/>
              <w:t>安全保障措施 (10.0分)</w:t>
            </w:r>
          </w:p>
        </w:tc>
        <w:tc>
          <w:tcPr>
            <w:tcW w:type="dxa" w:w="5076"/>
          </w:tcPr>
          <w:p>
            <w:pPr>
              <w:pStyle w:val="null3"/>
              <w:jc w:val="left"/>
            </w:pPr>
            <w:r>
              <w:rPr/>
              <w:t>根据供应商提供的安全保障措施进行评审： 1.安全保障措施全面、合理的，得10分； 2.安全保障措施基本全面、基本合理的，得7分； 3.安全保障措施不够全面、不够合理的，得4分； 4.安全保障措施不全面、不合理的，得1分。 注：其他情况或不提供不得分。</w:t>
            </w:r>
          </w:p>
        </w:tc>
      </w:tr>
      <w:tr>
        <w:tc>
          <w:tcPr>
            <w:tcW w:type="dxa" w:w="922"/>
            <w:gridSpan w:val="2"/>
            <w:vMerge/>
          </w:tcPr>
          <w:p/>
        </w:tc>
        <w:tc>
          <w:tcPr>
            <w:tcW w:type="dxa" w:w="2307"/>
          </w:tcPr>
          <w:p>
            <w:pPr>
              <w:pStyle w:val="null3"/>
              <w:jc w:val="left"/>
            </w:pPr>
            <w:r>
              <w:rPr/>
              <w:t>售后服务 (10.0分)</w:t>
            </w:r>
          </w:p>
        </w:tc>
        <w:tc>
          <w:tcPr>
            <w:tcW w:type="dxa" w:w="5076"/>
          </w:tcPr>
          <w:p>
            <w:pPr>
              <w:pStyle w:val="null3"/>
              <w:jc w:val="left"/>
            </w:pPr>
            <w:r>
              <w:rPr/>
              <w:t>根据供应商提供的售后服务方案进行综合评审： 1.供应商提供的售后服务方案详细、具体、切实可行的，得10分； 2.供应商提供的售后服务方案基本详细、基本具体、基本可行的，得7分； 3.供应商提供的售后服务方案不够详细、不够具体、不够可行的，得4分； 4.供应商提供的售后服务方案不详细、不具体、不可行的，得1分。 注：其他情况或不提供不得分。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(10.0分)</w:t>
            </w:r>
          </w:p>
        </w:tc>
        <w:tc>
          <w:tcPr>
            <w:tcW w:type="dxa" w:w="5076"/>
          </w:tcPr>
          <w:p>
            <w:pPr>
              <w:pStyle w:val="null3"/>
              <w:jc w:val="left"/>
            </w:pPr>
            <w:r>
              <w:rPr/>
              <w:t>供应商自2024年1月1日至投标截止时间前（以合同签订时间为准），独立承担过林业有害生物防治项目业绩，每提供一项得2分，本项最高得10分。 注：须提供合同复印件并加盖供应商公章，未提供不得分。</w:t>
            </w:r>
          </w:p>
        </w:tc>
      </w:tr>
      <w:tr>
        <w:tc>
          <w:tcPr>
            <w:tcW w:type="dxa" w:w="922"/>
            <w:gridSpan w:val="2"/>
            <w:vMerge/>
          </w:tcPr>
          <w:p/>
        </w:tc>
        <w:tc>
          <w:tcPr>
            <w:tcW w:type="dxa" w:w="2307"/>
          </w:tcPr>
          <w:p>
            <w:pPr>
              <w:pStyle w:val="null3"/>
              <w:jc w:val="left"/>
            </w:pPr>
            <w:r>
              <w:rPr/>
              <w:t>技术力量 (16.0分)</w:t>
            </w:r>
          </w:p>
        </w:tc>
        <w:tc>
          <w:tcPr>
            <w:tcW w:type="dxa" w:w="5076"/>
          </w:tcPr>
          <w:p>
            <w:pPr>
              <w:pStyle w:val="null3"/>
              <w:jc w:val="left"/>
            </w:pPr>
            <w:r>
              <w:rPr/>
              <w:t>1.项目负责人：拟投入本项目的项目负责人具有林业类中级或以上职称的，得4分，本项最高得4分。 2.技术人员（除项目负责人）：①拟投入本项目的技术人员中具有林业初级或以上职称的，每提供一人得2分，本小项最高得6分；②拟投入本项目的技术人员中具有林业有害生物防治员证书的，每提供一人得2分，本小项最高得6分；本项最高得12分。 注：供应商须提供连续三个月为以上人员购买社保证明的复印件和相关有效证书复印件并加盖供应商公章；连续三个月指：2026年4月至6月；以上人员不重复得分；未提供不得分。</w:t>
            </w:r>
          </w:p>
        </w:tc>
      </w:tr>
      <w:tr>
        <w:tc>
          <w:tcPr>
            <w:tcW w:type="dxa" w:w="922"/>
            <w:gridSpan w:val="2"/>
            <w:vMerge/>
          </w:tcPr>
          <w:p/>
        </w:tc>
        <w:tc>
          <w:tcPr>
            <w:tcW w:type="dxa" w:w="2307"/>
          </w:tcPr>
          <w:p>
            <w:pPr>
              <w:pStyle w:val="null3"/>
              <w:jc w:val="left"/>
            </w:pPr>
            <w:r>
              <w:rPr/>
              <w:t>作业设备 (8.0分)</w:t>
            </w:r>
          </w:p>
        </w:tc>
        <w:tc>
          <w:tcPr>
            <w:tcW w:type="dxa" w:w="5076"/>
          </w:tcPr>
          <w:p>
            <w:pPr>
              <w:pStyle w:val="null3"/>
              <w:jc w:val="left"/>
            </w:pPr>
            <w:r>
              <w:rPr/>
              <w:t>1.供应商针对本项目实施投入自有的保障车辆（保障车辆指SUV或皮卡车或货车等），每自有一辆得1分，本小项最高得4分。 注：响应文件中提供加盖供应商公章的行驶证复印件，否则不得分。 2.供应商针对本项目实施投入的油锯等设备，每提供一项得1分，本小项最高得得4分。 注：响应文件中提供加盖供应商公章的购买设备发票复印件，否则不得分。</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供应商具有质量管理体系认证、环境管理体系认证、职业健康安全管理体系认证的，每提供一个得2分，本项最高得6分。 注：须提供相关有效证书复印件和全国认证认可信息公共服务平台查询截图并加盖供应商公章，未提供不得分。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1.投标（响应）报价得分＝（评标基准价/投标（响应）报价）×价格分值【注：满足磋商文件要求且投标（响应）价格最低的投标（响应）报价为评标基准价。】最低报价不是中标的唯一依据。因落实政府采购政策进行价格调整的，以调整后的价格计算评标基准价和投标（响应）报价。2.根据《关于优化政府采购信用评价工作的通知》（韶财采购[2024]5号）要求，对供应商的诚信状况（普通失信行为）进行评审，具体计算公式：响应供应商评审报价=供应商最后一轮报价+供应商最后一轮报价×〔（诚信基础得分一诚信记录得分）÷诚信基础得分〕×5%，实际合同成交价仍为供应商最后一轮报价。注：①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②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440203-2026-00436</w:t>
      </w:r>
    </w:p>
    <w:p>
      <w:pPr>
        <w:pStyle w:val="null3"/>
        <w:jc w:val="center"/>
        <w:outlineLvl w:val="3"/>
      </w:pPr>
      <w:r>
        <w:rPr>
          <w:sz w:val="24"/>
          <w:b/>
        </w:rPr>
        <w:t>采购项目编号：</w:t>
      </w:r>
      <w:r>
        <w:rPr>
          <w:sz w:val="24"/>
          <w:b/>
        </w:rPr>
        <w:t>MZSG26ZB010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广东明正项目管理有限公司韶关分公司</w:t>
      </w:r>
    </w:p>
    <w:p>
      <w:pPr>
        <w:pStyle w:val="null3"/>
        <w:ind w:firstLine="480"/>
      </w:pPr>
      <w:r>
        <w:rPr/>
        <w:t xml:space="preserve"> 你方组织的</w:t>
      </w:r>
      <w:r>
        <w:rPr>
          <w:u w:val="single"/>
        </w:rPr>
        <w:t>“</w:t>
      </w:r>
      <w:r>
        <w:rPr>
          <w:u w:val="single"/>
        </w:rPr>
        <w:t>广东省韶关市武江区2026年中央财政林草有害生物防治项目</w:t>
      </w:r>
      <w:r>
        <w:rPr>
          <w:u w:val="single"/>
        </w:rPr>
        <w:t>”</w:t>
      </w:r>
      <w:r>
        <w:rPr/>
        <w:t>项目的竞争性磋商[采购项目编号为：</w:t>
      </w:r>
      <w:r>
        <w:rPr>
          <w:u w:val="single"/>
        </w:rPr>
        <w:t>MZSG26ZB010</w:t>
      </w:r>
      <w:r>
        <w:rPr/>
        <w:t>]，我方愿参与响应。</w:t>
      </w:r>
    </w:p>
    <w:p>
      <w:pPr>
        <w:pStyle w:val="null3"/>
        <w:ind w:firstLine="480"/>
      </w:pPr>
      <w:r>
        <w:rPr/>
        <w:t>我方确认收到贵方提供的</w:t>
      </w:r>
      <w:r>
        <w:rPr>
          <w:u w:val="single"/>
        </w:rPr>
        <w:t>“</w:t>
      </w:r>
      <w:r>
        <w:rPr>
          <w:u w:val="single"/>
        </w:rPr>
        <w:t>广东省韶关市武江区2026年中央财政林草有害生物防治项目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广东明正项目管理有限公司韶关分公司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广东省韶关市武江区2026年中央财政林草有害生物防治项目</w:t>
      </w:r>
      <w:r>
        <w:rPr/>
        <w:t>”项目采购[采购项目编号为</w:t>
      </w:r>
      <w:r>
        <w:rPr/>
        <w:t>MZSG26ZB010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韶关市武江区自然资源局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广东明正项目管理有限公司韶关分公司</w:t>
      </w:r>
    </w:p>
    <w:p>
      <w:pPr>
        <w:pStyle w:val="null3"/>
        <w:ind w:firstLine="480"/>
      </w:pPr>
      <w:r>
        <w:rPr/>
        <w:t>我单位参加贵公司组织的</w:t>
      </w:r>
      <w:r>
        <w:rPr/>
        <w:t>广东省韶关市武江区2026年中央财政林草有害生物防治项目</w:t>
      </w:r>
      <w:r>
        <w:rPr/>
        <w:t>（采购项目编号：</w:t>
      </w:r>
      <w:r>
        <w:rPr/>
        <w:t>MZSG26ZB010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广东明正项目管理有限公司韶关分公司</w:t>
      </w:r>
    </w:p>
    <w:p>
      <w:pPr>
        <w:pStyle w:val="null3"/>
        <w:ind w:firstLine="480"/>
      </w:pPr>
      <w:r>
        <w:rPr/>
        <w:t>我单位已登记并准备参与“</w:t>
      </w:r>
      <w:r>
        <w:rPr/>
        <w:t>广东省韶关市武江区2026年中央财政林草有害生物防治项目</w:t>
      </w:r>
      <w:r>
        <w:rPr/>
        <w:t>”项目（采购项目编号：</w:t>
      </w:r>
      <w:r>
        <w:rPr/>
        <w:t>MZSG26ZB010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