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77B58">
      <w:pPr>
        <w:pStyle w:val="2"/>
        <w:ind w:firstLine="1285" w:firstLineChars="400"/>
        <w:jc w:val="both"/>
        <w:rPr>
          <w:rFonts w:hint="eastAsia" w:eastAsia="仿宋" w:cs="Times New Roman"/>
          <w:b/>
          <w:bCs/>
          <w:color w:val="auto"/>
          <w:kern w:val="0"/>
          <w:sz w:val="32"/>
          <w:szCs w:val="32"/>
          <w:shd w:val="clear" w:color="auto" w:fill="auto"/>
          <w:lang w:val="en-US" w:eastAsia="zh-CN"/>
        </w:rPr>
      </w:pPr>
      <w:r>
        <w:rPr>
          <w:rFonts w:hint="eastAsia" w:eastAsia="仿宋" w:cs="Times New Roman"/>
          <w:b/>
          <w:bCs/>
          <w:color w:val="auto"/>
          <w:kern w:val="0"/>
          <w:sz w:val="32"/>
          <w:szCs w:val="32"/>
          <w:shd w:val="clear" w:color="auto" w:fill="auto"/>
          <w:lang w:val="en-US" w:eastAsia="zh-CN"/>
        </w:rPr>
        <w:t>怀化工商职业技术学院北区二期建设工程项目</w:t>
      </w:r>
    </w:p>
    <w:p w14:paraId="62CC1B06">
      <w:pPr>
        <w:pStyle w:val="2"/>
        <w:ind w:firstLine="2570" w:firstLineChars="800"/>
        <w:jc w:val="both"/>
        <w:rPr>
          <w:rFonts w:hint="default" w:ascii="Times New Roman" w:hAnsi="Times New Roman" w:eastAsia="仿宋" w:cs="Times New Roman"/>
          <w:b/>
          <w:bCs/>
          <w:color w:val="auto"/>
          <w:kern w:val="0"/>
          <w:sz w:val="32"/>
          <w:szCs w:val="32"/>
          <w:shd w:val="clear" w:color="auto" w:fill="auto"/>
          <w:lang w:val="en-US" w:eastAsia="zh-CN"/>
        </w:rPr>
      </w:pPr>
      <w:r>
        <w:rPr>
          <w:rFonts w:hint="eastAsia" w:eastAsia="仿宋" w:cs="Times New Roman"/>
          <w:b/>
          <w:bCs/>
          <w:color w:val="auto"/>
          <w:kern w:val="0"/>
          <w:sz w:val="32"/>
          <w:szCs w:val="32"/>
          <w:shd w:val="clear" w:color="auto" w:fill="auto"/>
          <w:lang w:val="en-US" w:eastAsia="zh-CN"/>
        </w:rPr>
        <w:t>白蚁防治服务评分标准</w:t>
      </w:r>
    </w:p>
    <w:p w14:paraId="378AFE9C">
      <w:pPr>
        <w:rPr>
          <w:rFonts w:hint="default"/>
          <w:lang w:val="en-US"/>
        </w:rPr>
      </w:pPr>
      <w:r>
        <w:rPr>
          <w:rFonts w:hint="eastAsia" w:eastAsia="仿宋" w:cs="Times New Roman"/>
          <w:color w:val="auto"/>
          <w:kern w:val="0"/>
          <w:sz w:val="20"/>
          <w:szCs w:val="20"/>
          <w:shd w:val="clear" w:color="auto" w:fill="auto"/>
          <w:lang w:val="en-US" w:eastAsia="zh-CN"/>
        </w:rPr>
        <w:t xml:space="preserve">        </w:t>
      </w:r>
    </w:p>
    <w:p w14:paraId="1179DCD6">
      <w:pPr>
        <w:pStyle w:val="2"/>
        <w:jc w:val="both"/>
        <w:rPr>
          <w:rFonts w:hint="eastAsia" w:ascii="宋体" w:hAnsi="宋体" w:cs="宋体"/>
          <w:color w:val="000000"/>
          <w:szCs w:val="21"/>
          <w:highlight w:val="none"/>
        </w:rPr>
      </w:pPr>
    </w:p>
    <w:p w14:paraId="0AD108EC">
      <w:pPr>
        <w:pStyle w:val="2"/>
        <w:jc w:val="left"/>
        <w:rPr>
          <w:rFonts w:hint="eastAsia" w:ascii="宋体" w:hAnsi="宋体" w:cs="宋体"/>
          <w:color w:val="000000"/>
          <w:szCs w:val="21"/>
          <w:highlight w:val="none"/>
        </w:rPr>
      </w:pPr>
      <w:bookmarkStart w:id="0" w:name="_Toc7927"/>
      <w:r>
        <w:rPr>
          <w:rFonts w:hint="eastAsia" w:ascii="宋体" w:hAnsi="宋体" w:cs="宋体"/>
          <w:color w:val="000000"/>
          <w:szCs w:val="21"/>
          <w:highlight w:val="none"/>
        </w:rPr>
        <w:t>评审因素和标准</w:t>
      </w:r>
      <w:bookmarkEnd w:id="0"/>
    </w:p>
    <w:tbl>
      <w:tblPr>
        <w:tblStyle w:val="10"/>
        <w:tblpPr w:leftFromText="180" w:rightFromText="180" w:vertAnchor="text" w:horzAnchor="page" w:tblpX="1089" w:tblpY="389"/>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58"/>
        <w:gridCol w:w="5357"/>
        <w:gridCol w:w="3343"/>
      </w:tblGrid>
      <w:tr w14:paraId="03376F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6" w:hRule="atLeast"/>
        </w:trPr>
        <w:tc>
          <w:tcPr>
            <w:tcW w:w="1258" w:type="dxa"/>
            <w:noWrap w:val="0"/>
            <w:vAlign w:val="center"/>
          </w:tcPr>
          <w:p w14:paraId="6B08EE54">
            <w:pPr>
              <w:spacing w:line="38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序号</w:t>
            </w:r>
          </w:p>
        </w:tc>
        <w:tc>
          <w:tcPr>
            <w:tcW w:w="5357" w:type="dxa"/>
            <w:noWrap w:val="0"/>
            <w:vAlign w:val="center"/>
          </w:tcPr>
          <w:p w14:paraId="4713F4EC">
            <w:pPr>
              <w:spacing w:line="38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项   目</w:t>
            </w:r>
          </w:p>
        </w:tc>
        <w:tc>
          <w:tcPr>
            <w:tcW w:w="3343" w:type="dxa"/>
            <w:noWrap w:val="0"/>
            <w:vAlign w:val="center"/>
          </w:tcPr>
          <w:p w14:paraId="010416FF">
            <w:pPr>
              <w:spacing w:line="38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权值的取值</w:t>
            </w:r>
          </w:p>
        </w:tc>
      </w:tr>
      <w:tr w14:paraId="763D12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trPr>
        <w:tc>
          <w:tcPr>
            <w:tcW w:w="1258" w:type="dxa"/>
            <w:noWrap w:val="0"/>
            <w:vAlign w:val="center"/>
          </w:tcPr>
          <w:p w14:paraId="71235FCA">
            <w:pPr>
              <w:spacing w:line="38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5357" w:type="dxa"/>
            <w:noWrap w:val="0"/>
            <w:vAlign w:val="center"/>
          </w:tcPr>
          <w:p w14:paraId="75284F12">
            <w:pPr>
              <w:spacing w:line="38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价格</w:t>
            </w:r>
          </w:p>
        </w:tc>
        <w:tc>
          <w:tcPr>
            <w:tcW w:w="3343" w:type="dxa"/>
            <w:noWrap w:val="0"/>
            <w:vAlign w:val="center"/>
          </w:tcPr>
          <w:p w14:paraId="6B024009">
            <w:pPr>
              <w:spacing w:line="380" w:lineRule="exact"/>
              <w:jc w:val="center"/>
              <w:rPr>
                <w:rFonts w:hint="default" w:ascii="宋体" w:hAnsi="宋体" w:cs="宋体"/>
                <w:color w:val="000000"/>
                <w:szCs w:val="21"/>
                <w:highlight w:val="none"/>
                <w:lang w:val="en-US"/>
              </w:rPr>
            </w:pPr>
            <w:bookmarkStart w:id="1" w:name="S_2_7"/>
            <w:bookmarkEnd w:id="1"/>
            <w:r>
              <w:rPr>
                <w:rFonts w:hint="eastAsia" w:ascii="宋体" w:hAnsi="宋体" w:eastAsia="宋体" w:cs="宋体"/>
                <w:color w:val="auto"/>
                <w:spacing w:val="0"/>
                <w:position w:val="0"/>
                <w:sz w:val="21"/>
                <w:szCs w:val="21"/>
                <w:highlight w:val="none"/>
                <w:lang w:val="en-US" w:eastAsia="zh-CN"/>
              </w:rPr>
              <w:t>A1=</w:t>
            </w:r>
            <w:r>
              <w:rPr>
                <w:rFonts w:hint="eastAsia" w:ascii="宋体" w:hAnsi="宋体" w:cs="宋体"/>
                <w:color w:val="auto"/>
                <w:spacing w:val="0"/>
                <w:position w:val="0"/>
                <w:sz w:val="21"/>
                <w:szCs w:val="21"/>
                <w:highlight w:val="none"/>
                <w:lang w:val="en-US" w:eastAsia="zh-CN"/>
              </w:rPr>
              <w:t>2</w:t>
            </w:r>
            <w:r>
              <w:rPr>
                <w:rFonts w:hint="eastAsia" w:ascii="宋体" w:hAnsi="宋体" w:eastAsia="宋体" w:cs="宋体"/>
                <w:color w:val="auto"/>
                <w:spacing w:val="0"/>
                <w:position w:val="0"/>
                <w:sz w:val="21"/>
                <w:szCs w:val="21"/>
                <w:highlight w:val="none"/>
                <w:lang w:val="en-US" w:eastAsia="zh-CN"/>
              </w:rPr>
              <w:t>0分</w:t>
            </w:r>
          </w:p>
        </w:tc>
      </w:tr>
      <w:tr w14:paraId="08B069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trPr>
        <w:tc>
          <w:tcPr>
            <w:tcW w:w="1258" w:type="dxa"/>
            <w:noWrap w:val="0"/>
            <w:vAlign w:val="center"/>
          </w:tcPr>
          <w:p w14:paraId="70657F6C">
            <w:pPr>
              <w:spacing w:line="38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2</w:t>
            </w:r>
          </w:p>
        </w:tc>
        <w:tc>
          <w:tcPr>
            <w:tcW w:w="5357" w:type="dxa"/>
            <w:noWrap w:val="0"/>
            <w:vAlign w:val="center"/>
          </w:tcPr>
          <w:p w14:paraId="0C5613E1">
            <w:pPr>
              <w:spacing w:line="38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技术</w:t>
            </w:r>
          </w:p>
        </w:tc>
        <w:tc>
          <w:tcPr>
            <w:tcW w:w="3343" w:type="dxa"/>
            <w:noWrap w:val="0"/>
            <w:vAlign w:val="center"/>
          </w:tcPr>
          <w:p w14:paraId="1A37A5B7">
            <w:pPr>
              <w:spacing w:line="380" w:lineRule="exact"/>
              <w:jc w:val="center"/>
              <w:rPr>
                <w:rFonts w:hint="default" w:ascii="宋体" w:hAnsi="宋体" w:cs="宋体"/>
                <w:color w:val="000000"/>
                <w:szCs w:val="21"/>
                <w:highlight w:val="none"/>
                <w:lang w:val="en-US"/>
              </w:rPr>
            </w:pPr>
            <w:r>
              <w:rPr>
                <w:rFonts w:hint="eastAsia" w:ascii="宋体" w:hAnsi="宋体" w:eastAsia="宋体" w:cs="宋体"/>
                <w:color w:val="auto"/>
                <w:spacing w:val="0"/>
                <w:position w:val="0"/>
                <w:sz w:val="21"/>
                <w:szCs w:val="21"/>
                <w:highlight w:val="none"/>
                <w:lang w:val="en-US" w:eastAsia="zh-CN"/>
              </w:rPr>
              <w:t>A2=5</w:t>
            </w:r>
            <w:r>
              <w:rPr>
                <w:rFonts w:hint="eastAsia" w:ascii="宋体" w:hAnsi="宋体" w:cs="宋体"/>
                <w:color w:val="auto"/>
                <w:spacing w:val="0"/>
                <w:position w:val="0"/>
                <w:sz w:val="21"/>
                <w:szCs w:val="21"/>
                <w:highlight w:val="none"/>
                <w:lang w:val="en-US" w:eastAsia="zh-CN"/>
              </w:rPr>
              <w:t>0</w:t>
            </w:r>
            <w:r>
              <w:rPr>
                <w:rFonts w:hint="eastAsia" w:ascii="宋体" w:hAnsi="宋体" w:eastAsia="宋体" w:cs="宋体"/>
                <w:color w:val="auto"/>
                <w:spacing w:val="0"/>
                <w:position w:val="0"/>
                <w:sz w:val="21"/>
                <w:szCs w:val="21"/>
                <w:highlight w:val="none"/>
                <w:lang w:val="en-US" w:eastAsia="zh-CN"/>
              </w:rPr>
              <w:t>分</w:t>
            </w:r>
          </w:p>
        </w:tc>
      </w:tr>
      <w:tr w14:paraId="651CF9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atLeast"/>
        </w:trPr>
        <w:tc>
          <w:tcPr>
            <w:tcW w:w="1258" w:type="dxa"/>
            <w:noWrap w:val="0"/>
            <w:vAlign w:val="center"/>
          </w:tcPr>
          <w:p w14:paraId="5F686848">
            <w:pPr>
              <w:spacing w:line="38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3</w:t>
            </w:r>
          </w:p>
        </w:tc>
        <w:tc>
          <w:tcPr>
            <w:tcW w:w="5357" w:type="dxa"/>
            <w:noWrap w:val="0"/>
            <w:vAlign w:val="center"/>
          </w:tcPr>
          <w:p w14:paraId="53FA9E21">
            <w:pPr>
              <w:spacing w:line="38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商务</w:t>
            </w:r>
          </w:p>
        </w:tc>
        <w:tc>
          <w:tcPr>
            <w:tcW w:w="3343" w:type="dxa"/>
            <w:noWrap w:val="0"/>
            <w:vAlign w:val="center"/>
          </w:tcPr>
          <w:p w14:paraId="636BB052">
            <w:pPr>
              <w:spacing w:line="380" w:lineRule="exact"/>
              <w:jc w:val="center"/>
              <w:rPr>
                <w:rFonts w:hint="default" w:ascii="宋体" w:hAnsi="宋体" w:cs="宋体"/>
                <w:color w:val="000000"/>
                <w:szCs w:val="21"/>
                <w:highlight w:val="none"/>
                <w:lang w:val="en-US"/>
              </w:rPr>
            </w:pPr>
            <w:bookmarkStart w:id="2" w:name="S_2_9"/>
            <w:bookmarkEnd w:id="2"/>
            <w:r>
              <w:rPr>
                <w:rFonts w:hint="eastAsia" w:ascii="宋体" w:hAnsi="宋体" w:eastAsia="宋体" w:cs="宋体"/>
                <w:color w:val="auto"/>
                <w:spacing w:val="0"/>
                <w:position w:val="0"/>
                <w:sz w:val="21"/>
                <w:szCs w:val="21"/>
                <w:highlight w:val="none"/>
                <w:lang w:val="en-US" w:eastAsia="zh-CN"/>
              </w:rPr>
              <w:t>A3=3</w:t>
            </w:r>
            <w:r>
              <w:rPr>
                <w:rFonts w:hint="eastAsia" w:ascii="宋体" w:hAnsi="宋体" w:cs="宋体"/>
                <w:color w:val="auto"/>
                <w:spacing w:val="0"/>
                <w:position w:val="0"/>
                <w:sz w:val="21"/>
                <w:szCs w:val="21"/>
                <w:highlight w:val="none"/>
                <w:lang w:val="en-US" w:eastAsia="zh-CN"/>
              </w:rPr>
              <w:t>0</w:t>
            </w:r>
            <w:r>
              <w:rPr>
                <w:rFonts w:hint="eastAsia" w:ascii="宋体" w:hAnsi="宋体" w:eastAsia="宋体" w:cs="宋体"/>
                <w:color w:val="auto"/>
                <w:spacing w:val="0"/>
                <w:position w:val="0"/>
                <w:sz w:val="21"/>
                <w:szCs w:val="21"/>
                <w:highlight w:val="none"/>
                <w:lang w:val="en-US" w:eastAsia="zh-CN"/>
              </w:rPr>
              <w:t>分</w:t>
            </w:r>
          </w:p>
        </w:tc>
      </w:tr>
      <w:tr w14:paraId="584FC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2" w:hRule="atLeast"/>
        </w:trPr>
        <w:tc>
          <w:tcPr>
            <w:tcW w:w="9958" w:type="dxa"/>
            <w:gridSpan w:val="3"/>
            <w:noWrap w:val="0"/>
            <w:vAlign w:val="center"/>
          </w:tcPr>
          <w:p w14:paraId="54A3410E">
            <w:pPr>
              <w:spacing w:line="380" w:lineRule="exact"/>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∑(1+2+3)=1</w:t>
            </w:r>
            <w:r>
              <w:rPr>
                <w:rFonts w:hint="eastAsia" w:ascii="宋体" w:hAnsi="宋体" w:cs="宋体"/>
                <w:color w:val="000000"/>
                <w:szCs w:val="21"/>
                <w:highlight w:val="none"/>
                <w:lang w:val="en-US" w:eastAsia="zh-CN"/>
              </w:rPr>
              <w:t>00分</w:t>
            </w:r>
          </w:p>
        </w:tc>
      </w:tr>
    </w:tbl>
    <w:p w14:paraId="6573D1BF">
      <w:pPr>
        <w:rPr>
          <w:rFonts w:hint="eastAsia"/>
          <w:color w:val="000000"/>
          <w:highlight w:val="none"/>
        </w:rPr>
      </w:pPr>
    </w:p>
    <w:p w14:paraId="78AC1361">
      <w:pPr>
        <w:pStyle w:val="9"/>
        <w:rPr>
          <w:rFonts w:hint="eastAsia"/>
          <w:highlight w:val="none"/>
        </w:rPr>
      </w:pPr>
    </w:p>
    <w:tbl>
      <w:tblPr>
        <w:tblStyle w:val="10"/>
        <w:tblW w:w="989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1692"/>
        <w:gridCol w:w="7045"/>
      </w:tblGrid>
      <w:tr w14:paraId="5D400E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56" w:type="dxa"/>
            <w:noWrap w:val="0"/>
            <w:vAlign w:val="center"/>
          </w:tcPr>
          <w:p w14:paraId="59EB1259">
            <w:pPr>
              <w:keepNext w:val="0"/>
              <w:keepLines w:val="0"/>
              <w:pageBreakBefore w:val="0"/>
              <w:widowControl/>
              <w:kinsoku/>
              <w:wordWrap/>
              <w:overflowPunct/>
              <w:topLinePunct w:val="0"/>
              <w:bidi w:val="0"/>
              <w:adjustRightInd w:val="0"/>
              <w:snapToGrid/>
              <w:spacing w:line="34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评分因素及权重</w:t>
            </w:r>
          </w:p>
        </w:tc>
        <w:tc>
          <w:tcPr>
            <w:tcW w:w="1692" w:type="dxa"/>
            <w:noWrap w:val="0"/>
            <w:vAlign w:val="center"/>
          </w:tcPr>
          <w:p w14:paraId="1F4A74F9">
            <w:pPr>
              <w:keepNext w:val="0"/>
              <w:keepLines w:val="0"/>
              <w:pageBreakBefore w:val="0"/>
              <w:widowControl/>
              <w:kinsoku/>
              <w:wordWrap/>
              <w:overflowPunct/>
              <w:topLinePunct w:val="0"/>
              <w:bidi w:val="0"/>
              <w:adjustRightInd w:val="0"/>
              <w:snapToGrid/>
              <w:spacing w:line="340" w:lineRule="exact"/>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分值</w:t>
            </w:r>
          </w:p>
        </w:tc>
        <w:tc>
          <w:tcPr>
            <w:tcW w:w="7045" w:type="dxa"/>
            <w:noWrap w:val="0"/>
            <w:vAlign w:val="center"/>
          </w:tcPr>
          <w:p w14:paraId="6014765A">
            <w:pPr>
              <w:keepNext w:val="0"/>
              <w:keepLines w:val="0"/>
              <w:pageBreakBefore w:val="0"/>
              <w:widowControl/>
              <w:kinsoku/>
              <w:wordWrap/>
              <w:overflowPunct/>
              <w:topLinePunct w:val="0"/>
              <w:bidi w:val="0"/>
              <w:adjustRightInd w:val="0"/>
              <w:snapToGrid/>
              <w:spacing w:line="340" w:lineRule="exact"/>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评分标准</w:t>
            </w:r>
          </w:p>
        </w:tc>
      </w:tr>
      <w:tr w14:paraId="23B551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156" w:type="dxa"/>
            <w:noWrap w:val="0"/>
            <w:vAlign w:val="center"/>
          </w:tcPr>
          <w:p w14:paraId="44FEE1BB">
            <w:pPr>
              <w:keepNext w:val="0"/>
              <w:keepLines w:val="0"/>
              <w:pageBreakBefore w:val="0"/>
              <w:widowControl/>
              <w:kinsoku/>
              <w:wordWrap/>
              <w:overflowPunct/>
              <w:topLinePunct w:val="0"/>
              <w:bidi w:val="0"/>
              <w:adjustRightInd w:val="0"/>
              <w:snapToGrid/>
              <w:spacing w:line="340" w:lineRule="exact"/>
              <w:jc w:val="center"/>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价格部分</w:t>
            </w:r>
          </w:p>
          <w:p w14:paraId="7943CB76">
            <w:pPr>
              <w:keepNext w:val="0"/>
              <w:keepLines w:val="0"/>
              <w:pageBreakBefore w:val="0"/>
              <w:widowControl/>
              <w:kinsoku/>
              <w:wordWrap/>
              <w:overflowPunct/>
              <w:topLinePunct w:val="0"/>
              <w:bidi w:val="0"/>
              <w:adjustRightInd w:val="0"/>
              <w:snapToGrid/>
              <w:spacing w:line="340" w:lineRule="exact"/>
              <w:jc w:val="center"/>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（20分）</w:t>
            </w:r>
          </w:p>
        </w:tc>
        <w:tc>
          <w:tcPr>
            <w:tcW w:w="1692" w:type="dxa"/>
            <w:noWrap w:val="0"/>
            <w:vAlign w:val="center"/>
          </w:tcPr>
          <w:p w14:paraId="17FC0FA1">
            <w:pPr>
              <w:keepNext w:val="0"/>
              <w:keepLines w:val="0"/>
              <w:pageBreakBefore w:val="0"/>
              <w:widowControl/>
              <w:kinsoku/>
              <w:wordWrap/>
              <w:overflowPunct/>
              <w:topLinePunct w:val="0"/>
              <w:bidi w:val="0"/>
              <w:adjustRightInd w:val="0"/>
              <w:snapToGrid/>
              <w:spacing w:line="340" w:lineRule="exact"/>
              <w:jc w:val="center"/>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报价           （20分）</w:t>
            </w:r>
          </w:p>
        </w:tc>
        <w:tc>
          <w:tcPr>
            <w:tcW w:w="7045" w:type="dxa"/>
            <w:noWrap w:val="0"/>
            <w:vAlign w:val="center"/>
          </w:tcPr>
          <w:p w14:paraId="2EB52D46">
            <w:pPr>
              <w:pStyle w:val="12"/>
              <w:spacing w:line="24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满足磋商文件要求、各家报价汇总后的最低价</w:t>
            </w:r>
            <w:r>
              <w:rPr>
                <w:rFonts w:hint="eastAsia" w:ascii="宋体" w:hAnsi="宋体" w:eastAsia="宋体" w:cs="宋体"/>
                <w:color w:val="auto"/>
                <w:kern w:val="2"/>
                <w:sz w:val="21"/>
                <w:szCs w:val="24"/>
                <w:highlight w:val="none"/>
                <w:lang w:val="en-US" w:eastAsia="zh-CN" w:bidi="ar-SA"/>
              </w:rPr>
              <w:t>为基准价，投标人的价格统一按照下列公式计算：</w:t>
            </w:r>
          </w:p>
          <w:p w14:paraId="110DA121">
            <w:pPr>
              <w:widowControl/>
              <w:adjustRightInd w:val="0"/>
              <w:snapToGrid w:val="0"/>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磋商报价得分=(磋商基准价／磋商报价)×价格分值</w:t>
            </w:r>
          </w:p>
          <w:p w14:paraId="5849645D">
            <w:pPr>
              <w:pStyle w:val="12"/>
              <w:spacing w:line="24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1、最终报价得分以四舍五入保留小数点后两位</w:t>
            </w:r>
          </w:p>
          <w:p w14:paraId="791935E4">
            <w:pPr>
              <w:pStyle w:val="13"/>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r w14:paraId="4A9D0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1156" w:type="dxa"/>
            <w:vMerge w:val="restart"/>
            <w:noWrap w:val="0"/>
            <w:vAlign w:val="center"/>
          </w:tcPr>
          <w:p w14:paraId="0EF4E4D6">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技术部分（50分）</w:t>
            </w:r>
          </w:p>
        </w:tc>
        <w:tc>
          <w:tcPr>
            <w:tcW w:w="1692" w:type="dxa"/>
            <w:noWrap w:val="0"/>
            <w:vAlign w:val="center"/>
          </w:tcPr>
          <w:p w14:paraId="730FAD62">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服务工作重点难点分析（15分）</w:t>
            </w:r>
          </w:p>
        </w:tc>
        <w:tc>
          <w:tcPr>
            <w:tcW w:w="7045" w:type="dxa"/>
            <w:noWrap w:val="0"/>
            <w:vAlign w:val="center"/>
          </w:tcPr>
          <w:p w14:paraId="1CB926A6">
            <w:pPr>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 xml:space="preserve">服务 </w:t>
            </w:r>
            <w:bookmarkStart w:id="3" w:name="_GoBack"/>
            <w:bookmarkEnd w:id="3"/>
            <w:r>
              <w:rPr>
                <w:rFonts w:hint="eastAsia" w:ascii="宋体" w:hAnsi="宋体" w:eastAsia="宋体" w:cs="宋体"/>
                <w:color w:val="auto"/>
                <w:kern w:val="2"/>
                <w:sz w:val="21"/>
                <w:szCs w:val="24"/>
                <w:highlight w:val="none"/>
                <w:lang w:val="en-US" w:eastAsia="zh-CN" w:bidi="ar-SA"/>
              </w:rPr>
              <w:t>工作重点难点分析深入，对关键节点工作有针对性的分析计15分；欠合理的每处扣1分，扣完为止，未提供的不计分。</w:t>
            </w:r>
          </w:p>
          <w:p w14:paraId="694010C3">
            <w:pPr>
              <w:widowControl/>
              <w:jc w:val="left"/>
              <w:textAlignment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欠合理是指具有明显缺陷，前后内容无法连贯，逻辑不通，文字内容不能清楚表达意图；内容脱离了该咨询工作实际情况；与国家或行业相关政策法规或管理办法不符，或与行业惯例不符；不具备实施的可能性或套用其他项目方案或引用错误或前后内容不一致甚至矛盾或存在与本项目无关的内容）</w:t>
            </w:r>
          </w:p>
        </w:tc>
      </w:tr>
      <w:tr w14:paraId="4F0028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156" w:type="dxa"/>
            <w:vMerge w:val="continue"/>
            <w:noWrap w:val="0"/>
            <w:vAlign w:val="center"/>
          </w:tcPr>
          <w:p w14:paraId="609E92CA">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kern w:val="2"/>
                <w:sz w:val="21"/>
                <w:szCs w:val="24"/>
                <w:highlight w:val="none"/>
                <w:lang w:val="en-US" w:eastAsia="zh-CN" w:bidi="ar-SA"/>
              </w:rPr>
            </w:pPr>
          </w:p>
        </w:tc>
        <w:tc>
          <w:tcPr>
            <w:tcW w:w="1692" w:type="dxa"/>
            <w:noWrap w:val="0"/>
            <w:vAlign w:val="center"/>
          </w:tcPr>
          <w:p w14:paraId="1214BC4A">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服务工作质量控制方案（15分）</w:t>
            </w:r>
          </w:p>
        </w:tc>
        <w:tc>
          <w:tcPr>
            <w:tcW w:w="7045" w:type="dxa"/>
            <w:noWrap w:val="0"/>
            <w:vAlign w:val="center"/>
          </w:tcPr>
          <w:p w14:paraId="15847FEB">
            <w:pPr>
              <w:widowControl/>
              <w:jc w:val="left"/>
              <w:textAlignment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质量控制重点分析到位，控制措施与手段健</w:t>
            </w:r>
            <w:r>
              <w:rPr>
                <w:rFonts w:hint="eastAsia" w:ascii="宋体" w:hAnsi="宋体" w:cs="宋体"/>
                <w:color w:val="auto"/>
                <w:kern w:val="2"/>
                <w:sz w:val="21"/>
                <w:szCs w:val="24"/>
                <w:highlight w:val="none"/>
                <w:lang w:val="en-US" w:eastAsia="zh-CN" w:bidi="ar-SA"/>
              </w:rPr>
              <w:t>,主动与相关管理部门对接，</w:t>
            </w:r>
            <w:r>
              <w:rPr>
                <w:rFonts w:hint="eastAsia" w:ascii="宋体" w:hAnsi="宋体" w:eastAsia="宋体" w:cs="宋体"/>
                <w:color w:val="auto"/>
                <w:kern w:val="2"/>
                <w:sz w:val="21"/>
                <w:szCs w:val="24"/>
                <w:highlight w:val="none"/>
                <w:lang w:val="en-US" w:eastAsia="zh-CN" w:bidi="ar-SA"/>
              </w:rPr>
              <w:t>全计15分；欠合理的每处扣1分，扣完为止，未提供的不计分。</w:t>
            </w:r>
          </w:p>
          <w:p w14:paraId="08B3100E">
            <w:pP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欠合理是指具有明显缺陷，前后内容无法连贯，逻辑不通，文字内容不能清楚表达意图；内容脱离了该项目实际情况；与国家或行业相关政策法规或管理办法不符，或与行业惯例不符；不具备实施的可能性或套用其他项目方案或引用错误或前后内容不一致甚至矛盾或存在与本项目无关的内容）。</w:t>
            </w:r>
          </w:p>
        </w:tc>
      </w:tr>
      <w:tr w14:paraId="02917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56" w:type="dxa"/>
            <w:vMerge w:val="continue"/>
            <w:noWrap w:val="0"/>
            <w:vAlign w:val="center"/>
          </w:tcPr>
          <w:p w14:paraId="0580E22B">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kern w:val="2"/>
                <w:sz w:val="21"/>
                <w:szCs w:val="24"/>
                <w:highlight w:val="none"/>
                <w:lang w:val="en-US" w:eastAsia="zh-CN" w:bidi="ar-SA"/>
              </w:rPr>
            </w:pPr>
          </w:p>
        </w:tc>
        <w:tc>
          <w:tcPr>
            <w:tcW w:w="1692" w:type="dxa"/>
            <w:noWrap w:val="0"/>
            <w:vAlign w:val="center"/>
          </w:tcPr>
          <w:p w14:paraId="15D1D5F2">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服务工作进度控制方案（10分）</w:t>
            </w:r>
          </w:p>
        </w:tc>
        <w:tc>
          <w:tcPr>
            <w:tcW w:w="7045" w:type="dxa"/>
            <w:noWrap w:val="0"/>
            <w:vAlign w:val="center"/>
          </w:tcPr>
          <w:p w14:paraId="1FF58462">
            <w:pPr>
              <w:widowControl/>
              <w:jc w:val="left"/>
              <w:textAlignment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进度控制重点分析到位，控制措施与手段可靠有力，计10分；欠合理的每处扣1分，扣完为止，未提供的不计分。</w:t>
            </w:r>
          </w:p>
          <w:p w14:paraId="1313EFED">
            <w:pPr>
              <w:widowControl/>
              <w:jc w:val="left"/>
              <w:textAlignment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欠合理是指具有明显缺陷，前后内容无法连贯，逻辑不通，文字内容不能清楚表达意图；内容脱离了该项目实际情况；与国家或行业相关政策法规或管理办法不符，或与行业惯例不符；不具备实施的可能性或套用其他项目方案或引用错误或前后内容不一致甚至矛盾或存在与本项目无关的内容）</w:t>
            </w:r>
          </w:p>
        </w:tc>
      </w:tr>
      <w:tr w14:paraId="5C9DFC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56" w:type="dxa"/>
            <w:vMerge w:val="continue"/>
            <w:noWrap w:val="0"/>
            <w:vAlign w:val="center"/>
          </w:tcPr>
          <w:p w14:paraId="5C086E5E">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kern w:val="2"/>
                <w:sz w:val="21"/>
                <w:szCs w:val="24"/>
                <w:highlight w:val="none"/>
                <w:lang w:val="en-US" w:eastAsia="zh-CN" w:bidi="ar-SA"/>
              </w:rPr>
            </w:pPr>
          </w:p>
        </w:tc>
        <w:tc>
          <w:tcPr>
            <w:tcW w:w="1692" w:type="dxa"/>
            <w:noWrap w:val="0"/>
            <w:vAlign w:val="center"/>
          </w:tcPr>
          <w:p w14:paraId="4E136E27">
            <w:pPr>
              <w:widowControl/>
              <w:jc w:val="center"/>
              <w:textAlignment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服务工作安全生产管理方案（10分）</w:t>
            </w:r>
          </w:p>
        </w:tc>
        <w:tc>
          <w:tcPr>
            <w:tcW w:w="7045" w:type="dxa"/>
            <w:noWrap w:val="0"/>
            <w:vAlign w:val="center"/>
          </w:tcPr>
          <w:p w14:paraId="0B43FD57">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保证施工安全的</w:t>
            </w:r>
            <w:r>
              <w:rPr>
                <w:rFonts w:hint="eastAsia" w:ascii="宋体" w:hAnsi="宋体" w:cs="宋体"/>
                <w:color w:val="auto"/>
                <w:kern w:val="2"/>
                <w:sz w:val="21"/>
                <w:szCs w:val="24"/>
                <w:highlight w:val="none"/>
                <w:lang w:val="en-US" w:eastAsia="zh-CN" w:bidi="ar-SA"/>
              </w:rPr>
              <w:t>服务</w:t>
            </w:r>
            <w:r>
              <w:rPr>
                <w:rFonts w:hint="eastAsia" w:ascii="宋体" w:hAnsi="宋体" w:eastAsia="宋体" w:cs="宋体"/>
                <w:color w:val="auto"/>
                <w:kern w:val="2"/>
                <w:sz w:val="21"/>
                <w:szCs w:val="24"/>
                <w:highlight w:val="none"/>
                <w:lang w:val="en-US" w:eastAsia="zh-CN" w:bidi="ar-SA"/>
              </w:rPr>
              <w:t>控制措施体系健全可靠，安全生产管理控制措施得力，计10分；欠合理的每处扣1分，扣完为止，未提供的不计分。</w:t>
            </w:r>
          </w:p>
          <w:p w14:paraId="398E4A1B">
            <w:pPr>
              <w:widowControl/>
              <w:jc w:val="left"/>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欠合理是指具有明显缺陷，前后内容无法连贯，逻辑不通，文字内容不能清楚表达意图；内容脱离了该项目实际情况；与国家或行业相关政策法规或管理办法不符，或与行业惯例不符；不具备实施的可能性或套用其他项目方案或引用错误或前后内容不一致甚至矛盾或存在与本项目无关的内容）</w:t>
            </w:r>
          </w:p>
        </w:tc>
      </w:tr>
      <w:tr w14:paraId="2DD01A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9893" w:type="dxa"/>
            <w:gridSpan w:val="3"/>
            <w:noWrap w:val="0"/>
            <w:vAlign w:val="center"/>
          </w:tcPr>
          <w:p w14:paraId="0157ACEB">
            <w:pPr>
              <w:pStyle w:val="13"/>
              <w:keepNext w:val="0"/>
              <w:keepLines w:val="0"/>
              <w:pageBreakBefore w:val="0"/>
              <w:kinsoku/>
              <w:wordWrap/>
              <w:overflowPunct/>
              <w:topLinePunct w:val="0"/>
              <w:bidi w:val="0"/>
              <w:snapToGrid/>
              <w:spacing w:line="340" w:lineRule="exact"/>
              <w:jc w:val="both"/>
              <w:textAlignment w:val="auto"/>
              <w:rPr>
                <w:rFonts w:hint="eastAsia" w:ascii="宋体" w:hAnsi="宋体" w:eastAsia="宋体" w:cs="宋体"/>
                <w:b w:val="0"/>
                <w:color w:val="auto"/>
                <w:kern w:val="2"/>
                <w:sz w:val="21"/>
                <w:szCs w:val="24"/>
                <w:highlight w:val="none"/>
                <w:lang w:val="zh-TW" w:eastAsia="zh-CN" w:bidi="ar-SA"/>
              </w:rPr>
            </w:pPr>
            <w:r>
              <w:rPr>
                <w:rFonts w:hint="default" w:ascii="宋体" w:hAnsi="宋体" w:eastAsia="宋体" w:cs="宋体"/>
                <w:b w:val="0"/>
                <w:color w:val="auto"/>
                <w:kern w:val="2"/>
                <w:sz w:val="21"/>
                <w:szCs w:val="24"/>
                <w:highlight w:val="none"/>
                <w:lang w:val="en-US" w:eastAsia="zh-CN" w:bidi="ar-SA"/>
              </w:rPr>
              <w:t>注：不合理指内容逻辑混乱、存在科学原理错误、不符合相关的国家、行业标准；不完整指内容具有明显缺陷，存在逻辑漏洞、前后内容无法连贯；不符合项目实际情况指内容脱离了实际情况，只有单纯的文字描述，不具备实施的可能性以及涉及的规范、标准与本项目要求不一致等情形。</w:t>
            </w:r>
          </w:p>
        </w:tc>
      </w:tr>
      <w:tr w14:paraId="6963AC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1156" w:type="dxa"/>
            <w:noWrap w:val="0"/>
            <w:vAlign w:val="center"/>
          </w:tcPr>
          <w:p w14:paraId="7403DEA3">
            <w:pPr>
              <w:keepNext w:val="0"/>
              <w:keepLines w:val="0"/>
              <w:pageBreakBefore w:val="0"/>
              <w:widowControl/>
              <w:kinsoku/>
              <w:wordWrap/>
              <w:overflowPunct/>
              <w:topLinePunct w:val="0"/>
              <w:bidi w:val="0"/>
              <w:adjustRightInd w:val="0"/>
              <w:snapToGrid/>
              <w:spacing w:line="340" w:lineRule="exact"/>
              <w:textAlignment w:val="auto"/>
              <w:rPr>
                <w:rFonts w:hint="eastAsia" w:ascii="宋体" w:hAnsi="宋体" w:eastAsia="宋体" w:cs="宋体"/>
                <w:b w:val="0"/>
                <w:color w:val="auto"/>
                <w:kern w:val="2"/>
                <w:sz w:val="21"/>
                <w:szCs w:val="24"/>
                <w:highlight w:val="none"/>
                <w:lang w:val="en-US" w:eastAsia="zh-CN" w:bidi="ar-SA"/>
              </w:rPr>
            </w:pPr>
            <w:r>
              <w:rPr>
                <w:rFonts w:hint="eastAsia" w:ascii="宋体" w:hAnsi="宋体" w:eastAsia="宋体" w:cs="宋体"/>
                <w:b w:val="0"/>
                <w:color w:val="auto"/>
                <w:kern w:val="2"/>
                <w:sz w:val="21"/>
                <w:szCs w:val="24"/>
                <w:highlight w:val="none"/>
                <w:lang w:val="en-US" w:eastAsia="zh-CN" w:bidi="ar-SA"/>
              </w:rPr>
              <w:t>商务部分</w:t>
            </w:r>
          </w:p>
          <w:p w14:paraId="38380A97">
            <w:pPr>
              <w:keepNext w:val="0"/>
              <w:keepLines w:val="0"/>
              <w:pageBreakBefore w:val="0"/>
              <w:widowControl/>
              <w:kinsoku/>
              <w:wordWrap/>
              <w:overflowPunct/>
              <w:topLinePunct w:val="0"/>
              <w:bidi w:val="0"/>
              <w:adjustRightInd w:val="0"/>
              <w:snapToGrid/>
              <w:spacing w:line="340" w:lineRule="exact"/>
              <w:textAlignment w:val="auto"/>
              <w:rPr>
                <w:rFonts w:hint="eastAsia" w:ascii="宋体" w:hAnsi="宋体" w:eastAsia="宋体" w:cs="宋体"/>
                <w:b w:val="0"/>
                <w:color w:val="auto"/>
                <w:kern w:val="2"/>
                <w:sz w:val="21"/>
                <w:szCs w:val="24"/>
                <w:highlight w:val="none"/>
                <w:lang w:val="en-US" w:eastAsia="zh-CN" w:bidi="ar-SA"/>
              </w:rPr>
            </w:pPr>
            <w:r>
              <w:rPr>
                <w:rFonts w:hint="eastAsia" w:ascii="宋体" w:hAnsi="宋体" w:eastAsia="宋体" w:cs="宋体"/>
                <w:b w:val="0"/>
                <w:color w:val="auto"/>
                <w:kern w:val="2"/>
                <w:sz w:val="21"/>
                <w:szCs w:val="24"/>
                <w:highlight w:val="none"/>
                <w:lang w:val="en-US" w:eastAsia="zh-CN" w:bidi="ar-SA"/>
              </w:rPr>
              <w:t>（30分）</w:t>
            </w:r>
          </w:p>
        </w:tc>
        <w:tc>
          <w:tcPr>
            <w:tcW w:w="1692" w:type="dxa"/>
            <w:noWrap w:val="0"/>
            <w:vAlign w:val="center"/>
          </w:tcPr>
          <w:p w14:paraId="61F065B7">
            <w:pPr>
              <w:keepNext w:val="0"/>
              <w:keepLines w:val="0"/>
              <w:pageBreakBefore w:val="0"/>
              <w:kinsoku/>
              <w:wordWrap/>
              <w:overflowPunct/>
              <w:topLinePunct w:val="0"/>
              <w:autoSpaceDE w:val="0"/>
              <w:autoSpaceDN w:val="0"/>
              <w:bidi w:val="0"/>
              <w:adjustRightInd w:val="0"/>
              <w:snapToGrid/>
              <w:spacing w:line="340" w:lineRule="exact"/>
              <w:jc w:val="center"/>
              <w:textAlignment w:val="auto"/>
              <w:rPr>
                <w:rFonts w:hint="eastAsia" w:ascii="宋体" w:hAnsi="宋体" w:eastAsia="宋体" w:cs="宋体"/>
                <w:b w:val="0"/>
                <w:color w:val="auto"/>
                <w:kern w:val="2"/>
                <w:sz w:val="21"/>
                <w:szCs w:val="24"/>
                <w:highlight w:val="none"/>
                <w:lang w:val="en-US" w:eastAsia="zh-CN" w:bidi="ar-SA"/>
              </w:rPr>
            </w:pPr>
            <w:r>
              <w:rPr>
                <w:rFonts w:hint="eastAsia" w:ascii="宋体" w:hAnsi="宋体" w:eastAsia="宋体" w:cs="宋体"/>
                <w:b w:val="0"/>
                <w:color w:val="auto"/>
                <w:kern w:val="2"/>
                <w:sz w:val="21"/>
                <w:szCs w:val="24"/>
                <w:highlight w:val="none"/>
                <w:lang w:val="en-US" w:eastAsia="zh-CN" w:bidi="ar-SA"/>
              </w:rPr>
              <w:t>类似业绩(30分)</w:t>
            </w:r>
          </w:p>
        </w:tc>
        <w:tc>
          <w:tcPr>
            <w:tcW w:w="7045" w:type="dxa"/>
            <w:noWrap w:val="0"/>
            <w:vAlign w:val="center"/>
          </w:tcPr>
          <w:p w14:paraId="66CCBB1D">
            <w:pPr>
              <w:keepNext w:val="0"/>
              <w:keepLines w:val="0"/>
              <w:pageBreakBefore w:val="0"/>
              <w:kinsoku/>
              <w:wordWrap/>
              <w:overflowPunct/>
              <w:topLinePunct w:val="0"/>
              <w:autoSpaceDE w:val="0"/>
              <w:autoSpaceDN w:val="0"/>
              <w:bidi w:val="0"/>
              <w:adjustRightInd w:val="0"/>
              <w:snapToGrid/>
              <w:spacing w:line="340" w:lineRule="exact"/>
              <w:textAlignment w:val="auto"/>
              <w:rPr>
                <w:rFonts w:hint="default" w:ascii="宋体" w:hAnsi="宋体" w:eastAsia="宋体" w:cs="宋体"/>
                <w:b w:val="0"/>
                <w:color w:val="auto"/>
                <w:kern w:val="2"/>
                <w:sz w:val="21"/>
                <w:szCs w:val="24"/>
                <w:highlight w:val="none"/>
                <w:lang w:val="en-US" w:eastAsia="zh-CN" w:bidi="ar-SA"/>
              </w:rPr>
            </w:pPr>
            <w:r>
              <w:rPr>
                <w:rFonts w:hint="eastAsia" w:ascii="宋体" w:hAnsi="宋体" w:eastAsia="宋体" w:cs="宋体"/>
                <w:b w:val="0"/>
                <w:color w:val="auto"/>
                <w:kern w:val="2"/>
                <w:sz w:val="21"/>
                <w:szCs w:val="24"/>
                <w:highlight w:val="none"/>
                <w:lang w:val="en-US" w:eastAsia="zh-CN" w:bidi="ar-SA"/>
              </w:rPr>
              <w:t>供应商具有本项目的类似业绩(供应商近3年，指投标截止时间前36个月内)，每个计</w:t>
            </w:r>
            <w:r>
              <w:rPr>
                <w:rFonts w:hint="eastAsia" w:ascii="宋体" w:hAnsi="宋体" w:cs="宋体"/>
                <w:b w:val="0"/>
                <w:color w:val="auto"/>
                <w:kern w:val="2"/>
                <w:sz w:val="21"/>
                <w:szCs w:val="24"/>
                <w:highlight w:val="none"/>
                <w:lang w:val="en-US" w:eastAsia="zh-CN" w:bidi="ar-SA"/>
              </w:rPr>
              <w:t>10</w:t>
            </w:r>
            <w:r>
              <w:rPr>
                <w:rFonts w:hint="eastAsia" w:ascii="宋体" w:hAnsi="宋体" w:eastAsia="宋体" w:cs="宋体"/>
                <w:b w:val="0"/>
                <w:color w:val="auto"/>
                <w:kern w:val="2"/>
                <w:sz w:val="21"/>
                <w:szCs w:val="24"/>
                <w:highlight w:val="none"/>
                <w:lang w:val="en-US" w:eastAsia="zh-CN" w:bidi="ar-SA"/>
              </w:rPr>
              <w:t>分，最多计</w:t>
            </w:r>
            <w:r>
              <w:rPr>
                <w:rFonts w:hint="eastAsia" w:ascii="宋体" w:hAnsi="宋体" w:cs="宋体"/>
                <w:b w:val="0"/>
                <w:color w:val="auto"/>
                <w:kern w:val="2"/>
                <w:sz w:val="21"/>
                <w:szCs w:val="24"/>
                <w:highlight w:val="none"/>
                <w:lang w:val="en-US" w:eastAsia="zh-CN" w:bidi="ar-SA"/>
              </w:rPr>
              <w:t>30</w:t>
            </w:r>
            <w:r>
              <w:rPr>
                <w:rFonts w:hint="eastAsia" w:ascii="宋体" w:hAnsi="宋体" w:eastAsia="宋体" w:cs="宋体"/>
                <w:b w:val="0"/>
                <w:color w:val="auto"/>
                <w:kern w:val="2"/>
                <w:sz w:val="21"/>
                <w:szCs w:val="24"/>
                <w:highlight w:val="none"/>
                <w:lang w:val="en-US" w:eastAsia="zh-CN" w:bidi="ar-SA"/>
              </w:rPr>
              <w:t>分。(注:以合同签订时间为准，需提供项目合同协议书，否则不计分）</w:t>
            </w:r>
          </w:p>
        </w:tc>
      </w:tr>
      <w:tr w14:paraId="6B755B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56" w:type="dxa"/>
            <w:noWrap w:val="0"/>
            <w:vAlign w:val="center"/>
          </w:tcPr>
          <w:p w14:paraId="32149DE0">
            <w:pPr>
              <w:adjustRightInd w:val="0"/>
              <w:snapToGrid w:val="0"/>
              <w:spacing w:line="360" w:lineRule="exact"/>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满分</w:t>
            </w:r>
          </w:p>
        </w:tc>
        <w:tc>
          <w:tcPr>
            <w:tcW w:w="8737" w:type="dxa"/>
            <w:gridSpan w:val="2"/>
            <w:noWrap w:val="0"/>
            <w:vAlign w:val="center"/>
          </w:tcPr>
          <w:p w14:paraId="7677663A">
            <w:pPr>
              <w:keepNext w:val="0"/>
              <w:keepLines w:val="0"/>
              <w:pageBreakBefore w:val="0"/>
              <w:kinsoku/>
              <w:wordWrap/>
              <w:overflowPunct/>
              <w:topLinePunct w:val="0"/>
              <w:autoSpaceDE w:val="0"/>
              <w:autoSpaceDN w:val="0"/>
              <w:bidi w:val="0"/>
              <w:adjustRightInd w:val="0"/>
              <w:snapToGrid/>
              <w:spacing w:line="340" w:lineRule="exact"/>
              <w:jc w:val="center"/>
              <w:textAlignment w:val="auto"/>
              <w:rPr>
                <w:rFonts w:hint="eastAsia" w:ascii="Times New Roman" w:hAnsi="Times New Roman" w:eastAsia="宋体" w:cs="Times New Roman"/>
                <w:b w:val="0"/>
                <w:bCs/>
                <w:color w:val="auto"/>
                <w:sz w:val="21"/>
                <w:szCs w:val="21"/>
                <w:highlight w:val="none"/>
                <w:lang w:val="en-US" w:eastAsia="zh-CN" w:bidi="ar-SA"/>
              </w:rPr>
            </w:pPr>
            <w:r>
              <w:rPr>
                <w:rFonts w:hint="eastAsia" w:ascii="宋体" w:hAnsi="宋体" w:cs="宋体"/>
                <w:color w:val="auto"/>
                <w:kern w:val="0"/>
                <w:sz w:val="21"/>
                <w:szCs w:val="21"/>
                <w:highlight w:val="none"/>
                <w:lang w:val="en-US" w:eastAsia="zh-CN" w:bidi="ar-SA"/>
              </w:rPr>
              <w:t>100分</w:t>
            </w:r>
          </w:p>
        </w:tc>
      </w:tr>
    </w:tbl>
    <w:p w14:paraId="69DABFCC">
      <w:pPr>
        <w:pStyle w:val="3"/>
        <w:ind w:left="0" w:leftChars="0" w:firstLine="0" w:firstLineChars="0"/>
        <w:rPr>
          <w:rFonts w:hint="eastAsia"/>
          <w:highlight w:val="none"/>
          <w:lang w:eastAsia="zh-CN"/>
        </w:rPr>
      </w:pPr>
    </w:p>
    <w:p w14:paraId="5D5096C4">
      <w:pPr>
        <w:numPr>
          <w:ilvl w:val="0"/>
          <w:numId w:val="0"/>
        </w:numPr>
        <w:tabs>
          <w:tab w:val="left" w:pos="653"/>
        </w:tabs>
        <w:adjustRightInd w:val="0"/>
        <w:snapToGrid w:val="0"/>
        <w:spacing w:line="440" w:lineRule="exact"/>
        <w:ind w:firstLine="420" w:firstLineChars="200"/>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评分准则</w:t>
      </w:r>
    </w:p>
    <w:p w14:paraId="2EF44A18">
      <w:pPr>
        <w:adjustRightInd w:val="0"/>
        <w:snapToGrid w:val="0"/>
        <w:spacing w:line="440" w:lineRule="exact"/>
        <w:ind w:left="630" w:leftChars="300"/>
        <w:rPr>
          <w:rFonts w:hint="eastAsia" w:ascii="宋体" w:hAnsi="宋体" w:cs="宋体"/>
          <w:color w:val="000000"/>
          <w:szCs w:val="21"/>
          <w:highlight w:val="none"/>
        </w:rPr>
      </w:pPr>
      <w:r>
        <w:rPr>
          <w:rFonts w:hint="eastAsia" w:ascii="宋体" w:hAnsi="宋体" w:cs="宋体"/>
          <w:color w:val="000000"/>
          <w:szCs w:val="21"/>
          <w:highlight w:val="none"/>
        </w:rPr>
        <w:t>评标总得分为投标报价、技术、商务等评分项得分(含优先采购政策加分)之和，评分按以下计算汇总供应商最后得分。其计算公式如下：</w:t>
      </w:r>
    </w:p>
    <w:p w14:paraId="67849AF1">
      <w:pPr>
        <w:adjustRightInd w:val="0"/>
        <w:snapToGrid w:val="0"/>
        <w:spacing w:line="440" w:lineRule="exact"/>
        <w:ind w:left="630" w:leftChars="300"/>
        <w:rPr>
          <w:rFonts w:hint="eastAsia" w:ascii="宋体" w:hAnsi="宋体" w:cs="宋体"/>
          <w:color w:val="000000"/>
          <w:sz w:val="18"/>
          <w:szCs w:val="18"/>
          <w:highlight w:val="none"/>
          <w:vertAlign w:val="subscript"/>
        </w:rPr>
      </w:pPr>
      <w:r>
        <w:rPr>
          <w:rFonts w:hint="eastAsia" w:ascii="宋体" w:hAnsi="宋体" w:cs="宋体"/>
          <w:color w:val="000000"/>
          <w:szCs w:val="21"/>
          <w:highlight w:val="none"/>
        </w:rPr>
        <w:t>评审总得分＝</w:t>
      </w:r>
      <w:r>
        <w:rPr>
          <w:rFonts w:hint="eastAsia" w:ascii="宋体" w:hAnsi="宋体" w:cs="宋体"/>
          <w:color w:val="000000"/>
          <w:sz w:val="18"/>
          <w:szCs w:val="18"/>
          <w:highlight w:val="none"/>
        </w:rPr>
        <w:t>F</w:t>
      </w:r>
      <w:r>
        <w:rPr>
          <w:rFonts w:hint="eastAsia" w:ascii="宋体" w:hAnsi="宋体" w:cs="宋体"/>
          <w:color w:val="000000"/>
          <w:sz w:val="18"/>
          <w:szCs w:val="18"/>
          <w:highlight w:val="none"/>
          <w:vertAlign w:val="subscript"/>
        </w:rPr>
        <w:t>磋商报价</w:t>
      </w:r>
      <w:r>
        <w:rPr>
          <w:rFonts w:hint="eastAsia" w:ascii="宋体" w:hAnsi="宋体" w:cs="宋体"/>
          <w:color w:val="000000"/>
          <w:sz w:val="18"/>
          <w:szCs w:val="18"/>
          <w:highlight w:val="none"/>
        </w:rPr>
        <w:t>+F</w:t>
      </w:r>
      <w:r>
        <w:rPr>
          <w:rFonts w:hint="eastAsia" w:ascii="宋体" w:hAnsi="宋体" w:cs="宋体"/>
          <w:color w:val="000000"/>
          <w:sz w:val="18"/>
          <w:szCs w:val="18"/>
          <w:highlight w:val="none"/>
          <w:vertAlign w:val="subscript"/>
        </w:rPr>
        <w:t>商务</w:t>
      </w:r>
      <w:r>
        <w:rPr>
          <w:rFonts w:hint="eastAsia" w:ascii="宋体" w:hAnsi="宋体" w:cs="宋体"/>
          <w:color w:val="000000"/>
          <w:sz w:val="18"/>
          <w:szCs w:val="18"/>
          <w:highlight w:val="none"/>
        </w:rPr>
        <w:t>+F</w:t>
      </w:r>
      <w:r>
        <w:rPr>
          <w:rFonts w:hint="eastAsia" w:ascii="宋体" w:hAnsi="宋体" w:cs="宋体"/>
          <w:color w:val="000000"/>
          <w:sz w:val="18"/>
          <w:szCs w:val="18"/>
          <w:highlight w:val="none"/>
          <w:vertAlign w:val="subscript"/>
        </w:rPr>
        <w:t>技术</w:t>
      </w:r>
    </w:p>
    <w:p w14:paraId="34C4C1DE">
      <w:pPr>
        <w:adjustRightInd w:val="0"/>
        <w:snapToGrid w:val="0"/>
        <w:spacing w:line="440" w:lineRule="exact"/>
        <w:ind w:left="630" w:leftChars="300"/>
        <w:rPr>
          <w:rFonts w:hint="eastAsia" w:ascii="宋体" w:hAnsi="宋体" w:cs="宋体"/>
          <w:color w:val="000000"/>
          <w:szCs w:val="21"/>
          <w:highlight w:val="none"/>
        </w:rPr>
      </w:pPr>
      <w:r>
        <w:rPr>
          <w:rFonts w:hint="eastAsia" w:ascii="宋体" w:hAnsi="宋体" w:cs="宋体"/>
          <w:color w:val="000000"/>
          <w:sz w:val="18"/>
          <w:szCs w:val="18"/>
          <w:highlight w:val="none"/>
        </w:rPr>
        <w:t>F</w:t>
      </w:r>
      <w:r>
        <w:rPr>
          <w:rFonts w:hint="eastAsia" w:ascii="宋体" w:hAnsi="宋体" w:cs="宋体"/>
          <w:color w:val="000000"/>
          <w:sz w:val="18"/>
          <w:szCs w:val="18"/>
          <w:highlight w:val="none"/>
          <w:vertAlign w:val="subscript"/>
        </w:rPr>
        <w:t>商务</w:t>
      </w:r>
      <w:r>
        <w:rPr>
          <w:rFonts w:hint="eastAsia" w:ascii="宋体" w:hAnsi="宋体" w:cs="宋体"/>
          <w:color w:val="000000"/>
          <w:sz w:val="18"/>
          <w:szCs w:val="18"/>
          <w:highlight w:val="none"/>
        </w:rPr>
        <w:t>：</w:t>
      </w:r>
      <w:r>
        <w:rPr>
          <w:rFonts w:hint="eastAsia" w:ascii="宋体" w:hAnsi="宋体" w:cs="宋体"/>
          <w:color w:val="000000"/>
          <w:szCs w:val="21"/>
          <w:highlight w:val="none"/>
        </w:rPr>
        <w:t>各评委商务评分的算术平均值；</w:t>
      </w:r>
    </w:p>
    <w:p w14:paraId="135B9754">
      <w:pPr>
        <w:adjustRightInd w:val="0"/>
        <w:snapToGrid w:val="0"/>
        <w:spacing w:line="440" w:lineRule="exact"/>
        <w:ind w:left="630" w:leftChars="300"/>
        <w:rPr>
          <w:rFonts w:hint="eastAsia" w:ascii="宋体" w:hAnsi="宋体" w:cs="宋体"/>
          <w:color w:val="000000"/>
          <w:sz w:val="18"/>
          <w:szCs w:val="18"/>
          <w:highlight w:val="none"/>
          <w:vertAlign w:val="subscript"/>
        </w:rPr>
      </w:pPr>
      <w:r>
        <w:rPr>
          <w:rFonts w:hint="eastAsia" w:ascii="宋体" w:hAnsi="宋体" w:cs="宋体"/>
          <w:color w:val="000000"/>
          <w:sz w:val="18"/>
          <w:szCs w:val="18"/>
          <w:highlight w:val="none"/>
        </w:rPr>
        <w:t>F</w:t>
      </w:r>
      <w:r>
        <w:rPr>
          <w:rFonts w:hint="eastAsia" w:ascii="宋体" w:hAnsi="宋体" w:cs="宋体"/>
          <w:color w:val="000000"/>
          <w:sz w:val="18"/>
          <w:szCs w:val="18"/>
          <w:highlight w:val="none"/>
          <w:vertAlign w:val="subscript"/>
        </w:rPr>
        <w:t>技术</w:t>
      </w:r>
      <w:r>
        <w:rPr>
          <w:rFonts w:hint="eastAsia" w:ascii="宋体" w:hAnsi="宋体" w:cs="宋体"/>
          <w:color w:val="000000"/>
          <w:sz w:val="18"/>
          <w:szCs w:val="18"/>
          <w:highlight w:val="none"/>
        </w:rPr>
        <w:t>：</w:t>
      </w:r>
      <w:r>
        <w:rPr>
          <w:rFonts w:hint="eastAsia" w:ascii="宋体" w:hAnsi="宋体" w:cs="宋体"/>
          <w:color w:val="000000"/>
          <w:szCs w:val="21"/>
          <w:highlight w:val="none"/>
        </w:rPr>
        <w:t>各评委技术评分的算术平均值。</w:t>
      </w:r>
    </w:p>
    <w:p w14:paraId="17D05738">
      <w:pPr>
        <w:tabs>
          <w:tab w:val="left" w:pos="653"/>
        </w:tabs>
        <w:adjustRightInd w:val="0"/>
        <w:snapToGrid w:val="0"/>
        <w:spacing w:line="44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）记分、计算规则</w:t>
      </w:r>
    </w:p>
    <w:p w14:paraId="14952952">
      <w:pPr>
        <w:adjustRightInd w:val="0"/>
        <w:snapToGrid w:val="0"/>
        <w:spacing w:line="440" w:lineRule="exact"/>
        <w:ind w:left="630" w:leftChars="300"/>
        <w:rPr>
          <w:rFonts w:hint="eastAsia" w:ascii="宋体" w:hAnsi="宋体" w:cs="宋体"/>
          <w:color w:val="000000"/>
          <w:szCs w:val="21"/>
          <w:highlight w:val="none"/>
        </w:rPr>
      </w:pPr>
      <w:r>
        <w:rPr>
          <w:rFonts w:hint="eastAsia" w:ascii="宋体" w:hAnsi="宋体" w:cs="宋体"/>
          <w:color w:val="000000"/>
          <w:szCs w:val="21"/>
          <w:highlight w:val="none"/>
        </w:rPr>
        <w:t>A、每次评分计算保留2位小数（百分比亦取2位小数），第三位小数四舍五入。</w:t>
      </w:r>
    </w:p>
    <w:p w14:paraId="7E0978CA">
      <w:pPr>
        <w:adjustRightInd w:val="0"/>
        <w:snapToGrid w:val="0"/>
        <w:spacing w:line="440" w:lineRule="exact"/>
        <w:ind w:left="630" w:leftChars="300"/>
        <w:rPr>
          <w:rFonts w:hint="eastAsia" w:ascii="宋体" w:hAnsi="宋体" w:cs="宋体"/>
          <w:color w:val="000000"/>
          <w:szCs w:val="21"/>
          <w:highlight w:val="none"/>
        </w:rPr>
      </w:pPr>
      <w:r>
        <w:rPr>
          <w:rFonts w:hint="eastAsia" w:ascii="宋体" w:hAnsi="宋体" w:cs="宋体"/>
          <w:color w:val="000000"/>
          <w:szCs w:val="21"/>
          <w:highlight w:val="none"/>
        </w:rPr>
        <w:t>B、有下列情况之一者单项评分为无效分，评委须作出解释，并重新打分：</w:t>
      </w:r>
    </w:p>
    <w:p w14:paraId="0E67FE13">
      <w:pPr>
        <w:adjustRightInd w:val="0"/>
        <w:snapToGrid w:val="0"/>
        <w:spacing w:line="440" w:lineRule="exact"/>
        <w:ind w:left="630" w:leftChars="300"/>
        <w:rPr>
          <w:rFonts w:hint="eastAsia" w:ascii="宋体" w:hAnsi="宋体" w:cs="宋体"/>
          <w:color w:val="000000"/>
          <w:szCs w:val="21"/>
          <w:highlight w:val="none"/>
        </w:rPr>
      </w:pPr>
      <w:r>
        <w:rPr>
          <w:rFonts w:hint="eastAsia" w:ascii="宋体" w:hAnsi="宋体" w:cs="宋体"/>
          <w:color w:val="000000"/>
          <w:szCs w:val="21"/>
          <w:highlight w:val="none"/>
        </w:rPr>
        <w:t>① 评分高出规定最高分或低于规定最低分的；</w:t>
      </w:r>
    </w:p>
    <w:p w14:paraId="754A6C1E">
      <w:pPr>
        <w:adjustRightInd w:val="0"/>
        <w:snapToGrid w:val="0"/>
        <w:spacing w:line="440" w:lineRule="exact"/>
        <w:ind w:left="630" w:leftChars="300"/>
        <w:rPr>
          <w:rFonts w:hint="eastAsia" w:ascii="宋体" w:hAnsi="宋体" w:cs="宋体"/>
          <w:color w:val="000000"/>
          <w:szCs w:val="21"/>
          <w:highlight w:val="none"/>
        </w:rPr>
      </w:pPr>
      <w:r>
        <w:rPr>
          <w:rFonts w:hint="eastAsia" w:ascii="宋体" w:hAnsi="宋体" w:cs="宋体"/>
          <w:color w:val="000000"/>
          <w:szCs w:val="21"/>
          <w:highlight w:val="none"/>
        </w:rPr>
        <w:t>② 一个记分内容有2个或2个以上记分的；</w:t>
      </w:r>
    </w:p>
    <w:p w14:paraId="3A0CCBB3">
      <w:pPr>
        <w:adjustRightInd w:val="0"/>
        <w:snapToGrid w:val="0"/>
        <w:spacing w:before="120" w:beforeLines="50" w:after="120" w:afterLines="50" w:line="320" w:lineRule="exact"/>
        <w:ind w:left="630" w:leftChars="300" w:right="-109" w:rightChars="-52"/>
        <w:rPr>
          <w:rFonts w:hint="eastAsia" w:ascii="宋体" w:hAnsi="宋体" w:cs="宋体"/>
          <w:color w:val="000000"/>
          <w:szCs w:val="21"/>
          <w:highlight w:val="none"/>
        </w:rPr>
      </w:pPr>
      <w:r>
        <w:rPr>
          <w:rFonts w:hint="eastAsia" w:ascii="宋体" w:hAnsi="宋体" w:cs="宋体"/>
          <w:color w:val="000000"/>
          <w:szCs w:val="21"/>
          <w:highlight w:val="none"/>
        </w:rPr>
        <w:t>③ 无记分；</w:t>
      </w:r>
    </w:p>
    <w:p w14:paraId="448F118C">
      <w:pPr>
        <w:pStyle w:val="8"/>
        <w:spacing w:before="120" w:beforeLines="50" w:after="120" w:afterLines="50" w:line="320" w:lineRule="exact"/>
        <w:ind w:firstLine="630" w:firstLineChars="300"/>
        <w:rPr>
          <w:rFonts w:hint="eastAsia" w:hAnsi="宋体" w:cs="宋体"/>
          <w:color w:val="000000"/>
          <w:highlight w:val="none"/>
        </w:rPr>
      </w:pPr>
      <w:r>
        <w:rPr>
          <w:rFonts w:hint="eastAsia" w:hAnsi="宋体" w:cs="宋体"/>
          <w:color w:val="000000"/>
          <w:highlight w:val="none"/>
        </w:rPr>
        <w:t>④ 其它明显不合理记分。</w:t>
      </w:r>
    </w:p>
    <w:p w14:paraId="4BF96FA9">
      <w:pPr>
        <w:numPr>
          <w:ilvl w:val="0"/>
          <w:numId w:val="1"/>
        </w:numPr>
        <w:adjustRightInd w:val="0"/>
        <w:snapToGrid w:val="0"/>
        <w:spacing w:before="240" w:beforeLines="100" w:line="440" w:lineRule="exact"/>
        <w:ind w:right="-109" w:rightChars="-52"/>
        <w:rPr>
          <w:rFonts w:hint="eastAsia" w:ascii="宋体" w:hAnsi="宋体" w:cs="宋体"/>
          <w:b/>
          <w:color w:val="000000"/>
          <w:sz w:val="24"/>
          <w:highlight w:val="none"/>
        </w:rPr>
      </w:pPr>
      <w:r>
        <w:rPr>
          <w:rFonts w:hint="eastAsia" w:ascii="宋体" w:hAnsi="宋体" w:cs="宋体"/>
          <w:b/>
          <w:color w:val="000000"/>
          <w:sz w:val="24"/>
          <w:highlight w:val="none"/>
        </w:rPr>
        <w:t>推荐成交候选供应商</w:t>
      </w:r>
    </w:p>
    <w:p w14:paraId="7081E328">
      <w:pPr>
        <w:keepNext w:val="0"/>
        <w:keepLines w:val="0"/>
        <w:pageBreakBefore w:val="0"/>
        <w:widowControl w:val="0"/>
        <w:kinsoku/>
        <w:wordWrap/>
        <w:overflowPunct/>
        <w:topLinePunct w:val="0"/>
        <w:autoSpaceDE/>
        <w:autoSpaceDN/>
        <w:bidi w:val="0"/>
        <w:adjustRightInd/>
        <w:snapToGrid/>
        <w:spacing w:before="313" w:beforeLines="100" w:line="440" w:lineRule="exac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4.1 按得分由高到低顺序排列。得分相同的，按报价由低到高顺序排列。得分且报价相同的并列。响应</w:t>
      </w:r>
    </w:p>
    <w:p w14:paraId="5C2B96B7">
      <w:pPr>
        <w:keepNext w:val="0"/>
        <w:keepLines w:val="0"/>
        <w:pageBreakBefore w:val="0"/>
        <w:widowControl w:val="0"/>
        <w:kinsoku/>
        <w:wordWrap/>
        <w:overflowPunct/>
        <w:topLinePunct w:val="0"/>
        <w:autoSpaceDE/>
        <w:autoSpaceDN/>
        <w:bidi w:val="0"/>
        <w:adjustRightInd/>
        <w:snapToGrid/>
        <w:spacing w:after="313" w:afterLines="100" w:line="440" w:lineRule="exac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文件满足磋商文件全部实质性要求，且按照评审因素的量化指标评审得分最高的供应商为排名第一的成交候选供应商。当排名第一的成交候选供应商存在并列情况时，由磋商小组采取随机抽取的方式确定排序。</w:t>
      </w:r>
    </w:p>
    <w:p w14:paraId="1D1BB0EE">
      <w:pPr>
        <w:spacing w:line="44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 xml:space="preserve"> 本次磋商推荐的成交候选供应商磋商小组应当根据综合评分情况，按照评审得分由高到低顺序推荐3名以上成交候选供应商。</w:t>
      </w:r>
    </w:p>
    <w:p w14:paraId="6D34B53F">
      <w:pPr>
        <w:pStyle w:val="5"/>
        <w:rPr>
          <w:rFonts w:hint="eastAsia"/>
          <w:color w:val="000000"/>
          <w:highlight w:val="none"/>
        </w:rPr>
      </w:pPr>
    </w:p>
    <w:p w14:paraId="079DBEE9">
      <w:pPr>
        <w:rPr>
          <w:highlight w:val="none"/>
        </w:rPr>
      </w:pPr>
    </w:p>
    <w:p w14:paraId="18F87938">
      <w:pPr>
        <w:pStyle w:val="15"/>
        <w:rPr>
          <w:highlight w:val="none"/>
        </w:rPr>
      </w:pPr>
    </w:p>
    <w:p w14:paraId="20A060E3">
      <w:pPr>
        <w:numPr>
          <w:ilvl w:val="0"/>
          <w:numId w:val="0"/>
        </w:numPr>
        <w:adjustRightInd w:val="0"/>
        <w:snapToGrid w:val="0"/>
        <w:spacing w:before="120" w:beforeLines="50" w:line="360" w:lineRule="auto"/>
        <w:jc w:val="center"/>
        <w:rPr>
          <w:rFonts w:hint="eastAsia" w:ascii="宋体" w:hAnsi="宋体" w:cs="宋体"/>
          <w:b/>
          <w:bCs/>
          <w:color w:val="000000"/>
          <w:sz w:val="32"/>
          <w:szCs w:val="32"/>
          <w:highlight w:val="none"/>
          <w:lang w:val="en-US" w:eastAsia="zh-CN"/>
        </w:rPr>
      </w:pPr>
    </w:p>
    <w:p w14:paraId="4C1DBE64">
      <w:pPr>
        <w:pStyle w:val="9"/>
        <w:rPr>
          <w:rFonts w:hint="eastAsia" w:ascii="宋体" w:hAnsi="宋体" w:cs="宋体"/>
          <w:b/>
          <w:bCs/>
          <w:color w:val="000000"/>
          <w:sz w:val="32"/>
          <w:szCs w:val="32"/>
          <w:highlight w:val="none"/>
          <w:lang w:val="en-US" w:eastAsia="zh-CN"/>
        </w:rPr>
      </w:pPr>
    </w:p>
    <w:p w14:paraId="0B3A1DDE">
      <w:pPr>
        <w:pStyle w:val="3"/>
        <w:rPr>
          <w:rFonts w:hint="eastAsia" w:ascii="宋体" w:hAnsi="宋体" w:cs="宋体"/>
          <w:b/>
          <w:bCs/>
          <w:color w:val="000000"/>
          <w:sz w:val="32"/>
          <w:szCs w:val="32"/>
          <w:highlight w:val="none"/>
          <w:lang w:val="en-US" w:eastAsia="zh-CN"/>
        </w:rPr>
      </w:pPr>
    </w:p>
    <w:p w14:paraId="2EB87E00">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13246D"/>
    <w:multiLevelType w:val="multilevel"/>
    <w:tmpl w:val="0613246D"/>
    <w:lvl w:ilvl="0" w:tentative="0">
      <w:start w:val="1"/>
      <w:numFmt w:val="decimal"/>
      <w:lvlText w:val="%1. "/>
      <w:lvlJc w:val="left"/>
      <w:pPr>
        <w:tabs>
          <w:tab w:val="left" w:pos="0"/>
        </w:tabs>
        <w:ind w:left="0" w:firstLine="0"/>
      </w:pPr>
      <w:rPr>
        <w:rFonts w:hint="eastAsia" w:ascii="宋体" w:hAnsi="宋体" w:eastAsia="宋体"/>
        <w:b/>
        <w:sz w:val="24"/>
        <w:szCs w:val="24"/>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694383"/>
    <w:rsid w:val="020814BF"/>
    <w:rsid w:val="08207C25"/>
    <w:rsid w:val="083841F7"/>
    <w:rsid w:val="117B63ED"/>
    <w:rsid w:val="184243B2"/>
    <w:rsid w:val="1B0A19F2"/>
    <w:rsid w:val="1B694383"/>
    <w:rsid w:val="290A0B47"/>
    <w:rsid w:val="35410C62"/>
    <w:rsid w:val="54C47921"/>
    <w:rsid w:val="5DCA5135"/>
    <w:rsid w:val="685E6080"/>
    <w:rsid w:val="70927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bCs/>
      <w:sz w:val="24"/>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widowControl/>
      <w:ind w:firstLine="420"/>
      <w:jc w:val="left"/>
    </w:pPr>
    <w:rPr>
      <w:kern w:val="0"/>
      <w:sz w:val="20"/>
      <w:szCs w:val="20"/>
    </w:rPr>
  </w:style>
  <w:style w:type="paragraph" w:customStyle="1" w:styleId="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5">
    <w:name w:val="Body Text"/>
    <w:basedOn w:val="1"/>
    <w:qFormat/>
    <w:uiPriority w:val="0"/>
    <w:pPr>
      <w:spacing w:after="120"/>
    </w:pPr>
  </w:style>
  <w:style w:type="paragraph" w:styleId="6">
    <w:name w:val="Body Text Indent"/>
    <w:basedOn w:val="1"/>
    <w:next w:val="7"/>
    <w:qFormat/>
    <w:uiPriority w:val="0"/>
    <w:pPr>
      <w:spacing w:after="120"/>
      <w:ind w:left="420" w:leftChars="200"/>
    </w:pPr>
  </w:style>
  <w:style w:type="paragraph" w:styleId="7">
    <w:name w:val="envelope return"/>
    <w:basedOn w:val="1"/>
    <w:unhideWhenUsed/>
    <w:qFormat/>
    <w:uiPriority w:val="99"/>
    <w:pPr>
      <w:snapToGrid w:val="0"/>
    </w:pPr>
    <w:rPr>
      <w:rFonts w:ascii="Arial" w:hAnsi="Arial"/>
    </w:rPr>
  </w:style>
  <w:style w:type="paragraph" w:styleId="8">
    <w:name w:val="Plain Text"/>
    <w:basedOn w:val="1"/>
    <w:qFormat/>
    <w:uiPriority w:val="0"/>
    <w:rPr>
      <w:rFonts w:ascii="宋体" w:hAnsi="Courier New" w:cs="Courier New"/>
      <w:szCs w:val="21"/>
    </w:rPr>
  </w:style>
  <w:style w:type="paragraph" w:styleId="9">
    <w:name w:val="Body Text First Indent 2"/>
    <w:basedOn w:val="6"/>
    <w:next w:val="3"/>
    <w:qFormat/>
    <w:uiPriority w:val="0"/>
    <w:pPr>
      <w:ind w:left="0" w:firstLine="420" w:firstLineChars="200"/>
    </w:pPr>
    <w:rPr>
      <w:szCs w:val="24"/>
    </w:rPr>
  </w:style>
  <w:style w:type="paragraph" w:customStyle="1" w:styleId="12">
    <w:name w:val="Table Paragraph"/>
    <w:basedOn w:val="1"/>
    <w:unhideWhenUsed/>
    <w:qFormat/>
    <w:uiPriority w:val="1"/>
    <w:rPr>
      <w:rFonts w:hint="default"/>
      <w:sz w:val="24"/>
    </w:rPr>
  </w:style>
  <w:style w:type="paragraph" w:customStyle="1" w:styleId="13">
    <w:name w:val="Heading1"/>
    <w:basedOn w:val="1"/>
    <w:next w:val="1"/>
    <w:unhideWhenUsed/>
    <w:qFormat/>
    <w:uiPriority w:val="0"/>
    <w:pPr>
      <w:keepNext/>
      <w:jc w:val="center"/>
      <w:textAlignment w:val="baseline"/>
    </w:pPr>
    <w:rPr>
      <w:b/>
      <w:sz w:val="24"/>
    </w:rPr>
  </w:style>
  <w:style w:type="character" w:customStyle="1" w:styleId="14">
    <w:name w:val="font01"/>
    <w:qFormat/>
    <w:uiPriority w:val="0"/>
    <w:rPr>
      <w:rFonts w:hint="eastAsia" w:ascii="宋体" w:hAnsi="宋体" w:eastAsia="宋体" w:cs="宋体"/>
      <w:b/>
      <w:color w:val="000000"/>
      <w:sz w:val="18"/>
      <w:szCs w:val="18"/>
      <w:u w:val="none"/>
    </w:rPr>
  </w:style>
  <w:style w:type="paragraph" w:customStyle="1" w:styleId="15">
    <w:name w:val="列出段落1"/>
    <w:basedOn w:val="16"/>
    <w:qFormat/>
    <w:uiPriority w:val="0"/>
    <w:pPr>
      <w:ind w:firstLine="420" w:firstLineChars="200"/>
    </w:pPr>
    <w:rPr>
      <w:rFonts w:ascii="Calibri" w:hAnsi="Calibri"/>
      <w:szCs w:val="22"/>
    </w:rPr>
  </w:style>
  <w:style w:type="paragraph" w:customStyle="1" w:styleId="16">
    <w:name w:val="正文_2_0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1793</Words>
  <Characters>1841</Characters>
  <Lines>0</Lines>
  <Paragraphs>0</Paragraphs>
  <TotalTime>9</TotalTime>
  <ScaleCrop>false</ScaleCrop>
  <LinksUpToDate>false</LinksUpToDate>
  <CharactersWithSpaces>1869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2026-06-23T02:26:00Z</dcterms:created>
  <dc:creator>WPS_1748936769</dc:creator>
  <cp:lastModifiedBy>WPS_1748936769</cp:lastModifiedBy>
  <dcterms:modified xsi:type="dcterms:W3CDTF">2026-07-17T08:37:20Z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6446D3F798634FB1BECDE128BB3F88E2_13</vt:lpwstr>
  </property>
  <property fmtid="{D5CDD505-2E9C-101B-9397-08002B2CF9AE}" pid="4" name="KSOTemplateDocerSaveRecord">
    <vt:lpwstr>eyJoZGlkIjoiODJkMjQxN2I0YThkYzEyYTg4OTBjZTVlODZkOWY3MzQiLCJ1c2VySWQiOiIxNzA3MDAwNDM0In0=</vt:lpwstr>
  </property>
</Properties>
</file>