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569F2">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val="0"/>
          <w:sz w:val="32"/>
          <w:szCs w:val="32"/>
          <w:lang w:eastAsia="zh-CN"/>
        </w:rPr>
      </w:pPr>
      <w:r>
        <w:rPr>
          <w:rFonts w:hint="eastAsia" w:ascii="方正小标宋简体" w:hAnsi="方正小标宋简体" w:eastAsia="方正小标宋简体" w:cs="方正小标宋简体"/>
          <w:b/>
          <w:bCs w:val="0"/>
          <w:sz w:val="32"/>
          <w:szCs w:val="32"/>
          <w:lang w:val="en-US" w:eastAsia="zh-CN"/>
        </w:rPr>
        <w:t>竞价</w:t>
      </w:r>
      <w:r>
        <w:rPr>
          <w:rFonts w:hint="eastAsia" w:ascii="方正小标宋简体" w:hAnsi="方正小标宋简体" w:eastAsia="方正小标宋简体" w:cs="方正小标宋简体"/>
          <w:b/>
          <w:bCs w:val="0"/>
          <w:sz w:val="32"/>
          <w:szCs w:val="32"/>
          <w:lang w:eastAsia="zh-CN"/>
        </w:rPr>
        <w:t>采购文件</w:t>
      </w:r>
    </w:p>
    <w:p w14:paraId="14E314A5">
      <w:pPr>
        <w:jc w:val="right"/>
        <w:rPr>
          <w:rFonts w:hint="default" w:ascii="宋体" w:hAnsi="宋体" w:eastAsia="宋体" w:cs="Tahoma"/>
          <w:b/>
          <w:color w:val="auto"/>
          <w:sz w:val="28"/>
          <w:szCs w:val="28"/>
          <w:lang w:val="en-US" w:eastAsia="zh-CN"/>
        </w:rPr>
      </w:pPr>
      <w:r>
        <w:rPr>
          <w:rFonts w:hint="eastAsia" w:ascii="宋体" w:hAnsi="宋体" w:eastAsia="宋体" w:cs="Tahoma"/>
          <w:b/>
          <w:color w:val="auto"/>
          <w:sz w:val="28"/>
          <w:szCs w:val="28"/>
          <w:lang w:eastAsia="zh-CN"/>
        </w:rPr>
        <w:t>编号:</w:t>
      </w:r>
      <w:r>
        <w:rPr>
          <w:rFonts w:hint="eastAsia" w:ascii="宋体" w:hAnsi="宋体" w:eastAsia="宋体"/>
          <w:b/>
          <w:sz w:val="28"/>
          <w:szCs w:val="28"/>
          <w:lang w:val="en-US" w:eastAsia="zh-CN"/>
        </w:rPr>
        <w:t>FW-2026-42</w:t>
      </w:r>
    </w:p>
    <w:p w14:paraId="2C72B07F">
      <w:pPr>
        <w:keepNext w:val="0"/>
        <w:keepLines w:val="0"/>
        <w:pageBreakBefore w:val="0"/>
        <w:numPr>
          <w:ilvl w:val="0"/>
          <w:numId w:val="1"/>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微软雅黑" w:hAnsi="微软雅黑" w:eastAsia="微软雅黑" w:cs="微软雅黑"/>
          <w:b w:val="0"/>
          <w:bCs/>
          <w:color w:val="auto"/>
          <w:sz w:val="24"/>
          <w:szCs w:val="24"/>
          <w:highlight w:val="none"/>
          <w:lang w:eastAsia="zh-CN"/>
        </w:rPr>
      </w:pPr>
      <w:r>
        <w:rPr>
          <w:rFonts w:hint="eastAsia" w:ascii="微软雅黑" w:hAnsi="微软雅黑" w:eastAsia="微软雅黑" w:cs="微软雅黑"/>
          <w:b w:val="0"/>
          <w:bCs/>
          <w:color w:val="auto"/>
          <w:sz w:val="24"/>
          <w:szCs w:val="24"/>
          <w:highlight w:val="none"/>
          <w:lang w:eastAsia="zh-CN"/>
        </w:rPr>
        <w:t>项目名称</w:t>
      </w:r>
    </w:p>
    <w:p w14:paraId="637FD2BD">
      <w:pPr>
        <w:keepNext w:val="0"/>
        <w:keepLines w:val="0"/>
        <w:pageBreakBefore w:val="0"/>
        <w:numPr>
          <w:ilvl w:val="0"/>
          <w:numId w:val="0"/>
        </w:numPr>
        <w:tabs>
          <w:tab w:val="left" w:pos="0"/>
          <w:tab w:val="left" w:pos="3350"/>
        </w:tabs>
        <w:kinsoku/>
        <w:wordWrap/>
        <w:overflowPunct/>
        <w:topLinePunct w:val="0"/>
        <w:autoSpaceDE/>
        <w:autoSpaceDN/>
        <w:bidi w:val="0"/>
        <w:adjustRightInd/>
        <w:snapToGrid/>
        <w:spacing w:line="440" w:lineRule="exact"/>
        <w:ind w:leftChars="200" w:firstLine="480"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val="0"/>
          <w:bCs/>
          <w:kern w:val="2"/>
          <w:sz w:val="24"/>
          <w:szCs w:val="24"/>
          <w:lang w:val="en-US" w:eastAsia="zh-CN" w:bidi="ar-SA"/>
        </w:rPr>
        <w:t>沙田丽海除“四害”与消毒服务承包项目</w:t>
      </w:r>
    </w:p>
    <w:p w14:paraId="65001BDA">
      <w:pPr>
        <w:keepNext w:val="0"/>
        <w:keepLines w:val="0"/>
        <w:pageBreakBefore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微软雅黑" w:hAnsi="微软雅黑" w:eastAsia="微软雅黑" w:cs="微软雅黑"/>
          <w:b w:val="0"/>
          <w:bCs/>
          <w:color w:val="auto"/>
          <w:kern w:val="2"/>
          <w:sz w:val="24"/>
          <w:szCs w:val="24"/>
          <w:lang w:val="en-US" w:eastAsia="zh-CN" w:bidi="ar-SA"/>
        </w:rPr>
      </w:pPr>
      <w:r>
        <w:rPr>
          <w:rFonts w:hint="eastAsia" w:ascii="微软雅黑" w:hAnsi="微软雅黑" w:eastAsia="微软雅黑" w:cs="微软雅黑"/>
          <w:b w:val="0"/>
          <w:bCs/>
          <w:color w:val="auto"/>
          <w:kern w:val="2"/>
          <w:sz w:val="24"/>
          <w:szCs w:val="24"/>
          <w:lang w:val="en-US" w:eastAsia="zh-CN" w:bidi="ar-SA"/>
        </w:rPr>
        <w:t>二、采购前须知</w:t>
      </w:r>
    </w:p>
    <w:p w14:paraId="79B7F820">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（一）项目概况：</w:t>
      </w:r>
      <w:r>
        <w:rPr>
          <w:rFonts w:hint="eastAsia" w:ascii="宋体" w:hAnsi="宋体" w:eastAsia="宋体" w:cs="宋体"/>
          <w:b w:val="0"/>
          <w:bCs/>
          <w:color w:val="auto"/>
          <w:sz w:val="24"/>
          <w:szCs w:val="24"/>
          <w:highlight w:val="none"/>
          <w:lang w:val="en-US" w:eastAsia="zh-CN"/>
        </w:rPr>
        <w:t>见采购公告项目概况</w:t>
      </w:r>
    </w:p>
    <w:p w14:paraId="69742BA1">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（二）采购文件</w:t>
      </w:r>
    </w:p>
    <w:p w14:paraId="1ADF1ECD">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sz w:val="24"/>
          <w:szCs w:val="24"/>
          <w:lang w:val="en-US" w:eastAsia="zh-CN"/>
        </w:rPr>
      </w:pPr>
      <w:r>
        <w:rPr>
          <w:rFonts w:hint="eastAsia" w:ascii="宋体" w:hAnsi="宋体" w:eastAsia="宋体" w:cs="宋体"/>
          <w:b w:val="0"/>
          <w:bCs/>
          <w:color w:val="auto"/>
          <w:sz w:val="24"/>
          <w:szCs w:val="24"/>
          <w:highlight w:val="none"/>
          <w:lang w:val="en-US" w:eastAsia="zh-CN"/>
        </w:rPr>
        <w:t>1.采购文件组成：</w:t>
      </w:r>
      <w:r>
        <w:rPr>
          <w:rFonts w:hint="eastAsia" w:ascii="宋体" w:hAnsi="宋体" w:eastAsia="宋体"/>
          <w:sz w:val="24"/>
          <w:szCs w:val="24"/>
          <w:lang w:val="en-US" w:eastAsia="zh-CN"/>
        </w:rPr>
        <w:t>本采购文件及其附件</w:t>
      </w:r>
    </w:p>
    <w:p w14:paraId="14FC701A">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2.采购文件的澄清：详见采购公告第五点</w:t>
      </w:r>
    </w:p>
    <w:p w14:paraId="3C0ABDBB">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（三）响应文件</w:t>
      </w:r>
    </w:p>
    <w:p w14:paraId="29076E35">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sz w:val="24"/>
          <w:szCs w:val="24"/>
          <w:lang w:eastAsia="zh-CN"/>
        </w:rPr>
        <w:t>响应文件的组成：要求的资格申请资料（</w:t>
      </w:r>
      <w:r>
        <w:rPr>
          <w:rFonts w:hint="eastAsia" w:ascii="宋体" w:hAnsi="宋体" w:eastAsia="宋体" w:cs="宋体"/>
          <w:sz w:val="24"/>
          <w:szCs w:val="24"/>
          <w:lang w:val="en-US" w:eastAsia="zh-CN"/>
        </w:rPr>
        <w:t>报名时提供</w:t>
      </w:r>
      <w:r>
        <w:rPr>
          <w:rFonts w:hint="eastAsia" w:ascii="宋体" w:hAnsi="宋体" w:eastAsia="宋体" w:cs="宋体"/>
          <w:sz w:val="24"/>
          <w:szCs w:val="24"/>
          <w:lang w:eastAsia="zh-CN"/>
        </w:rPr>
        <w:t>）。</w:t>
      </w:r>
    </w:p>
    <w:p w14:paraId="6499D169">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2.报价单（竞价开始后以附件形式提交上传至平台）</w:t>
      </w:r>
    </w:p>
    <w:p w14:paraId="27FF640B">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3.响应有效期90天（自响应文件日期起计算）</w:t>
      </w:r>
    </w:p>
    <w:p w14:paraId="517AD8DD">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bCs/>
          <w:kern w:val="2"/>
          <w:sz w:val="24"/>
          <w:szCs w:val="24"/>
          <w:highlight w:val="none"/>
          <w:lang w:val="en-US" w:eastAsia="zh-CN" w:bidi="ar-SA"/>
        </w:rPr>
        <w:t>（四）响应</w:t>
      </w:r>
      <w:r>
        <w:rPr>
          <w:rFonts w:hint="eastAsia" w:ascii="宋体" w:hAnsi="宋体" w:eastAsia="宋体" w:cs="宋体"/>
          <w:b/>
          <w:bCs/>
          <w:color w:val="auto"/>
          <w:sz w:val="24"/>
          <w:szCs w:val="24"/>
          <w:highlight w:val="none"/>
          <w:lang w:val="en-US" w:eastAsia="zh-CN"/>
        </w:rPr>
        <w:t>文件的递交：</w:t>
      </w:r>
      <w:r>
        <w:rPr>
          <w:rFonts w:hint="eastAsia" w:ascii="宋体" w:hAnsi="宋体" w:eastAsia="宋体" w:cs="宋体"/>
          <w:b w:val="0"/>
          <w:bCs w:val="0"/>
          <w:color w:val="auto"/>
          <w:sz w:val="24"/>
          <w:szCs w:val="24"/>
          <w:highlight w:val="none"/>
          <w:lang w:val="en-US" w:eastAsia="zh-CN"/>
        </w:rPr>
        <w:t>在中粮E采平台报名时间内进行提交。</w:t>
      </w:r>
    </w:p>
    <w:p w14:paraId="23FDB5DE">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（五）关键条款的偏差范围</w:t>
      </w:r>
    </w:p>
    <w:p w14:paraId="2A8DC3B6">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firstLine="480" w:firstLineChars="200"/>
        <w:jc w:val="left"/>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此次采购</w:t>
      </w:r>
      <w:r>
        <w:rPr>
          <w:rFonts w:hint="eastAsia" w:ascii="宋体" w:hAnsi="宋体" w:eastAsia="宋体" w:cs="宋体"/>
          <w:sz w:val="24"/>
          <w:szCs w:val="24"/>
          <w:highlight w:val="none"/>
          <w:lang w:eastAsia="zh-CN"/>
        </w:rPr>
        <w:t>以附件采购文件和报价清单为依据。</w:t>
      </w:r>
    </w:p>
    <w:p w14:paraId="77D92EAA">
      <w:pPr>
        <w:keepNext w:val="0"/>
        <w:keepLines w:val="0"/>
        <w:pageBreakBefore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微软雅黑" w:hAnsi="微软雅黑" w:eastAsia="微软雅黑" w:cs="微软雅黑"/>
          <w:b w:val="0"/>
          <w:bCs/>
          <w:color w:val="auto"/>
          <w:kern w:val="2"/>
          <w:sz w:val="24"/>
          <w:szCs w:val="24"/>
          <w:highlight w:val="none"/>
          <w:lang w:val="en-US" w:eastAsia="zh-CN" w:bidi="ar-SA"/>
        </w:rPr>
      </w:pPr>
      <w:r>
        <w:rPr>
          <w:rFonts w:hint="eastAsia" w:ascii="微软雅黑" w:hAnsi="微软雅黑" w:eastAsia="微软雅黑" w:cs="微软雅黑"/>
          <w:b w:val="0"/>
          <w:bCs/>
          <w:color w:val="auto"/>
          <w:kern w:val="2"/>
          <w:sz w:val="24"/>
          <w:szCs w:val="24"/>
          <w:highlight w:val="none"/>
          <w:lang w:val="en-US" w:eastAsia="zh-CN" w:bidi="ar-SA"/>
        </w:rPr>
        <w:t>三、采购方式</w:t>
      </w:r>
    </w:p>
    <w:p w14:paraId="120C3CCB">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（一）采购方式</w:t>
      </w:r>
    </w:p>
    <w:p w14:paraId="23DB4180">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本项目采用竞价釆购方式。</w:t>
      </w:r>
      <w:r>
        <w:rPr>
          <w:rFonts w:hint="eastAsia" w:ascii="宋体" w:hAnsi="宋体" w:eastAsia="宋体" w:cs="宋体"/>
          <w:color w:val="auto"/>
          <w:spacing w:val="8"/>
          <w:sz w:val="24"/>
          <w:szCs w:val="24"/>
          <w:highlight w:val="none"/>
          <w:shd w:val="clear" w:fill="FFFFFF"/>
          <w:vertAlign w:val="baseline"/>
          <w:lang w:val="en-US" w:eastAsia="zh-CN"/>
        </w:rPr>
        <w:t>采购人对响应采购的供应商按照采购文件规定的规则和时限递交的竞争性报价进行排序，并确定成交供应商的釆购方式。</w:t>
      </w:r>
    </w:p>
    <w:p w14:paraId="025EE217">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（二）评审办法</w:t>
      </w:r>
    </w:p>
    <w:p w14:paraId="30DAC6D3">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1.竞价方式：</w:t>
      </w:r>
      <w:r>
        <w:rPr>
          <w:rFonts w:hint="default" w:ascii="宋体" w:hAnsi="宋体" w:eastAsia="宋体" w:cs="宋体"/>
          <w:b w:val="0"/>
          <w:bCs w:val="0"/>
          <w:kern w:val="2"/>
          <w:sz w:val="24"/>
          <w:szCs w:val="24"/>
          <w:highlight w:val="none"/>
          <w:lang w:val="en-US" w:eastAsia="zh-CN" w:bidi="ar-SA"/>
        </w:rPr>
        <w:t>①</w:t>
      </w:r>
      <w:r>
        <w:rPr>
          <w:rFonts w:hint="eastAsia" w:ascii="宋体" w:hAnsi="宋体" w:eastAsia="宋体" w:cs="宋体"/>
          <w:b w:val="0"/>
          <w:bCs w:val="0"/>
          <w:kern w:val="2"/>
          <w:sz w:val="24"/>
          <w:szCs w:val="24"/>
          <w:highlight w:val="none"/>
          <w:lang w:val="en-US" w:eastAsia="zh-CN" w:bidi="ar-SA"/>
        </w:rPr>
        <w:t>本项目采用单轮竞价，即竞价开始后，供应商在采购人设置时间范围内进行报价。</w:t>
      </w:r>
      <w:r>
        <w:rPr>
          <w:rFonts w:hint="default" w:ascii="宋体" w:hAnsi="宋体" w:eastAsia="宋体" w:cs="宋体"/>
          <w:b w:val="0"/>
          <w:bCs w:val="0"/>
          <w:kern w:val="2"/>
          <w:sz w:val="24"/>
          <w:szCs w:val="24"/>
          <w:highlight w:val="none"/>
          <w:lang w:val="en-US" w:eastAsia="zh-CN" w:bidi="ar-SA"/>
        </w:rPr>
        <w:t>②</w:t>
      </w:r>
      <w:r>
        <w:rPr>
          <w:rFonts w:hint="eastAsia" w:ascii="宋体" w:hAnsi="宋体" w:eastAsia="宋体" w:cs="宋体"/>
          <w:b w:val="0"/>
          <w:bCs w:val="0"/>
          <w:kern w:val="2"/>
          <w:sz w:val="24"/>
          <w:szCs w:val="24"/>
          <w:highlight w:val="none"/>
          <w:lang w:val="en-US" w:eastAsia="zh-CN" w:bidi="ar-SA"/>
        </w:rPr>
        <w:t>平台竞价价格为不含税总价。</w:t>
      </w:r>
    </w:p>
    <w:p w14:paraId="1F61F1C6">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firstLine="480" w:firstLineChars="200"/>
        <w:jc w:val="left"/>
        <w:textAlignment w:val="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2.评审办法：本项目响应文件评审方法采用经评审的最低投标价法。</w:t>
      </w:r>
    </w:p>
    <w:p w14:paraId="278EAF46">
      <w:pPr>
        <w:keepNext w:val="0"/>
        <w:keepLines w:val="0"/>
        <w:pageBreakBefore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微软雅黑" w:hAnsi="微软雅黑" w:eastAsia="微软雅黑" w:cs="微软雅黑"/>
          <w:b w:val="0"/>
          <w:bCs/>
          <w:color w:val="auto"/>
          <w:kern w:val="2"/>
          <w:sz w:val="24"/>
          <w:szCs w:val="24"/>
          <w:highlight w:val="none"/>
          <w:lang w:val="en-US" w:eastAsia="zh-CN" w:bidi="ar-SA"/>
        </w:rPr>
      </w:pPr>
      <w:r>
        <w:rPr>
          <w:rFonts w:hint="eastAsia" w:ascii="微软雅黑" w:hAnsi="微软雅黑" w:eastAsia="微软雅黑" w:cs="微软雅黑"/>
          <w:b w:val="0"/>
          <w:bCs/>
          <w:color w:val="auto"/>
          <w:kern w:val="2"/>
          <w:sz w:val="24"/>
          <w:szCs w:val="24"/>
          <w:highlight w:val="none"/>
          <w:lang w:val="en-US" w:eastAsia="zh-CN" w:bidi="ar-SA"/>
        </w:rPr>
        <w:t>四、合同主要条款</w:t>
      </w:r>
    </w:p>
    <w:p w14:paraId="0906FF89">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（一）成交后，合同至少包含要素</w:t>
      </w:r>
    </w:p>
    <w:p w14:paraId="7FD9509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合同双方信息，合同标的，合同金额和支付条款，完工要求，验收条款，质量保证和售后服务，违约责任，争议解决，合同生效与终止等。</w:t>
      </w:r>
    </w:p>
    <w:p w14:paraId="74681ADE">
      <w:pPr>
        <w:pStyle w:val="7"/>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付款条款及方式</w:t>
      </w:r>
    </w:p>
    <w:p w14:paraId="06B2270B">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付款方式：分2次付款，银行转账，合同签订后，进行第一次消杀，并开发票，收到发票后15天内付款，50%余款在合作期届满收到发票后15天内付清。</w:t>
      </w:r>
    </w:p>
    <w:p w14:paraId="23369B68">
      <w:pPr>
        <w:keepNext w:val="0"/>
        <w:keepLines w:val="0"/>
        <w:pageBreakBefore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微软雅黑" w:hAnsi="微软雅黑" w:eastAsia="微软雅黑" w:cs="微软雅黑"/>
          <w:b w:val="0"/>
          <w:bCs/>
          <w:color w:val="auto"/>
          <w:kern w:val="2"/>
          <w:sz w:val="24"/>
          <w:szCs w:val="24"/>
          <w:lang w:val="en-US" w:eastAsia="zh-CN" w:bidi="ar-SA"/>
        </w:rPr>
      </w:pPr>
      <w:r>
        <w:rPr>
          <w:rFonts w:hint="eastAsia" w:ascii="微软雅黑" w:hAnsi="微软雅黑" w:eastAsia="微软雅黑" w:cs="微软雅黑"/>
          <w:b w:val="0"/>
          <w:bCs/>
          <w:color w:val="auto"/>
          <w:kern w:val="2"/>
          <w:sz w:val="24"/>
          <w:szCs w:val="24"/>
          <w:lang w:val="en-US" w:eastAsia="zh-CN" w:bidi="ar-SA"/>
        </w:rPr>
        <w:t>五、采购需求</w:t>
      </w:r>
    </w:p>
    <w:p w14:paraId="674F2C39">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（一）项目背景</w:t>
      </w:r>
    </w:p>
    <w:p w14:paraId="23B55C6E">
      <w:pPr>
        <w:keepNext w:val="0"/>
        <w:keepLines w:val="0"/>
        <w:pageBreakBefore w:val="0"/>
        <w:widowControl/>
        <w:kinsoku/>
        <w:wordWrap/>
        <w:overflowPunct/>
        <w:topLinePunct w:val="0"/>
        <w:autoSpaceDE/>
        <w:autoSpaceDN/>
        <w:bidi w:val="0"/>
        <w:adjustRightInd/>
        <w:snapToGrid/>
        <w:spacing w:line="440" w:lineRule="exact"/>
        <w:ind w:firstLine="480" w:firstLineChars="200"/>
        <w:contextualSpacing/>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中华人民共和国民法典》及《广东省除“四害”管理规定》《东莞市除“四害”管理办法》规定，为有效地控制灭鼠、灭蝇、灭蚁、灭蟑螂的密度（以下简称除“四害”），营造良好的工作和经营环境，需要对厂内区域进行消杀工作。</w:t>
      </w:r>
    </w:p>
    <w:p w14:paraId="2D9BF821">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（二）项目需求</w:t>
      </w:r>
    </w:p>
    <w:p w14:paraId="20071A38">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1.采购标的</w:t>
      </w:r>
    </w:p>
    <w:p w14:paraId="70D30C4D">
      <w:pPr>
        <w:keepNext w:val="0"/>
        <w:keepLines w:val="0"/>
        <w:pageBreakBefore w:val="0"/>
        <w:widowControl w:val="0"/>
        <w:kinsoku/>
        <w:wordWrap/>
        <w:overflowPunct/>
        <w:topLinePunct w:val="0"/>
        <w:autoSpaceDE/>
        <w:autoSpaceDN/>
        <w:bidi w:val="0"/>
        <w:adjustRightInd/>
        <w:snapToGrid/>
        <w:spacing w:line="440" w:lineRule="exact"/>
        <w:ind w:firstLine="480" w:firstLineChars="200"/>
        <w:contextualSpacing/>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2026年8月—2027年7月的除“四害”与消毒服务承包项目（一年）。</w:t>
      </w:r>
    </w:p>
    <w:p w14:paraId="6E3D8B81">
      <w:pPr>
        <w:keepNext w:val="0"/>
        <w:keepLines w:val="0"/>
        <w:pageBreakBefore w:val="0"/>
        <w:widowControl w:val="0"/>
        <w:kinsoku/>
        <w:wordWrap/>
        <w:overflowPunct/>
        <w:topLinePunct w:val="0"/>
        <w:autoSpaceDE/>
        <w:autoSpaceDN/>
        <w:bidi w:val="0"/>
        <w:adjustRightInd/>
        <w:snapToGrid/>
        <w:spacing w:line="440" w:lineRule="exact"/>
        <w:ind w:firstLine="480" w:firstLineChars="200"/>
        <w:contextualSpacing/>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2.主要技术要求或技术方案</w:t>
      </w:r>
    </w:p>
    <w:p w14:paraId="0D79F7E0">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w:t>
      </w:r>
      <w:r>
        <w:rPr>
          <w:rFonts w:hint="default" w:ascii="宋体" w:hAnsi="宋体" w:eastAsia="宋体" w:cs="宋体"/>
          <w:b w:val="0"/>
          <w:bCs/>
          <w:color w:val="auto"/>
          <w:kern w:val="2"/>
          <w:sz w:val="24"/>
          <w:szCs w:val="24"/>
          <w:lang w:val="en-US" w:eastAsia="zh-CN" w:bidi="ar-SA"/>
        </w:rPr>
        <w:t>1</w:t>
      </w:r>
      <w:r>
        <w:rPr>
          <w:rFonts w:hint="eastAsia" w:ascii="宋体" w:hAnsi="宋体" w:eastAsia="宋体" w:cs="宋体"/>
          <w:b w:val="0"/>
          <w:bCs/>
          <w:color w:val="auto"/>
          <w:kern w:val="2"/>
          <w:sz w:val="24"/>
          <w:szCs w:val="24"/>
          <w:lang w:val="en-US" w:eastAsia="zh-CN" w:bidi="ar-SA"/>
        </w:rPr>
        <w:t>）</w:t>
      </w:r>
      <w:r>
        <w:rPr>
          <w:rFonts w:hint="default" w:ascii="宋体" w:hAnsi="宋体" w:eastAsia="宋体" w:cs="宋体"/>
          <w:b w:val="0"/>
          <w:bCs/>
          <w:color w:val="auto"/>
          <w:kern w:val="2"/>
          <w:sz w:val="24"/>
          <w:szCs w:val="24"/>
          <w:lang w:val="en-US" w:eastAsia="zh-CN" w:bidi="ar-SA"/>
        </w:rPr>
        <w:t>乙方负责包工、包材料、包工具设备、包安全责任。</w:t>
      </w:r>
    </w:p>
    <w:p w14:paraId="55588CFC">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（2）</w:t>
      </w:r>
      <w:r>
        <w:rPr>
          <w:rFonts w:hint="default" w:ascii="宋体" w:hAnsi="宋体" w:eastAsia="宋体" w:cs="宋体"/>
          <w:b w:val="0"/>
          <w:bCs/>
          <w:color w:val="auto"/>
          <w:kern w:val="2"/>
          <w:sz w:val="24"/>
          <w:szCs w:val="24"/>
          <w:lang w:val="en-US" w:eastAsia="zh-CN" w:bidi="ar-SA"/>
        </w:rPr>
        <w:t>使用的药物应为国家有关部门允许使用的药物并遵守市爱卫会的有关规定，以保证效果和安全。</w:t>
      </w:r>
    </w:p>
    <w:p w14:paraId="27064AA7">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（3）</w:t>
      </w:r>
      <w:r>
        <w:rPr>
          <w:rFonts w:hint="default" w:ascii="宋体" w:hAnsi="宋体" w:eastAsia="宋体" w:cs="宋体"/>
          <w:b w:val="0"/>
          <w:bCs/>
          <w:color w:val="auto"/>
          <w:kern w:val="2"/>
          <w:sz w:val="24"/>
          <w:szCs w:val="24"/>
          <w:lang w:val="en-US" w:eastAsia="zh-CN" w:bidi="ar-SA"/>
        </w:rPr>
        <w:t>工作中产生的废弃物由乙方负责处理，由于处理不当发生的一切后果均由乙方承担。</w:t>
      </w:r>
    </w:p>
    <w:p w14:paraId="38F9CBFE">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（4）</w:t>
      </w:r>
      <w:r>
        <w:rPr>
          <w:rFonts w:hint="default" w:ascii="宋体" w:hAnsi="宋体" w:eastAsia="宋体" w:cs="宋体"/>
          <w:b w:val="0"/>
          <w:bCs/>
          <w:color w:val="auto"/>
          <w:kern w:val="2"/>
          <w:sz w:val="24"/>
          <w:szCs w:val="24"/>
          <w:lang w:val="en-US" w:eastAsia="zh-CN" w:bidi="ar-SA"/>
        </w:rPr>
        <w:t>乙方因按照《“四害”工作计划书》规定每个月给甲方服务范围喷(放烟炮)蚁、蟑螂药各1次，投放老鼠药1次以上，把“四害”密度控制在国家规定的范围内。如市爱卫办有特别要求的消杀工作和集中突击任务，乙方应无条件的配合完成。</w:t>
      </w:r>
    </w:p>
    <w:p w14:paraId="2F36D576">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（5）</w:t>
      </w:r>
      <w:r>
        <w:rPr>
          <w:rFonts w:hint="default" w:ascii="宋体" w:hAnsi="宋体" w:eastAsia="宋体" w:cs="宋体"/>
          <w:b w:val="0"/>
          <w:bCs/>
          <w:color w:val="auto"/>
          <w:kern w:val="2"/>
          <w:sz w:val="24"/>
          <w:szCs w:val="24"/>
          <w:lang w:val="en-US" w:eastAsia="zh-CN" w:bidi="ar-SA"/>
        </w:rPr>
        <w:t>每月提供需求药物量：蚂蚁药3盒、臭虫药（喷剂）4瓶、蟑螂药3盒、老鼠贴1箱（50片），以一年期量进行提供。</w:t>
      </w:r>
    </w:p>
    <w:p w14:paraId="205DEDD7">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3.服务期及计划实施时间</w:t>
      </w:r>
    </w:p>
    <w:p w14:paraId="2896A001">
      <w:pPr>
        <w:pStyle w:val="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4.验收标准</w:t>
      </w:r>
    </w:p>
    <w:p w14:paraId="35EB3A32">
      <w:pPr>
        <w:keepNext w:val="0"/>
        <w:keepLines w:val="0"/>
        <w:pageBreakBefore w:val="0"/>
        <w:widowControl w:val="0"/>
        <w:kinsoku/>
        <w:wordWrap/>
        <w:overflowPunct/>
        <w:topLinePunct w:val="0"/>
        <w:autoSpaceDE/>
        <w:autoSpaceDN/>
        <w:bidi w:val="0"/>
        <w:adjustRightInd/>
        <w:snapToGrid/>
        <w:spacing w:line="440" w:lineRule="exact"/>
        <w:ind w:firstLine="480" w:firstLineChars="200"/>
        <w:contextualSpacing/>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服务区域的除“四害”工作达到省、市规定标准，并且包括以下标准：</w:t>
      </w:r>
    </w:p>
    <w:p w14:paraId="6A10D56D">
      <w:pPr>
        <w:keepNext w:val="0"/>
        <w:keepLines w:val="0"/>
        <w:pageBreakBefore w:val="0"/>
        <w:widowControl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w:t>
      </w:r>
      <w:r>
        <w:rPr>
          <w:rFonts w:hint="default" w:ascii="宋体" w:hAnsi="宋体" w:eastAsia="宋体" w:cs="宋体"/>
          <w:b w:val="0"/>
          <w:bCs/>
          <w:color w:val="auto"/>
          <w:kern w:val="2"/>
          <w:sz w:val="24"/>
          <w:szCs w:val="24"/>
          <w:lang w:val="en-US" w:eastAsia="zh-CN" w:bidi="ar-SA"/>
        </w:rPr>
        <w:t>灭鼠标准：室内不见老鼠跑动；室内物品、仓库货物无明显被老鼠咬坏痕迹；</w:t>
      </w:r>
    </w:p>
    <w:p w14:paraId="16C36C8D">
      <w:pPr>
        <w:keepNext w:val="0"/>
        <w:keepLines w:val="0"/>
        <w:pageBreakBefore w:val="0"/>
        <w:widowControl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（2）</w:t>
      </w:r>
      <w:r>
        <w:rPr>
          <w:rFonts w:hint="default" w:ascii="宋体" w:hAnsi="宋体" w:eastAsia="宋体" w:cs="宋体"/>
          <w:b w:val="0"/>
          <w:bCs/>
          <w:color w:val="auto"/>
          <w:kern w:val="2"/>
          <w:sz w:val="24"/>
          <w:szCs w:val="24"/>
          <w:lang w:val="en-US" w:eastAsia="zh-CN" w:bidi="ar-SA"/>
        </w:rPr>
        <w:t>灭蚊标准：容器积水蚊幼孳生率低于5%；有蚊虫房间少于5%，有蚊虫房间每间平均不超过3只；</w:t>
      </w:r>
    </w:p>
    <w:p w14:paraId="2E4B78F3">
      <w:pPr>
        <w:keepNext w:val="0"/>
        <w:keepLines w:val="0"/>
        <w:pageBreakBefore w:val="0"/>
        <w:widowControl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（3）</w:t>
      </w:r>
      <w:r>
        <w:rPr>
          <w:rFonts w:hint="default" w:ascii="宋体" w:hAnsi="宋体" w:eastAsia="宋体" w:cs="宋体"/>
          <w:b w:val="0"/>
          <w:bCs/>
          <w:color w:val="auto"/>
          <w:kern w:val="2"/>
          <w:sz w:val="24"/>
          <w:szCs w:val="24"/>
          <w:lang w:val="en-US" w:eastAsia="zh-CN" w:bidi="ar-SA"/>
        </w:rPr>
        <w:t>灭蟑螂标准：抽查室内3间房，每间房蟑螂数不超过5只；抽查污、雨水井2个，每处蟑螂不超过3只；</w:t>
      </w:r>
    </w:p>
    <w:p w14:paraId="12CC5159">
      <w:pPr>
        <w:keepNext w:val="0"/>
        <w:keepLines w:val="0"/>
        <w:pageBreakBefore w:val="0"/>
        <w:widowControl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（4）</w:t>
      </w:r>
      <w:r>
        <w:rPr>
          <w:rFonts w:hint="default" w:ascii="宋体" w:hAnsi="宋体" w:eastAsia="宋体" w:cs="宋体"/>
          <w:b w:val="0"/>
          <w:bCs/>
          <w:color w:val="auto"/>
          <w:kern w:val="2"/>
          <w:sz w:val="24"/>
          <w:szCs w:val="24"/>
          <w:lang w:val="en-US" w:eastAsia="zh-CN" w:bidi="ar-SA"/>
        </w:rPr>
        <w:t>灭蝇，饮食、食品加工行业无蝇，其他行业和居民住房有蝇房间少于3%；苍蝇的蛆或蛹检出率，单位、住户不超过2%，公共场所不超过5%；</w:t>
      </w:r>
    </w:p>
    <w:p w14:paraId="716398F5">
      <w:pPr>
        <w:keepNext w:val="0"/>
        <w:keepLines w:val="0"/>
        <w:pageBreakBefore w:val="0"/>
        <w:widowControl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（5）</w:t>
      </w:r>
      <w:r>
        <w:rPr>
          <w:rFonts w:hint="default" w:ascii="宋体" w:hAnsi="宋体" w:eastAsia="宋体" w:cs="宋体"/>
          <w:b w:val="0"/>
          <w:bCs/>
          <w:color w:val="auto"/>
          <w:kern w:val="2"/>
          <w:sz w:val="24"/>
          <w:szCs w:val="24"/>
          <w:lang w:val="en-US" w:eastAsia="zh-CN" w:bidi="ar-SA"/>
        </w:rPr>
        <w:t>灭蚁的标准：每100m2暴露的蚁类孽生地不超过2处，目视无蚁类孽生地；</w:t>
      </w:r>
    </w:p>
    <w:p w14:paraId="0683111E">
      <w:pPr>
        <w:keepNext w:val="0"/>
        <w:keepLines w:val="0"/>
        <w:pageBreakBefore w:val="0"/>
        <w:widowControl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（6）</w:t>
      </w:r>
      <w:r>
        <w:rPr>
          <w:rFonts w:hint="default" w:ascii="宋体" w:hAnsi="宋体" w:eastAsia="宋体" w:cs="宋体"/>
          <w:b w:val="0"/>
          <w:bCs/>
          <w:color w:val="auto"/>
          <w:kern w:val="2"/>
          <w:sz w:val="24"/>
          <w:szCs w:val="24"/>
          <w:lang w:val="en-US" w:eastAsia="zh-CN" w:bidi="ar-SA"/>
        </w:rPr>
        <w:t>每个月必须完成有效消杀有害物2次；</w:t>
      </w:r>
    </w:p>
    <w:p w14:paraId="3901CEEC">
      <w:pPr>
        <w:keepNext w:val="0"/>
        <w:keepLines w:val="0"/>
        <w:pageBreakBefore w:val="0"/>
        <w:widowControl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（7）</w:t>
      </w:r>
      <w:r>
        <w:rPr>
          <w:rFonts w:hint="default" w:ascii="宋体" w:hAnsi="宋体" w:eastAsia="宋体" w:cs="宋体"/>
          <w:b w:val="0"/>
          <w:bCs/>
          <w:color w:val="auto"/>
          <w:kern w:val="2"/>
          <w:sz w:val="24"/>
          <w:szCs w:val="24"/>
          <w:lang w:val="en-US" w:eastAsia="zh-CN" w:bidi="ar-SA"/>
        </w:rPr>
        <w:t>厂区内若发现白蚁，接通知48小时内进行处理；</w:t>
      </w:r>
    </w:p>
    <w:p w14:paraId="50AEB645">
      <w:pPr>
        <w:keepNext w:val="0"/>
        <w:keepLines w:val="0"/>
        <w:pageBreakBefore w:val="0"/>
        <w:widowControl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（8）</w:t>
      </w:r>
      <w:r>
        <w:rPr>
          <w:rFonts w:hint="default" w:ascii="宋体" w:hAnsi="宋体" w:eastAsia="宋体" w:cs="宋体"/>
          <w:b w:val="0"/>
          <w:bCs/>
          <w:color w:val="auto"/>
          <w:kern w:val="2"/>
          <w:sz w:val="24"/>
          <w:szCs w:val="24"/>
          <w:lang w:val="en-US" w:eastAsia="zh-CN" w:bidi="ar-SA"/>
        </w:rPr>
        <w:t>宿舍内若发现虫害情况，接通知48小时内进行处理。</w:t>
      </w:r>
    </w:p>
    <w:p w14:paraId="35A89424">
      <w:pPr>
        <w:keepNext w:val="0"/>
        <w:keepLines w:val="0"/>
        <w:pageBreakBefore w:val="0"/>
        <w:numPr>
          <w:ilvl w:val="0"/>
          <w:numId w:val="0"/>
        </w:numPr>
        <w:tabs>
          <w:tab w:val="left" w:pos="0"/>
          <w:tab w:val="left" w:pos="3350"/>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微软雅黑" w:hAnsi="微软雅黑" w:eastAsia="微软雅黑" w:cs="微软雅黑"/>
          <w:b w:val="0"/>
          <w:bCs/>
          <w:color w:val="auto"/>
          <w:kern w:val="2"/>
          <w:sz w:val="24"/>
          <w:szCs w:val="24"/>
          <w:lang w:val="en-US" w:eastAsia="zh-CN" w:bidi="ar-SA"/>
        </w:rPr>
      </w:pPr>
      <w:r>
        <w:rPr>
          <w:rFonts w:hint="eastAsia" w:ascii="微软雅黑" w:hAnsi="微软雅黑" w:eastAsia="微软雅黑" w:cs="微软雅黑"/>
          <w:b w:val="0"/>
          <w:bCs/>
          <w:color w:val="auto"/>
          <w:kern w:val="2"/>
          <w:sz w:val="24"/>
          <w:szCs w:val="24"/>
          <w:lang w:val="en-US" w:eastAsia="zh-CN" w:bidi="ar-SA"/>
        </w:rPr>
        <w:t>六、附件</w:t>
      </w:r>
    </w:p>
    <w:p w14:paraId="298625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exact"/>
        <w:ind w:left="0" w:leftChars="0" w:right="0" w:firstLine="496" w:firstLineChars="200"/>
        <w:jc w:val="left"/>
        <w:textAlignment w:val="baseline"/>
        <w:rPr>
          <w:rFonts w:hint="eastAsia" w:ascii="宋体" w:hAnsi="宋体" w:eastAsia="宋体" w:cs="宋体"/>
          <w:i w:val="0"/>
          <w:iCs w:val="0"/>
          <w:caps w:val="0"/>
          <w:color w:val="auto"/>
          <w:spacing w:val="4"/>
          <w:kern w:val="0"/>
          <w:sz w:val="24"/>
          <w:szCs w:val="24"/>
          <w:shd w:val="clear" w:fill="FFFFFF"/>
          <w:vertAlign w:val="baseline"/>
          <w:lang w:val="en-US" w:eastAsia="zh-CN" w:bidi="ar"/>
        </w:rPr>
      </w:pPr>
      <w:r>
        <w:rPr>
          <w:rFonts w:hint="eastAsia" w:ascii="宋体" w:hAnsi="宋体" w:eastAsia="宋体" w:cs="宋体"/>
          <w:i w:val="0"/>
          <w:iCs w:val="0"/>
          <w:caps w:val="0"/>
          <w:color w:val="auto"/>
          <w:spacing w:val="4"/>
          <w:kern w:val="0"/>
          <w:sz w:val="24"/>
          <w:szCs w:val="24"/>
          <w:shd w:val="clear" w:fill="FFFFFF"/>
          <w:vertAlign w:val="baseline"/>
          <w:lang w:val="en-US" w:eastAsia="zh-CN" w:bidi="ar"/>
        </w:rPr>
        <w:t>（一）竞价采购文件</w:t>
      </w:r>
    </w:p>
    <w:p w14:paraId="1799A4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exact"/>
        <w:ind w:left="0" w:leftChars="0" w:right="0" w:firstLine="496" w:firstLineChars="200"/>
        <w:jc w:val="left"/>
        <w:textAlignment w:val="baseline"/>
        <w:rPr>
          <w:rFonts w:hint="default" w:ascii="宋体" w:hAnsi="宋体" w:eastAsia="宋体" w:cs="宋体"/>
          <w:i w:val="0"/>
          <w:iCs w:val="0"/>
          <w:caps w:val="0"/>
          <w:color w:val="auto"/>
          <w:spacing w:val="4"/>
          <w:kern w:val="0"/>
          <w:sz w:val="24"/>
          <w:szCs w:val="24"/>
          <w:shd w:val="clear" w:fill="FFFFFF"/>
          <w:vertAlign w:val="baseline"/>
          <w:lang w:val="en-US" w:eastAsia="zh-CN" w:bidi="ar"/>
        </w:rPr>
      </w:pPr>
      <w:r>
        <w:rPr>
          <w:rFonts w:hint="eastAsia" w:ascii="宋体" w:hAnsi="宋体" w:eastAsia="宋体" w:cs="宋体"/>
          <w:i w:val="0"/>
          <w:iCs w:val="0"/>
          <w:caps w:val="0"/>
          <w:color w:val="auto"/>
          <w:spacing w:val="4"/>
          <w:kern w:val="0"/>
          <w:sz w:val="24"/>
          <w:szCs w:val="24"/>
          <w:shd w:val="clear" w:fill="FFFFFF"/>
          <w:vertAlign w:val="baseline"/>
          <w:lang w:val="en-US" w:eastAsia="zh-CN" w:bidi="ar"/>
        </w:rPr>
        <w:t>（二）资格申请资料</w:t>
      </w:r>
      <w:bookmarkStart w:id="0" w:name="_GoBack"/>
      <w:bookmarkEnd w:id="0"/>
    </w:p>
    <w:p w14:paraId="2DAB53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exact"/>
        <w:ind w:left="0" w:leftChars="0" w:right="0" w:firstLine="496" w:firstLineChars="200"/>
        <w:jc w:val="left"/>
        <w:textAlignment w:val="baseline"/>
        <w:rPr>
          <w:rFonts w:hint="eastAsia" w:ascii="宋体" w:hAnsi="宋体" w:eastAsia="宋体" w:cs="宋体"/>
          <w:i w:val="0"/>
          <w:iCs w:val="0"/>
          <w:caps w:val="0"/>
          <w:color w:val="auto"/>
          <w:spacing w:val="4"/>
          <w:kern w:val="0"/>
          <w:sz w:val="24"/>
          <w:szCs w:val="24"/>
          <w:shd w:val="clear" w:fill="FFFFFF"/>
          <w:vertAlign w:val="baseline"/>
          <w:lang w:val="en-US" w:eastAsia="zh-CN" w:bidi="ar"/>
        </w:rPr>
      </w:pPr>
      <w:r>
        <w:rPr>
          <w:rFonts w:hint="eastAsia" w:ascii="宋体" w:hAnsi="宋体" w:eastAsia="宋体" w:cs="宋体"/>
          <w:i w:val="0"/>
          <w:iCs w:val="0"/>
          <w:caps w:val="0"/>
          <w:color w:val="auto"/>
          <w:spacing w:val="4"/>
          <w:kern w:val="0"/>
          <w:sz w:val="24"/>
          <w:szCs w:val="24"/>
          <w:shd w:val="clear" w:fill="FFFFFF"/>
          <w:vertAlign w:val="baseline"/>
          <w:lang w:val="en-US" w:eastAsia="zh-CN" w:bidi="ar"/>
        </w:rPr>
        <w:t>（三）报价单注意事项</w:t>
      </w:r>
    </w:p>
    <w:p w14:paraId="22143E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exact"/>
        <w:ind w:left="0" w:leftChars="0" w:right="0" w:firstLine="496" w:firstLineChars="200"/>
        <w:jc w:val="left"/>
        <w:textAlignment w:val="baseline"/>
        <w:rPr>
          <w:rFonts w:hint="eastAsia" w:ascii="宋体" w:hAnsi="宋体" w:eastAsia="宋体" w:cs="宋体"/>
          <w:i w:val="0"/>
          <w:iCs w:val="0"/>
          <w:caps w:val="0"/>
          <w:color w:val="auto"/>
          <w:spacing w:val="4"/>
          <w:kern w:val="0"/>
          <w:sz w:val="24"/>
          <w:szCs w:val="24"/>
          <w:shd w:val="clear" w:fill="FFFFFF"/>
          <w:vertAlign w:val="baseline"/>
          <w:lang w:val="en-US" w:eastAsia="zh-CN" w:bidi="ar"/>
        </w:rPr>
      </w:pPr>
      <w:r>
        <w:rPr>
          <w:rFonts w:hint="eastAsia" w:ascii="宋体" w:hAnsi="宋体" w:eastAsia="宋体" w:cs="宋体"/>
          <w:i w:val="0"/>
          <w:iCs w:val="0"/>
          <w:caps w:val="0"/>
          <w:color w:val="auto"/>
          <w:spacing w:val="4"/>
          <w:kern w:val="0"/>
          <w:sz w:val="24"/>
          <w:szCs w:val="24"/>
          <w:shd w:val="clear" w:fill="FFFFFF"/>
          <w:vertAlign w:val="baseline"/>
          <w:lang w:val="en-US" w:eastAsia="zh-CN" w:bidi="ar"/>
        </w:rPr>
        <w:t>（四）廉洁自律手册（甲方）</w:t>
      </w:r>
    </w:p>
    <w:p w14:paraId="1000F8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exact"/>
        <w:ind w:left="0" w:leftChars="0" w:right="0" w:firstLine="496" w:firstLineChars="200"/>
        <w:jc w:val="left"/>
        <w:textAlignment w:val="baseline"/>
        <w:rPr>
          <w:rFonts w:hint="default" w:ascii="宋体" w:hAnsi="宋体" w:eastAsia="宋体" w:cs="宋体"/>
          <w:i w:val="0"/>
          <w:iCs w:val="0"/>
          <w:caps w:val="0"/>
          <w:color w:val="auto"/>
          <w:spacing w:val="4"/>
          <w:kern w:val="0"/>
          <w:sz w:val="24"/>
          <w:szCs w:val="24"/>
          <w:shd w:val="clear" w:fill="FFFFFF"/>
          <w:vertAlign w:val="baseline"/>
          <w:lang w:val="en-US" w:eastAsia="zh-CN" w:bidi="ar"/>
        </w:rPr>
      </w:pPr>
      <w:r>
        <w:rPr>
          <w:rFonts w:hint="eastAsia" w:ascii="宋体" w:hAnsi="宋体" w:eastAsia="宋体" w:cs="宋体"/>
          <w:i w:val="0"/>
          <w:iCs w:val="0"/>
          <w:caps w:val="0"/>
          <w:color w:val="auto"/>
          <w:spacing w:val="4"/>
          <w:kern w:val="0"/>
          <w:sz w:val="24"/>
          <w:szCs w:val="24"/>
          <w:shd w:val="clear" w:fill="FFFFFF"/>
          <w:vertAlign w:val="baseline"/>
          <w:lang w:val="en-US" w:eastAsia="zh-CN" w:bidi="ar"/>
        </w:rPr>
        <w:t>（五）访客登记表</w:t>
      </w:r>
    </w:p>
    <w:p w14:paraId="7E04ED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exact"/>
        <w:ind w:left="0" w:leftChars="0" w:right="0" w:firstLine="496" w:firstLineChars="200"/>
        <w:jc w:val="left"/>
        <w:textAlignment w:val="baseline"/>
        <w:rPr>
          <w:rFonts w:hint="eastAsia" w:ascii="宋体" w:hAnsi="宋体" w:eastAsia="宋体" w:cs="宋体"/>
          <w:i w:val="0"/>
          <w:iCs w:val="0"/>
          <w:caps w:val="0"/>
          <w:color w:val="auto"/>
          <w:spacing w:val="4"/>
          <w:kern w:val="0"/>
          <w:sz w:val="24"/>
          <w:szCs w:val="24"/>
          <w:shd w:val="clear" w:fill="FFFFFF"/>
          <w:vertAlign w:val="baseline"/>
          <w:lang w:val="en-US" w:eastAsia="zh-CN" w:bidi="ar"/>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1" w:fontKey="{07929352-6250-4989-95EA-BD4F9081AF30}"/>
  </w:font>
  <w:font w:name="Tahoma">
    <w:panose1 w:val="020B0604030504040204"/>
    <w:charset w:val="00"/>
    <w:family w:val="swiss"/>
    <w:pitch w:val="default"/>
    <w:sig w:usb0="E1002EFF" w:usb1="C000605B" w:usb2="00000029" w:usb3="00000000" w:csb0="200101FF" w:csb1="20280000"/>
    <w:embedRegular r:id="rId2" w:fontKey="{F68D526B-AA11-4300-A8E2-FA0E1654DDC3}"/>
  </w:font>
  <w:font w:name="微软雅黑">
    <w:panose1 w:val="020B0503020204020204"/>
    <w:charset w:val="86"/>
    <w:family w:val="auto"/>
    <w:pitch w:val="default"/>
    <w:sig w:usb0="80000287" w:usb1="2ACF3C50" w:usb2="00000016" w:usb3="00000000" w:csb0="0004001F" w:csb1="00000000"/>
    <w:embedRegular r:id="rId3" w:fontKey="{C6AF484D-C6B1-4ED9-99AA-52C154C28363}"/>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8146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00974D">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00974D">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601AA">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0B9FA5">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C0B9FA5">
                    <w:pPr>
                      <w:pStyle w:val="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1A988"/>
    <w:multiLevelType w:val="singleLevel"/>
    <w:tmpl w:val="9961A988"/>
    <w:lvl w:ilvl="0" w:tentative="0">
      <w:start w:val="2"/>
      <w:numFmt w:val="chineseCounting"/>
      <w:suff w:val="nothing"/>
      <w:lvlText w:val="（%1）"/>
      <w:lvlJc w:val="left"/>
      <w:rPr>
        <w:rFonts w:hint="eastAsia"/>
      </w:rPr>
    </w:lvl>
  </w:abstractNum>
  <w:abstractNum w:abstractNumId="1">
    <w:nsid w:val="D5905E4B"/>
    <w:multiLevelType w:val="singleLevel"/>
    <w:tmpl w:val="D5905E4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25378"/>
    <w:rsid w:val="005574FC"/>
    <w:rsid w:val="00BE7797"/>
    <w:rsid w:val="00CC688E"/>
    <w:rsid w:val="011078C7"/>
    <w:rsid w:val="017936BE"/>
    <w:rsid w:val="0213766F"/>
    <w:rsid w:val="02146CE5"/>
    <w:rsid w:val="0256755B"/>
    <w:rsid w:val="036443A1"/>
    <w:rsid w:val="03667C72"/>
    <w:rsid w:val="037B196F"/>
    <w:rsid w:val="04357D70"/>
    <w:rsid w:val="046917C8"/>
    <w:rsid w:val="04891E6A"/>
    <w:rsid w:val="04AE367F"/>
    <w:rsid w:val="066F4577"/>
    <w:rsid w:val="06856661"/>
    <w:rsid w:val="06872F1A"/>
    <w:rsid w:val="07796682"/>
    <w:rsid w:val="077E37DC"/>
    <w:rsid w:val="07C733D5"/>
    <w:rsid w:val="084762C4"/>
    <w:rsid w:val="08733E40"/>
    <w:rsid w:val="087D5842"/>
    <w:rsid w:val="08F31FA8"/>
    <w:rsid w:val="092E0774"/>
    <w:rsid w:val="09432B88"/>
    <w:rsid w:val="0A51342A"/>
    <w:rsid w:val="0AED7401"/>
    <w:rsid w:val="0AF0679F"/>
    <w:rsid w:val="0B536D2E"/>
    <w:rsid w:val="0B5E5DFE"/>
    <w:rsid w:val="0B8B2DEC"/>
    <w:rsid w:val="0BC8715E"/>
    <w:rsid w:val="0BE04A65"/>
    <w:rsid w:val="0BF40511"/>
    <w:rsid w:val="0BF71E6B"/>
    <w:rsid w:val="0C18239B"/>
    <w:rsid w:val="0CAB5460"/>
    <w:rsid w:val="0D1840F9"/>
    <w:rsid w:val="0D6F51FA"/>
    <w:rsid w:val="0E43752E"/>
    <w:rsid w:val="0E476D6A"/>
    <w:rsid w:val="0EDF7256"/>
    <w:rsid w:val="0F0E239E"/>
    <w:rsid w:val="0F317386"/>
    <w:rsid w:val="0F3D4AC8"/>
    <w:rsid w:val="0F425BDD"/>
    <w:rsid w:val="0F601C18"/>
    <w:rsid w:val="0FBA381F"/>
    <w:rsid w:val="0FE91A0F"/>
    <w:rsid w:val="10EC7A09"/>
    <w:rsid w:val="11020127"/>
    <w:rsid w:val="11664401"/>
    <w:rsid w:val="117417AC"/>
    <w:rsid w:val="127E0B34"/>
    <w:rsid w:val="141D25CF"/>
    <w:rsid w:val="1441006B"/>
    <w:rsid w:val="144D6A10"/>
    <w:rsid w:val="14BC76F2"/>
    <w:rsid w:val="14DA74F8"/>
    <w:rsid w:val="14F54CB6"/>
    <w:rsid w:val="15311E8E"/>
    <w:rsid w:val="159F6110"/>
    <w:rsid w:val="1677276B"/>
    <w:rsid w:val="17716EB9"/>
    <w:rsid w:val="18893D8F"/>
    <w:rsid w:val="1912797C"/>
    <w:rsid w:val="1935401C"/>
    <w:rsid w:val="193C7053"/>
    <w:rsid w:val="19A74E14"/>
    <w:rsid w:val="19B737E1"/>
    <w:rsid w:val="1A24134C"/>
    <w:rsid w:val="1ACB28BB"/>
    <w:rsid w:val="1AF31906"/>
    <w:rsid w:val="1B520DB0"/>
    <w:rsid w:val="1CF57C45"/>
    <w:rsid w:val="1D282D2D"/>
    <w:rsid w:val="1DEF6D8A"/>
    <w:rsid w:val="1E721897"/>
    <w:rsid w:val="1EFF124F"/>
    <w:rsid w:val="1F44696C"/>
    <w:rsid w:val="1F833C2E"/>
    <w:rsid w:val="1FD47FE6"/>
    <w:rsid w:val="204333BD"/>
    <w:rsid w:val="20B41BC5"/>
    <w:rsid w:val="20EF2592"/>
    <w:rsid w:val="211756B6"/>
    <w:rsid w:val="213845A4"/>
    <w:rsid w:val="2173382E"/>
    <w:rsid w:val="21D02A2F"/>
    <w:rsid w:val="22D64075"/>
    <w:rsid w:val="23E6478B"/>
    <w:rsid w:val="24E707BB"/>
    <w:rsid w:val="26123616"/>
    <w:rsid w:val="26363969"/>
    <w:rsid w:val="279B5950"/>
    <w:rsid w:val="27BB082C"/>
    <w:rsid w:val="287F2A0D"/>
    <w:rsid w:val="288B76AF"/>
    <w:rsid w:val="28C12205"/>
    <w:rsid w:val="28EA1EBD"/>
    <w:rsid w:val="28F657E2"/>
    <w:rsid w:val="290E6CE7"/>
    <w:rsid w:val="291D0C4F"/>
    <w:rsid w:val="293569B0"/>
    <w:rsid w:val="29AC6B72"/>
    <w:rsid w:val="29DB6A36"/>
    <w:rsid w:val="29E251FE"/>
    <w:rsid w:val="2A224043"/>
    <w:rsid w:val="2B035082"/>
    <w:rsid w:val="2BFC2E48"/>
    <w:rsid w:val="2C002162"/>
    <w:rsid w:val="2C071743"/>
    <w:rsid w:val="2C842D93"/>
    <w:rsid w:val="2CDA29B3"/>
    <w:rsid w:val="2CE11F94"/>
    <w:rsid w:val="2CF4664D"/>
    <w:rsid w:val="2E2F0CB4"/>
    <w:rsid w:val="2E3551D4"/>
    <w:rsid w:val="2E997AB9"/>
    <w:rsid w:val="2EAD54A7"/>
    <w:rsid w:val="307B625B"/>
    <w:rsid w:val="307F7AFA"/>
    <w:rsid w:val="30A21A3A"/>
    <w:rsid w:val="30C5696F"/>
    <w:rsid w:val="30F1623F"/>
    <w:rsid w:val="31927D00"/>
    <w:rsid w:val="31BE28A4"/>
    <w:rsid w:val="31DD6052"/>
    <w:rsid w:val="31E866E5"/>
    <w:rsid w:val="31ED4F37"/>
    <w:rsid w:val="336512FC"/>
    <w:rsid w:val="337C3CFB"/>
    <w:rsid w:val="33F425AD"/>
    <w:rsid w:val="33F6254A"/>
    <w:rsid w:val="34B166F0"/>
    <w:rsid w:val="351B1DBB"/>
    <w:rsid w:val="3580291A"/>
    <w:rsid w:val="35A07E31"/>
    <w:rsid w:val="35C422EF"/>
    <w:rsid w:val="35EE5AAE"/>
    <w:rsid w:val="36176A26"/>
    <w:rsid w:val="362D1DA6"/>
    <w:rsid w:val="3652180C"/>
    <w:rsid w:val="36A22794"/>
    <w:rsid w:val="36C87263"/>
    <w:rsid w:val="380F20AB"/>
    <w:rsid w:val="382071DF"/>
    <w:rsid w:val="385E6B8E"/>
    <w:rsid w:val="38C60E8D"/>
    <w:rsid w:val="394A059E"/>
    <w:rsid w:val="3A330639"/>
    <w:rsid w:val="3A527484"/>
    <w:rsid w:val="3B1842B6"/>
    <w:rsid w:val="3B20012B"/>
    <w:rsid w:val="3B247C1B"/>
    <w:rsid w:val="3B7266C3"/>
    <w:rsid w:val="3B9652C2"/>
    <w:rsid w:val="3B9D177C"/>
    <w:rsid w:val="3BCD02B3"/>
    <w:rsid w:val="3BF84C04"/>
    <w:rsid w:val="3CA64660"/>
    <w:rsid w:val="3CF71FAC"/>
    <w:rsid w:val="3E394A7D"/>
    <w:rsid w:val="3E51107B"/>
    <w:rsid w:val="3E8135D7"/>
    <w:rsid w:val="3EB94B1E"/>
    <w:rsid w:val="3FA9030D"/>
    <w:rsid w:val="4047615A"/>
    <w:rsid w:val="405F5252"/>
    <w:rsid w:val="40EC3FA9"/>
    <w:rsid w:val="41287D39"/>
    <w:rsid w:val="414601C0"/>
    <w:rsid w:val="41FA16D6"/>
    <w:rsid w:val="420D79AC"/>
    <w:rsid w:val="42A42E92"/>
    <w:rsid w:val="42C70660"/>
    <w:rsid w:val="430F54F9"/>
    <w:rsid w:val="4484172B"/>
    <w:rsid w:val="45A71B75"/>
    <w:rsid w:val="46F96F76"/>
    <w:rsid w:val="471E2059"/>
    <w:rsid w:val="4725298A"/>
    <w:rsid w:val="47975C19"/>
    <w:rsid w:val="48021E26"/>
    <w:rsid w:val="48877A3B"/>
    <w:rsid w:val="48DB1865"/>
    <w:rsid w:val="495B763E"/>
    <w:rsid w:val="498D72D3"/>
    <w:rsid w:val="49AB21BF"/>
    <w:rsid w:val="49AF299B"/>
    <w:rsid w:val="49C11249"/>
    <w:rsid w:val="4B1B446B"/>
    <w:rsid w:val="4B5300A9"/>
    <w:rsid w:val="4B9910BF"/>
    <w:rsid w:val="4C071628"/>
    <w:rsid w:val="4CD9638C"/>
    <w:rsid w:val="4D2515D1"/>
    <w:rsid w:val="4D312FAB"/>
    <w:rsid w:val="4F1E7A50"/>
    <w:rsid w:val="507630D5"/>
    <w:rsid w:val="50836D3A"/>
    <w:rsid w:val="5086682B"/>
    <w:rsid w:val="508D5E0B"/>
    <w:rsid w:val="50F23CDA"/>
    <w:rsid w:val="511A2D84"/>
    <w:rsid w:val="51850890"/>
    <w:rsid w:val="51A32C62"/>
    <w:rsid w:val="52306A4E"/>
    <w:rsid w:val="5235465D"/>
    <w:rsid w:val="52391DA6"/>
    <w:rsid w:val="525F10E1"/>
    <w:rsid w:val="528D3EA0"/>
    <w:rsid w:val="52A631B4"/>
    <w:rsid w:val="53332C9A"/>
    <w:rsid w:val="535449BE"/>
    <w:rsid w:val="538D069D"/>
    <w:rsid w:val="53962D58"/>
    <w:rsid w:val="543E40E4"/>
    <w:rsid w:val="543E6E8E"/>
    <w:rsid w:val="55E42029"/>
    <w:rsid w:val="587B479B"/>
    <w:rsid w:val="58A626F4"/>
    <w:rsid w:val="58F72300"/>
    <w:rsid w:val="5947351B"/>
    <w:rsid w:val="59A86A74"/>
    <w:rsid w:val="5A0E1D6B"/>
    <w:rsid w:val="5B4A5024"/>
    <w:rsid w:val="5B8F0C89"/>
    <w:rsid w:val="5C6B5F1C"/>
    <w:rsid w:val="5CD77696"/>
    <w:rsid w:val="5CDD5A24"/>
    <w:rsid w:val="5DA14CA4"/>
    <w:rsid w:val="5DFE3EA4"/>
    <w:rsid w:val="5E7128C8"/>
    <w:rsid w:val="5F750405"/>
    <w:rsid w:val="5FEF1CF6"/>
    <w:rsid w:val="60AE3960"/>
    <w:rsid w:val="60B90837"/>
    <w:rsid w:val="60CF38D6"/>
    <w:rsid w:val="60FE32BA"/>
    <w:rsid w:val="6149506A"/>
    <w:rsid w:val="621A5025"/>
    <w:rsid w:val="62C3640C"/>
    <w:rsid w:val="635A7DCF"/>
    <w:rsid w:val="6370314E"/>
    <w:rsid w:val="642B176B"/>
    <w:rsid w:val="656211BC"/>
    <w:rsid w:val="65DF45BB"/>
    <w:rsid w:val="66DE6A20"/>
    <w:rsid w:val="68272C9C"/>
    <w:rsid w:val="688B3837"/>
    <w:rsid w:val="68CD2F0B"/>
    <w:rsid w:val="68D80739"/>
    <w:rsid w:val="69660E78"/>
    <w:rsid w:val="6A493FCB"/>
    <w:rsid w:val="6AF503DD"/>
    <w:rsid w:val="6B686E01"/>
    <w:rsid w:val="6BD77E7D"/>
    <w:rsid w:val="6BF07522"/>
    <w:rsid w:val="6C1D408F"/>
    <w:rsid w:val="6C4433CA"/>
    <w:rsid w:val="6C9854C4"/>
    <w:rsid w:val="6C9B19F7"/>
    <w:rsid w:val="6D16450C"/>
    <w:rsid w:val="6D806D02"/>
    <w:rsid w:val="6E250FD9"/>
    <w:rsid w:val="6E407C2B"/>
    <w:rsid w:val="6E6C10DF"/>
    <w:rsid w:val="6E9323E7"/>
    <w:rsid w:val="6EDF387E"/>
    <w:rsid w:val="6F7043BF"/>
    <w:rsid w:val="702E23C7"/>
    <w:rsid w:val="70646C0C"/>
    <w:rsid w:val="706C6A24"/>
    <w:rsid w:val="70980188"/>
    <w:rsid w:val="70B56644"/>
    <w:rsid w:val="71802656"/>
    <w:rsid w:val="71956476"/>
    <w:rsid w:val="719941B8"/>
    <w:rsid w:val="72620A4E"/>
    <w:rsid w:val="726C71D7"/>
    <w:rsid w:val="72707240"/>
    <w:rsid w:val="73306456"/>
    <w:rsid w:val="733C129F"/>
    <w:rsid w:val="739A5FC5"/>
    <w:rsid w:val="74257F85"/>
    <w:rsid w:val="743C59E7"/>
    <w:rsid w:val="74644DBD"/>
    <w:rsid w:val="74936C9D"/>
    <w:rsid w:val="74A0585D"/>
    <w:rsid w:val="74D80B53"/>
    <w:rsid w:val="74F11C15"/>
    <w:rsid w:val="75181898"/>
    <w:rsid w:val="75F45E61"/>
    <w:rsid w:val="76BD44A5"/>
    <w:rsid w:val="7711110F"/>
    <w:rsid w:val="77E52E73"/>
    <w:rsid w:val="782C28A7"/>
    <w:rsid w:val="7919798C"/>
    <w:rsid w:val="79216A1F"/>
    <w:rsid w:val="79773031"/>
    <w:rsid w:val="79817A0B"/>
    <w:rsid w:val="79A63C5D"/>
    <w:rsid w:val="79D33FDF"/>
    <w:rsid w:val="79E9735F"/>
    <w:rsid w:val="7ABE4C8F"/>
    <w:rsid w:val="7AF1471D"/>
    <w:rsid w:val="7B2C39A7"/>
    <w:rsid w:val="7B2F16E9"/>
    <w:rsid w:val="7B8C6B3B"/>
    <w:rsid w:val="7B971768"/>
    <w:rsid w:val="7D423956"/>
    <w:rsid w:val="7D787D79"/>
    <w:rsid w:val="7DC42B04"/>
    <w:rsid w:val="7EA67DD6"/>
    <w:rsid w:val="7F2D5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1409</Words>
  <Characters>1453</Characters>
  <Lines>0</Lines>
  <Paragraphs>0</Paragraphs>
  <TotalTime>3</TotalTime>
  <ScaleCrop>false</ScaleCrop>
  <LinksUpToDate>false</LinksUpToDate>
  <CharactersWithSpaces>1453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2026-01-15T07:35:00Z</dcterms:created>
  <dc:creator>王汝香_wangruxiang</dc:creator>
  <cp:lastModifiedBy>李世琴</cp:lastModifiedBy>
  <dcterms:modified xsi:type="dcterms:W3CDTF">2026-07-13T09:33:54Z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F563438496D149A09BE807286161AB10_13</vt:lpwstr>
  </property>
  <property fmtid="{D5CDD505-2E9C-101B-9397-08002B2CF9AE}" pid="4" name="KSOTemplateDocerSaveRecord">
    <vt:lpwstr>eyJoZGlkIjoiYmRjODQ4OWJhYWZhOGQ1ZjhjYzEyYTQxZTY1ZTNmYzYiLCJ1c2VySWQiOiIxODU5MTk5NDAzIn0=</vt:lpwstr>
  </property>
</Properties>
</file>