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D81E0">
      <w:pPr>
        <w:widowControl w:val="0"/>
        <w:spacing w:before="63" w:line="224" w:lineRule="auto"/>
        <w:jc w:val="center"/>
        <w:rPr>
          <w:rFonts w:ascii="仿宋" w:hAnsi="仿宋" w:eastAsia="仿宋" w:cs="宋体"/>
          <w:color w:val="auto"/>
          <w:sz w:val="31"/>
          <w:szCs w:val="31"/>
          <w:lang w:eastAsia="zh-CN"/>
        </w:rPr>
      </w:pPr>
      <w:r>
        <w:rPr>
          <w:rFonts w:ascii="仿宋" w:hAnsi="仿宋" w:eastAsia="仿宋" w:cs="宋体"/>
          <w:color w:val="auto"/>
          <w:spacing w:val="9"/>
          <w:sz w:val="31"/>
          <w:szCs w:val="31"/>
          <w:lang w:eastAsia="zh-CN"/>
        </w:rPr>
        <w:t>第五章</w:t>
      </w:r>
      <w:r>
        <w:rPr>
          <w:rFonts w:hint="eastAsia" w:ascii="仿宋" w:hAnsi="仿宋" w:eastAsia="仿宋" w:cs="宋体"/>
          <w:color w:val="auto"/>
          <w:spacing w:val="9"/>
          <w:sz w:val="31"/>
          <w:szCs w:val="31"/>
          <w:lang w:eastAsia="zh-CN"/>
        </w:rPr>
        <w:t>采购需求</w:t>
      </w:r>
    </w:p>
    <w:p w14:paraId="2A1A3494">
      <w:pPr>
        <w:widowControl w:val="0"/>
        <w:spacing w:line="309" w:lineRule="auto"/>
        <w:jc w:val="center"/>
        <w:rPr>
          <w:rFonts w:ascii="仿宋" w:hAnsi="仿宋" w:eastAsia="仿宋"/>
          <w:color w:val="auto"/>
          <w:lang w:eastAsia="zh-CN"/>
        </w:rPr>
      </w:pPr>
    </w:p>
    <w:p w14:paraId="08A5D4D7">
      <w:pPr>
        <w:widowControl w:val="0"/>
        <w:spacing w:before="78" w:line="220" w:lineRule="auto"/>
        <w:jc w:val="both"/>
        <w:outlineLvl w:val="1"/>
        <w:rPr>
          <w:rFonts w:ascii="仿宋" w:hAnsi="仿宋" w:eastAsia="仿宋" w:cs="宋体"/>
          <w:color w:val="auto"/>
          <w:sz w:val="24"/>
          <w:szCs w:val="24"/>
          <w:lang w:eastAsia="zh-CN"/>
        </w:rPr>
      </w:pPr>
      <w:bookmarkStart w:id="0" w:name="_Toc5190"/>
      <w:r>
        <w:rPr>
          <w:rFonts w:ascii="仿宋" w:hAnsi="仿宋" w:eastAsia="仿宋" w:cs="宋体"/>
          <w:color w:val="auto"/>
          <w:spacing w:val="-2"/>
          <w:sz w:val="24"/>
          <w:szCs w:val="24"/>
          <w:lang w:eastAsia="zh-CN"/>
        </w:rPr>
        <w:t>一、</w:t>
      </w:r>
      <w:r>
        <w:rPr>
          <w:rFonts w:hint="eastAsia" w:ascii="仿宋" w:hAnsi="仿宋" w:eastAsia="仿宋" w:cs="宋体"/>
          <w:color w:val="auto"/>
          <w:spacing w:val="-2"/>
          <w:sz w:val="24"/>
          <w:szCs w:val="24"/>
          <w:lang w:eastAsia="zh-CN"/>
        </w:rPr>
        <w:t>采购</w:t>
      </w:r>
      <w:r>
        <w:rPr>
          <w:rFonts w:ascii="仿宋" w:hAnsi="仿宋" w:eastAsia="仿宋" w:cs="宋体"/>
          <w:color w:val="auto"/>
          <w:spacing w:val="-2"/>
          <w:sz w:val="24"/>
          <w:szCs w:val="24"/>
          <w:lang w:eastAsia="zh-CN"/>
        </w:rPr>
        <w:t>需求表</w:t>
      </w:r>
      <w:bookmarkEnd w:id="0"/>
    </w:p>
    <w:p w14:paraId="5FC68304">
      <w:pPr>
        <w:widowControl w:val="0"/>
        <w:spacing w:before="64"/>
        <w:rPr>
          <w:rFonts w:ascii="仿宋" w:hAnsi="仿宋" w:eastAsia="仿宋"/>
          <w:color w:val="auto"/>
          <w:lang w:eastAsia="zh-CN"/>
        </w:rPr>
      </w:pPr>
    </w:p>
    <w:tbl>
      <w:tblPr>
        <w:tblStyle w:val="6"/>
        <w:tblW w:w="9015" w:type="dxa"/>
        <w:tblInd w:w="-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8"/>
        <w:gridCol w:w="817"/>
        <w:gridCol w:w="6150"/>
      </w:tblGrid>
      <w:tr w14:paraId="0CA83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2" w:hRule="atLeast"/>
        </w:trPr>
        <w:tc>
          <w:tcPr>
            <w:tcW w:w="2048" w:type="dxa"/>
            <w:tcBorders>
              <w:right w:val="nil"/>
            </w:tcBorders>
          </w:tcPr>
          <w:p w14:paraId="24C53508">
            <w:pPr>
              <w:widowControl w:val="0"/>
              <w:spacing w:before="183" w:line="223" w:lineRule="auto"/>
              <w:ind w:left="1091"/>
              <w:rPr>
                <w:rFonts w:ascii="仿宋" w:hAnsi="仿宋" w:eastAsia="仿宋" w:cs="宋体"/>
                <w:color w:val="auto"/>
                <w:sz w:val="24"/>
                <w:szCs w:val="24"/>
              </w:rPr>
            </w:pPr>
            <w:bookmarkStart w:id="3" w:name="_GoBack"/>
            <w:r>
              <w:rPr>
                <w:rFonts w:ascii="仿宋" w:hAnsi="仿宋" w:eastAsia="仿宋"/>
                <w:color w:val="auto"/>
                <w:lang w:eastAsia="zh-CN"/>
              </w:rPr>
              <w:drawing>
                <wp:anchor distT="0" distB="0" distL="0" distR="0" simplePos="0" relativeHeight="251660288" behindDoc="1" locked="0" layoutInCell="1" allowOverlap="1">
                  <wp:simplePos x="0" y="0"/>
                  <wp:positionH relativeFrom="column">
                    <wp:posOffset>6985</wp:posOffset>
                  </wp:positionH>
                  <wp:positionV relativeFrom="paragraph">
                    <wp:posOffset>0</wp:posOffset>
                  </wp:positionV>
                  <wp:extent cx="1805305" cy="1485265"/>
                  <wp:effectExtent l="0" t="0" r="4445" b="63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
                          <a:stretch>
                            <a:fillRect/>
                          </a:stretch>
                        </pic:blipFill>
                        <pic:spPr>
                          <a:xfrm>
                            <a:off x="0" y="0"/>
                            <a:ext cx="1805051" cy="1485442"/>
                          </a:xfrm>
                          <a:prstGeom prst="rect">
                            <a:avLst/>
                          </a:prstGeom>
                        </pic:spPr>
                      </pic:pic>
                    </a:graphicData>
                  </a:graphic>
                </wp:anchor>
              </w:drawing>
            </w:r>
            <w:bookmarkEnd w:id="3"/>
            <w:r>
              <w:rPr>
                <w:rFonts w:ascii="仿宋" w:hAnsi="仿宋" w:eastAsia="仿宋" w:cs="宋体"/>
                <w:color w:val="auto"/>
                <w:sz w:val="24"/>
                <w:szCs w:val="24"/>
              </w:rPr>
              <w:t>名</w:t>
            </w:r>
          </w:p>
          <w:p w14:paraId="7022DEE8">
            <w:pPr>
              <w:pStyle w:val="7"/>
              <w:widowControl w:val="0"/>
              <w:spacing w:line="245" w:lineRule="auto"/>
              <w:rPr>
                <w:rFonts w:ascii="仿宋" w:hAnsi="仿宋" w:eastAsia="仿宋"/>
                <w:color w:val="auto"/>
              </w:rPr>
            </w:pPr>
          </w:p>
          <w:p w14:paraId="68A999C6">
            <w:pPr>
              <w:pStyle w:val="7"/>
              <w:widowControl w:val="0"/>
              <w:spacing w:line="246" w:lineRule="auto"/>
              <w:rPr>
                <w:rFonts w:ascii="仿宋" w:hAnsi="仿宋" w:eastAsia="仿宋"/>
                <w:color w:val="auto"/>
              </w:rPr>
            </w:pPr>
          </w:p>
          <w:p w14:paraId="6B00A2E0">
            <w:pPr>
              <w:widowControl w:val="0"/>
              <w:spacing w:before="78" w:line="219" w:lineRule="auto"/>
              <w:ind w:left="481"/>
              <w:rPr>
                <w:rFonts w:ascii="仿宋" w:hAnsi="仿宋" w:eastAsia="仿宋" w:cs="宋体"/>
                <w:color w:val="auto"/>
                <w:sz w:val="24"/>
                <w:szCs w:val="24"/>
              </w:rPr>
            </w:pPr>
            <w:r>
              <w:rPr>
                <w:rFonts w:ascii="仿宋" w:hAnsi="仿宋" w:eastAsia="仿宋" w:cs="宋体"/>
                <w:color w:val="auto"/>
                <w:sz w:val="24"/>
                <w:szCs w:val="24"/>
              </w:rPr>
              <w:t>内</w:t>
            </w:r>
          </w:p>
          <w:p w14:paraId="197C3B38">
            <w:pPr>
              <w:pStyle w:val="7"/>
              <w:widowControl w:val="0"/>
              <w:spacing w:line="338" w:lineRule="auto"/>
              <w:rPr>
                <w:rFonts w:ascii="仿宋" w:hAnsi="仿宋" w:eastAsia="仿宋"/>
                <w:color w:val="auto"/>
              </w:rPr>
            </w:pPr>
          </w:p>
          <w:p w14:paraId="42A8359F">
            <w:pPr>
              <w:widowControl w:val="0"/>
              <w:spacing w:before="78" w:line="220" w:lineRule="auto"/>
              <w:ind w:left="1311"/>
              <w:rPr>
                <w:rFonts w:ascii="仿宋" w:hAnsi="仿宋" w:eastAsia="仿宋" w:cs="宋体"/>
                <w:color w:val="auto"/>
                <w:sz w:val="24"/>
                <w:szCs w:val="24"/>
              </w:rPr>
            </w:pPr>
            <w:r>
              <w:rPr>
                <w:rFonts w:ascii="仿宋" w:hAnsi="仿宋" w:eastAsia="仿宋" w:cs="宋体"/>
                <w:color w:val="auto"/>
                <w:sz w:val="24"/>
                <w:szCs w:val="24"/>
              </w:rPr>
              <w:t>容</w:t>
            </w:r>
          </w:p>
        </w:tc>
        <w:tc>
          <w:tcPr>
            <w:tcW w:w="817" w:type="dxa"/>
            <w:tcBorders>
              <w:left w:val="nil"/>
            </w:tcBorders>
          </w:tcPr>
          <w:p w14:paraId="5737A7A6">
            <w:pPr>
              <w:pStyle w:val="7"/>
              <w:widowControl w:val="0"/>
              <w:spacing w:line="263" w:lineRule="auto"/>
              <w:rPr>
                <w:rFonts w:ascii="仿宋" w:hAnsi="仿宋" w:eastAsia="仿宋"/>
                <w:color w:val="auto"/>
              </w:rPr>
            </w:pPr>
          </w:p>
          <w:p w14:paraId="1F6ADA4D">
            <w:pPr>
              <w:pStyle w:val="7"/>
              <w:widowControl w:val="0"/>
              <w:spacing w:line="263" w:lineRule="auto"/>
              <w:rPr>
                <w:rFonts w:ascii="仿宋" w:hAnsi="仿宋" w:eastAsia="仿宋"/>
                <w:color w:val="auto"/>
              </w:rPr>
            </w:pPr>
          </w:p>
          <w:p w14:paraId="71CC3438">
            <w:pPr>
              <w:pStyle w:val="7"/>
              <w:widowControl w:val="0"/>
              <w:spacing w:line="264" w:lineRule="auto"/>
              <w:rPr>
                <w:rFonts w:ascii="仿宋" w:hAnsi="仿宋" w:eastAsia="仿宋"/>
                <w:color w:val="auto"/>
              </w:rPr>
            </w:pPr>
          </w:p>
          <w:p w14:paraId="07438FDB">
            <w:pPr>
              <w:widowControl w:val="0"/>
              <w:spacing w:before="78" w:line="221" w:lineRule="auto"/>
              <w:ind w:left="192"/>
              <w:rPr>
                <w:rFonts w:ascii="仿宋" w:hAnsi="仿宋" w:eastAsia="仿宋" w:cs="宋体"/>
                <w:color w:val="auto"/>
                <w:sz w:val="24"/>
                <w:szCs w:val="24"/>
              </w:rPr>
            </w:pPr>
            <w:r>
              <w:rPr>
                <w:rFonts w:ascii="仿宋" w:hAnsi="仿宋" w:eastAsia="仿宋" w:cs="宋体"/>
                <w:color w:val="auto"/>
                <w:sz w:val="24"/>
                <w:szCs w:val="24"/>
              </w:rPr>
              <w:t>称</w:t>
            </w:r>
          </w:p>
        </w:tc>
        <w:tc>
          <w:tcPr>
            <w:tcW w:w="6150" w:type="dxa"/>
            <w:vAlign w:val="center"/>
          </w:tcPr>
          <w:p w14:paraId="1369722E">
            <w:pPr>
              <w:pStyle w:val="7"/>
              <w:widowControl w:val="0"/>
              <w:jc w:val="center"/>
              <w:rPr>
                <w:rFonts w:ascii="仿宋" w:hAnsi="仿宋" w:eastAsia="仿宋"/>
                <w:color w:val="auto"/>
                <w:lang w:eastAsia="zh-CN"/>
              </w:rPr>
            </w:pPr>
            <w:r>
              <w:rPr>
                <w:rFonts w:hint="eastAsia" w:ascii="仿宋" w:hAnsi="仿宋" w:eastAsia="仿宋"/>
                <w:bCs/>
                <w:color w:val="auto"/>
                <w:sz w:val="24"/>
                <w:lang w:eastAsia="zh-CN"/>
              </w:rPr>
              <w:t>南昌市青云谱区卫生健康委员会病媒消杀服务采购项目</w:t>
            </w:r>
          </w:p>
        </w:tc>
      </w:tr>
      <w:tr w14:paraId="726BE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tcPr>
          <w:p w14:paraId="19F7D45A">
            <w:pPr>
              <w:widowControl w:val="0"/>
              <w:spacing w:before="253" w:line="219" w:lineRule="auto"/>
              <w:ind w:left="1188"/>
              <w:rPr>
                <w:rFonts w:ascii="仿宋" w:hAnsi="仿宋" w:eastAsia="仿宋" w:cs="宋体"/>
                <w:color w:val="auto"/>
                <w:sz w:val="24"/>
                <w:szCs w:val="24"/>
              </w:rPr>
            </w:pPr>
            <w:r>
              <w:rPr>
                <w:rFonts w:ascii="仿宋" w:hAnsi="仿宋" w:eastAsia="仿宋" w:cs="宋体"/>
                <w:color w:val="auto"/>
                <w:spacing w:val="-6"/>
                <w:sz w:val="24"/>
                <w:szCs w:val="24"/>
              </w:rPr>
              <w:t>数量</w:t>
            </w:r>
          </w:p>
        </w:tc>
        <w:tc>
          <w:tcPr>
            <w:tcW w:w="6150" w:type="dxa"/>
            <w:vAlign w:val="center"/>
          </w:tcPr>
          <w:p w14:paraId="659527A2">
            <w:pPr>
              <w:pStyle w:val="7"/>
              <w:widowControl w:val="0"/>
              <w:jc w:val="center"/>
              <w:rPr>
                <w:rFonts w:ascii="仿宋" w:hAnsi="仿宋" w:eastAsia="仿宋"/>
                <w:color w:val="auto"/>
                <w:sz w:val="24"/>
                <w:lang w:eastAsia="zh-CN"/>
              </w:rPr>
            </w:pPr>
            <w:r>
              <w:rPr>
                <w:rFonts w:hint="eastAsia" w:ascii="仿宋" w:hAnsi="仿宋" w:eastAsia="仿宋"/>
                <w:color w:val="auto"/>
                <w:sz w:val="24"/>
                <w:lang w:eastAsia="zh-CN"/>
              </w:rPr>
              <w:t>1项</w:t>
            </w:r>
          </w:p>
        </w:tc>
      </w:tr>
      <w:tr w14:paraId="68899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tcPr>
          <w:p w14:paraId="2AEDD2EB">
            <w:pPr>
              <w:widowControl w:val="0"/>
              <w:spacing w:before="253" w:line="219" w:lineRule="auto"/>
              <w:ind w:left="1071"/>
              <w:rPr>
                <w:rFonts w:ascii="仿宋" w:hAnsi="仿宋" w:eastAsia="仿宋" w:cs="宋体"/>
                <w:color w:val="auto"/>
                <w:sz w:val="24"/>
                <w:szCs w:val="24"/>
              </w:rPr>
            </w:pPr>
            <w:r>
              <w:rPr>
                <w:rFonts w:hint="eastAsia" w:ascii="仿宋" w:hAnsi="仿宋" w:eastAsia="仿宋" w:cs="宋体"/>
                <w:color w:val="auto"/>
                <w:spacing w:val="-5"/>
                <w:sz w:val="24"/>
                <w:szCs w:val="24"/>
                <w:lang w:eastAsia="zh-CN"/>
              </w:rPr>
              <w:t>服务</w:t>
            </w:r>
            <w:r>
              <w:rPr>
                <w:rFonts w:ascii="仿宋" w:hAnsi="仿宋" w:eastAsia="仿宋" w:cs="宋体"/>
                <w:color w:val="auto"/>
                <w:spacing w:val="-5"/>
                <w:sz w:val="24"/>
                <w:szCs w:val="24"/>
              </w:rPr>
              <w:t>期</w:t>
            </w:r>
          </w:p>
        </w:tc>
        <w:tc>
          <w:tcPr>
            <w:tcW w:w="6150" w:type="dxa"/>
            <w:vAlign w:val="center"/>
          </w:tcPr>
          <w:p w14:paraId="6190E83C">
            <w:pPr>
              <w:pStyle w:val="7"/>
              <w:widowControl w:val="0"/>
              <w:jc w:val="center"/>
              <w:rPr>
                <w:rFonts w:ascii="仿宋" w:hAnsi="仿宋" w:eastAsia="仿宋"/>
                <w:color w:val="auto"/>
                <w:sz w:val="24"/>
                <w:lang w:eastAsia="zh-CN"/>
              </w:rPr>
            </w:pPr>
            <w:r>
              <w:rPr>
                <w:rFonts w:hint="eastAsia" w:ascii="仿宋" w:hAnsi="仿宋" w:eastAsia="仿宋"/>
                <w:color w:val="auto"/>
                <w:sz w:val="24"/>
                <w:lang w:eastAsia="zh-CN"/>
              </w:rPr>
              <w:t>详见“商务条件”</w:t>
            </w:r>
          </w:p>
        </w:tc>
      </w:tr>
      <w:tr w14:paraId="28C61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tcPr>
          <w:p w14:paraId="5DEB7DC7">
            <w:pPr>
              <w:widowControl w:val="0"/>
              <w:spacing w:before="256" w:line="219" w:lineRule="auto"/>
              <w:ind w:left="951"/>
              <w:rPr>
                <w:rFonts w:ascii="仿宋" w:hAnsi="仿宋" w:eastAsia="仿宋" w:cs="宋体"/>
                <w:color w:val="auto"/>
                <w:sz w:val="24"/>
                <w:szCs w:val="24"/>
              </w:rPr>
            </w:pPr>
            <w:r>
              <w:rPr>
                <w:rFonts w:hint="eastAsia" w:ascii="仿宋" w:hAnsi="仿宋" w:eastAsia="仿宋" w:cs="宋体"/>
                <w:color w:val="auto"/>
                <w:spacing w:val="-4"/>
                <w:sz w:val="24"/>
                <w:szCs w:val="24"/>
                <w:lang w:eastAsia="zh-CN"/>
              </w:rPr>
              <w:t>服务</w:t>
            </w:r>
            <w:r>
              <w:rPr>
                <w:rFonts w:ascii="仿宋" w:hAnsi="仿宋" w:eastAsia="仿宋" w:cs="宋体"/>
                <w:color w:val="auto"/>
                <w:spacing w:val="-4"/>
                <w:sz w:val="24"/>
                <w:szCs w:val="24"/>
              </w:rPr>
              <w:t>地点</w:t>
            </w:r>
          </w:p>
        </w:tc>
        <w:tc>
          <w:tcPr>
            <w:tcW w:w="6150" w:type="dxa"/>
            <w:vAlign w:val="center"/>
          </w:tcPr>
          <w:p w14:paraId="49833CB5">
            <w:pPr>
              <w:pStyle w:val="7"/>
              <w:widowControl w:val="0"/>
              <w:jc w:val="center"/>
              <w:rPr>
                <w:rFonts w:ascii="仿宋" w:hAnsi="仿宋" w:eastAsia="仿宋"/>
                <w:color w:val="auto"/>
                <w:sz w:val="24"/>
              </w:rPr>
            </w:pPr>
            <w:r>
              <w:rPr>
                <w:rFonts w:hint="eastAsia" w:ascii="仿宋" w:hAnsi="仿宋" w:eastAsia="仿宋"/>
                <w:color w:val="auto"/>
                <w:sz w:val="24"/>
                <w:lang w:eastAsia="zh-CN"/>
              </w:rPr>
              <w:t>详见“商务条件”</w:t>
            </w:r>
          </w:p>
        </w:tc>
      </w:tr>
      <w:tr w14:paraId="40B45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2865" w:type="dxa"/>
            <w:gridSpan w:val="2"/>
          </w:tcPr>
          <w:p w14:paraId="045E1BFA">
            <w:pPr>
              <w:widowControl w:val="0"/>
              <w:spacing w:before="256" w:line="221" w:lineRule="auto"/>
              <w:ind w:left="1189"/>
              <w:rPr>
                <w:rFonts w:ascii="仿宋" w:hAnsi="仿宋" w:eastAsia="仿宋" w:cs="宋体"/>
                <w:color w:val="auto"/>
                <w:sz w:val="24"/>
                <w:szCs w:val="24"/>
              </w:rPr>
            </w:pPr>
            <w:r>
              <w:rPr>
                <w:rFonts w:ascii="仿宋" w:hAnsi="仿宋" w:eastAsia="仿宋" w:cs="宋体"/>
                <w:color w:val="auto"/>
                <w:spacing w:val="-7"/>
                <w:sz w:val="24"/>
                <w:szCs w:val="24"/>
              </w:rPr>
              <w:t>备注</w:t>
            </w:r>
          </w:p>
        </w:tc>
        <w:tc>
          <w:tcPr>
            <w:tcW w:w="6150" w:type="dxa"/>
            <w:vAlign w:val="center"/>
          </w:tcPr>
          <w:p w14:paraId="3F1F6538">
            <w:pPr>
              <w:pStyle w:val="7"/>
              <w:widowControl w:val="0"/>
              <w:jc w:val="center"/>
              <w:rPr>
                <w:rFonts w:ascii="仿宋" w:hAnsi="仿宋" w:eastAsia="仿宋"/>
                <w:color w:val="auto"/>
                <w:sz w:val="24"/>
                <w:lang w:eastAsia="zh-CN"/>
              </w:rPr>
            </w:pPr>
            <w:r>
              <w:rPr>
                <w:rFonts w:hint="eastAsia" w:ascii="仿宋" w:hAnsi="仿宋" w:eastAsia="仿宋"/>
                <w:color w:val="auto"/>
                <w:sz w:val="24"/>
                <w:lang w:eastAsia="zh-CN"/>
              </w:rPr>
              <w:t>/</w:t>
            </w:r>
          </w:p>
        </w:tc>
      </w:tr>
    </w:tbl>
    <w:p w14:paraId="0F9BFACE">
      <w:pPr>
        <w:widowControl w:val="0"/>
        <w:rPr>
          <w:rFonts w:ascii="仿宋" w:hAnsi="仿宋" w:eastAsia="仿宋"/>
          <w:color w:val="auto"/>
        </w:rPr>
      </w:pPr>
    </w:p>
    <w:p w14:paraId="6AD8DF93">
      <w:pPr>
        <w:widowControl w:val="0"/>
        <w:rPr>
          <w:rFonts w:ascii="仿宋" w:hAnsi="仿宋" w:eastAsia="仿宋"/>
          <w:color w:val="auto"/>
        </w:rPr>
        <w:sectPr>
          <w:footerReference r:id="rId3" w:type="default"/>
          <w:pgSz w:w="11906" w:h="16839"/>
          <w:pgMar w:top="1440" w:right="1800" w:bottom="1440" w:left="1800" w:header="0" w:footer="994" w:gutter="0"/>
          <w:cols w:space="720" w:num="1"/>
        </w:sectPr>
      </w:pPr>
    </w:p>
    <w:p w14:paraId="5936A666">
      <w:pPr>
        <w:widowControl w:val="0"/>
        <w:spacing w:before="47" w:line="219" w:lineRule="auto"/>
        <w:ind w:left="3805"/>
        <w:outlineLvl w:val="1"/>
        <w:rPr>
          <w:rFonts w:ascii="仿宋" w:hAnsi="仿宋" w:eastAsia="仿宋" w:cs="宋体"/>
          <w:color w:val="auto"/>
          <w:sz w:val="24"/>
          <w:szCs w:val="24"/>
          <w:lang w:eastAsia="zh-CN"/>
        </w:rPr>
      </w:pPr>
      <w:bookmarkStart w:id="1" w:name="bookmark81"/>
      <w:bookmarkEnd w:id="1"/>
      <w:bookmarkStart w:id="2" w:name="_Toc20304"/>
      <w:r>
        <w:rPr>
          <w:rFonts w:ascii="仿宋" w:hAnsi="仿宋" w:eastAsia="仿宋" w:cs="宋体"/>
          <w:b/>
          <w:bCs/>
          <w:color w:val="auto"/>
          <w:spacing w:val="-2"/>
          <w:sz w:val="24"/>
          <w:szCs w:val="24"/>
        </w:rPr>
        <w:t>二、采购</w:t>
      </w:r>
      <w:r>
        <w:rPr>
          <w:rFonts w:hint="eastAsia" w:ascii="仿宋" w:hAnsi="仿宋" w:eastAsia="仿宋" w:cs="宋体"/>
          <w:b/>
          <w:bCs/>
          <w:color w:val="auto"/>
          <w:spacing w:val="-2"/>
          <w:sz w:val="24"/>
          <w:szCs w:val="24"/>
          <w:lang w:eastAsia="zh-CN"/>
        </w:rPr>
        <w:t>要</w:t>
      </w:r>
      <w:r>
        <w:rPr>
          <w:rFonts w:ascii="仿宋" w:hAnsi="仿宋" w:eastAsia="仿宋" w:cs="宋体"/>
          <w:b/>
          <w:bCs/>
          <w:color w:val="auto"/>
          <w:spacing w:val="-2"/>
          <w:sz w:val="24"/>
          <w:szCs w:val="24"/>
        </w:rPr>
        <w:t>求</w:t>
      </w:r>
      <w:bookmarkEnd w:id="2"/>
    </w:p>
    <w:p w14:paraId="6B14E620">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宋体"/>
          <w:b/>
          <w:bCs/>
          <w:color w:val="auto"/>
          <w:spacing w:val="-6"/>
          <w:sz w:val="24"/>
          <w:szCs w:val="24"/>
          <w:lang w:val="en-US" w:eastAsia="zh-CN"/>
        </w:rPr>
      </w:pPr>
      <w:r>
        <w:rPr>
          <w:rFonts w:ascii="仿宋" w:hAnsi="仿宋" w:eastAsia="仿宋" w:cs="宋体"/>
          <w:color w:val="auto"/>
          <w:spacing w:val="-6"/>
          <w:sz w:val="24"/>
          <w:szCs w:val="24"/>
          <w:lang w:eastAsia="zh-CN"/>
        </w:rPr>
        <w:t>（</w:t>
      </w:r>
      <w:r>
        <w:rPr>
          <w:rFonts w:hint="eastAsia" w:ascii="仿宋" w:hAnsi="仿宋" w:eastAsia="仿宋" w:cs="宋体"/>
          <w:color w:val="auto"/>
          <w:spacing w:val="-6"/>
          <w:sz w:val="24"/>
          <w:szCs w:val="24"/>
          <w:lang w:val="en-US" w:eastAsia="zh-CN"/>
        </w:rPr>
        <w:t>一</w:t>
      </w:r>
      <w:r>
        <w:rPr>
          <w:rFonts w:ascii="仿宋" w:hAnsi="仿宋" w:eastAsia="仿宋" w:cs="宋体"/>
          <w:color w:val="auto"/>
          <w:spacing w:val="-6"/>
          <w:sz w:val="24"/>
          <w:szCs w:val="24"/>
          <w:lang w:eastAsia="zh-CN"/>
        </w:rPr>
        <w:t>）</w:t>
      </w:r>
      <w:r>
        <w:rPr>
          <w:rFonts w:hint="eastAsia" w:ascii="仿宋" w:hAnsi="仿宋" w:eastAsia="仿宋" w:cs="宋体"/>
          <w:color w:val="auto"/>
          <w:spacing w:val="-6"/>
          <w:sz w:val="24"/>
          <w:szCs w:val="24"/>
          <w:lang w:val="en-US" w:eastAsia="zh-CN"/>
        </w:rPr>
        <w:t>技术要求</w:t>
      </w:r>
    </w:p>
    <w:p w14:paraId="5EBF6991">
      <w:pPr>
        <w:keepNext w:val="0"/>
        <w:keepLines w:val="0"/>
        <w:pageBreakBefore w:val="0"/>
        <w:widowControl/>
        <w:kinsoku/>
        <w:wordWrap/>
        <w:overflowPunct/>
        <w:topLinePunct w:val="0"/>
        <w:autoSpaceDE/>
        <w:autoSpaceDN/>
        <w:bidi w:val="0"/>
        <w:adjustRightInd/>
        <w:snapToGrid/>
        <w:spacing w:line="480" w:lineRule="exact"/>
        <w:ind w:firstLine="458" w:firstLineChars="200"/>
        <w:textAlignment w:val="auto"/>
        <w:rPr>
          <w:rFonts w:hint="eastAsia" w:ascii="仿宋" w:hAnsi="仿宋" w:eastAsia="仿宋" w:cs="宋体"/>
          <w:b/>
          <w:bCs/>
          <w:color w:val="auto"/>
          <w:spacing w:val="-6"/>
          <w:sz w:val="24"/>
          <w:szCs w:val="24"/>
          <w:lang w:val="en-US" w:eastAsia="zh-CN"/>
        </w:rPr>
      </w:pPr>
      <w:r>
        <w:rPr>
          <w:rFonts w:hint="eastAsia" w:ascii="仿宋" w:hAnsi="仿宋" w:eastAsia="仿宋" w:cs="宋体"/>
          <w:b/>
          <w:bCs/>
          <w:color w:val="auto"/>
          <w:spacing w:val="-6"/>
          <w:sz w:val="24"/>
          <w:szCs w:val="24"/>
          <w:lang w:val="en-US" w:eastAsia="zh-CN"/>
        </w:rPr>
        <w:t>1、服务范围</w:t>
      </w:r>
    </w:p>
    <w:p w14:paraId="507ACC54">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本项目服务范围包括：全区5个街道、1镇、1集聚区纳入区城市长效管理范围的社区（村）（共91个社区村）。</w:t>
      </w:r>
    </w:p>
    <w:p w14:paraId="6CA3572B">
      <w:pPr>
        <w:keepNext w:val="0"/>
        <w:keepLines w:val="0"/>
        <w:pageBreakBefore w:val="0"/>
        <w:widowControl/>
        <w:kinsoku/>
        <w:wordWrap/>
        <w:overflowPunct/>
        <w:topLinePunct w:val="0"/>
        <w:autoSpaceDE/>
        <w:autoSpaceDN/>
        <w:bidi w:val="0"/>
        <w:adjustRightInd/>
        <w:snapToGrid/>
        <w:spacing w:line="480" w:lineRule="exact"/>
        <w:ind w:firstLine="458"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b/>
          <w:bCs/>
          <w:color w:val="auto"/>
          <w:spacing w:val="-6"/>
          <w:sz w:val="24"/>
          <w:szCs w:val="24"/>
          <w:lang w:val="en-US" w:eastAsia="zh-CN"/>
        </w:rPr>
        <w:t>2、服务内容：</w:t>
      </w:r>
      <w:r>
        <w:rPr>
          <w:rFonts w:hint="eastAsia" w:ascii="仿宋" w:hAnsi="仿宋" w:eastAsia="仿宋" w:cs="宋体"/>
          <w:color w:val="auto"/>
          <w:spacing w:val="-6"/>
          <w:sz w:val="24"/>
          <w:szCs w:val="24"/>
          <w:lang w:val="en-US" w:eastAsia="zh-CN"/>
        </w:rPr>
        <w:t>服务范围内公共外环境日常性蚊蝇等病媒生物消杀及鼠防制。</w:t>
      </w:r>
    </w:p>
    <w:p w14:paraId="23E2E72B">
      <w:pPr>
        <w:keepNext w:val="0"/>
        <w:keepLines w:val="0"/>
        <w:pageBreakBefore w:val="0"/>
        <w:widowControl/>
        <w:kinsoku/>
        <w:wordWrap/>
        <w:overflowPunct/>
        <w:topLinePunct w:val="0"/>
        <w:autoSpaceDE/>
        <w:autoSpaceDN/>
        <w:bidi w:val="0"/>
        <w:adjustRightInd/>
        <w:snapToGrid/>
        <w:spacing w:line="480" w:lineRule="exact"/>
        <w:ind w:firstLine="458"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b/>
          <w:bCs/>
          <w:color w:val="auto"/>
          <w:spacing w:val="-6"/>
          <w:sz w:val="24"/>
          <w:szCs w:val="24"/>
          <w:lang w:val="en-US" w:eastAsia="zh-CN"/>
        </w:rPr>
        <w:t>3、人员、设备基本配置要求</w:t>
      </w:r>
    </w:p>
    <w:p w14:paraId="4FE2E049">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3.1针对本项目拟派服务团队须不少于6名，其中包含1名项目负责人，消杀人员必须经过专业培训。</w:t>
      </w:r>
    </w:p>
    <w:p w14:paraId="2408AF3C">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宋体"/>
          <w:color w:val="auto"/>
          <w:spacing w:val="-6"/>
          <w:sz w:val="24"/>
          <w:szCs w:val="24"/>
          <w:lang w:eastAsia="zh-CN"/>
        </w:rPr>
      </w:pPr>
      <w:r>
        <w:rPr>
          <w:rFonts w:hint="eastAsia" w:ascii="仿宋" w:hAnsi="仿宋" w:eastAsia="仿宋" w:cs="宋体"/>
          <w:color w:val="auto"/>
          <w:spacing w:val="-6"/>
          <w:sz w:val="24"/>
          <w:szCs w:val="24"/>
          <w:lang w:val="en-US" w:eastAsia="zh-CN"/>
        </w:rPr>
        <w:t>3.2本项目设备基本配置表：</w:t>
      </w:r>
    </w:p>
    <w:tbl>
      <w:tblPr>
        <w:tblStyle w:val="6"/>
        <w:tblW w:w="83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4284"/>
        <w:gridCol w:w="1573"/>
        <w:gridCol w:w="1574"/>
      </w:tblGrid>
      <w:tr w14:paraId="1D809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99" w:type="dxa"/>
            <w:noWrap w:val="0"/>
            <w:vAlign w:val="center"/>
          </w:tcPr>
          <w:p w14:paraId="617E44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序号</w:t>
            </w:r>
          </w:p>
        </w:tc>
        <w:tc>
          <w:tcPr>
            <w:tcW w:w="4284" w:type="dxa"/>
            <w:noWrap w:val="0"/>
            <w:vAlign w:val="center"/>
          </w:tcPr>
          <w:p w14:paraId="16262B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机械设备名称</w:t>
            </w:r>
          </w:p>
        </w:tc>
        <w:tc>
          <w:tcPr>
            <w:tcW w:w="1573" w:type="dxa"/>
            <w:noWrap w:val="0"/>
            <w:vAlign w:val="center"/>
          </w:tcPr>
          <w:p w14:paraId="3FDD7B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单位</w:t>
            </w:r>
          </w:p>
        </w:tc>
        <w:tc>
          <w:tcPr>
            <w:tcW w:w="1574" w:type="dxa"/>
            <w:noWrap w:val="0"/>
            <w:vAlign w:val="center"/>
          </w:tcPr>
          <w:p w14:paraId="795889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数量</w:t>
            </w:r>
          </w:p>
        </w:tc>
      </w:tr>
      <w:tr w14:paraId="42E64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99" w:type="dxa"/>
            <w:noWrap w:val="0"/>
            <w:vAlign w:val="center"/>
          </w:tcPr>
          <w:p w14:paraId="7AD53A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1</w:t>
            </w:r>
          </w:p>
        </w:tc>
        <w:tc>
          <w:tcPr>
            <w:tcW w:w="4284" w:type="dxa"/>
            <w:noWrap w:val="0"/>
            <w:vAlign w:val="center"/>
          </w:tcPr>
          <w:p w14:paraId="180C65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热烟雾机</w:t>
            </w:r>
          </w:p>
        </w:tc>
        <w:tc>
          <w:tcPr>
            <w:tcW w:w="1573" w:type="dxa"/>
            <w:noWrap w:val="0"/>
            <w:vAlign w:val="center"/>
          </w:tcPr>
          <w:p w14:paraId="4551A5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台</w:t>
            </w:r>
          </w:p>
        </w:tc>
        <w:tc>
          <w:tcPr>
            <w:tcW w:w="1574" w:type="dxa"/>
            <w:noWrap w:val="0"/>
            <w:vAlign w:val="center"/>
          </w:tcPr>
          <w:p w14:paraId="323556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1</w:t>
            </w:r>
          </w:p>
        </w:tc>
      </w:tr>
      <w:tr w14:paraId="07A4B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99" w:type="dxa"/>
            <w:noWrap w:val="0"/>
            <w:vAlign w:val="center"/>
          </w:tcPr>
          <w:p w14:paraId="3F7B73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2</w:t>
            </w:r>
          </w:p>
        </w:tc>
        <w:tc>
          <w:tcPr>
            <w:tcW w:w="4284" w:type="dxa"/>
            <w:noWrap w:val="0"/>
            <w:vAlign w:val="center"/>
          </w:tcPr>
          <w:p w14:paraId="273DD4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超低容量喷雾机</w:t>
            </w:r>
          </w:p>
        </w:tc>
        <w:tc>
          <w:tcPr>
            <w:tcW w:w="1573" w:type="dxa"/>
            <w:noWrap w:val="0"/>
            <w:vAlign w:val="center"/>
          </w:tcPr>
          <w:p w14:paraId="433322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台</w:t>
            </w:r>
          </w:p>
        </w:tc>
        <w:tc>
          <w:tcPr>
            <w:tcW w:w="1574" w:type="dxa"/>
            <w:noWrap w:val="0"/>
            <w:vAlign w:val="center"/>
          </w:tcPr>
          <w:p w14:paraId="20B27E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2</w:t>
            </w:r>
          </w:p>
        </w:tc>
      </w:tr>
      <w:tr w14:paraId="73CA2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99" w:type="dxa"/>
            <w:noWrap w:val="0"/>
            <w:vAlign w:val="center"/>
          </w:tcPr>
          <w:p w14:paraId="25C360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3</w:t>
            </w:r>
          </w:p>
        </w:tc>
        <w:tc>
          <w:tcPr>
            <w:tcW w:w="4284" w:type="dxa"/>
            <w:noWrap w:val="0"/>
            <w:vAlign w:val="center"/>
          </w:tcPr>
          <w:p w14:paraId="78362E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皮卡或面包车等工程服务车</w:t>
            </w:r>
          </w:p>
        </w:tc>
        <w:tc>
          <w:tcPr>
            <w:tcW w:w="1573" w:type="dxa"/>
            <w:noWrap w:val="0"/>
            <w:vAlign w:val="center"/>
          </w:tcPr>
          <w:p w14:paraId="7B9F59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辆</w:t>
            </w:r>
          </w:p>
        </w:tc>
        <w:tc>
          <w:tcPr>
            <w:tcW w:w="1574" w:type="dxa"/>
            <w:noWrap w:val="0"/>
            <w:vAlign w:val="center"/>
          </w:tcPr>
          <w:p w14:paraId="64B8B2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1</w:t>
            </w:r>
          </w:p>
        </w:tc>
      </w:tr>
    </w:tbl>
    <w:p w14:paraId="6444A22F">
      <w:pPr>
        <w:keepNext w:val="0"/>
        <w:keepLines w:val="0"/>
        <w:pageBreakBefore w:val="0"/>
        <w:widowControl/>
        <w:kinsoku/>
        <w:wordWrap/>
        <w:overflowPunct/>
        <w:topLinePunct w:val="0"/>
        <w:autoSpaceDE/>
        <w:autoSpaceDN/>
        <w:bidi w:val="0"/>
        <w:adjustRightInd/>
        <w:snapToGrid/>
        <w:spacing w:line="480" w:lineRule="exact"/>
        <w:ind w:firstLine="458" w:firstLineChars="200"/>
        <w:textAlignment w:val="auto"/>
        <w:rPr>
          <w:rFonts w:hint="eastAsia" w:ascii="仿宋" w:hAnsi="仿宋" w:eastAsia="仿宋" w:cs="宋体"/>
          <w:b/>
          <w:bCs/>
          <w:color w:val="auto"/>
          <w:spacing w:val="-6"/>
          <w:sz w:val="24"/>
          <w:szCs w:val="24"/>
          <w:lang w:val="en-US" w:eastAsia="zh-CN"/>
        </w:rPr>
      </w:pPr>
      <w:r>
        <w:rPr>
          <w:rFonts w:hint="eastAsia" w:ascii="仿宋" w:hAnsi="仿宋" w:eastAsia="仿宋" w:cs="宋体"/>
          <w:b/>
          <w:bCs/>
          <w:color w:val="auto"/>
          <w:spacing w:val="-6"/>
          <w:sz w:val="24"/>
          <w:szCs w:val="24"/>
          <w:lang w:val="en-US" w:eastAsia="zh-CN"/>
        </w:rPr>
        <w:t>4、服务要求</w:t>
      </w:r>
    </w:p>
    <w:p w14:paraId="36F54140">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4.1供应商应严格按照劳动规程操作，做到规范、文明、安全操作，保证施工安全，承担因药物操作、使用不当所产生的一切安全责任事故后果。</w:t>
      </w:r>
    </w:p>
    <w:p w14:paraId="6BA4DEAB">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4.2对指定地点定期（每月2次，间隔10-12天左右消杀一次）喷洒杀虫剂进行蚊蝇蟑螂消杀。负责服务区内防鼠毒饵盒规范性增补、布设。</w:t>
      </w:r>
    </w:p>
    <w:p w14:paraId="551DBD70">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4.3消杀作业当中发现坛罐积水等蚊蝇滋生处的，现场予以清理，如因居民阻止等其他原因不能清理的，及时报告采购人。</w:t>
      </w:r>
    </w:p>
    <w:p w14:paraId="61BBFED8">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4.4规范管理使用消杀药物，不滥用、不挪用，做好药物使用记录。</w:t>
      </w:r>
    </w:p>
    <w:p w14:paraId="6B61696C">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4.5对采购人通告的问题和居民投诉情况，自收到通知之日起3个工作日内，及时整改到位。</w:t>
      </w:r>
    </w:p>
    <w:p w14:paraId="106E6AA0">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4.6建立每日工作服务记录卡，详细记载服务内容备案。</w:t>
      </w:r>
    </w:p>
    <w:p w14:paraId="2E9151AC">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4.7每季度提供一次服务区病媒生物密度（主要为蚊蝇蟑螂鼠）监测报告给采购人。</w:t>
      </w:r>
    </w:p>
    <w:p w14:paraId="2ED17BB3">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4.8及时配合采购人完成突发性、应急性、政府指令性工作，以及服务范围内其他事项。对登革热等突发事件发生时，需应急免费提供消杀服务。</w:t>
      </w:r>
    </w:p>
    <w:p w14:paraId="3C850058">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4.9保障服务质量，确保服务取得明显实效。</w:t>
      </w:r>
    </w:p>
    <w:p w14:paraId="66F123E2">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4.10覆盖率符合要求并做好相关文字记录，保留备查。</w:t>
      </w:r>
    </w:p>
    <w:p w14:paraId="20F14EE6">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4.11负责对辖区内鼠盒等防制设施进行维护。</w:t>
      </w:r>
    </w:p>
    <w:p w14:paraId="71CE9401">
      <w:pPr>
        <w:keepNext w:val="0"/>
        <w:keepLines w:val="0"/>
        <w:pageBreakBefore w:val="0"/>
        <w:widowControl/>
        <w:kinsoku/>
        <w:wordWrap/>
        <w:overflowPunct/>
        <w:topLinePunct w:val="0"/>
        <w:autoSpaceDE/>
        <w:autoSpaceDN/>
        <w:bidi w:val="0"/>
        <w:adjustRightInd/>
        <w:snapToGrid/>
        <w:spacing w:line="480" w:lineRule="exact"/>
        <w:ind w:firstLine="458" w:firstLineChars="200"/>
        <w:textAlignment w:val="auto"/>
        <w:rPr>
          <w:rFonts w:hint="eastAsia" w:ascii="仿宋" w:hAnsi="仿宋" w:eastAsia="仿宋" w:cs="宋体"/>
          <w:color w:val="auto"/>
          <w:spacing w:val="-6"/>
          <w:sz w:val="24"/>
          <w:szCs w:val="24"/>
          <w:lang w:val="en-US" w:eastAsia="zh-CN"/>
        </w:rPr>
      </w:pPr>
      <w:r>
        <w:rPr>
          <w:rFonts w:hint="eastAsia" w:ascii="仿宋" w:hAnsi="仿宋" w:eastAsia="仿宋" w:cs="宋体"/>
          <w:b/>
          <w:bCs/>
          <w:color w:val="auto"/>
          <w:spacing w:val="-6"/>
          <w:sz w:val="24"/>
          <w:szCs w:val="24"/>
          <w:lang w:val="en-US" w:eastAsia="zh-CN"/>
        </w:rPr>
        <w:t>5、用药标准及要求、需求</w:t>
      </w:r>
    </w:p>
    <w:p w14:paraId="41552F2E">
      <w:pPr>
        <w:keepNext w:val="0"/>
        <w:keepLines w:val="0"/>
        <w:pageBreakBefore w:val="0"/>
        <w:widowControl/>
        <w:kinsoku/>
        <w:wordWrap/>
        <w:overflowPunct/>
        <w:topLinePunct w:val="0"/>
        <w:autoSpaceDE/>
        <w:autoSpaceDN/>
        <w:bidi w:val="0"/>
        <w:adjustRightInd/>
        <w:snapToGrid/>
        <w:spacing w:line="480" w:lineRule="exact"/>
        <w:ind w:firstLine="456" w:firstLineChars="200"/>
        <w:textAlignment w:val="auto"/>
        <w:rPr>
          <w:rFonts w:hint="default" w:ascii="仿宋" w:hAnsi="仿宋" w:eastAsia="仿宋" w:cs="宋体"/>
          <w:color w:val="auto"/>
          <w:spacing w:val="-6"/>
          <w:sz w:val="24"/>
          <w:szCs w:val="24"/>
          <w:lang w:val="en-US" w:eastAsia="zh-CN"/>
        </w:rPr>
      </w:pPr>
      <w:r>
        <w:rPr>
          <w:rFonts w:hint="eastAsia" w:ascii="仿宋" w:hAnsi="仿宋" w:eastAsia="仿宋" w:cs="宋体"/>
          <w:color w:val="auto"/>
          <w:spacing w:val="-6"/>
          <w:sz w:val="24"/>
          <w:szCs w:val="24"/>
          <w:lang w:val="en-US" w:eastAsia="zh-CN"/>
        </w:rPr>
        <w:t>供应商必须注重科学合理用药，不得使用假药、国家禁用的药物，并须确保药物来源正规和质量合格。使用的药物必须符合 GB/T27777-2011《杀鼠剂安全使用准则》与 GB/T27779-2011《卫生杀虫剂安全使用准则 拟除虫菊酯类》等国家标准及要求，达到“安全、高效环保"并交替使用药物防止病媒生物产生耐药性的要求。</w:t>
      </w:r>
    </w:p>
    <w:p w14:paraId="3A250984">
      <w:pPr>
        <w:kinsoku/>
        <w:autoSpaceDE/>
        <w:autoSpaceDN/>
        <w:adjustRightInd/>
        <w:snapToGrid/>
        <w:textAlignment w:val="auto"/>
        <w:rPr>
          <w:rFonts w:ascii="仿宋" w:hAnsi="仿宋" w:eastAsia="仿宋" w:cs="宋体"/>
          <w:color w:val="auto"/>
          <w:spacing w:val="-6"/>
          <w:sz w:val="24"/>
          <w:szCs w:val="24"/>
          <w:lang w:eastAsia="zh-CN"/>
        </w:rPr>
      </w:pPr>
      <w:r>
        <w:rPr>
          <w:rFonts w:hint="eastAsia" w:ascii="仿宋" w:hAnsi="仿宋" w:eastAsia="仿宋" w:cs="宋体"/>
          <w:b/>
          <w:bCs/>
          <w:color w:val="auto"/>
          <w:spacing w:val="-6"/>
          <w:sz w:val="24"/>
          <w:szCs w:val="24"/>
          <w:lang w:eastAsia="zh-CN"/>
        </w:rPr>
        <w:t>注：以上所有服务内容及要求为实质性要求，须全部满足或优于，否则按无效响应文件处理。</w:t>
      </w:r>
      <w:r>
        <w:rPr>
          <w:rFonts w:ascii="仿宋" w:hAnsi="仿宋" w:eastAsia="仿宋" w:cs="宋体"/>
          <w:color w:val="auto"/>
          <w:spacing w:val="-6"/>
          <w:sz w:val="24"/>
          <w:szCs w:val="24"/>
          <w:lang w:eastAsia="zh-CN"/>
        </w:rPr>
        <w:br w:type="page"/>
      </w:r>
    </w:p>
    <w:p w14:paraId="6AF9ED0D">
      <w:pPr>
        <w:widowControl w:val="0"/>
        <w:spacing w:before="78" w:line="219" w:lineRule="auto"/>
        <w:rPr>
          <w:rFonts w:ascii="仿宋" w:hAnsi="仿宋" w:eastAsia="仿宋" w:cs="宋体"/>
          <w:color w:val="auto"/>
          <w:sz w:val="24"/>
          <w:szCs w:val="24"/>
          <w:lang w:eastAsia="zh-CN"/>
        </w:rPr>
      </w:pPr>
      <w:r>
        <w:rPr>
          <w:rFonts w:ascii="仿宋" w:hAnsi="仿宋" w:eastAsia="仿宋" w:cs="宋体"/>
          <w:color w:val="auto"/>
          <w:spacing w:val="-6"/>
          <w:sz w:val="24"/>
          <w:szCs w:val="24"/>
          <w:lang w:eastAsia="zh-CN"/>
        </w:rPr>
        <w:t>（二）商务条件</w:t>
      </w:r>
    </w:p>
    <w:p w14:paraId="4C9F1520">
      <w:pPr>
        <w:keepNext w:val="0"/>
        <w:keepLines w:val="0"/>
        <w:pageBreakBefore w:val="0"/>
        <w:widowControl w:val="0"/>
        <w:kinsoku w:val="0"/>
        <w:wordWrap/>
        <w:overflowPunct/>
        <w:topLinePunct w:val="0"/>
        <w:autoSpaceDE w:val="0"/>
        <w:autoSpaceDN w:val="0"/>
        <w:bidi w:val="0"/>
        <w:adjustRightInd w:val="0"/>
        <w:snapToGrid w:val="0"/>
        <w:spacing w:line="284" w:lineRule="auto"/>
        <w:ind w:firstLine="482" w:firstLineChars="200"/>
        <w:textAlignment w:val="baseline"/>
        <w:rPr>
          <w:rFonts w:hint="eastAsia" w:ascii="仿宋" w:hAnsi="仿宋" w:eastAsia="仿宋"/>
          <w:b w:val="0"/>
          <w:bCs w:val="0"/>
          <w:sz w:val="24"/>
          <w:szCs w:val="24"/>
          <w:lang w:eastAsia="zh-CN"/>
        </w:rPr>
      </w:pPr>
      <w:r>
        <w:rPr>
          <w:rFonts w:hint="eastAsia" w:ascii="仿宋" w:hAnsi="仿宋" w:eastAsia="仿宋"/>
          <w:b/>
          <w:bCs/>
          <w:sz w:val="24"/>
          <w:szCs w:val="24"/>
          <w:lang w:eastAsia="zh-CN"/>
        </w:rPr>
        <w:t>1、服务期限：</w:t>
      </w:r>
      <w:r>
        <w:rPr>
          <w:rFonts w:hint="eastAsia" w:ascii="仿宋" w:hAnsi="仿宋" w:eastAsia="仿宋"/>
          <w:b w:val="0"/>
          <w:bCs w:val="0"/>
          <w:sz w:val="24"/>
          <w:szCs w:val="24"/>
          <w:lang w:eastAsia="zh-CN"/>
        </w:rPr>
        <w:t>本项目自合同签订之日起服务期一年。</w:t>
      </w:r>
    </w:p>
    <w:p w14:paraId="6F42579A">
      <w:pPr>
        <w:keepNext w:val="0"/>
        <w:keepLines w:val="0"/>
        <w:pageBreakBefore w:val="0"/>
        <w:widowControl w:val="0"/>
        <w:kinsoku w:val="0"/>
        <w:wordWrap/>
        <w:overflowPunct/>
        <w:topLinePunct w:val="0"/>
        <w:autoSpaceDE w:val="0"/>
        <w:autoSpaceDN w:val="0"/>
        <w:bidi w:val="0"/>
        <w:adjustRightInd w:val="0"/>
        <w:snapToGrid w:val="0"/>
        <w:spacing w:line="284" w:lineRule="auto"/>
        <w:ind w:firstLine="482" w:firstLineChars="200"/>
        <w:textAlignment w:val="baseline"/>
        <w:rPr>
          <w:rFonts w:hint="eastAsia" w:ascii="仿宋" w:hAnsi="仿宋" w:eastAsia="仿宋"/>
          <w:b w:val="0"/>
          <w:bCs w:val="0"/>
          <w:sz w:val="24"/>
          <w:szCs w:val="24"/>
          <w:lang w:eastAsia="zh-CN"/>
        </w:rPr>
      </w:pPr>
      <w:r>
        <w:rPr>
          <w:rFonts w:hint="eastAsia" w:ascii="仿宋" w:hAnsi="仿宋" w:eastAsia="仿宋"/>
          <w:b/>
          <w:bCs/>
          <w:sz w:val="24"/>
          <w:szCs w:val="24"/>
          <w:lang w:eastAsia="zh-CN"/>
        </w:rPr>
        <w:t>2、服务地点：</w:t>
      </w:r>
      <w:r>
        <w:rPr>
          <w:rFonts w:hint="eastAsia" w:ascii="仿宋" w:hAnsi="仿宋" w:eastAsia="仿宋"/>
          <w:b w:val="0"/>
          <w:bCs w:val="0"/>
          <w:sz w:val="24"/>
          <w:szCs w:val="24"/>
          <w:lang w:eastAsia="zh-CN"/>
        </w:rPr>
        <w:t>采购人指定地点。</w:t>
      </w:r>
    </w:p>
    <w:p w14:paraId="26824174">
      <w:pPr>
        <w:keepNext w:val="0"/>
        <w:keepLines w:val="0"/>
        <w:pageBreakBefore w:val="0"/>
        <w:widowControl w:val="0"/>
        <w:kinsoku w:val="0"/>
        <w:wordWrap/>
        <w:overflowPunct/>
        <w:topLinePunct w:val="0"/>
        <w:autoSpaceDE w:val="0"/>
        <w:autoSpaceDN w:val="0"/>
        <w:bidi w:val="0"/>
        <w:adjustRightInd w:val="0"/>
        <w:snapToGrid w:val="0"/>
        <w:spacing w:line="284" w:lineRule="auto"/>
        <w:ind w:firstLine="482" w:firstLineChars="200"/>
        <w:textAlignment w:val="baseline"/>
        <w:rPr>
          <w:rFonts w:hint="eastAsia" w:ascii="仿宋" w:hAnsi="仿宋" w:eastAsia="仿宋"/>
          <w:b/>
          <w:bCs/>
          <w:sz w:val="24"/>
          <w:szCs w:val="24"/>
          <w:lang w:eastAsia="zh-CN"/>
        </w:rPr>
      </w:pPr>
      <w:r>
        <w:rPr>
          <w:rFonts w:hint="eastAsia" w:ascii="仿宋" w:hAnsi="仿宋" w:eastAsia="仿宋"/>
          <w:b/>
          <w:bCs/>
          <w:sz w:val="24"/>
          <w:szCs w:val="24"/>
          <w:lang w:eastAsia="zh-CN"/>
        </w:rPr>
        <w:t>3、付款方式</w:t>
      </w:r>
    </w:p>
    <w:p w14:paraId="4B051386">
      <w:pPr>
        <w:keepNext w:val="0"/>
        <w:keepLines w:val="0"/>
        <w:pageBreakBefore w:val="0"/>
        <w:widowControl w:val="0"/>
        <w:kinsoku w:val="0"/>
        <w:wordWrap/>
        <w:overflowPunct/>
        <w:topLinePunct w:val="0"/>
        <w:autoSpaceDE w:val="0"/>
        <w:autoSpaceDN w:val="0"/>
        <w:bidi w:val="0"/>
        <w:adjustRightInd w:val="0"/>
        <w:snapToGrid w:val="0"/>
        <w:spacing w:line="284" w:lineRule="auto"/>
        <w:ind w:firstLine="480" w:firstLineChars="200"/>
        <w:textAlignment w:val="baseline"/>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成交供应商各项工作到位，开展服务工作一个月后，采购人首期向成交供应商支付服务经费总额30%；9月中旬向成交供应商支付服务经费总额40%；服务期满，根据考核及服务质量情况，结算剩余服务经费。</w:t>
      </w:r>
    </w:p>
    <w:p w14:paraId="689A3976">
      <w:pPr>
        <w:keepNext w:val="0"/>
        <w:keepLines w:val="0"/>
        <w:pageBreakBefore w:val="0"/>
        <w:widowControl w:val="0"/>
        <w:kinsoku w:val="0"/>
        <w:wordWrap/>
        <w:overflowPunct/>
        <w:topLinePunct w:val="0"/>
        <w:autoSpaceDE w:val="0"/>
        <w:autoSpaceDN w:val="0"/>
        <w:bidi w:val="0"/>
        <w:adjustRightInd w:val="0"/>
        <w:snapToGrid w:val="0"/>
        <w:spacing w:line="284" w:lineRule="auto"/>
        <w:ind w:firstLine="482" w:firstLineChars="200"/>
        <w:textAlignment w:val="baseline"/>
        <w:rPr>
          <w:rFonts w:hint="eastAsia" w:ascii="仿宋" w:hAnsi="仿宋" w:eastAsia="仿宋"/>
          <w:b/>
          <w:bCs/>
          <w:sz w:val="24"/>
          <w:szCs w:val="24"/>
          <w:lang w:eastAsia="zh-CN"/>
        </w:rPr>
      </w:pPr>
      <w:r>
        <w:rPr>
          <w:rFonts w:hint="eastAsia" w:ascii="仿宋" w:hAnsi="仿宋" w:eastAsia="仿宋"/>
          <w:b/>
          <w:bCs/>
          <w:sz w:val="24"/>
          <w:szCs w:val="24"/>
          <w:lang w:eastAsia="zh-CN"/>
        </w:rPr>
        <w:t>4、考核标准</w:t>
      </w:r>
    </w:p>
    <w:p w14:paraId="026520B8">
      <w:pPr>
        <w:keepNext w:val="0"/>
        <w:keepLines w:val="0"/>
        <w:pageBreakBefore w:val="0"/>
        <w:widowControl w:val="0"/>
        <w:kinsoku w:val="0"/>
        <w:wordWrap/>
        <w:overflowPunct/>
        <w:topLinePunct w:val="0"/>
        <w:autoSpaceDE w:val="0"/>
        <w:autoSpaceDN w:val="0"/>
        <w:bidi w:val="0"/>
        <w:adjustRightInd w:val="0"/>
        <w:snapToGrid w:val="0"/>
        <w:spacing w:line="284" w:lineRule="auto"/>
        <w:ind w:firstLine="480" w:firstLineChars="200"/>
        <w:textAlignment w:val="baseline"/>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4.1对居民投诉未及时进行整改，每次扣除服务经费100元；如一个社区（村）一个月内投诉累计超过5次，扣除服务经费1000元；整个服务期间，全区居民投诉次数累计超过20次，另扣除服务经费5000元；</w:t>
      </w:r>
    </w:p>
    <w:p w14:paraId="5B460EE0">
      <w:pPr>
        <w:keepNext w:val="0"/>
        <w:keepLines w:val="0"/>
        <w:pageBreakBefore w:val="0"/>
        <w:widowControl w:val="0"/>
        <w:kinsoku w:val="0"/>
        <w:wordWrap/>
        <w:overflowPunct/>
        <w:topLinePunct w:val="0"/>
        <w:autoSpaceDE w:val="0"/>
        <w:autoSpaceDN w:val="0"/>
        <w:bidi w:val="0"/>
        <w:adjustRightInd w:val="0"/>
        <w:snapToGrid w:val="0"/>
        <w:spacing w:line="284" w:lineRule="auto"/>
        <w:ind w:firstLine="480" w:firstLineChars="200"/>
        <w:textAlignment w:val="baseline"/>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4.2在由本级或上级工作督查中，每发现一处坛罐积水孳生处未处理，且未向采购人报告的，扣除服务经费20元；毒饵盒每发现一处未投药或鼠药过期、投药不规范的，扣除服务经费20元；每发现一只活鼠，扣除服务经费200元；</w:t>
      </w:r>
    </w:p>
    <w:p w14:paraId="3117556D">
      <w:pPr>
        <w:keepNext w:val="0"/>
        <w:keepLines w:val="0"/>
        <w:pageBreakBefore w:val="0"/>
        <w:widowControl w:val="0"/>
        <w:kinsoku w:val="0"/>
        <w:wordWrap/>
        <w:overflowPunct/>
        <w:topLinePunct w:val="0"/>
        <w:autoSpaceDE w:val="0"/>
        <w:autoSpaceDN w:val="0"/>
        <w:bidi w:val="0"/>
        <w:adjustRightInd w:val="0"/>
        <w:snapToGrid w:val="0"/>
        <w:spacing w:line="284" w:lineRule="auto"/>
        <w:ind w:firstLine="480" w:firstLineChars="200"/>
        <w:textAlignment w:val="baseline"/>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4.3服务工作质量受上级领导批评或由于供应商原因造成市级检查通报成绩靠后（排名第四名</w:t>
      </w:r>
      <w:r>
        <w:rPr>
          <w:rFonts w:hint="eastAsia" w:ascii="仿宋" w:hAnsi="仿宋" w:eastAsia="仿宋"/>
          <w:b w:val="0"/>
          <w:bCs w:val="0"/>
          <w:sz w:val="24"/>
          <w:szCs w:val="24"/>
          <w:lang w:val="en-US" w:eastAsia="zh-CN"/>
        </w:rPr>
        <w:t>及以下的</w:t>
      </w:r>
      <w:r>
        <w:rPr>
          <w:rFonts w:hint="eastAsia" w:ascii="仿宋" w:hAnsi="仿宋" w:eastAsia="仿宋"/>
          <w:b w:val="0"/>
          <w:bCs w:val="0"/>
          <w:sz w:val="24"/>
          <w:szCs w:val="24"/>
          <w:lang w:eastAsia="zh-CN"/>
        </w:rPr>
        <w:t>），第一次扣除服务经费1000元，第二次扣除2000元，第三次扣除3000元，依次类推；</w:t>
      </w:r>
    </w:p>
    <w:p w14:paraId="48C6E196">
      <w:pPr>
        <w:keepNext w:val="0"/>
        <w:keepLines w:val="0"/>
        <w:pageBreakBefore w:val="0"/>
        <w:widowControl w:val="0"/>
        <w:kinsoku w:val="0"/>
        <w:wordWrap/>
        <w:overflowPunct/>
        <w:topLinePunct w:val="0"/>
        <w:autoSpaceDE w:val="0"/>
        <w:autoSpaceDN w:val="0"/>
        <w:bidi w:val="0"/>
        <w:adjustRightInd w:val="0"/>
        <w:snapToGrid w:val="0"/>
        <w:spacing w:line="284" w:lineRule="auto"/>
        <w:ind w:firstLine="480" w:firstLineChars="200"/>
        <w:textAlignment w:val="baseline"/>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4.4如因外环境消杀工作不到位，密度2个月后未明显降低或在省级、国家级检查中不合格，造成重大不良影响后果的，立即终止合约，剩余经费不予支付。</w:t>
      </w:r>
    </w:p>
    <w:p w14:paraId="05BBCED7">
      <w:pPr>
        <w:keepNext w:val="0"/>
        <w:keepLines w:val="0"/>
        <w:pageBreakBefore w:val="0"/>
        <w:widowControl w:val="0"/>
        <w:kinsoku w:val="0"/>
        <w:wordWrap/>
        <w:overflowPunct/>
        <w:topLinePunct w:val="0"/>
        <w:autoSpaceDE w:val="0"/>
        <w:autoSpaceDN w:val="0"/>
        <w:bidi w:val="0"/>
        <w:adjustRightInd w:val="0"/>
        <w:snapToGrid w:val="0"/>
        <w:spacing w:line="284" w:lineRule="auto"/>
        <w:ind w:firstLine="480" w:firstLineChars="200"/>
        <w:textAlignment w:val="baseline"/>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4.5如服务质量良好，在省级或国家级检查中受到表扬的，采购人酌情对供应商另行奖励。</w:t>
      </w:r>
    </w:p>
    <w:p w14:paraId="6D43D06D">
      <w:pPr>
        <w:keepNext w:val="0"/>
        <w:keepLines w:val="0"/>
        <w:pageBreakBefore w:val="0"/>
        <w:widowControl w:val="0"/>
        <w:kinsoku w:val="0"/>
        <w:wordWrap/>
        <w:overflowPunct/>
        <w:topLinePunct w:val="0"/>
        <w:autoSpaceDE w:val="0"/>
        <w:autoSpaceDN w:val="0"/>
        <w:bidi w:val="0"/>
        <w:adjustRightInd w:val="0"/>
        <w:snapToGrid w:val="0"/>
        <w:spacing w:line="284" w:lineRule="auto"/>
        <w:ind w:firstLine="482" w:firstLineChars="200"/>
        <w:textAlignment w:val="baseline"/>
        <w:rPr>
          <w:rFonts w:hint="eastAsia" w:ascii="仿宋" w:hAnsi="仿宋" w:eastAsia="仿宋"/>
          <w:b w:val="0"/>
          <w:bCs w:val="0"/>
          <w:sz w:val="24"/>
          <w:szCs w:val="24"/>
          <w:lang w:eastAsia="zh-CN"/>
        </w:rPr>
      </w:pPr>
      <w:r>
        <w:rPr>
          <w:rFonts w:hint="eastAsia" w:ascii="仿宋" w:hAnsi="仿宋" w:eastAsia="仿宋"/>
          <w:b/>
          <w:bCs/>
          <w:sz w:val="24"/>
          <w:szCs w:val="24"/>
          <w:lang w:val="en-US" w:eastAsia="zh-CN"/>
        </w:rPr>
        <w:t>5、</w:t>
      </w:r>
      <w:r>
        <w:rPr>
          <w:rFonts w:hint="eastAsia" w:ascii="仿宋" w:hAnsi="仿宋" w:eastAsia="仿宋"/>
          <w:b/>
          <w:bCs/>
          <w:sz w:val="24"/>
          <w:szCs w:val="24"/>
          <w:lang w:eastAsia="zh-CN"/>
        </w:rPr>
        <w:t>报价方式：</w:t>
      </w:r>
      <w:r>
        <w:rPr>
          <w:rFonts w:hint="eastAsia" w:ascii="仿宋" w:hAnsi="仿宋" w:eastAsia="仿宋"/>
          <w:b w:val="0"/>
          <w:bCs w:val="0"/>
          <w:sz w:val="24"/>
          <w:szCs w:val="24"/>
          <w:lang w:eastAsia="zh-CN"/>
        </w:rPr>
        <w:t>本项目为包干价，包含磋商文件规定的完成本项目的所有费用，包括：项目要求所需要的药剂、人工、税收、验收、</w:t>
      </w:r>
      <w:r>
        <w:rPr>
          <w:rFonts w:hint="eastAsia" w:ascii="仿宋" w:hAnsi="仿宋" w:eastAsia="仿宋"/>
          <w:b w:val="0"/>
          <w:bCs w:val="0"/>
          <w:sz w:val="24"/>
          <w:szCs w:val="24"/>
          <w:lang w:val="en-US" w:eastAsia="zh-CN"/>
        </w:rPr>
        <w:t>设备</w:t>
      </w:r>
      <w:r>
        <w:rPr>
          <w:rFonts w:hint="eastAsia" w:ascii="仿宋" w:hAnsi="仿宋" w:eastAsia="仿宋"/>
          <w:b w:val="0"/>
          <w:bCs w:val="0"/>
          <w:sz w:val="24"/>
          <w:szCs w:val="24"/>
          <w:lang w:eastAsia="zh-CN"/>
        </w:rPr>
        <w:t>等相关费用，</w:t>
      </w:r>
      <w:r>
        <w:rPr>
          <w:rFonts w:hint="eastAsia" w:ascii="仿宋" w:hAnsi="仿宋" w:eastAsia="仿宋"/>
          <w:b w:val="0"/>
          <w:bCs w:val="0"/>
          <w:sz w:val="24"/>
          <w:szCs w:val="24"/>
          <w:lang w:val="en-US" w:eastAsia="zh-CN"/>
        </w:rPr>
        <w:t>采购人</w:t>
      </w:r>
      <w:r>
        <w:rPr>
          <w:rFonts w:hint="eastAsia" w:ascii="仿宋" w:hAnsi="仿宋" w:eastAsia="仿宋"/>
          <w:b w:val="0"/>
          <w:bCs w:val="0"/>
          <w:sz w:val="24"/>
          <w:szCs w:val="24"/>
          <w:lang w:eastAsia="zh-CN"/>
        </w:rPr>
        <w:t>不再另行支付任何费用。</w:t>
      </w:r>
    </w:p>
    <w:p w14:paraId="6EF7ECCA">
      <w:r>
        <w:rPr>
          <w:rFonts w:hint="eastAsia" w:ascii="仿宋" w:hAnsi="仿宋" w:eastAsia="仿宋"/>
          <w:b/>
          <w:bCs/>
          <w:sz w:val="24"/>
          <w:szCs w:val="24"/>
          <w:lang w:eastAsia="zh-CN"/>
        </w:rPr>
        <w:t>注：以上所有商务要求为实质性条款必须全部满足并响应，否则按无效响应文件处理。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442F7">
    <w:pPr>
      <w:pStyle w:val="3"/>
      <w:rPr>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38D621">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MS1A5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WMS1A5AgAAcwQAAA4AAAAAAAAAAQAgAAAAHwEAAGRycy9lMm9Eb2Mu&#10;eG1sUEsFBgAAAAAGAAYAWQEAAMoFAAAAAA==&#10;">
              <v:path/>
              <v:fill on="f" focussize="0,0"/>
              <v:stroke on="f" weight="0.5pt" joinstyle="miter"/>
              <v:imagedata o:title=""/>
              <o:lock v:ext="edit"/>
              <v:textbox inset="0mm,0mm,0mm,0mm" style="mso-fit-shape-to-text:t;">
                <w:txbxContent>
                  <w:p w14:paraId="4438D621">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2084B"/>
    <w:rsid w:val="40620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3" w:lineRule="auto"/>
      <w:outlineLvl w:val="1"/>
    </w:pPr>
    <w:rPr>
      <w:rFonts w:eastAsia="黑体"/>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2026-07-14T01:54:00Z</dcterms:created>
  <dc:creator>Administrator</dc:creator>
  <cp:lastModifiedBy>Administrator</cp:lastModifiedBy>
  <dcterms:modified xsi:type="dcterms:W3CDTF">2026-07-14T01:54:57Z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2877217046C9461785A33B185B80AB34_11</vt:lpwstr>
  </property>
  <property fmtid="{D5CDD505-2E9C-101B-9397-08002B2CF9AE}" pid="4" name="KSOTemplateDocerSaveRecord">
    <vt:lpwstr>eyJoZGlkIjoiYzczODZhMjk5NzI1OTQ2MjlkNDdlZjFjOGFmYzFmNjAiLCJ1c2VySWQiOiIxNzc1NzgyODk3In0=</vt:lpwstr>
  </property>
</Properties>
</file>