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版本号：JHZCZB2026070620260713001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西安市鄠邑区2026年省级林业草原改革发展资金（林草有害生物防治补助项目)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JHZCZB20260706</w:t>
      </w:r>
      <w:r>
        <w:br/>
      </w:r>
      <w:r>
        <w:br/>
      </w:r>
      <w:r>
        <w:br/>
      </w:r>
    </w:p>
    <w:p>
      <w:pPr>
        <w:pStyle w:val="null3"/>
        <w:jc w:val="center"/>
        <w:outlineLvl w:val="2"/>
      </w:pPr>
      <w:r>
        <w:rPr>
          <w:rFonts w:ascii="仿宋_GB2312" w:hAnsi="仿宋_GB2312" w:cs="仿宋_GB2312" w:eastAsia="仿宋_GB2312"/>
          <w:sz w:val="28"/>
          <w:b/>
        </w:rPr>
        <w:t>西安市鄠邑区森林资源管理中心</w:t>
      </w:r>
    </w:p>
    <w:p>
      <w:pPr>
        <w:pStyle w:val="null3"/>
        <w:jc w:val="center"/>
        <w:outlineLvl w:val="2"/>
      </w:pPr>
      <w:r>
        <w:rPr>
          <w:rFonts w:ascii="仿宋_GB2312" w:hAnsi="仿宋_GB2312" w:cs="仿宋_GB2312" w:eastAsia="仿宋_GB2312"/>
          <w:sz w:val="28"/>
          <w:b/>
        </w:rPr>
        <w:t>陕西嘉禾沐英项目管理有限公司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陕西嘉禾沐英项目管理有限公司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西安市鄠邑区森林资源管理中心</w:t>
      </w:r>
      <w:r>
        <w:rPr>
          <w:rFonts w:ascii="仿宋_GB2312" w:hAnsi="仿宋_GB2312" w:cs="仿宋_GB2312" w:eastAsia="仿宋_GB2312"/>
        </w:rPr>
        <w:t>委托，拟对</w:t>
      </w:r>
      <w:r>
        <w:rPr>
          <w:rFonts w:ascii="仿宋_GB2312" w:hAnsi="仿宋_GB2312" w:cs="仿宋_GB2312" w:eastAsia="仿宋_GB2312"/>
        </w:rPr>
        <w:t>西安市鄠邑区2026年省级林业草原改革发展资金（林草有害生物防治补助项目)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JHZCZB20260706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西安市鄠邑区2026年省级林业草原改革发展资金（林草有害生物防治补助项目)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做好西安市鄠邑区2026年林草有害生物防控工作，保护城乡生态环境安全，结合鄠邑区实际和有害生物发展动态，选择关键节点开展美国白蛾第二阶段监测普查、预防性喷药防治和松材线虫病打孔注药防治和生物防治工作，美国白蛾监测普查面积7.239万亩次、喷药预防面积1.0万亩次；实施松树树干打孔注药防治作业，防治面积350亩、数量松树7500株;释放花绒寄甲2万头，防治面积650亩。同时进行宣传培训，动员干部群众开展群防群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采购包1（美国白蛾监测防治）：属于专门面向中小企业采购。</w:t>
      </w:r>
    </w:p>
    <w:p>
      <w:pPr>
        <w:pStyle w:val="null3"/>
      </w:pPr>
      <w:r>
        <w:rPr>
          <w:rFonts w:ascii="仿宋_GB2312" w:hAnsi="仿宋_GB2312" w:cs="仿宋_GB2312" w:eastAsia="仿宋_GB2312"/>
        </w:rPr>
        <w:t>采购包2（松材线虫病预防）：属于专门面向中小企业采购。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2、企业资质：供应商须具有林业有害生物防治资质（防治作业）丙级及以上资质；</w:t>
      </w:r>
    </w:p>
    <w:p>
      <w:pPr>
        <w:pStyle w:val="null3"/>
      </w:pPr>
      <w:r>
        <w:rPr>
          <w:rFonts w:ascii="仿宋_GB2312" w:hAnsi="仿宋_GB2312" w:cs="仿宋_GB2312" w:eastAsia="仿宋_GB2312"/>
        </w:rPr>
        <w:t>3、财务状况报告：提供具有财务审计资质单位出具的2024年或2025年度财务审计报告（成立时间磋商响应文件递交截止时间不足一年的可提供成立后任意时段的资产负债表、现金流量表、利润表）或开标前六个月内其基本账户银行出具的资信证明（附开户许可证或基本账户证明）；</w:t>
      </w:r>
    </w:p>
    <w:p>
      <w:pPr>
        <w:pStyle w:val="null3"/>
      </w:pPr>
      <w:r>
        <w:rPr>
          <w:rFonts w:ascii="仿宋_GB2312" w:hAnsi="仿宋_GB2312" w:cs="仿宋_GB2312" w:eastAsia="仿宋_GB2312"/>
        </w:rPr>
        <w:t>4、税收缴纳证明：提供磋商响应文件递交截止时间前六个月内任意一个月的缴费凭据（依法免税的投标人应提供相关文件证明）；</w:t>
      </w:r>
    </w:p>
    <w:p>
      <w:pPr>
        <w:pStyle w:val="null3"/>
      </w:pPr>
      <w:r>
        <w:rPr>
          <w:rFonts w:ascii="仿宋_GB2312" w:hAnsi="仿宋_GB2312" w:cs="仿宋_GB2312" w:eastAsia="仿宋_GB2312"/>
        </w:rPr>
        <w:t>5、社会保障资金缴纳证明：提供磋商响应文件递交截止时间前六个月内任意一个月的社保缴费凭据或社保机构开具的社会保险参保缴费情况证明（依法不需要缴纳社会保障资金的投标人应提供相关证明）；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6、专业技术能力证明：提供具有履行本合同所必需的设备和专业技术能力的书面声明；</w:t>
      </w:r>
    </w:p>
    <w:p>
      <w:pPr>
        <w:pStyle w:val="null3"/>
      </w:pPr>
      <w:r>
        <w:rPr>
          <w:rFonts w:ascii="仿宋_GB2312" w:hAnsi="仿宋_GB2312" w:cs="仿宋_GB2312" w:eastAsia="仿宋_GB2312"/>
        </w:rPr>
        <w:t>7、无重大违法记录声明：提供参加本次政府采购活动前三年内在经营活动中没有重大违法记录的书面声明；</w:t>
      </w:r>
    </w:p>
    <w:p>
      <w:pPr>
        <w:pStyle w:val="null3"/>
      </w:pPr>
      <w:r>
        <w:rPr>
          <w:rFonts w:ascii="仿宋_GB2312" w:hAnsi="仿宋_GB2312" w:cs="仿宋_GB2312" w:eastAsia="仿宋_GB2312"/>
        </w:rPr>
        <w:t>8、信誉要求：供应商未被“信用中国”网站（www.creditchina.gov.cn）列入失信被执行人和重大税收违法失信主体，未被中国政府采购网（www.ccgp.gov.cn）列入政府采购严重违法失信行为记录名单；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9、非联合体投标承诺书：本项目不接受联合体投标（供应商需提供非联合体投标承诺书）；</w:t>
      </w:r>
    </w:p>
    <w:p>
      <w:pPr>
        <w:pStyle w:val="null3"/>
      </w:pPr>
      <w:r>
        <w:rPr>
          <w:rFonts w:ascii="仿宋_GB2312" w:hAnsi="仿宋_GB2312" w:cs="仿宋_GB2312" w:eastAsia="仿宋_GB2312"/>
        </w:rPr>
        <w:t>10、关联关系：单位负责人为同一人或者存在直接控股、管理关系的不同投标人，不得参加同一合同项下的政府采购活动（供应商需提供企业关系关联承诺书）；</w:t>
      </w:r>
    </w:p>
    <w:p>
      <w:pPr>
        <w:pStyle w:val="null3"/>
      </w:pPr>
      <w:r>
        <w:rPr>
          <w:rFonts w:ascii="仿宋_GB2312" w:hAnsi="仿宋_GB2312" w:cs="仿宋_GB2312" w:eastAsia="仿宋_GB2312"/>
        </w:rPr>
        <w:t>11、法定代表人身份证明或法定代表人授权委托书：法定代表人直接参加投标的，须提供法定代表人身份证明；法定代表人授权代表参加投标的，须提供法定代表人授权委托书。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2、企业资质：供应商须具有林业有害生物防治资质（防治作业）丙级及以上资质；</w:t>
      </w:r>
    </w:p>
    <w:p>
      <w:pPr>
        <w:pStyle w:val="null3"/>
      </w:pPr>
      <w:r>
        <w:rPr>
          <w:rFonts w:ascii="仿宋_GB2312" w:hAnsi="仿宋_GB2312" w:cs="仿宋_GB2312" w:eastAsia="仿宋_GB2312"/>
        </w:rPr>
        <w:t>3、财务状况报告：提供具有财务审计资质单位出具的2024年或2025年度财务审计报告（成立时间至磋商响应文件递交截止时间不足一年的可提供成立后任意时段的资产负债表、现金流量表、利润表）或开标前六个月内其基本账户银行出具的资信证明（附开户许可证或基本账户证明）；</w:t>
      </w:r>
    </w:p>
    <w:p>
      <w:pPr>
        <w:pStyle w:val="null3"/>
      </w:pPr>
      <w:r>
        <w:rPr>
          <w:rFonts w:ascii="仿宋_GB2312" w:hAnsi="仿宋_GB2312" w:cs="仿宋_GB2312" w:eastAsia="仿宋_GB2312"/>
        </w:rPr>
        <w:t>4、税收缴纳证明：提供磋商响应文件递交截止时间前六个月内任意一个月的缴费凭据（依法免税的投标人应提供相关文件证明）；</w:t>
      </w:r>
    </w:p>
    <w:p>
      <w:pPr>
        <w:pStyle w:val="null3"/>
      </w:pPr>
      <w:r>
        <w:rPr>
          <w:rFonts w:ascii="仿宋_GB2312" w:hAnsi="仿宋_GB2312" w:cs="仿宋_GB2312" w:eastAsia="仿宋_GB2312"/>
        </w:rPr>
        <w:t>5、社会保障资金缴纳证明：提供磋商响应文件递交截止时间前六个月内任意一个月的社保缴费凭据或社保机构开具的社会保险参保缴费情况证明（依法不需要缴纳社会保障资金的投标人应提供相关证明）；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6、专业技术能力证明：提供具有履行本合同所必需的设备和专业技术能力的书面声明；</w:t>
      </w:r>
    </w:p>
    <w:p>
      <w:pPr>
        <w:pStyle w:val="null3"/>
      </w:pPr>
      <w:r>
        <w:rPr>
          <w:rFonts w:ascii="仿宋_GB2312" w:hAnsi="仿宋_GB2312" w:cs="仿宋_GB2312" w:eastAsia="仿宋_GB2312"/>
        </w:rPr>
        <w:t>7、无重大违法记录声明：提供参加本次政府采购活动前三年内在经营活动中没有重大违法记录的书面声明；</w:t>
      </w:r>
    </w:p>
    <w:p>
      <w:pPr>
        <w:pStyle w:val="null3"/>
      </w:pPr>
      <w:r>
        <w:rPr>
          <w:rFonts w:ascii="仿宋_GB2312" w:hAnsi="仿宋_GB2312" w:cs="仿宋_GB2312" w:eastAsia="仿宋_GB2312"/>
        </w:rPr>
        <w:t>8、信誉要求：供应商未被“信用中国”网站（www.creditchina.gov.cn）列入失信被执行人和重大税收违法失信主体，未被中国政府采购网（www.ccgp.gov.cn）列入政府采购严重违法失信行为记录名单；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9、非联合体投标承诺书：本项目不接受联合体投标（供应商需提供非联合体投标承诺书）；</w:t>
      </w:r>
    </w:p>
    <w:p>
      <w:pPr>
        <w:pStyle w:val="null3"/>
      </w:pPr>
      <w:r>
        <w:rPr>
          <w:rFonts w:ascii="仿宋_GB2312" w:hAnsi="仿宋_GB2312" w:cs="仿宋_GB2312" w:eastAsia="仿宋_GB2312"/>
        </w:rPr>
        <w:t>10、关联关系：单位负责人为同一人或者存在直接控股、管理关系的不同投标人，不得参加同一合同项下的政府采购活动（供应商需提供企业关系关联承诺书）；</w:t>
      </w:r>
    </w:p>
    <w:p>
      <w:pPr>
        <w:pStyle w:val="null3"/>
      </w:pPr>
      <w:r>
        <w:rPr>
          <w:rFonts w:ascii="仿宋_GB2312" w:hAnsi="仿宋_GB2312" w:cs="仿宋_GB2312" w:eastAsia="仿宋_GB2312"/>
        </w:rPr>
        <w:t>11、法定代表人身份证明或法定代表人授权委托书：法定代表人直接参加投标的，须提供法定代表人身份证明；法定代表人授权代表参加投标的，须提供法定代表人授权委托书。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西安市鄠邑区森林资源管理中心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西安市鄠邑区甘亭街道办丰京路42号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罗静贤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029-84836625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陕西嘉禾沐英项目管理有限公司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陕西省西安市高新区硕士路33号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17792803190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焦护群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13572999166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文）下浮20%计取[其中预算10万元以下项目（包含10万元），收费3000.00元；预算10万元以上至30万元项目（包含30万元），收费4000.00元；预算30万元以上至60万元项目（包含60万元），收费6000.00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西安市鄠邑区森林资源管理中心</w:t>
      </w:r>
      <w:r>
        <w:rPr>
          <w:rFonts w:ascii="仿宋_GB2312" w:hAnsi="仿宋_GB2312" w:cs="仿宋_GB2312" w:eastAsia="仿宋_GB2312"/>
        </w:rPr>
        <w:t>和</w:t>
      </w:r>
      <w:r>
        <w:rPr>
          <w:rFonts w:ascii="仿宋_GB2312" w:hAnsi="仿宋_GB2312" w:cs="仿宋_GB2312" w:eastAsia="仿宋_GB2312"/>
        </w:rPr>
        <w:t>陕西嘉禾沐英项目管理有限公司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西安市鄠邑区森林资源管理中心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陕西嘉禾沐英项目管理有限公司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西安市鄠邑区森林资源管理中心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陕西嘉禾沐英项目管理有限公司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甲方根据合同约定标准验收，甲方组织相关部门、专家进行现场验收，现场随机抽查每个街道办不少于5个行政村。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甲方根据合同约定标准验收，甲方组织相关部门、专家进行现场验收，现场随机抽查每个街道办不少于5个行政村。</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陕西嘉禾沐英项目管理有限公司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陕西嘉禾沐英项目管理有限公司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陕西嘉禾沐英项目管理有限公司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联系人：卜娜</w:t>
      </w:r>
    </w:p>
    <w:p>
      <w:pPr>
        <w:pStyle w:val="null3"/>
      </w:pPr>
      <w:r>
        <w:rPr>
          <w:rFonts w:ascii="仿宋_GB2312" w:hAnsi="仿宋_GB2312" w:cs="仿宋_GB2312" w:eastAsia="仿宋_GB2312"/>
        </w:rPr>
        <w:t>联系电话：17792803190</w:t>
      </w:r>
    </w:p>
    <w:p>
      <w:pPr>
        <w:pStyle w:val="null3"/>
      </w:pPr>
      <w:r>
        <w:rPr>
          <w:rFonts w:ascii="仿宋_GB2312" w:hAnsi="仿宋_GB2312" w:cs="仿宋_GB2312" w:eastAsia="仿宋_GB2312"/>
        </w:rPr>
        <w:t>地址：陕西省西安市高新区硕士路33号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做好西安市鄠邑区2026年林草有害生物防控工作，保护城乡生态环境安全，结合鄠邑区实际和有害生物发展动态，选择关键节点开展美国白蛾第二阶段监测普查、预防性喷药防治和松材线虫病打孔注药防治和生物防治工作，美国白蛾监测普查面积7.239万亩次、喷药预防面积1.0万亩次；实施松树树干打孔注药防治作业，防治面积350亩、数量松树7500株;释放花绒寄甲2万头，防治面积650亩。同时进行宣传培训，动员干部群众开展群防群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美国白蛾监测防治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松材线虫病预防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标的名称：美国白蛾监测防治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sz w:val="20"/>
                <w:b/>
              </w:rPr>
              <w:t>一、服务内容（包括工作区域、工作内容等）</w:t>
            </w:r>
          </w:p>
          <w:p>
            <w:pPr>
              <w:pStyle w:val="null3"/>
              <w:ind w:firstLine="400"/>
            </w:pPr>
            <w:r>
              <w:rPr>
                <w:rFonts w:ascii="仿宋_GB2312" w:hAnsi="仿宋_GB2312" w:cs="仿宋_GB2312" w:eastAsia="仿宋_GB2312"/>
                <w:sz w:val="20"/>
              </w:rPr>
              <w:t>施工位于</w:t>
            </w:r>
            <w:r>
              <w:rPr>
                <w:rFonts w:ascii="仿宋_GB2312" w:hAnsi="仿宋_GB2312" w:cs="仿宋_GB2312" w:eastAsia="仿宋_GB2312"/>
                <w:sz w:val="20"/>
              </w:rPr>
              <w:t>鄠邑区辖区内</w:t>
            </w:r>
            <w:r>
              <w:rPr>
                <w:rFonts w:ascii="仿宋_GB2312" w:hAnsi="仿宋_GB2312" w:cs="仿宋_GB2312" w:eastAsia="仿宋_GB2312"/>
                <w:sz w:val="20"/>
              </w:rPr>
              <w:t>10街道</w:t>
            </w:r>
            <w:r>
              <w:rPr>
                <w:rFonts w:ascii="仿宋_GB2312" w:hAnsi="仿宋_GB2312" w:cs="仿宋_GB2312" w:eastAsia="仿宋_GB2312"/>
                <w:sz w:val="20"/>
              </w:rPr>
              <w:t>办</w:t>
            </w:r>
            <w:r>
              <w:rPr>
                <w:rFonts w:ascii="仿宋_GB2312" w:hAnsi="仿宋_GB2312" w:cs="仿宋_GB2312" w:eastAsia="仿宋_GB2312"/>
                <w:sz w:val="20"/>
              </w:rPr>
              <w:t>和</w:t>
            </w:r>
            <w:r>
              <w:rPr>
                <w:rFonts w:ascii="仿宋_GB2312" w:hAnsi="仿宋_GB2312" w:cs="仿宋_GB2312" w:eastAsia="仿宋_GB2312"/>
                <w:sz w:val="20"/>
              </w:rPr>
              <w:t>1</w:t>
            </w:r>
            <w:r>
              <w:rPr>
                <w:rFonts w:ascii="仿宋_GB2312" w:hAnsi="仿宋_GB2312" w:cs="仿宋_GB2312" w:eastAsia="仿宋_GB2312"/>
                <w:sz w:val="20"/>
              </w:rPr>
              <w:t>森林旅游</w:t>
            </w:r>
            <w:r>
              <w:rPr>
                <w:rFonts w:ascii="仿宋_GB2312" w:hAnsi="仿宋_GB2312" w:cs="仿宋_GB2312" w:eastAsia="仿宋_GB2312"/>
                <w:sz w:val="20"/>
              </w:rPr>
              <w:t>景区管理局的</w:t>
            </w:r>
            <w:r>
              <w:rPr>
                <w:rFonts w:ascii="仿宋_GB2312" w:hAnsi="仿宋_GB2312" w:cs="仿宋_GB2312" w:eastAsia="仿宋_GB2312"/>
                <w:sz w:val="20"/>
              </w:rPr>
              <w:t>193个行政村</w:t>
            </w:r>
            <w:r>
              <w:rPr>
                <w:rFonts w:ascii="仿宋_GB2312" w:hAnsi="仿宋_GB2312" w:cs="仿宋_GB2312" w:eastAsia="仿宋_GB2312"/>
                <w:sz w:val="20"/>
              </w:rPr>
              <w:t>，</w:t>
            </w:r>
            <w:r>
              <w:rPr>
                <w:rFonts w:ascii="仿宋_GB2312" w:hAnsi="仿宋_GB2312" w:cs="仿宋_GB2312" w:eastAsia="仿宋_GB2312"/>
                <w:sz w:val="20"/>
              </w:rPr>
              <w:t>负责</w:t>
            </w:r>
            <w:r>
              <w:rPr>
                <w:rFonts w:ascii="仿宋_GB2312" w:hAnsi="仿宋_GB2312" w:cs="仿宋_GB2312" w:eastAsia="仿宋_GB2312"/>
                <w:sz w:val="20"/>
              </w:rPr>
              <w:t>美国白蛾第二阶段</w:t>
            </w:r>
            <w:r>
              <w:rPr>
                <w:rFonts w:ascii="仿宋_GB2312" w:hAnsi="仿宋_GB2312" w:cs="仿宋_GB2312" w:eastAsia="仿宋_GB2312"/>
                <w:sz w:val="20"/>
              </w:rPr>
              <w:t>监测普查预防性防治，</w:t>
            </w:r>
            <w:r>
              <w:rPr>
                <w:rFonts w:ascii="仿宋_GB2312" w:hAnsi="仿宋_GB2312" w:cs="仿宋_GB2312" w:eastAsia="仿宋_GB2312"/>
                <w:sz w:val="20"/>
              </w:rPr>
              <w:t>对</w:t>
            </w:r>
            <w:r>
              <w:rPr>
                <w:rFonts w:ascii="仿宋_GB2312" w:hAnsi="仿宋_GB2312" w:cs="仿宋_GB2312" w:eastAsia="仿宋_GB2312"/>
                <w:sz w:val="20"/>
              </w:rPr>
              <w:t>300套美国白蛾诱捕器</w:t>
            </w:r>
            <w:r>
              <w:rPr>
                <w:rFonts w:ascii="仿宋_GB2312" w:hAnsi="仿宋_GB2312" w:cs="仿宋_GB2312" w:eastAsia="仿宋_GB2312"/>
                <w:sz w:val="20"/>
              </w:rPr>
              <w:t>3天1次虫情监测调查,记录监测情况，发现虫情及时上报数据；采取线路踏查方式普查2轮次，普查总面积</w:t>
            </w:r>
            <w:r>
              <w:rPr>
                <w:rFonts w:ascii="仿宋_GB2312" w:hAnsi="仿宋_GB2312" w:cs="仿宋_GB2312" w:eastAsia="仿宋_GB2312"/>
                <w:sz w:val="20"/>
              </w:rPr>
              <w:t>7.239</w:t>
            </w:r>
            <w:r>
              <w:rPr>
                <w:rFonts w:ascii="仿宋_GB2312" w:hAnsi="仿宋_GB2312" w:cs="仿宋_GB2312" w:eastAsia="仿宋_GB2312"/>
                <w:sz w:val="20"/>
              </w:rPr>
              <w:t>万</w:t>
            </w:r>
            <w:r>
              <w:rPr>
                <w:rFonts w:ascii="仿宋_GB2312" w:hAnsi="仿宋_GB2312" w:cs="仿宋_GB2312" w:eastAsia="仿宋_GB2312"/>
                <w:sz w:val="20"/>
              </w:rPr>
              <w:t>亩次，预防性防治面积</w:t>
            </w:r>
            <w:r>
              <w:rPr>
                <w:rFonts w:ascii="仿宋_GB2312" w:hAnsi="仿宋_GB2312" w:cs="仿宋_GB2312" w:eastAsia="仿宋_GB2312"/>
                <w:sz w:val="20"/>
              </w:rPr>
              <w:t>1.0万亩次。</w:t>
            </w:r>
          </w:p>
          <w:p>
            <w:pPr>
              <w:pStyle w:val="null3"/>
              <w:ind w:firstLine="402"/>
            </w:pPr>
            <w:r>
              <w:rPr>
                <w:rFonts w:ascii="仿宋_GB2312" w:hAnsi="仿宋_GB2312" w:cs="仿宋_GB2312" w:eastAsia="仿宋_GB2312"/>
                <w:sz w:val="20"/>
                <w:b/>
              </w:rPr>
              <w:t>二、技术要求</w:t>
            </w:r>
          </w:p>
          <w:p>
            <w:pPr>
              <w:pStyle w:val="null3"/>
              <w:ind w:firstLine="400"/>
            </w:pPr>
            <w:r>
              <w:rPr>
                <w:rFonts w:ascii="仿宋_GB2312" w:hAnsi="仿宋_GB2312" w:cs="仿宋_GB2312" w:eastAsia="仿宋_GB2312"/>
                <w:sz w:val="20"/>
              </w:rPr>
              <w:t>根据《美国白蛾防控技术规范（</w:t>
            </w:r>
            <w:r>
              <w:rPr>
                <w:rFonts w:ascii="仿宋_GB2312" w:hAnsi="仿宋_GB2312" w:cs="仿宋_GB2312" w:eastAsia="仿宋_GB2312"/>
                <w:sz w:val="20"/>
              </w:rPr>
              <w:t>DB</w:t>
            </w:r>
            <w:r>
              <w:rPr>
                <w:rFonts w:ascii="仿宋_GB2312" w:hAnsi="仿宋_GB2312" w:cs="仿宋_GB2312" w:eastAsia="仿宋_GB2312"/>
                <w:sz w:val="20"/>
              </w:rPr>
              <w:t xml:space="preserve"> </w:t>
            </w:r>
            <w:r>
              <w:rPr>
                <w:rFonts w:ascii="仿宋_GB2312" w:hAnsi="仿宋_GB2312" w:cs="仿宋_GB2312" w:eastAsia="仿宋_GB2312"/>
                <w:sz w:val="20"/>
              </w:rPr>
              <w:t>61/T 1677--2023）》、《林业有害生物监测预报技术规范（LY/T 2516-2015）》以美国白蛾虫情监测、普查和防治为重点、同时进行预防性喷药防治，保护我区生态安全和生态文明建设成果，巩固林业有害生物防控成果。</w:t>
            </w:r>
          </w:p>
          <w:p>
            <w:pPr>
              <w:pStyle w:val="null3"/>
              <w:ind w:firstLine="400"/>
            </w:pPr>
            <w:r>
              <w:rPr>
                <w:rFonts w:ascii="仿宋_GB2312" w:hAnsi="仿宋_GB2312" w:cs="仿宋_GB2312" w:eastAsia="仿宋_GB2312"/>
                <w:sz w:val="20"/>
              </w:rPr>
              <w:t>1、监测普查：负责所管辖各街道办、森林旅游景区管理局行政辖区内的美国白蛾虫情监测、普查、宣传和预防性防治等工作。完成监测普查作业区域内的所有村庄的行道树、农户院落、背街小巷、垃圾堆放点、学校广场、寺庙院落、教堂内外、驻村单位院落林木及绿化植物，村庄外所有道路、河渠、苗圃、坟地、果园、集体片林等所有树木的美国白蛾疫情监测、</w:t>
            </w:r>
            <w:r>
              <w:rPr>
                <w:rFonts w:ascii="仿宋_GB2312" w:hAnsi="仿宋_GB2312" w:cs="仿宋_GB2312" w:eastAsia="仿宋_GB2312"/>
                <w:sz w:val="20"/>
              </w:rPr>
              <w:t>普查，美国白蛾</w:t>
            </w:r>
            <w:r>
              <w:rPr>
                <w:rFonts w:ascii="仿宋_GB2312" w:hAnsi="仿宋_GB2312" w:cs="仿宋_GB2312" w:eastAsia="仿宋_GB2312"/>
                <w:sz w:val="20"/>
              </w:rPr>
              <w:t>监测率达</w:t>
            </w:r>
            <w:r>
              <w:rPr>
                <w:rFonts w:ascii="仿宋_GB2312" w:hAnsi="仿宋_GB2312" w:cs="仿宋_GB2312" w:eastAsia="仿宋_GB2312"/>
                <w:sz w:val="20"/>
              </w:rPr>
              <w:t>100%，</w:t>
            </w:r>
            <w:r>
              <w:rPr>
                <w:rFonts w:ascii="仿宋_GB2312" w:hAnsi="仿宋_GB2312" w:cs="仿宋_GB2312" w:eastAsia="仿宋_GB2312"/>
                <w:sz w:val="20"/>
              </w:rPr>
              <w:t>线路踏查</w:t>
            </w:r>
            <w:r>
              <w:rPr>
                <w:rFonts w:ascii="仿宋_GB2312" w:hAnsi="仿宋_GB2312" w:cs="仿宋_GB2312" w:eastAsia="仿宋_GB2312"/>
                <w:sz w:val="20"/>
              </w:rPr>
              <w:t>普查入村入户入圃率达</w:t>
            </w:r>
            <w:r>
              <w:rPr>
                <w:rFonts w:ascii="仿宋_GB2312" w:hAnsi="仿宋_GB2312" w:cs="仿宋_GB2312" w:eastAsia="仿宋_GB2312"/>
                <w:sz w:val="20"/>
              </w:rPr>
              <w:t>100%，入村宣传率达100%。</w:t>
            </w:r>
          </w:p>
          <w:p>
            <w:pPr>
              <w:pStyle w:val="null3"/>
              <w:ind w:firstLine="400"/>
            </w:pPr>
            <w:r>
              <w:rPr>
                <w:rFonts w:ascii="仿宋_GB2312" w:hAnsi="仿宋_GB2312" w:cs="仿宋_GB2312" w:eastAsia="仿宋_GB2312"/>
                <w:sz w:val="20"/>
              </w:rPr>
              <w:t>2、技术要求：负责辖区内美国白蛾的监测、普查，组建专业监测、普查队伍，对鄠邑区美国白蛾发生情况进行监测和普查，落实监测员、普查员（年龄不大于60周岁）。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1）监测调查：每3天监测调查一次，查看是否诱捕到成虫，性诱芯粘贴是否牢靠，诱捕器水位高低、水质是否清洁，诱捕器悬挂固定是否牢靠，发现虫情及时汇总上报。</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普查：①普查时间：合同签订至10月中旬普查2次，具体时间按当年预测预报进行安排；②普查寄主树冠周缘枝条端部或近端部叶片背面是否有美国白蛾卵块，幼虫期普查网幕和树叶呈缺刻孔洞状，叶脉呈白膜状枯黄等危害症状。树干、墙壁、电杆、草本植物及附近物体上是否有成虫；</w:t>
            </w:r>
            <w:r>
              <w:rPr>
                <w:rFonts w:ascii="仿宋_GB2312" w:hAnsi="仿宋_GB2312" w:cs="仿宋_GB2312" w:eastAsia="仿宋_GB2312"/>
                <w:sz w:val="20"/>
              </w:rPr>
              <w:t>做到入村宣传率</w:t>
            </w:r>
            <w:r>
              <w:rPr>
                <w:rFonts w:ascii="仿宋_GB2312" w:hAnsi="仿宋_GB2312" w:cs="仿宋_GB2312" w:eastAsia="仿宋_GB2312"/>
                <w:sz w:val="20"/>
              </w:rPr>
              <w:t>100%，线路踏查</w:t>
            </w:r>
            <w:r>
              <w:rPr>
                <w:rFonts w:ascii="仿宋_GB2312" w:hAnsi="仿宋_GB2312" w:cs="仿宋_GB2312" w:eastAsia="仿宋_GB2312"/>
                <w:sz w:val="20"/>
              </w:rPr>
              <w:t>普查入户率</w:t>
            </w:r>
            <w:r>
              <w:rPr>
                <w:rFonts w:ascii="仿宋_GB2312" w:hAnsi="仿宋_GB2312" w:cs="仿宋_GB2312" w:eastAsia="仿宋_GB2312"/>
                <w:sz w:val="20"/>
              </w:rPr>
              <w:t>100%；③检验鉴定：在普查过程中，对发现疑似美国白蛾虫态，第一时间采集标本（以幼虫、成虫为主）5份样品（5份以下按实有数量送检），送区林业局鉴定。</w:t>
            </w:r>
          </w:p>
          <w:p>
            <w:pPr>
              <w:pStyle w:val="null3"/>
              <w:ind w:firstLine="400"/>
            </w:pPr>
            <w:r>
              <w:rPr>
                <w:rFonts w:ascii="仿宋_GB2312" w:hAnsi="仿宋_GB2312" w:cs="仿宋_GB2312" w:eastAsia="仿宋_GB2312"/>
                <w:sz w:val="20"/>
              </w:rPr>
              <w:t>喷药防治内容及技术要求：按照美国白蛾防治</w:t>
            </w:r>
            <w:r>
              <w:rPr>
                <w:rFonts w:ascii="仿宋_GB2312" w:hAnsi="仿宋_GB2312" w:cs="仿宋_GB2312" w:eastAsia="仿宋_GB2312"/>
                <w:sz w:val="20"/>
              </w:rPr>
              <w:t>“五步法”，即“一查二喷三剪四烧五再喷”要求进行除治，对发现的疫情实施精准喷药防治。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预防性喷药防治。组建喷防专业队，人员年龄不大于60周岁（具体以签订的协议为准）。适时对美国白蛾风险点、重点预防区域害虫达到中度危害或有成灾趋势的危害区域实施预防性喷药防治，预计喷药预防面积10000亩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2）新调入苗木地若发现有美国白蛾活体，立即消杀处理，消除隐患。喷药要做到四个精准：一是精准确定喷药区域；二是精准选择农药和助剂；三是精准配制农药剂量；四是精准确定农药试用期和间隔期。</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3）检验鉴定。在普查过程中，对发现的疑似美国白蛾，第一时间采集标本（以幼虫、成虫为主）5 份样品（5份以下按实有数量送检），送甲方进行鉴定。</w:t>
            </w:r>
          </w:p>
          <w:p>
            <w:pPr>
              <w:pStyle w:val="null3"/>
              <w:ind w:firstLine="402"/>
            </w:pPr>
            <w:r>
              <w:rPr>
                <w:rFonts w:ascii="仿宋_GB2312" w:hAnsi="仿宋_GB2312" w:cs="仿宋_GB2312" w:eastAsia="仿宋_GB2312"/>
                <w:sz w:val="20"/>
                <w:b/>
              </w:rPr>
              <w:t>三、服务要求</w:t>
            </w:r>
          </w:p>
          <w:p>
            <w:pPr>
              <w:pStyle w:val="null3"/>
              <w:ind w:firstLine="400"/>
            </w:pPr>
            <w:r>
              <w:rPr>
                <w:rFonts w:ascii="仿宋_GB2312" w:hAnsi="仿宋_GB2312" w:cs="仿宋_GB2312" w:eastAsia="仿宋_GB2312"/>
                <w:sz w:val="20"/>
              </w:rPr>
              <w:t>1、施工期限：2026年10月中旬完成美国白蛾第二阶段防控工作合同约定的施工作业</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严格按照技术规程要求组织施工，施工前按工程要求筹备各项防治器械、材料、工具等，按技术规定进行施工作业。各标段按防控要求采购农药，按规定浓度进行施工，所使用的施工器械、农药等需符合国家标准。</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、人工地面防治施工过程中采用车载高压喷雾机或担架式喷雾机等均匀喷洒，全面喷药不漏地段、不漏户、不漏树、不漏枝，做到树木全冠喷药，无防治死角。</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中标后立即向委托方提供项目管理机构以及人员安排的施工方案，其内容包括管理机构的设置、各主要岗位的技术和管理员名单、资质、联系方式及各工种技术工人的安排、项目实施进度安排、技术措施等状况。</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、中标后立即向委托方，报备施工中的器械、药物、工具、材料、交通、食宿等情况，组建项目部，对防控工作进行常态化运作。</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、验收：甲方根据合同约定标准验收，甲方组织相关部门、专家进行现场验收，现场随机抽查每个街道办不少于</w:t>
            </w:r>
            <w:r>
              <w:rPr>
                <w:rFonts w:ascii="仿宋_GB2312" w:hAnsi="仿宋_GB2312" w:cs="仿宋_GB2312" w:eastAsia="仿宋_GB2312"/>
                <w:sz w:val="20"/>
              </w:rPr>
              <w:t>5个行政村。</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、合同所订一切条款，甲、乙任何一方不得擅自变更或修改。如一方单独变更、修改合同，对方有权拒绝，并要求变更、修改合同一方赔偿一切损失。</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标的名称：松材线虫病预防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sz w:val="20"/>
                <w:b/>
              </w:rPr>
              <w:t>一、服务内容（包括工作区域、工作内容等）</w:t>
            </w:r>
          </w:p>
          <w:p>
            <w:pPr>
              <w:pStyle w:val="null3"/>
              <w:ind w:firstLine="400"/>
            </w:pPr>
            <w:r>
              <w:rPr>
                <w:rFonts w:ascii="仿宋_GB2312" w:hAnsi="仿宋_GB2312" w:cs="仿宋_GB2312" w:eastAsia="仿宋_GB2312"/>
                <w:sz w:val="20"/>
              </w:rPr>
              <w:t>施工位于鄠邑区</w:t>
            </w:r>
            <w:r>
              <w:rPr>
                <w:rFonts w:ascii="仿宋_GB2312" w:hAnsi="仿宋_GB2312" w:cs="仿宋_GB2312" w:eastAsia="仿宋_GB2312"/>
                <w:sz w:val="20"/>
              </w:rPr>
              <w:t>森林旅游景区管理局</w:t>
            </w:r>
            <w:r>
              <w:rPr>
                <w:rFonts w:ascii="仿宋_GB2312" w:hAnsi="仿宋_GB2312" w:cs="仿宋_GB2312" w:eastAsia="仿宋_GB2312"/>
                <w:sz w:val="20"/>
              </w:rPr>
              <w:t>涝峪</w:t>
            </w:r>
            <w:r>
              <w:rPr>
                <w:rFonts w:ascii="仿宋_GB2312" w:hAnsi="仿宋_GB2312" w:cs="仿宋_GB2312" w:eastAsia="仿宋_GB2312"/>
                <w:sz w:val="20"/>
              </w:rPr>
              <w:t>：</w:t>
            </w:r>
            <w:r>
              <w:rPr>
                <w:rFonts w:ascii="仿宋_GB2312" w:hAnsi="仿宋_GB2312" w:cs="仿宋_GB2312" w:eastAsia="仿宋_GB2312"/>
                <w:sz w:val="20"/>
              </w:rPr>
              <w:t>①</w:t>
            </w:r>
            <w:r>
              <w:rPr>
                <w:rFonts w:ascii="仿宋_GB2312" w:hAnsi="仿宋_GB2312" w:cs="仿宋_GB2312" w:eastAsia="仿宋_GB2312"/>
                <w:sz w:val="20"/>
              </w:rPr>
              <w:t>打孔注药防治：对</w:t>
            </w:r>
            <w:r>
              <w:rPr>
                <w:rFonts w:ascii="仿宋_GB2312" w:hAnsi="仿宋_GB2312" w:cs="仿宋_GB2312" w:eastAsia="仿宋_GB2312"/>
                <w:sz w:val="20"/>
              </w:rPr>
              <w:t>涝</w:t>
            </w:r>
            <w:r>
              <w:rPr>
                <w:rFonts w:ascii="仿宋_GB2312" w:hAnsi="仿宋_GB2312" w:cs="仿宋_GB2312" w:eastAsia="仿宋_GB2312"/>
                <w:sz w:val="20"/>
              </w:rPr>
              <w:t>峪</w:t>
            </w:r>
            <w:r>
              <w:rPr>
                <w:rFonts w:ascii="仿宋_GB2312" w:hAnsi="仿宋_GB2312" w:cs="仿宋_GB2312" w:eastAsia="仿宋_GB2312"/>
                <w:sz w:val="20"/>
              </w:rPr>
              <w:t>宁八路秦岭梁至营盘沟段两侧旅游风景区松树实施预防性保护，采用</w:t>
            </w:r>
            <w:r>
              <w:rPr>
                <w:rFonts w:ascii="仿宋_GB2312" w:hAnsi="仿宋_GB2312" w:cs="仿宋_GB2312" w:eastAsia="仿宋_GB2312"/>
                <w:sz w:val="20"/>
              </w:rPr>
              <w:t>3</w:t>
            </w:r>
            <w:r>
              <w:rPr>
                <w:rFonts w:ascii="仿宋_GB2312" w:hAnsi="仿宋_GB2312" w:cs="仿宋_GB2312" w:eastAsia="仿宋_GB2312"/>
                <w:sz w:val="20"/>
              </w:rPr>
              <w:t>%甲氨基阿维菌素苯甲酸盐（简称甲维盐）50毫升/瓶，实施树干打孔注药防治作业，保护松树7500株，防治面积350亩;②生物防治：对涝峪八里坪西汉高速朱雀进出口两侧（终南沟至东沟）松林实施林间释放花绒寄甲2万头，防治面积650亩</w:t>
            </w:r>
            <w:r>
              <w:rPr>
                <w:rFonts w:ascii="仿宋_GB2312" w:hAnsi="仿宋_GB2312" w:cs="仿宋_GB2312" w:eastAsia="仿宋_GB2312"/>
                <w:sz w:val="20"/>
              </w:rPr>
              <w:t>。</w:t>
            </w:r>
          </w:p>
          <w:p>
            <w:pPr>
              <w:pStyle w:val="null3"/>
              <w:ind w:firstLine="402"/>
            </w:pPr>
            <w:r>
              <w:rPr>
                <w:rFonts w:ascii="仿宋_GB2312" w:hAnsi="仿宋_GB2312" w:cs="仿宋_GB2312" w:eastAsia="仿宋_GB2312"/>
                <w:sz w:val="20"/>
                <w:b/>
              </w:rPr>
              <w:t>二、技术要求</w:t>
            </w:r>
          </w:p>
          <w:p>
            <w:pPr>
              <w:pStyle w:val="null3"/>
              <w:ind w:firstLine="400"/>
            </w:pPr>
            <w:r>
              <w:rPr>
                <w:rFonts w:ascii="仿宋_GB2312" w:hAnsi="仿宋_GB2312" w:cs="仿宋_GB2312" w:eastAsia="仿宋_GB2312"/>
                <w:sz w:val="20"/>
              </w:rPr>
              <w:t>根据《松材线虫病打孔注药防治技术规范（</w:t>
            </w:r>
            <w:r>
              <w:rPr>
                <w:rFonts w:ascii="仿宋_GB2312" w:hAnsi="仿宋_GB2312" w:cs="仿宋_GB2312" w:eastAsia="仿宋_GB2312"/>
                <w:sz w:val="20"/>
              </w:rPr>
              <w:t>DB 61/T 2076—2025）》、松树打孔注药防治和生物防治，保护我区生态安全和生态文明建设成果，巩固林业有害生物防控成果。</w:t>
            </w:r>
          </w:p>
          <w:p>
            <w:pPr>
              <w:pStyle w:val="null3"/>
              <w:ind w:firstLine="400"/>
            </w:pPr>
            <w:r>
              <w:rPr>
                <w:rFonts w:ascii="仿宋_GB2312" w:hAnsi="仿宋_GB2312" w:cs="仿宋_GB2312" w:eastAsia="仿宋_GB2312"/>
                <w:sz w:val="20"/>
              </w:rPr>
              <w:t>1、松树</w:t>
            </w:r>
            <w:r>
              <w:rPr>
                <w:rFonts w:ascii="仿宋_GB2312" w:hAnsi="仿宋_GB2312" w:cs="仿宋_GB2312" w:eastAsia="仿宋_GB2312"/>
                <w:sz w:val="20"/>
              </w:rPr>
              <w:t>打孔注药防治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1）预防</w:t>
            </w:r>
            <w:r>
              <w:rPr>
                <w:rFonts w:ascii="仿宋_GB2312" w:hAnsi="仿宋_GB2312" w:cs="仿宋_GB2312" w:eastAsia="仿宋_GB2312"/>
                <w:sz w:val="20"/>
              </w:rPr>
              <w:t>农</w:t>
            </w:r>
            <w:r>
              <w:rPr>
                <w:rFonts w:ascii="仿宋_GB2312" w:hAnsi="仿宋_GB2312" w:cs="仿宋_GB2312" w:eastAsia="仿宋_GB2312"/>
                <w:sz w:val="20"/>
              </w:rPr>
              <w:t>药。松材线虫病树干注药剂（</w:t>
            </w:r>
            <w:r>
              <w:rPr>
                <w:rFonts w:ascii="仿宋_GB2312" w:hAnsi="仿宋_GB2312" w:cs="仿宋_GB2312" w:eastAsia="仿宋_GB2312"/>
                <w:sz w:val="20"/>
              </w:rPr>
              <w:t>3%甲氨基阿维菌素苯甲酸盐），剂量规格为50毫升/</w:t>
            </w:r>
            <w:r>
              <w:rPr>
                <w:rFonts w:ascii="仿宋_GB2312" w:hAnsi="仿宋_GB2312" w:cs="仿宋_GB2312" w:eastAsia="仿宋_GB2312"/>
                <w:sz w:val="20"/>
              </w:rPr>
              <w:t>支、株数</w:t>
            </w:r>
            <w:r>
              <w:rPr>
                <w:rFonts w:ascii="仿宋_GB2312" w:hAnsi="仿宋_GB2312" w:cs="仿宋_GB2312" w:eastAsia="仿宋_GB2312"/>
                <w:sz w:val="20"/>
              </w:rPr>
              <w:t>7500株、面积350亩</w:t>
            </w:r>
            <w:r>
              <w:rPr>
                <w:rFonts w:ascii="仿宋_GB2312" w:hAnsi="仿宋_GB2312" w:cs="仿宋_GB2312" w:eastAsia="仿宋_GB2312"/>
                <w:sz w:val="20"/>
              </w:rPr>
              <w:t>。农药具有农药三证，经验收合格后，方能使用。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2）树干施药：农药使用量，注药剂量根据松树胸径大小、害虫致死量和农药毒力来确定。</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胸径（</w:t>
                  </w:r>
                  <w:r>
                    <w:rPr>
                      <w:rFonts w:ascii="仿宋_GB2312" w:hAnsi="仿宋_GB2312" w:cs="仿宋_GB2312" w:eastAsia="仿宋_GB2312"/>
                      <w:sz w:val="20"/>
                    </w:rPr>
                    <w:t>cm）</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≦15(cm)</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15～25(cm)</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≧30(cm)</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用药量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1瓶/株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2瓶/株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3瓶/株以上</w:t>
                  </w:r>
                </w:p>
              </w:tc>
            </w:tr>
          </w:tbl>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）打孔</w:t>
            </w:r>
            <w:r>
              <w:rPr>
                <w:rFonts w:ascii="仿宋_GB2312" w:hAnsi="仿宋_GB2312" w:cs="仿宋_GB2312" w:eastAsia="仿宋_GB2312"/>
                <w:sz w:val="20"/>
              </w:rPr>
              <w:t>方法：组建技术队负责注药工作，同时提供注药设备附属材料；</w:t>
            </w:r>
            <w:r>
              <w:rPr>
                <w:rFonts w:ascii="仿宋_GB2312" w:hAnsi="仿宋_GB2312" w:cs="仿宋_GB2312" w:eastAsia="仿宋_GB2312"/>
                <w:sz w:val="20"/>
              </w:rPr>
              <w:t>打孔位置</w:t>
            </w:r>
            <w:r>
              <w:rPr>
                <w:rFonts w:ascii="仿宋_GB2312" w:hAnsi="仿宋_GB2312" w:cs="仿宋_GB2312" w:eastAsia="仿宋_GB2312"/>
                <w:sz w:val="20"/>
              </w:rPr>
              <w:t>：距地面</w:t>
            </w:r>
            <w:r>
              <w:rPr>
                <w:rFonts w:ascii="仿宋_GB2312" w:hAnsi="仿宋_GB2312" w:cs="仿宋_GB2312" w:eastAsia="仿宋_GB2312"/>
                <w:sz w:val="20"/>
              </w:rPr>
              <w:t>10</w:t>
            </w:r>
            <w:r>
              <w:rPr>
                <w:rFonts w:ascii="仿宋_GB2312" w:hAnsi="仿宋_GB2312" w:cs="仿宋_GB2312" w:eastAsia="仿宋_GB2312"/>
                <w:sz w:val="20"/>
              </w:rPr>
              <w:t>cm</w:t>
            </w:r>
            <w:r>
              <w:rPr>
                <w:rFonts w:ascii="仿宋_GB2312" w:hAnsi="仿宋_GB2312" w:cs="仿宋_GB2312" w:eastAsia="仿宋_GB2312"/>
                <w:sz w:val="20"/>
              </w:rPr>
              <w:t>—40cm树皮光滑树干，钻2个以上注孔的，打孔位置应螺旋形均匀分布在树干周围，左右相隔10cm—15cm，且不在同一水平上，上下间隔3cm—5cm；打孔方法：向下与树干呈30°—45</w:t>
            </w:r>
            <w:r>
              <w:rPr>
                <w:rFonts w:ascii="仿宋_GB2312" w:hAnsi="仿宋_GB2312" w:cs="仿宋_GB2312" w:eastAsia="仿宋_GB2312"/>
                <w:sz w:val="20"/>
              </w:rPr>
              <w:t>°</w:t>
            </w:r>
            <w:r>
              <w:rPr>
                <w:rFonts w:ascii="仿宋_GB2312" w:hAnsi="仿宋_GB2312" w:cs="仿宋_GB2312" w:eastAsia="仿宋_GB2312"/>
                <w:sz w:val="20"/>
              </w:rPr>
              <w:t>，孔直径</w:t>
            </w:r>
            <w:r>
              <w:rPr>
                <w:rFonts w:ascii="仿宋_GB2312" w:hAnsi="仿宋_GB2312" w:cs="仿宋_GB2312" w:eastAsia="仿宋_GB2312"/>
                <w:sz w:val="20"/>
              </w:rPr>
              <w:t>4mm—8mm,孔深5cm—8cm,钻孔时选择表面光滑、无死节、无受伤部位进行钻孔。</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注药方法：剪除药瓶导管封口，插入注药孔内，按压药瓶侧面，排除空气，在药瓶底部扎孔，插紧药瓶，注药完后，拔出药瓶，封堵注药孔。由于防治作业区位于旅游风景区，防治施工作业完成后，待药物被松树完全吸收后，废瓶收集并堵孔，以防意外事故发生。</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注药检查：注药后7天，逐一检查，发现渗漏、注药受阻，重新注药，在药瓶回收的同时，检查是否遗漏注药，药液结晶、外流，瓶嘴被堵、尾气孔没有正常打开等情况。如果存在上述情况，且未超出施工时间，应当及时补充注药，并进行相应记录。</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6）打孔注药防治全过程实施记录。施工作业方落实专人收集整个打孔注药防治过程中的影像资料和防治作业数据，做好验收档案的收集、整理等相关工作。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信息登记和安全标识设置：对打孔注药的每株松树进行标记和信息登记，统一进行编号，设置安全警示标志，警示标志所用标签应为不易腐烂的材料，标记信息清晰。打孔注药所有地块要覆盖所有松树，全面打孔不漏林班、不漏小班、不漏松树，做到无死角。</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8）质量监管。施工单位必须接受委托方跟班作业技术人员的技术指导，及时汇总上报信息，对跟班技术员发现问题，无条件按照技术规程和要求，落实措施进行整改，确保防治质量。</w:t>
            </w:r>
          </w:p>
          <w:p>
            <w:pPr>
              <w:pStyle w:val="null3"/>
              <w:ind w:firstLine="400"/>
            </w:pPr>
            <w:r>
              <w:rPr>
                <w:rFonts w:ascii="仿宋_GB2312" w:hAnsi="仿宋_GB2312" w:cs="仿宋_GB2312" w:eastAsia="仿宋_GB2312"/>
                <w:sz w:val="20"/>
              </w:rPr>
              <w:t>2、生物防治（</w:t>
            </w:r>
            <w:r>
              <w:rPr>
                <w:rFonts w:ascii="仿宋_GB2312" w:hAnsi="仿宋_GB2312" w:cs="仿宋_GB2312" w:eastAsia="仿宋_GB2312"/>
                <w:sz w:val="20"/>
              </w:rPr>
              <w:t>释放花绒寄甲）</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采购种源花绒寄甲：虫体需为健康、活力充足的适龄虫态，无病害、无损伤，符合林业有害生物生物防控相关质量标准。提供花绒寄甲质量合格证明，对虫体质量、存活率全程负责，若出现虫体质量不达标、存活率过低情况，需无条件补供。</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2）选择晴天的上午7:00至11:00、下午4:00至8:00或阴天进行施工，雨天禁止施工作业。</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操作规范：优先选择有天牛危害痕迹的松树（天牛新鲜排粪孔附近10cm），将释放盒钉上或直接将释放盒钉在距离地面2.5米树干背阴处，打开释放盒；每亩投放20盒（5头/盒），在松林内对角线或Z字形均匀投放。防治用天敌昆虫有假死习性，人工释放时要带手套、口罩等保护措施，严防人员对天敌昆虫的影响。对施工作业的情况进行登记，并进行逐株编号。</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释放</w:t>
            </w:r>
            <w:r>
              <w:rPr>
                <w:rFonts w:ascii="仿宋_GB2312" w:hAnsi="仿宋_GB2312" w:cs="仿宋_GB2312" w:eastAsia="仿宋_GB2312"/>
                <w:sz w:val="20"/>
              </w:rPr>
              <w:t>方法：在松树干枝桠下切口处固定，打开释放盒或试管，倾斜</w:t>
            </w:r>
            <w:r>
              <w:rPr>
                <w:rFonts w:ascii="仿宋_GB2312" w:hAnsi="仿宋_GB2312" w:cs="仿宋_GB2312" w:eastAsia="仿宋_GB2312"/>
                <w:sz w:val="20"/>
              </w:rPr>
              <w:t>45°，便于花绒寄甲沿枝桠爬行扩散。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5）释放作业需在作业设计范围内实施，严格按照要求的释放密度、作业时间开展，不得擅自更改释放区域、调整释放密度。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外业施工作业全过程实施记录。作业人员需具备林业有害生物生物防控相关作业经验，熟悉花绒寄甲释放操作规范，确保释放过程操作标准，最大化保证虫体释放后存活效率，</w:t>
            </w:r>
            <w:r>
              <w:rPr>
                <w:rFonts w:ascii="仿宋_GB2312" w:hAnsi="仿宋_GB2312" w:cs="仿宋_GB2312" w:eastAsia="仿宋_GB2312"/>
                <w:sz w:val="20"/>
              </w:rPr>
              <w:t>释放作业过程中做好全程现场记录，准确填写花绒寄甲实际释放数量、各小班释放完成时间、现场作业情况等信息，做到账实相符、有据可查</w:t>
            </w:r>
            <w:r>
              <w:rPr>
                <w:rFonts w:ascii="仿宋_GB2312" w:hAnsi="仿宋_GB2312" w:cs="仿宋_GB2312" w:eastAsia="仿宋_GB2312"/>
                <w:sz w:val="20"/>
              </w:rPr>
              <w:t>，做好档案的收集、整理等相关工作。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安全管理。由于作业区在林区道路两侧及山坡，防治施工作业期间，必须重视安全生产，制定安全施工防范措施，消除安全隐患，把安全贯穿到施工作业的各个环节。依法为外业施工人员办理意外保险，对施工人员进行安全教育培训，预防安全责任事故发生，施工作业过程中所发生的一切安全责任事故、人身损害及其他损失均由乙方独立承担全部责任。施工单位在实施作业期间，所有安全责任由施工方自行承担；加强员工、车辆、安全文明等管理工作，提高安全意识，做好安全防范工作，确保从业人员操作过程的一切安全生。</w:t>
            </w:r>
          </w:p>
          <w:p>
            <w:pPr>
              <w:pStyle w:val="null3"/>
              <w:ind w:firstLine="402"/>
            </w:pPr>
            <w:r>
              <w:rPr>
                <w:rFonts w:ascii="仿宋_GB2312" w:hAnsi="仿宋_GB2312" w:cs="仿宋_GB2312" w:eastAsia="仿宋_GB2312"/>
                <w:sz w:val="20"/>
                <w:b/>
              </w:rPr>
              <w:t>三、服务要求</w:t>
            </w:r>
          </w:p>
          <w:p>
            <w:pPr>
              <w:pStyle w:val="null3"/>
              <w:ind w:firstLine="400"/>
            </w:pPr>
            <w:r>
              <w:rPr>
                <w:rFonts w:ascii="仿宋_GB2312" w:hAnsi="仿宋_GB2312" w:cs="仿宋_GB2312" w:eastAsia="仿宋_GB2312"/>
                <w:sz w:val="20"/>
              </w:rPr>
              <w:t>1、施工期限：自合同签订之日起7个日历天，完成合同约定的生物防治（释放花绒寄甲）、2026年12月20日完成合同约定的打孔注药防治工作任务 。</w:t>
            </w:r>
          </w:p>
          <w:p>
            <w:pPr>
              <w:pStyle w:val="null3"/>
              <w:ind w:firstLine="400"/>
            </w:pPr>
            <w:r>
              <w:rPr>
                <w:rFonts w:ascii="仿宋_GB2312" w:hAnsi="仿宋_GB2312" w:cs="仿宋_GB2312" w:eastAsia="仿宋_GB2312"/>
                <w:sz w:val="20"/>
              </w:rPr>
              <w:t>2、严格按照技术规程要求组织施工，施工前按工程要求筹备各项防治器械、材料、工具等，按技术规定进行施工作业。按规定范围进行施工，所使用的施工器械、农药等需符合国家标准。</w:t>
            </w:r>
          </w:p>
          <w:p>
            <w:pPr>
              <w:pStyle w:val="null3"/>
              <w:ind w:firstLine="400"/>
            </w:pPr>
            <w:r>
              <w:rPr>
                <w:rFonts w:ascii="仿宋_GB2312" w:hAnsi="仿宋_GB2312" w:cs="仿宋_GB2312" w:eastAsia="仿宋_GB2312"/>
                <w:sz w:val="20"/>
              </w:rPr>
              <w:t>3、中标后立即向委托方提供项目管理机构以及人员安排的施工方案，其内容包括管理机构的设置、各主要岗位的技术和管理员名单、资质、联系方式及各工种技术工人的安排、项目实施进度安排、技术措施等状况。</w:t>
            </w:r>
          </w:p>
          <w:p>
            <w:pPr>
              <w:pStyle w:val="null3"/>
              <w:ind w:firstLine="400"/>
            </w:pPr>
            <w:r>
              <w:rPr>
                <w:rFonts w:ascii="仿宋_GB2312" w:hAnsi="仿宋_GB2312" w:cs="仿宋_GB2312" w:eastAsia="仿宋_GB2312"/>
                <w:sz w:val="20"/>
              </w:rPr>
              <w:t>4、中标后立即向委托方，报备施工中的器械、药物、工具、材料、交通、食宿等情况，组建项目部，对防控工作进行常态化运作</w:t>
            </w:r>
          </w:p>
          <w:p>
            <w:pPr>
              <w:pStyle w:val="null3"/>
              <w:ind w:firstLine="400"/>
            </w:pPr>
            <w:r>
              <w:rPr>
                <w:rFonts w:ascii="仿宋_GB2312" w:hAnsi="仿宋_GB2312" w:cs="仿宋_GB2312" w:eastAsia="仿宋_GB2312"/>
                <w:sz w:val="20"/>
              </w:rPr>
              <w:t>5、验收：甲方根据合同约定标准验收，甲方组织相关部门、专家进行现场验收，现场随机抽查每个街道办不少于5个行政村。</w:t>
            </w:r>
          </w:p>
          <w:p>
            <w:pPr>
              <w:pStyle w:val="null3"/>
              <w:ind w:firstLine="400"/>
            </w:pPr>
            <w:r>
              <w:rPr>
                <w:rFonts w:ascii="仿宋_GB2312" w:hAnsi="仿宋_GB2312" w:cs="仿宋_GB2312" w:eastAsia="仿宋_GB2312"/>
                <w:sz w:val="20"/>
              </w:rPr>
              <w:t>6、合同所订一切条款，甲、乙任何一方不得擅自变更或修改。如一方单独变更、修改合同，对方有权拒绝，并要求变更、修改合同一方赔偿一切损失。</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释放作业全部完成后</w:t>
            </w:r>
            <w:r>
              <w:rPr>
                <w:rFonts w:ascii="仿宋_GB2312" w:hAnsi="仿宋_GB2312" w:cs="仿宋_GB2312" w:eastAsia="仿宋_GB2312"/>
                <w:sz w:val="20"/>
              </w:rPr>
              <w:t>10个工作日，提交花绒寄甲释放作业完成报告（含释放作业记录表、现场作业照片），报告需如实反映作业情况，经审核确认即为作业完成</w:t>
            </w:r>
            <w:r>
              <w:rPr>
                <w:rFonts w:ascii="仿宋_GB2312" w:hAnsi="仿宋_GB2312" w:cs="仿宋_GB2312" w:eastAsia="仿宋_GB2312"/>
                <w:sz w:val="20"/>
              </w:rPr>
              <w:t>等状况。</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自合同签订之日起至2026年10月中旬完成美国白蛾第二阶段防控工作任务。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自合同签订之日起7个日历天，完成合同约定的生物防治（释放花绒寄甲）、2026年12月20日完成合同约定的打孔注药防治工作任务。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进度款，2026年10月中旬，完成美国白蛾第二阶段防控工作任务后，申请验收，甲方组织专家进行现场验收，验收合格后，达到付款条件起20个工作日内，支付合同总金额的100.0%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进度款，2026年10月中旬，完成美国白蛾第二阶段防控工作任务后，申请验收，甲方组织专家进行现场验收，验收合格后，达到付款条件起20个工作日内，支付合同总金额的100.0%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按照磋商文件和采购合同约定执行。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1、本项目所属行业为：农、林、牧、渔业。2、成交供应商在领取成交通知书前，须向采购代理机构提供一正两副纸质响应文件及电子版1份（签字盖章扫描PDF和word文档格式，U盘存储），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供应商须具有林业有害生物防治资质（防治作业）丙级及以上资质；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财务审计报告（成立时间磋商响应文件递交截止时间不足一年的可提供成立后任意时段的资产负债表、现金流量表、利润表）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提供磋商响应文件递交截止时间前六个月内任意一个月的缴费凭据（依法免税的投标人应提供相关文件证明）；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提供磋商响应文件递交截止时间前六个月内任意一个月的社保缴费凭据或社保机构开具的社会保险参保缴费情况证明（依法不需要缴纳社会保障资金的投标人应提供相关证明）；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非联合体投标承诺书</w:t>
            </w:r>
          </w:p>
        </w:tc>
        <w:tc>
          <w:tcPr>
            <w:tcW w:type="dxa" w:w="3322"/>
          </w:tcPr>
          <w:p>
            <w:pPr>
              <w:pStyle w:val="null3"/>
            </w:pPr>
            <w:r>
              <w:rPr>
                <w:rFonts w:ascii="仿宋_GB2312" w:hAnsi="仿宋_GB2312" w:cs="仿宋_GB2312" w:eastAsia="仿宋_GB2312"/>
              </w:rPr>
              <w:t>本项目不接受联合体投标（供应商需提供非联合体投标承诺书）；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单位负责人为同一人或者存在直接控股、管理关系的不同投标人，不得参加同一合同项下的政府采购活动（供应商需提供企业关系关联承诺书）；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供应商须具有林业有害生物防治资质（防治作业）丙级及以上资质；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财务审计报告（成立时间至磋商响应文件递交截止时间不足一年的可提供成立后任意时段的资产负债表、现金流量表、利润表）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提供磋商响应文件递交截止时间前六个月内任意一个月的缴费凭据（依法免税的投标人应提供相关文件证明）；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提供磋商响应文件递交截止时间前六个月内任意一个月的社保缴费凭据或社保机构开具的社会保险参保缴费情况证明（依法不需要缴纳社会保障资金的投标人应提供相关证明）；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非联合体投标承诺书</w:t>
            </w:r>
          </w:p>
        </w:tc>
        <w:tc>
          <w:tcPr>
            <w:tcW w:type="dxa" w:w="3322"/>
          </w:tcPr>
          <w:p>
            <w:pPr>
              <w:pStyle w:val="null3"/>
            </w:pPr>
            <w:r>
              <w:rPr>
                <w:rFonts w:ascii="仿宋_GB2312" w:hAnsi="仿宋_GB2312" w:cs="仿宋_GB2312" w:eastAsia="仿宋_GB2312"/>
              </w:rPr>
              <w:t>本项目不接受联合体投标（供应商需提供非联合体投标承诺书）；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单位负责人为同一人或者存在直接控股、管理关系的不同投标人，不得参加同一合同项下的政府采购活动（供应商需提供企业关系关联承诺书）；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一、评审内容：①项目认知分析；②防治目标及防治区域现状分析；③监测普查方案；④防治成效方案；⑤成果资料收集整理措施。 二、评审标准： （1）每项评审内容完整无缺陷得4分；未提供得0分；（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一、评审内容：①质量保障措施；②进度保障措施；③安全保障措施。 二、评审标准：（1）每项评审内容完整无缺陷得4分；未提供得0分；（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一、评审内容：①对本项目的重点、难点进行分析；②对本项目重点、难点的应对措施。 二、评审标准：（1）每项评审内容完整无缺陷得4分；未提供得0分；（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一、评审内容：①科学作业培训；②防治重难点培训；③安全及应急培训。 二、评审标准（1）每项评审内容完整无缺陷得2分；未提供得0分；（2）每项评审内容每存在一处缺陷扣0.4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一、评审内容：①应急组织机构；②应急处置流程；③应急保障措施。 二、评审标准：（1）每项评审内容完整无缺陷得4分；未提供得0分；（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1、拟投入本项目负责人具有林业相关专业中级职称证的，得2分，高级及以上职称的，得3分，不符合要求不得分。 2、拟投入本项目的技术服务人员（项目负责人除外），具有林业相关专业资格证或职称证，每配备1名得1分，最多得7分，不符合要求不得分。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一、评审内容：①服务质量保证承诺；②人员安全保证承诺；③服务期内团队稳定性。 二、评审标准：（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供应商具有2023年1月1日至今（以合同签订时间为准）同类项目业绩，响应文件中提供合同复印件加盖公章，每提供一个得2分，最高得8分。 注：同类业绩指：有害生物防治类业绩。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一、评审内容：①项目认知分析；②防治目标及防治区域现状分析；③松树打孔注药防治方案；④生物防治（释放花绒寄甲）；⑤成果资料收集整理措施。 二、评审标准： （1）每项评审内容完整无缺陷得4分；未提供得0分；（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一、评审内容：①质量保障措施；②进度保障措施；③安全保障措施。 二、评审标准：（1）每项评审内容完整无缺陷得4分；未提供得0分；（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一、评审内容：①对本项目的重点、难点进行分析；②对本项目重点、难点的应对措施。 二、评审标准：（1）每项评审内容完整无缺陷得4分；未提供得0分；（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一、评审内容：①科学作业培训；②防治重难点培训；③安全及应急培训。 二、评审标准（1）每项评审内容完整无缺陷得2分；未提供得0分；（2）每项评审内容每存在一处缺陷扣0.4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一、评审内容：①应急组织机构；②应急处置流程；③应急保障措施。 二、评审标准：（1）每项评审内容完整无缺陷得4分；未提供得0分；（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1、拟投入本项负责人项目具有林业相关专业中级职称证的，得2分，高级及以上职称的，得3分，不符合要求不得分。 2、拟投入本项目的技术服务人员（项目负责人除外），具有林业相关专业资格证或职称证，每配备1名得1分，最多得7分，不符合要求不得分。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一、评审内容：①服务质量保证承诺；②人员安全保证承诺；③服务期内团队稳定性等。 二、评审标准：（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供应商具有2023年1月1日至今（以合同签订时间为准）同类项目业绩，响应文件中提供合同复印件加盖公章，每提供一个得2分，最高得8分。 注：同类业绩指：有害生物防治类业绩。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