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440201-2026-01833</w:t>
      </w:r>
    </w:p>
    <w:p>
      <w:pPr>
        <w:pStyle w:val="null3"/>
        <w:jc w:val="center"/>
        <w:outlineLvl w:val="3"/>
      </w:pPr>
      <w:r>
        <w:rPr>
          <w:sz w:val="24"/>
          <w:b/>
        </w:rPr>
        <w:t>采购项目编号：</w:t>
      </w:r>
      <w:r>
        <w:rPr>
          <w:sz w:val="24"/>
          <w:b/>
        </w:rPr>
        <w:t>ZH2026070016FW</w:t>
      </w:r>
    </w:p>
    <w:p>
      <w:pPr>
        <w:pStyle w:val="null3"/>
        <w:jc w:val="center"/>
        <w:outlineLvl w:val="3"/>
      </w:pPr>
      <w:r>
        <w:rPr>
          <w:sz w:val="24"/>
          <w:b/>
        </w:rPr>
        <w:t>项目名称：</w:t>
      </w:r>
      <w:r>
        <w:rPr>
          <w:sz w:val="24"/>
          <w:b/>
        </w:rPr>
        <w:t>广东省韶关市本级（仁化林场）2026年中央财政林草有害生物防治项目</w:t>
      </w:r>
    </w:p>
    <w:p>
      <w:pPr>
        <w:pStyle w:val="null3"/>
        <w:jc w:val="center"/>
        <w:outlineLvl w:val="3"/>
      </w:pPr>
      <w:r>
        <w:rPr>
          <w:sz w:val="24"/>
          <w:b/>
        </w:rPr>
        <w:t>采购人：</w:t>
      </w:r>
      <w:r>
        <w:rPr>
          <w:sz w:val="24"/>
          <w:b/>
        </w:rPr>
        <w:t>韶关市国有仁化林场</w:t>
      </w:r>
    </w:p>
    <w:p>
      <w:pPr>
        <w:pStyle w:val="null3"/>
        <w:jc w:val="center"/>
        <w:outlineLvl w:val="3"/>
      </w:pPr>
      <w:r>
        <w:rPr>
          <w:sz w:val="24"/>
          <w:b/>
        </w:rPr>
        <w:t>采购代理机构：</w:t>
      </w:r>
      <w:r>
        <w:rPr>
          <w:sz w:val="24"/>
          <w:b/>
        </w:rPr>
        <w:t>中恒招标代理(韶关)有限公司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中恒招标代理(韶关)有限公司</w:t>
      </w:r>
      <w:r>
        <w:rPr/>
        <w:t>受</w:t>
      </w:r>
      <w:r>
        <w:rPr/>
        <w:t>韶关市国有仁化林场</w:t>
      </w:r>
      <w:r>
        <w:rPr/>
        <w:t>的委托，采用</w:t>
      </w:r>
      <w:r>
        <w:rPr/>
        <w:t>公开招标</w:t>
      </w:r>
      <w:r>
        <w:rPr/>
        <w:t>方式组织采购</w:t>
      </w:r>
      <w:r>
        <w:rPr/>
        <w:t>广东省韶关市本级（仁化林场）2026年中央财政林草有害生物防治项目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广东省韶关市本级（仁化林场）2026年中央财政林草有害生物防治项目</w:t>
      </w:r>
    </w:p>
    <w:p>
      <w:pPr>
        <w:pStyle w:val="null3"/>
        <w:ind w:firstLine="480"/>
      </w:pPr>
      <w:r>
        <w:rPr/>
        <w:t>采购计划编号：</w:t>
      </w:r>
      <w:r>
        <w:rPr/>
        <w:t>440201-2026-01833</w:t>
      </w:r>
    </w:p>
    <w:p>
      <w:pPr>
        <w:pStyle w:val="null3"/>
        <w:ind w:firstLine="480"/>
      </w:pPr>
      <w:r>
        <w:rPr/>
        <w:t>采购项目编号：</w:t>
      </w:r>
      <w:r>
        <w:rPr/>
        <w:t>ZH2026070016FW</w:t>
      </w:r>
    </w:p>
    <w:p>
      <w:pPr>
        <w:pStyle w:val="null3"/>
        <w:ind w:firstLine="480"/>
      </w:pPr>
      <w:r>
        <w:rPr/>
        <w:t>采购方式：</w:t>
      </w:r>
      <w:r>
        <w:rPr/>
        <w:t>公开招标</w:t>
      </w:r>
    </w:p>
    <w:p>
      <w:pPr>
        <w:pStyle w:val="null3"/>
        <w:ind w:firstLine="480"/>
      </w:pPr>
      <w:r>
        <w:rPr/>
        <w:t>预算金额：</w:t>
      </w:r>
      <w:r>
        <w:rPr/>
        <w:t>1,238,100.00</w:t>
      </w:r>
      <w:r>
        <w:rPr/>
        <w:t>元</w:t>
      </w:r>
    </w:p>
    <w:p>
      <w:pPr>
        <w:pStyle w:val="null3"/>
        <w:outlineLvl w:val="3"/>
      </w:pPr>
      <w:r>
        <w:rPr>
          <w:sz w:val="24"/>
          <w:b/>
        </w:rPr>
        <w:t>2.项目内容及需求情况（采购项目技术规格、参数及要求）</w:t>
      </w:r>
    </w:p>
    <w:p>
      <w:pPr>
        <w:pStyle w:val="null3"/>
      </w:pPr>
      <w:r>
        <w:rPr/>
        <w:t>采购包1(广东省韶关市本级（仁化林场）2026年中央财政林草有害生物防治项目):</w:t>
      </w:r>
    </w:p>
    <w:p>
      <w:pPr>
        <w:pStyle w:val="null3"/>
      </w:pPr>
      <w:r>
        <w:rPr/>
        <w:t>采购包预算金额：1,238,100.00元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林业有害生物防治服务</w:t>
            </w:r>
          </w:p>
        </w:tc>
        <w:tc>
          <w:tcPr>
            <w:tcW w:type="dxa" w:w="2136"/>
          </w:tcPr>
          <w:p>
            <w:pPr>
              <w:pStyle w:val="null3"/>
            </w:pPr>
            <w:r>
              <w:rPr/>
              <w:t>广东省韶关市本级（仁化林场）2026年中央财政林草有害生物防治项目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合同履行期限：自合同签订之日起至2027年6月30日止。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2）有依法缴纳税收和社会保障资金的良好记录：投标文件中提供《资格条件承诺函》（格式详见招标公告附件）。</w:t>
      </w:r>
    </w:p>
    <w:p>
      <w:pPr>
        <w:pStyle w:val="null3"/>
      </w:pPr>
      <w:r>
        <w:rPr/>
        <w:t>3）具有良好的商业信誉和健全的财务会计制度：投标文件中提供《资格条件承诺函》（格式详见招标公告附件）。</w:t>
      </w:r>
    </w:p>
    <w:p>
      <w:pPr>
        <w:pStyle w:val="null3"/>
      </w:pPr>
      <w:r>
        <w:rPr/>
        <w:t>4）履行合同所必需的设备和专业技术能力：投标文件中提供《资格条件承诺函》（格式详见招标公告附件）。</w:t>
      </w:r>
    </w:p>
    <w:p>
      <w:pPr>
        <w:pStyle w:val="null3"/>
      </w:pPr>
      <w:r>
        <w:rPr/>
        <w:t>5）参加采购活动前3年内，在经营活动中没有重大违法记录：投标文件中提供《资格条件承诺函》（格式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采购包1（广东省韶关市本级（仁化林场）2026年中央财政林草有害生物防治项目）：</w:t>
      </w:r>
      <w:r>
        <w:rPr/>
        <w:t>本项目整体专门面向中小企业，参与本项目的供应商全部为符合政策要求的中小微企业，不能为大型企业。投标供应商须符合本项目采购标的对应行业（本项目所属行业为：农、林、牧、渔业）的政策划分标准。监狱企业、残疾人福利单位视同小型、微型企业。（注：中小企业以供应商填写的《中小企业声明函（工程、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采购包1（广东省韶关市本级（仁化林场）2026年中央财政林草有害生物防治项目）：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3)投标人须具备提供有效的林业有害生物防治组织资质丙级或以上资质证书。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韶关市国有仁化林场</w:t>
      </w:r>
    </w:p>
    <w:p>
      <w:pPr>
        <w:pStyle w:val="null3"/>
        <w:ind w:firstLine="480"/>
      </w:pPr>
      <w:r>
        <w:rPr/>
        <w:t xml:space="preserve"> 地址：</w:t>
      </w:r>
      <w:r>
        <w:rPr/>
        <w:t>韶关市仁化县国有仁化林场雷公厂</w:t>
      </w:r>
    </w:p>
    <w:p>
      <w:pPr>
        <w:pStyle w:val="null3"/>
        <w:ind w:firstLine="480"/>
      </w:pPr>
      <w:r>
        <w:rPr/>
        <w:t xml:space="preserve"> 联系方式：</w:t>
      </w:r>
      <w:r>
        <w:rPr/>
        <w:t>0751-6353228</w:t>
      </w:r>
    </w:p>
    <w:p>
      <w:pPr>
        <w:pStyle w:val="null3"/>
        <w:outlineLvl w:val="3"/>
      </w:pPr>
      <w:r>
        <w:rPr>
          <w:sz w:val="24"/>
          <w:b/>
        </w:rPr>
        <w:t xml:space="preserve"> 2.采购代理机构信息</w:t>
      </w:r>
    </w:p>
    <w:p>
      <w:pPr>
        <w:pStyle w:val="null3"/>
        <w:ind w:firstLine="480"/>
      </w:pPr>
      <w:r>
        <w:rPr/>
        <w:t xml:space="preserve"> 名称：</w:t>
      </w:r>
      <w:r>
        <w:rPr/>
        <w:t>中恒招标代理(韶关)有限公司</w:t>
      </w:r>
    </w:p>
    <w:p>
      <w:pPr>
        <w:pStyle w:val="null3"/>
        <w:ind w:firstLine="480"/>
      </w:pPr>
      <w:r>
        <w:rPr/>
        <w:t xml:space="preserve"> 地址：</w:t>
      </w:r>
      <w:r>
        <w:rPr/>
        <w:t>广东省韶关市武江区百旺中路16号保利中宇广场5、6幢1802号公寓之二</w:t>
      </w:r>
    </w:p>
    <w:p>
      <w:pPr>
        <w:pStyle w:val="null3"/>
        <w:ind w:firstLine="480"/>
      </w:pPr>
      <w:r>
        <w:rPr/>
        <w:t xml:space="preserve"> 联系方式：</w:t>
      </w:r>
      <w:r>
        <w:rPr/>
        <w:t>13727508802</w:t>
      </w:r>
    </w:p>
    <w:p>
      <w:pPr>
        <w:pStyle w:val="null3"/>
        <w:outlineLvl w:val="3"/>
      </w:pPr>
      <w:r>
        <w:rPr>
          <w:sz w:val="24"/>
          <w:b/>
        </w:rPr>
        <w:t xml:space="preserve"> 3.项目联系方式</w:t>
      </w:r>
    </w:p>
    <w:p>
      <w:pPr>
        <w:pStyle w:val="null3"/>
        <w:ind w:firstLine="480"/>
      </w:pPr>
      <w:r>
        <w:rPr/>
        <w:t xml:space="preserve"> 项目联系人：</w:t>
      </w:r>
      <w:r>
        <w:rPr/>
        <w:t>赖工</w:t>
      </w:r>
    </w:p>
    <w:p>
      <w:pPr>
        <w:pStyle w:val="null3"/>
        <w:ind w:firstLine="480"/>
      </w:pPr>
      <w:r>
        <w:rPr/>
        <w:t xml:space="preserve"> 电话：</w:t>
      </w:r>
      <w:r>
        <w:rPr/>
        <w:t>13727508802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中恒招标代理(韶关)有限公司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p>
      <w:pPr>
        <w:pStyle w:val="null3"/>
        <w:ind w:firstLine="400"/>
      </w:pPr>
      <w:r>
        <w:rPr>
          <w:sz w:val="20"/>
        </w:rPr>
        <w:t>1</w:t>
      </w:r>
      <w:r>
        <w:rPr>
          <w:sz w:val="20"/>
        </w:rPr>
        <w:t>、项目名称：</w:t>
      </w:r>
      <w:r>
        <w:rPr>
          <w:sz w:val="20"/>
        </w:rPr>
        <w:t>广东省韶关市本级（仁化林场）</w:t>
      </w:r>
      <w:r>
        <w:rPr>
          <w:sz w:val="20"/>
        </w:rPr>
        <w:t>2026</w:t>
      </w:r>
      <w:r>
        <w:rPr>
          <w:sz w:val="20"/>
        </w:rPr>
        <w:t>年中央财政林草有害生物防治项目</w:t>
      </w:r>
    </w:p>
    <w:p>
      <w:pPr>
        <w:pStyle w:val="null3"/>
        <w:ind w:firstLine="400"/>
        <w:jc w:val="both"/>
      </w:pPr>
      <w:r>
        <w:rPr>
          <w:sz w:val="20"/>
        </w:rPr>
        <w:t>2</w:t>
      </w:r>
      <w:r>
        <w:rPr>
          <w:sz w:val="20"/>
        </w:rPr>
        <w:t>、项目地点：</w:t>
      </w:r>
      <w:r>
        <w:rPr>
          <w:sz w:val="20"/>
        </w:rPr>
        <w:t>广东省韶关市仁化林场</w:t>
      </w:r>
    </w:p>
    <w:p>
      <w:pPr>
        <w:pStyle w:val="null3"/>
      </w:pPr>
      <w:r>
        <w:rPr/>
        <w:t>采购包1（广东省韶关市本级（仁化林场）2026年中央财政林草有害生物防治项目）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自合同签订之日起至2027年6月30日止。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1期：支付比例30%,支付比例30%,合同生效后，在财政资金到位的条件下，甲方向乙方支付项目合同价总额的30%作为项目预付款。</w:t>
            </w:r>
          </w:p>
          <w:p>
            <w:pPr>
              <w:pStyle w:val="null3"/>
            </w:pPr>
            <w:r>
              <w:rPr/>
              <w:t>2期：支付比例50%,在成交供应商完成年度防治工作，凭监理单位审核意见提交年度验收申请，采购人审核无误后组织验收。验收通过后，成交供应商凭验收报告和监理单位支付意见提交进度款支付申请。成交供应商提交齐全且符合采购人要求的请款资料的情况下，采购人审核无误后5个工作日内办理支付手续，在财政资金到位的条件下，向成交供应商支付合同金额的50%。</w:t>
            </w:r>
          </w:p>
          <w:p>
            <w:pPr>
              <w:pStyle w:val="null3"/>
            </w:pPr>
            <w:r>
              <w:rPr/>
              <w:t>3期：支付比例20%,支付比例20%,服务期满，成交供应商完成质保期防治任务并按要求提交完工资料和验收申请，采购人审核无误后在7日内组织完工验收。项目验收通过后，成交供应商凭验收报告、结算资料和监理单位支付意见提交尾款支付申请。成交供应商提交齐全且符合采购人要求的请款资料的情况下，采购人审核无误后，在财政资金到位的条件下，5个工作日内按最终合同价支付余下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1期：（一）验收方式 采取常规检查、竣工验收相结合的方式。 （二）检查验收内容 1、疫木除治质量检查：年度除治任务完成情况，除治作业区病死（濒死、枯死）松树情况，疫木清理和除害处理情况，疫木除治监管情况，检疫封锁情况、宣传情况以及防治承包单位的施工情况、监理单位的施工监理情况等。 2、防治成效检查：结合专项普查成果，检查除治区内松材线虫病疫情发生、疫木除治、疫木监管、检疫封锁等情况，并对照上年度秋季疫情发生情况，评价年度防治成效。 （三）检查验收组织 建立以施工单位、项目建设单位、上级林业主管部门为责任主体的三级检查验收体系，明确各方职责，层层管控： 1、施工作业班组（施工单位）每日开展工序自查，每日记录作业台账，完工后开展小班全面自查，提交自查表、作业影像、疫木清点台账；响应项目建设单位在日常巡查中发现的问题，及时整改、优化施工工艺，严防质量事故；配合项目建设单位、上级林业主管部门开展竣工验收； 2、韶关市国有仁化林场（项目建设单位）组织林场专业技术人员、管护人员组建项目质检小组，针对本项目的施工作业开展全过程跟踪检查，不定期开展现场抽查，发现问题后及时告知施工单位，督促指导其进行整改，直至质量合格为止；在工程建设完毕后，施工单位进行充分自查，确认符合验收标准后，建设单位组织施工、监理三方共同验收； 3、韶关市林业局（上级林业主管部门）通过施工档案资料核查、重点疫区现场全查、松林小班抽样核查等多种方式，对项目进行竣工 复查。 （四）验收时段 1、施工期全过程检查：在项目施工作业过程中进行常态化巡查，重点检查采伐规范、伐桩处理、疫木堆放、安全施工，及时发现、整改施工存在的问题； 2、阶段性抽查：每季度末对已完工小班进行抽查，核验清理质量、资料完整性； 3、质保期满验收（2027 年 6 月）：待全部作业小班完工，经自查符合验收标准后，开展全场竣工核验，汇总台账、完成验收归档。</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林业有害生物防治服务</w:t>
            </w:r>
          </w:p>
        </w:tc>
        <w:tc>
          <w:tcPr>
            <w:tcW w:type="dxa" w:w="933"/>
          </w:tcPr>
          <w:p>
            <w:pPr>
              <w:pStyle w:val="null3"/>
              <w:jc w:val="left"/>
            </w:pPr>
            <w:r>
              <w:rPr/>
              <w:t>广东省韶关市本级（仁化林场）2026年中央财政林草有害生物防治项目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1,238,100.00</w:t>
            </w:r>
          </w:p>
        </w:tc>
        <w:tc>
          <w:tcPr>
            <w:tcW w:type="dxa" w:w="933"/>
          </w:tcPr>
          <w:p>
            <w:pPr>
              <w:pStyle w:val="null3"/>
              <w:jc w:val="right"/>
            </w:pPr>
            <w:r>
              <w:rPr/>
              <w:t>1,238,100.00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广东省韶关市本级（仁化林场）2026年中央财政林草有害生物防治项目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 xml:space="preserve"> </w:t>
            </w:r>
          </w:p>
          <w:p>
            <w:pPr>
              <w:pStyle w:val="null3"/>
            </w:pPr>
            <w:r>
              <w:rPr/>
              <w:t>一、</w:t>
            </w:r>
            <w:r>
              <w:rPr/>
              <w:t>任务</w:t>
            </w:r>
            <w:r>
              <w:rPr/>
              <w:t>目标</w:t>
            </w:r>
          </w:p>
          <w:p>
            <w:pPr>
              <w:pStyle w:val="null3"/>
              <w:ind w:firstLine="400"/>
            </w:pPr>
            <w:r>
              <w:rPr/>
              <w:t>1</w:t>
            </w:r>
            <w:r>
              <w:rPr/>
              <w:t xml:space="preserve">、完成松材线虫病监测调查面积 </w:t>
            </w:r>
            <w:r>
              <w:rPr/>
              <w:t xml:space="preserve">51900.02 </w:t>
            </w:r>
            <w:r>
              <w:rPr/>
              <w:t xml:space="preserve">亩（含日常监测 </w:t>
            </w:r>
            <w:r>
              <w:rPr/>
              <w:t xml:space="preserve">3 </w:t>
            </w:r>
            <w:r>
              <w:rPr/>
              <w:t xml:space="preserve">次，专项普查 </w:t>
            </w:r>
            <w:r>
              <w:rPr/>
              <w:t xml:space="preserve">1 </w:t>
            </w:r>
            <w:r>
              <w:rPr/>
              <w:t>次）；</w:t>
            </w:r>
          </w:p>
          <w:p>
            <w:pPr>
              <w:pStyle w:val="null3"/>
              <w:ind w:firstLine="400"/>
            </w:pPr>
            <w:r>
              <w:rPr/>
              <w:t>2</w:t>
            </w:r>
            <w:r>
              <w:rPr/>
              <w:t xml:space="preserve">、完成松材线虫病疫木清理 </w:t>
            </w:r>
            <w:r>
              <w:rPr/>
              <w:t xml:space="preserve">381 </w:t>
            </w:r>
            <w:r>
              <w:rPr/>
              <w:t>亩；</w:t>
            </w:r>
          </w:p>
          <w:p>
            <w:pPr>
              <w:pStyle w:val="null3"/>
              <w:ind w:firstLine="400"/>
            </w:pPr>
            <w:r>
              <w:rPr/>
              <w:t>3</w:t>
            </w:r>
            <w:r>
              <w:rPr/>
              <w:t xml:space="preserve">、完成松树蛀干害虫防治面积共 </w:t>
            </w:r>
            <w:r>
              <w:rPr/>
              <w:t xml:space="preserve">22810 </w:t>
            </w:r>
            <w:r>
              <w:rPr/>
              <w:t>亩；</w:t>
            </w:r>
          </w:p>
          <w:p>
            <w:pPr>
              <w:pStyle w:val="null3"/>
              <w:ind w:firstLine="400"/>
            </w:pPr>
            <w:r>
              <w:rPr/>
              <w:t>4</w:t>
            </w:r>
            <w:r>
              <w:rPr/>
              <w:t>、项目区域林业有害生物成灾率控制在国家和省“十五五”分解下达的指标以内，松材线虫病等重大林业有害生物灾害得到较好控制。</w:t>
            </w:r>
          </w:p>
          <w:p>
            <w:pPr>
              <w:pStyle w:val="null3"/>
            </w:pPr>
            <w:r>
              <w:rPr/>
              <w:t>二、</w:t>
            </w:r>
            <w:r>
              <w:rPr/>
              <w:t>建设</w:t>
            </w:r>
            <w:r>
              <w:rPr/>
              <w:t>任务</w:t>
            </w:r>
          </w:p>
          <w:p>
            <w:pPr>
              <w:pStyle w:val="null3"/>
              <w:ind w:firstLine="400"/>
            </w:pPr>
            <w:r>
              <w:rPr/>
              <w:t>广东省韶关市本级（仁化林场）</w:t>
            </w:r>
            <w:r>
              <w:rPr/>
              <w:t xml:space="preserve">2026 </w:t>
            </w:r>
            <w:r>
              <w:rPr/>
              <w:t>年中央财政林草有害生物防治项目的建设任务包括松材线虫病监测调查、松材线虫病疫木清理与松树蛀干害虫防治。</w:t>
            </w:r>
          </w:p>
          <w:p>
            <w:pPr>
              <w:pStyle w:val="null3"/>
            </w:pPr>
            <w:r>
              <w:rPr/>
              <w:t>(</w:t>
            </w:r>
            <w:r>
              <w:rPr/>
              <w:t>一</w:t>
            </w:r>
            <w:r>
              <w:rPr/>
              <w:t>)</w:t>
            </w:r>
            <w:r>
              <w:rPr/>
              <w:t>、松材线虫病监测调查</w:t>
            </w:r>
          </w:p>
          <w:p>
            <w:pPr>
              <w:pStyle w:val="null3"/>
              <w:ind w:firstLine="400"/>
            </w:pPr>
            <w:r>
              <w:rPr/>
              <w:t>1.</w:t>
            </w:r>
            <w:r>
              <w:rPr/>
              <w:t>日常监测</w:t>
            </w:r>
          </w:p>
          <w:p>
            <w:pPr>
              <w:pStyle w:val="null3"/>
              <w:ind w:firstLine="400"/>
            </w:pPr>
            <w:r>
              <w:rPr/>
              <w:t>每</w:t>
            </w:r>
            <w:r>
              <w:rPr/>
              <w:t>3</w:t>
            </w:r>
            <w:r>
              <w:rPr/>
              <w:t>个月针对林场的</w:t>
            </w:r>
            <w:r>
              <w:rPr/>
              <w:t>51900.02</w:t>
            </w:r>
            <w:r>
              <w:rPr/>
              <w:t>亩松林进行</w:t>
            </w:r>
            <w:r>
              <w:rPr/>
              <w:t>1</w:t>
            </w:r>
            <w:r>
              <w:rPr/>
              <w:t>次监测，即</w:t>
            </w:r>
            <w:r>
              <w:rPr/>
              <w:t>6</w:t>
            </w:r>
            <w:r>
              <w:rPr/>
              <w:t>月、</w:t>
            </w:r>
            <w:r>
              <w:rPr/>
              <w:t>8</w:t>
            </w:r>
            <w:r>
              <w:rPr/>
              <w:t>月、次年</w:t>
            </w:r>
            <w:r>
              <w:rPr/>
              <w:t>3</w:t>
            </w:r>
            <w:r>
              <w:rPr/>
              <w:t>月，全年共计</w:t>
            </w:r>
            <w:r>
              <w:rPr/>
              <w:t>3</w:t>
            </w:r>
            <w:r>
              <w:rPr/>
              <w:t>次。以小班为单位进行网格化常态化日常监测，日常监测范围可以根据当地防控实际合理设置，但要覆盖重点预防区域。</w:t>
            </w:r>
          </w:p>
          <w:p>
            <w:pPr>
              <w:pStyle w:val="null3"/>
              <w:ind w:firstLine="400"/>
            </w:pPr>
            <w:r>
              <w:rPr/>
              <w:t>2.</w:t>
            </w:r>
            <w:r>
              <w:rPr/>
              <w:t>专项普查</w:t>
            </w:r>
          </w:p>
          <w:p>
            <w:pPr>
              <w:pStyle w:val="null3"/>
              <w:ind w:firstLine="400"/>
            </w:pPr>
            <w:r>
              <w:rPr/>
              <w:t>于</w:t>
            </w:r>
            <w:r>
              <w:rPr/>
              <w:t>9-10</w:t>
            </w:r>
            <w:r>
              <w:rPr/>
              <w:t>月组织开展一次专项普查，覆盖全场</w:t>
            </w:r>
            <w:r>
              <w:rPr/>
              <w:t>51900.02</w:t>
            </w:r>
            <w:r>
              <w:rPr/>
              <w:t>亩松林，采用踏查为主，结合无人机监测，调查是否出现松树枯死、松针变色等异常情况。</w:t>
            </w:r>
          </w:p>
          <w:p>
            <w:pPr>
              <w:pStyle w:val="null3"/>
            </w:pPr>
            <w:r>
              <w:rPr/>
              <w:t>(</w:t>
            </w:r>
            <w:r>
              <w:rPr/>
              <w:t>二</w:t>
            </w:r>
            <w:r>
              <w:rPr/>
              <w:t>)</w:t>
            </w:r>
            <w:r>
              <w:rPr/>
              <w:t>、松材线虫病疫木清理</w:t>
            </w:r>
          </w:p>
          <w:p>
            <w:pPr>
              <w:pStyle w:val="null3"/>
              <w:ind w:firstLine="400"/>
            </w:pPr>
            <w:r>
              <w:rPr/>
              <w:t>除治面积</w:t>
            </w:r>
            <w:r>
              <w:rPr/>
              <w:t>381</w:t>
            </w:r>
            <w:r>
              <w:rPr/>
              <w:t>亩，对病枯死松木采取即死即清和集中除治方式进行除害处理。</w:t>
            </w:r>
          </w:p>
          <w:p>
            <w:pPr>
              <w:pStyle w:val="null3"/>
            </w:pPr>
            <w:r>
              <w:rPr/>
              <w:t>(</w:t>
            </w:r>
            <w:r>
              <w:rPr/>
              <w:t>三</w:t>
            </w:r>
            <w:r>
              <w:rPr/>
              <w:t>)</w:t>
            </w:r>
            <w:r>
              <w:rPr/>
              <w:t>、松树蛀干害虫防治</w:t>
            </w:r>
          </w:p>
          <w:p>
            <w:pPr>
              <w:pStyle w:val="null3"/>
              <w:ind w:firstLine="400"/>
            </w:pPr>
            <w:r>
              <w:rPr/>
              <w:t>防治面积</w:t>
            </w:r>
            <w:r>
              <w:rPr/>
              <w:t>22810</w:t>
            </w:r>
            <w:r>
              <w:rPr/>
              <w:t>亩，对死亡死松采取即死即清和集中除治方式进行除害处理。</w:t>
            </w:r>
          </w:p>
          <w:p>
            <w:pPr>
              <w:pStyle w:val="null3"/>
            </w:pPr>
            <w:r>
              <w:rPr/>
              <w:t>三、</w:t>
            </w:r>
            <w:r>
              <w:rPr/>
              <w:t>主要技术措施</w:t>
            </w:r>
          </w:p>
          <w:p>
            <w:pPr>
              <w:pStyle w:val="null3"/>
              <w:ind w:firstLine="402"/>
              <w:jc w:val="both"/>
            </w:pPr>
            <w:r>
              <w:rPr>
                <w:sz w:val="20"/>
                <w:b/>
              </w:rPr>
              <w:t>1.松材线虫病监测调查</w:t>
            </w:r>
          </w:p>
          <w:p>
            <w:pPr>
              <w:pStyle w:val="null3"/>
              <w:ind w:firstLine="400"/>
              <w:jc w:val="both"/>
            </w:pPr>
            <w:r>
              <w:rPr>
                <w:sz w:val="20"/>
              </w:rPr>
              <w:t>日常监测：每</w:t>
            </w:r>
            <w:r>
              <w:rPr>
                <w:sz w:val="20"/>
              </w:rPr>
              <w:t>2-3个月监测一次，总共3次，分别安排在6月、8月、次年3月。对林场涉松小班，依靠护林员和专业技术人员因地制宜组建监测调查队伍，配备必要的设施设备，以小班为单位进行网格化巡查，观察并记录松树异常情况。</w:t>
            </w:r>
          </w:p>
          <w:p>
            <w:pPr>
              <w:pStyle w:val="null3"/>
              <w:ind w:firstLine="400"/>
              <w:jc w:val="both"/>
            </w:pPr>
            <w:r>
              <w:rPr>
                <w:sz w:val="20"/>
              </w:rPr>
              <w:t>专项普查：</w:t>
            </w:r>
            <w:r>
              <w:rPr>
                <w:sz w:val="20"/>
              </w:rPr>
              <w:t>9-10月，组织专业技术力量对林场涉松小班进行全面的专项普查，以小班为单位进行普查，观察并记录松树异常情况。</w:t>
            </w:r>
          </w:p>
          <w:p>
            <w:pPr>
              <w:pStyle w:val="null3"/>
              <w:ind w:firstLine="402"/>
              <w:jc w:val="both"/>
            </w:pPr>
            <w:r>
              <w:rPr>
                <w:sz w:val="20"/>
                <w:b/>
              </w:rPr>
              <w:t>2.松材线虫病防治技术措施</w:t>
            </w:r>
          </w:p>
          <w:p>
            <w:pPr>
              <w:pStyle w:val="null3"/>
              <w:ind w:firstLine="400"/>
              <w:jc w:val="both"/>
            </w:pPr>
            <w:r>
              <w:rPr>
                <w:sz w:val="20"/>
              </w:rPr>
              <w:t>结合日常监测调查和秋季普查以及结果，及时全面清理松材线虫病疫情小班内的所有病枯死树，因松材线虫病发生特点是动态变化，采取以</w:t>
            </w:r>
            <w:r>
              <w:rPr>
                <w:sz w:val="20"/>
              </w:rPr>
              <w:t>“即死即清”和集中清除为方式，</w:t>
            </w:r>
          </w:p>
          <w:p>
            <w:pPr>
              <w:pStyle w:val="null3"/>
              <w:ind w:firstLine="402"/>
              <w:jc w:val="both"/>
            </w:pPr>
            <w:r>
              <w:rPr>
                <w:sz w:val="20"/>
                <w:b/>
              </w:rPr>
              <w:t>“即死即清”</w:t>
            </w:r>
            <w:r>
              <w:rPr>
                <w:sz w:val="20"/>
              </w:rPr>
              <w:t>：在冬春季媒介昆虫非羽化期（</w:t>
            </w:r>
            <w:r>
              <w:rPr>
                <w:sz w:val="20"/>
              </w:rPr>
              <w:t>11月至翌年4月）发现死亡松树时，及时清除并除害处理。</w:t>
            </w:r>
          </w:p>
          <w:p>
            <w:pPr>
              <w:pStyle w:val="null3"/>
              <w:ind w:firstLine="400"/>
              <w:jc w:val="both"/>
            </w:pPr>
            <w:r>
              <w:rPr>
                <w:sz w:val="20"/>
              </w:rPr>
              <w:t>作业要求：对清除的松木和清除迹地上直径超过</w:t>
            </w:r>
            <w:r>
              <w:rPr>
                <w:sz w:val="20"/>
              </w:rPr>
              <w:t>1厘米的枝丫进行全部清理，就地就近落实疫木处理，除治后及时完成除治质量检查。即死即清数据要同步上传监管平台，平台将自动统计到当年秋季普查结果中。</w:t>
            </w:r>
          </w:p>
          <w:p>
            <w:pPr>
              <w:pStyle w:val="null3"/>
              <w:ind w:firstLine="402"/>
              <w:jc w:val="both"/>
            </w:pPr>
            <w:r>
              <w:rPr>
                <w:sz w:val="20"/>
                <w:b/>
              </w:rPr>
              <w:t>集中清除</w:t>
            </w:r>
            <w:r>
              <w:rPr>
                <w:sz w:val="20"/>
              </w:rPr>
              <w:t>：在冬春季媒介昆虫费羽化期内（当年</w:t>
            </w:r>
            <w:r>
              <w:rPr>
                <w:sz w:val="20"/>
              </w:rPr>
              <w:t>10月至次年4月）采伐清理死亡松树病进行除害处理。</w:t>
            </w:r>
          </w:p>
          <w:p>
            <w:pPr>
              <w:pStyle w:val="null3"/>
              <w:ind w:firstLine="400"/>
              <w:jc w:val="both"/>
            </w:pPr>
            <w:r>
              <w:rPr>
                <w:sz w:val="20"/>
              </w:rPr>
              <w:t>主要采取套袋消杀技术措施，具体如下：</w:t>
            </w:r>
          </w:p>
          <w:p>
            <w:pPr>
              <w:pStyle w:val="null3"/>
              <w:ind w:firstLine="402"/>
              <w:jc w:val="both"/>
            </w:pPr>
            <w:r>
              <w:rPr>
                <w:sz w:val="20"/>
                <w:b/>
              </w:rPr>
              <w:t>（</w:t>
            </w:r>
            <w:r>
              <w:rPr>
                <w:sz w:val="20"/>
                <w:b/>
              </w:rPr>
              <w:t>1）套袋消杀</w:t>
            </w:r>
            <w:r>
              <w:rPr>
                <w:sz w:val="20"/>
              </w:rPr>
              <w:t>：将病死树主干及直径</w:t>
            </w:r>
            <w:r>
              <w:rPr>
                <w:sz w:val="20"/>
              </w:rPr>
              <w:t>1厘米以上的枝丫截成短于60厘米的长度，然后放入密封塑料袋（或环保袋）中加放消杀药物（如56%磷化铝片剂按照20-30克/立方米投放）等进行除害处理。消杀袋须密封性好不透气、韧性好不易破、较环保能降解，膜厚度≥0.1毫米（10丝）、袋子牢固度≥6个月。树木死亡时间较长、已完全干枯的松木要在袋内远离磷化铝等药物的地方喷洒适量水分，以保证熏杀效果。防治施工单位在项目期间，安排专人，在项目建设单位的监督下，不定期地对作业区域进行抽查，检查枯死松树清理情况，并进行效果评价，具体评价标准包括：项目区枯死树是否存在有伐倒但未进行除害处理；套袋消杀处理的病死树所截取的木段长度是否＞60cm；直径1cm以上的枝桠是否有散落；伐桩高度是否＞5cm或未经过除害处理。检查不合格的，应及时督促施工单位采取补救措施。</w:t>
            </w:r>
          </w:p>
          <w:p>
            <w:pPr>
              <w:pStyle w:val="null3"/>
              <w:ind w:firstLine="402"/>
              <w:jc w:val="both"/>
            </w:pPr>
            <w:r>
              <w:rPr>
                <w:sz w:val="20"/>
                <w:b/>
              </w:rPr>
              <w:t>（</w:t>
            </w:r>
            <w:r>
              <w:rPr>
                <w:sz w:val="20"/>
                <w:b/>
              </w:rPr>
              <w:t>2）伐桩处理</w:t>
            </w:r>
            <w:r>
              <w:rPr>
                <w:sz w:val="20"/>
              </w:rPr>
              <w:t>：伐桩高度不得超过</w:t>
            </w:r>
            <w:r>
              <w:rPr>
                <w:sz w:val="20"/>
              </w:rPr>
              <w:t>5厘米。</w:t>
            </w:r>
          </w:p>
          <w:p>
            <w:pPr>
              <w:pStyle w:val="null3"/>
              <w:ind w:firstLine="402"/>
              <w:jc w:val="both"/>
            </w:pPr>
            <w:r>
              <w:rPr>
                <w:sz w:val="20"/>
                <w:b/>
              </w:rPr>
              <w:t>3.松树蛀干害虫防治</w:t>
            </w:r>
          </w:p>
          <w:p>
            <w:pPr>
              <w:pStyle w:val="null3"/>
              <w:ind w:firstLine="400"/>
            </w:pPr>
            <w:r>
              <w:rPr>
                <w:sz w:val="20"/>
              </w:rPr>
              <w:t>松树蛀干害虫防治主要技术措施参照松材线虫病疫木除治技术措施</w:t>
            </w:r>
            <w:r>
              <w:rPr>
                <w:sz w:val="20"/>
              </w:rPr>
              <w:t>。</w:t>
            </w:r>
          </w:p>
          <w:p>
            <w:pPr>
              <w:pStyle w:val="null3"/>
            </w:pPr>
            <w:r>
              <w:rPr/>
              <w:t>四、项目实施期限</w:t>
            </w:r>
          </w:p>
          <w:p>
            <w:pPr>
              <w:pStyle w:val="null3"/>
            </w:pPr>
            <w:r>
              <w:rPr>
                <w:sz w:val="20"/>
              </w:rPr>
              <w:t>自合同签订之日起至</w:t>
            </w:r>
            <w:r>
              <w:rPr>
                <w:sz w:val="20"/>
              </w:rPr>
              <w:t>2027</w:t>
            </w:r>
            <w:r>
              <w:rPr>
                <w:sz w:val="20"/>
              </w:rPr>
              <w:t>年</w:t>
            </w:r>
            <w:r>
              <w:rPr>
                <w:sz w:val="20"/>
              </w:rPr>
              <w:t>6</w:t>
            </w:r>
            <w:r>
              <w:rPr>
                <w:sz w:val="20"/>
              </w:rPr>
              <w:t>月</w:t>
            </w:r>
            <w:r>
              <w:rPr>
                <w:sz w:val="20"/>
              </w:rPr>
              <w:t>30</w:t>
            </w:r>
            <w:r>
              <w:rPr>
                <w:sz w:val="20"/>
              </w:rPr>
              <w:t>日止。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1.采购代理机构：本项目是指中恒招标代理(韶关)有限公司，负责整个采购活动的组织，依法负责编制和发布招标文件，对招标文件拥有最终的解释权，不以任何身份出任评标委员会成员。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韶关市国有仁化林场</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采购机构代理服务收费标准：（1）参照《省物价局关于政府采购中心招标采购代理服务收费问题的复函》（粤价函[2013]1233号）的《附件2、其他项目招标代理服务收费标准》 规定标准收取代理服务费。 （2）招标代理服务费的交纳形式：转账付款方式。</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1.投标(响应)报价低于全部通过符合性审查供应商投标(响应)报价平均值50%的，即投标(响应)报价&lt;全部通过符合性审查供应商投标(响应)报价平均值×50%&gt;； 2.投标(响应)报价低于通过符合性审查的次低报价供应商投标(响应)报价50%的，即投标(响应)报价&lt;通过符合性审查的次低报价供应商投标(响应)报价×50%&gt;； 3.投标(响应)报价低于采购项目最高限价45%的，即投标(响应)报价&lt;采购项目最高限价×45%&gt;；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 如联合体投标时，所有投标资料可由联合体牵头单位签字、盖章即可，或联合各方均盖章。联合体协议书（联合体共同投标协议书）必须各联合单位均需盖章。如联合体投标的，法定代表人证明书及法定代表人授权书可由联合体牵头单位提供并签字、盖章即可。</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中恒招标代理(韶关)有限公司</w:t>
      </w:r>
      <w:r>
        <w:rPr/>
        <w:t>代收。具体操作要求详见</w:t>
      </w:r>
      <w:r>
        <w:rPr/>
        <w:t>中恒招标代理(韶关)有限公司</w:t>
      </w:r>
      <w:r>
        <w:rPr/>
        <w:t>有关指引，递交事宜请自行咨询</w:t>
      </w:r>
      <w:r>
        <w:rPr/>
        <w:t>中恒招标代理(韶关)有限公司</w:t>
      </w:r>
      <w:r>
        <w:rPr/>
        <w:t>；请各投标人在投标文件递交截止时间前按须知前附表规定的金额递交至</w:t>
      </w:r>
      <w:r>
        <w:rPr/>
        <w:t>中恒招标代理(韶关)有限公司</w:t>
      </w:r>
      <w:r>
        <w:rPr/>
        <w:t>，到账情况以开标时</w:t>
      </w:r>
      <w:r>
        <w:rPr/>
        <w:t>中恒招标代理(韶关)有限公司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赖工</w:t>
      </w:r>
    </w:p>
    <w:p>
      <w:pPr>
        <w:pStyle w:val="null3"/>
        <w:ind w:firstLine="480"/>
      </w:pPr>
      <w:r>
        <w:rPr/>
        <w:t>电话：</w:t>
      </w:r>
      <w:r>
        <w:rPr/>
        <w:t>13727508802</w:t>
      </w:r>
    </w:p>
    <w:p>
      <w:pPr>
        <w:pStyle w:val="null3"/>
        <w:ind w:firstLine="480"/>
      </w:pPr>
      <w:r>
        <w:rPr/>
        <w:t>传真：</w:t>
      </w:r>
      <w:r>
        <w:rPr/>
        <w:t>/</w:t>
      </w:r>
    </w:p>
    <w:p>
      <w:pPr>
        <w:pStyle w:val="null3"/>
        <w:ind w:firstLine="480"/>
      </w:pPr>
      <w:r>
        <w:rPr/>
        <w:t>邮箱：</w:t>
      </w:r>
      <w:r>
        <w:rPr/>
        <w:t>709871588@qq.com</w:t>
      </w:r>
    </w:p>
    <w:p>
      <w:pPr>
        <w:pStyle w:val="null3"/>
        <w:ind w:firstLine="480"/>
      </w:pPr>
      <w:r>
        <w:rPr/>
        <w:t>地址：</w:t>
      </w:r>
      <w:r>
        <w:rPr/>
        <w:t>韶关市武江区百旺中路16号保利中宇广场5、6幢1802号公寓之二</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韶关市本级（仁化林场）2026年中央财政林草有害生物防治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中恒招标代理(韶关)有限公司</w:t>
      </w:r>
      <w:r>
        <w:rPr/>
        <w:t>统一对外发布。</w:t>
      </w:r>
    </w:p>
    <w:p>
      <w:pPr>
        <w:pStyle w:val="null3"/>
        <w:ind w:firstLine="480"/>
      </w:pPr>
      <w:r>
        <w:rPr/>
        <w:t>（2）对</w:t>
      </w:r>
      <w:r>
        <w:rPr/>
        <w:t>中恒招标代理(韶关)有限公司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采购包1（广东省韶关市本级（仁化林场）2026年中央财政林草有害生物防治项目）：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采购包1（广东省韶关市本级（仁化林场）2026年中央财政林草有害生物防治项目）：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投标人须具备提供有效的林业有害生物防治组织资质丙级或以上资质证书。</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整体专门面向中小企业，参与本项目的供应商全部为符合政策要求的中小微企业，不能为大型企业。投标供应商须符合本项目采购标的对应行业（本项目所属行业为：农、林、牧、渔业）的政策划分标准。监狱企业、残疾人福利单位视同小型、微型企业。（注：中小企业以供应商填写的《中小企业声明函（工程、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采购包1（广东省韶关市本级（仁化林场）2026年中央财政林草有害生物防治项目）：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投标承诺函已提交并符合招标文件要求的，且投标有效期不少于招标文件中载明的投标有效期。</w:t>
            </w:r>
          </w:p>
        </w:tc>
        <w:tc>
          <w:tcPr>
            <w:tcW w:type="dxa" w:w="4238"/>
          </w:tcPr>
          <w:p>
            <w:pPr>
              <w:pStyle w:val="null3"/>
            </w:pPr>
            <w:r>
              <w:rPr/>
              <w:t>投标承诺函已提交并符合招标文件要求的，且投标有效期不少于招标文件中载明的投标有效期。</w:t>
            </w:r>
          </w:p>
        </w:tc>
      </w:tr>
      <w:tr>
        <w:tc>
          <w:tcPr>
            <w:tcW w:type="dxa" w:w="890"/>
          </w:tcPr>
          <w:p>
            <w:pPr>
              <w:pStyle w:val="null3"/>
            </w:pPr>
            <w:r>
              <w:rPr/>
              <w:t>2</w:t>
            </w:r>
          </w:p>
        </w:tc>
        <w:tc>
          <w:tcPr>
            <w:tcW w:type="dxa" w:w="3178"/>
          </w:tcPr>
          <w:p>
            <w:pPr>
              <w:pStyle w:val="null3"/>
            </w:pPr>
            <w:r>
              <w:rPr/>
              <w:t>投标报价唯一，不高于采购需求规定的最高限价，且投标报价未明显低于其他通过符合性审查供应商的报价。</w:t>
            </w:r>
          </w:p>
        </w:tc>
        <w:tc>
          <w:tcPr>
            <w:tcW w:type="dxa" w:w="4238"/>
          </w:tcPr>
          <w:p>
            <w:pPr>
              <w:pStyle w:val="null3"/>
            </w:pPr>
            <w:r>
              <w:rPr/>
              <w:t>投标报价唯一，不高于采购需求规定的最高限价，且投标报价未明显低于其他通过符合性审查供应商的报价。</w:t>
            </w:r>
          </w:p>
        </w:tc>
      </w:tr>
      <w:tr>
        <w:tc>
          <w:tcPr>
            <w:tcW w:type="dxa" w:w="890"/>
          </w:tcPr>
          <w:p>
            <w:pPr>
              <w:pStyle w:val="null3"/>
            </w:pPr>
            <w:r>
              <w:rPr/>
              <w:t>3</w:t>
            </w:r>
          </w:p>
        </w:tc>
        <w:tc>
          <w:tcPr>
            <w:tcW w:type="dxa" w:w="3178"/>
          </w:tcPr>
          <w:p>
            <w:pPr>
              <w:pStyle w:val="null3"/>
            </w:pPr>
            <w:r>
              <w:rPr/>
              <w:t>已按招标文件要求提供法定代表人/负责人证明书(附法定代表人/负责人身份证复印件)及授权委托书(附被授权人身份证复印件)的。</w:t>
            </w:r>
          </w:p>
        </w:tc>
        <w:tc>
          <w:tcPr>
            <w:tcW w:type="dxa" w:w="4238"/>
          </w:tcPr>
          <w:p>
            <w:pPr>
              <w:pStyle w:val="null3"/>
            </w:pPr>
            <w:r>
              <w:rPr/>
              <w:t>已按招标文件要求提供法定代表人/负责人证明书(附法定代表人/负责人身份证复印件)及授权委托书(附被授权人身份证复印件)的。</w:t>
            </w:r>
          </w:p>
        </w:tc>
      </w:tr>
      <w:tr>
        <w:tc>
          <w:tcPr>
            <w:tcW w:type="dxa" w:w="890"/>
          </w:tcPr>
          <w:p>
            <w:pPr>
              <w:pStyle w:val="null3"/>
            </w:pPr>
            <w:r>
              <w:rPr/>
              <w:t>4</w:t>
            </w:r>
          </w:p>
        </w:tc>
        <w:tc>
          <w:tcPr>
            <w:tcW w:type="dxa" w:w="3178"/>
          </w:tcPr>
          <w:p>
            <w:pPr>
              <w:pStyle w:val="null3"/>
            </w:pPr>
            <w:r>
              <w:rPr/>
              <w:t>符合招标文件规定的签署、盖章要求。</w:t>
            </w:r>
          </w:p>
        </w:tc>
        <w:tc>
          <w:tcPr>
            <w:tcW w:type="dxa" w:w="4238"/>
          </w:tcPr>
          <w:p>
            <w:pPr>
              <w:pStyle w:val="null3"/>
            </w:pPr>
            <w:r>
              <w:rPr/>
              <w:t>符合招标文件规定的签署、盖章要求。</w:t>
            </w:r>
          </w:p>
        </w:tc>
      </w:tr>
      <w:tr>
        <w:tc>
          <w:tcPr>
            <w:tcW w:type="dxa" w:w="890"/>
          </w:tcPr>
          <w:p>
            <w:pPr>
              <w:pStyle w:val="null3"/>
            </w:pPr>
            <w:r>
              <w:rPr/>
              <w:t>5</w:t>
            </w:r>
          </w:p>
        </w:tc>
        <w:tc>
          <w:tcPr>
            <w:tcW w:type="dxa" w:w="3178"/>
          </w:tcPr>
          <w:p>
            <w:pPr>
              <w:pStyle w:val="null3"/>
            </w:pPr>
            <w:r>
              <w:rPr/>
              <w:t>投标文件完全满足招标文件的实质性条款(即标注★号条款)无负偏离的。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采购包1(广东省韶关市本级（仁化林场）2026年中央财政林草有害生物防治项目):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组织实施方案 (10.0分)</w:t>
            </w:r>
          </w:p>
        </w:tc>
        <w:tc>
          <w:tcPr>
            <w:tcW w:type="dxa" w:w="5076"/>
          </w:tcPr>
          <w:p>
            <w:pPr>
              <w:pStyle w:val="null3"/>
              <w:jc w:val="left"/>
            </w:pPr>
            <w:r>
              <w:rPr/>
              <w:t>根据投标人提供的《组织实施方案》文字材料（包括承诺的技术指标、对实地的了解情况及有针对性的施工措施、保障措施）进行综合评审：1、实施方案技术可行，思路清晰，目标明确，措施到位，针对性强的，得10分； 2、实施方案技术较可行，思路较清晰，目标较明确，措施较到位，针对性较强，得7分；3、实施方案技术基本可行，思路基本清晰，目标基本明确，措施基本到位，针对性一般，得4分；4、实施方案技术不够可行，思路不够清晰，目标不明确，措施不到位，缺乏针对性，得1分；5、不提供不得分。</w:t>
            </w:r>
          </w:p>
        </w:tc>
      </w:tr>
      <w:tr>
        <w:tc>
          <w:tcPr>
            <w:tcW w:type="dxa" w:w="922"/>
            <w:gridSpan w:val="2"/>
            <w:vMerge/>
          </w:tcPr>
          <w:p/>
        </w:tc>
        <w:tc>
          <w:tcPr>
            <w:tcW w:type="dxa" w:w="2307"/>
          </w:tcPr>
          <w:p>
            <w:pPr>
              <w:pStyle w:val="null3"/>
              <w:jc w:val="left"/>
            </w:pPr>
            <w:r>
              <w:rPr/>
              <w:t>质量保证措施 (10.0分)</w:t>
            </w:r>
          </w:p>
        </w:tc>
        <w:tc>
          <w:tcPr>
            <w:tcW w:type="dxa" w:w="5076"/>
          </w:tcPr>
          <w:p>
            <w:pPr>
              <w:pStyle w:val="null3"/>
              <w:jc w:val="left"/>
            </w:pPr>
            <w:r>
              <w:rPr/>
              <w:t>根据投标人提供的质量保证措施（包括但不限于服务质量目标、质量管理措施等方面）进行评审： 1、质量保证措施内容详尽且完整，具有针对性、可行性，完全满足项目在质量方面的要求，得10分； 2、质量保证措施内容较为完整详尽，具有一定的针对性、可行性，能够在较大程度上聚焦本项目的质量要求，基本满足项目对于质量相关的要求，得7分。 3、质量保证措施内容基本完整，针对性，可行性不足，未完全满足项目在质量方面的要求，得4分； 4、质量保证措施内容不够完整，遗漏了项目质量要求中的部分重要内容，缺乏针对性，可行性较差，不能满足项目在质量方面的要求，得1分；5、不提供不得分。</w:t>
            </w:r>
          </w:p>
        </w:tc>
      </w:tr>
      <w:tr>
        <w:tc>
          <w:tcPr>
            <w:tcW w:type="dxa" w:w="922"/>
            <w:gridSpan w:val="2"/>
            <w:vMerge/>
          </w:tcPr>
          <w:p/>
        </w:tc>
        <w:tc>
          <w:tcPr>
            <w:tcW w:type="dxa" w:w="2307"/>
          </w:tcPr>
          <w:p>
            <w:pPr>
              <w:pStyle w:val="null3"/>
              <w:jc w:val="left"/>
            </w:pPr>
            <w:r>
              <w:rPr/>
              <w:t>工期进度及保障措施承诺 (10.0分)</w:t>
            </w:r>
          </w:p>
        </w:tc>
        <w:tc>
          <w:tcPr>
            <w:tcW w:type="dxa" w:w="5076"/>
          </w:tcPr>
          <w:p>
            <w:pPr>
              <w:pStyle w:val="null3"/>
              <w:jc w:val="left"/>
            </w:pPr>
            <w:r>
              <w:rPr/>
              <w:t>根据投标人针对本项目采购需求提供的进度管控进行综合评审，包括但不限于①时间节点、②资源调配、③进度风险预警：1、方案内容完整，思路层次清晰、有条理性，管控能力强的，优于采购需求，得10分； 2、方案内容较完整，思路层次较清晰、较有条理性，管控能力较强，完全满足采购需求，得7分； 3、方案内容基本完整，思路层次一般、条理性一般，管控能力一般，基本满足采购需求，得4分；4、方案内容不够完整，思路层次较差、条理性较差，管控能力较差，部分满足采购需求，得1分；5、不提供的不得分。</w:t>
            </w:r>
          </w:p>
        </w:tc>
      </w:tr>
      <w:tr>
        <w:tc>
          <w:tcPr>
            <w:tcW w:type="dxa" w:w="922"/>
            <w:gridSpan w:val="2"/>
            <w:vMerge/>
          </w:tcPr>
          <w:p/>
        </w:tc>
        <w:tc>
          <w:tcPr>
            <w:tcW w:type="dxa" w:w="2307"/>
          </w:tcPr>
          <w:p>
            <w:pPr>
              <w:pStyle w:val="null3"/>
              <w:jc w:val="left"/>
            </w:pPr>
            <w:r>
              <w:rPr/>
              <w:t>安全施工承诺及保障措施 (10.0分)</w:t>
            </w:r>
          </w:p>
        </w:tc>
        <w:tc>
          <w:tcPr>
            <w:tcW w:type="dxa" w:w="5076"/>
          </w:tcPr>
          <w:p>
            <w:pPr>
              <w:pStyle w:val="null3"/>
              <w:jc w:val="left"/>
            </w:pPr>
            <w:r>
              <w:rPr/>
              <w:t>根据投标人提供的安全文明施工方案（包括但不限于：施工各环节、安全管理制度和操作规程、现场管控保障措施等方面）进行评审：1、方案完整，内容详细、合理，安全生产制度、保障措施、安全生产管理体系完善，具备可实施性，责任落实到位的，得10分；2、方案较完整，内容较详细、较合理，安全生产制度、保障措施、安全生产管理体系较完善，基本具备可实施性，责任落实基本到位的，得7分；3、方案基本完成，内容基本合理，安全生产制度、保障措施、安全生产管理体系基本完善，不够具备可实施性，责任落实不够到位的，得4分； 4、方案不够完整，安全生产制度、保障措施、安全生产管理体系表述不够完善，不具备可实施性，责任落实不到位的，得1分；5、不提供不得分。</w:t>
            </w:r>
          </w:p>
        </w:tc>
      </w:tr>
      <w:tr>
        <w:tc>
          <w:tcPr>
            <w:tcW w:type="dxa" w:w="922"/>
            <w:gridSpan w:val="2"/>
            <w:vMerge/>
          </w:tcPr>
          <w:p/>
        </w:tc>
        <w:tc>
          <w:tcPr>
            <w:tcW w:type="dxa" w:w="2307"/>
          </w:tcPr>
          <w:p>
            <w:pPr>
              <w:pStyle w:val="null3"/>
              <w:jc w:val="left"/>
            </w:pPr>
            <w:r>
              <w:rPr/>
              <w:t>应急预案 (10.0分)</w:t>
            </w:r>
          </w:p>
        </w:tc>
        <w:tc>
          <w:tcPr>
            <w:tcW w:type="dxa" w:w="5076"/>
          </w:tcPr>
          <w:p>
            <w:pPr>
              <w:pStyle w:val="null3"/>
              <w:jc w:val="left"/>
            </w:pPr>
            <w:r>
              <w:rPr/>
              <w:t>根据投标人针对本项目制定的应急预案（包括但不限于针对特殊天气、突发事件等特殊情况设置的传达机制、人员和设备调配方案、责任分工等）进行综合评审： 1、应急预案合理，传达机制完善，人员和设备调配可行性、针对性强，责任分工明确的，得10分； 2、应急预案较合理，传达机制较完善，人员和设备调配可行性、针对性一般，责任分工较明确，得7分； 3、应急预案基本合理，传达机制存基本完善，人员和设备调配可行性、针对性不足，责任分工不够明确，得4分； 4、应急预案不合理，传达机制不完善，人员和设备调配可行性、针对性差，责任分工不明确，得1分； 5、不提供不得分。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技术实力 (13.0分)</w:t>
            </w:r>
          </w:p>
        </w:tc>
        <w:tc>
          <w:tcPr>
            <w:tcW w:type="dxa" w:w="5076"/>
          </w:tcPr>
          <w:p>
            <w:pPr>
              <w:pStyle w:val="null3"/>
              <w:jc w:val="left"/>
            </w:pPr>
            <w:r>
              <w:rPr/>
              <w:t>1、拟委派项目负责人（1人）：（1）具有林业类专业高级职称的， 得5分； （2）具有林业类专业中级职称的，得3分； 本小项最高得5分。 2、拟委派团队成员中（项目负责人除外）：（1）具有林业初级（含）以上职称的，每提供一人，得2分，本小项最高得6分。（2）具有林业有害生物防治员证书人员的得2分。 注:上述人员须提供相关证书复印件及在投标截止时间前近3个月任意一个月的社保证明文件（退休返聘人员提供退休证明文件及单位聘用证明）复印件加盖投标单位公章，未提供或提供不全不得分。同一人具有多种证书只计算一次得分，不重复计算。</w:t>
            </w:r>
          </w:p>
        </w:tc>
      </w:tr>
      <w:tr>
        <w:tc>
          <w:tcPr>
            <w:tcW w:type="dxa" w:w="922"/>
            <w:gridSpan w:val="2"/>
            <w:vMerge/>
          </w:tcPr>
          <w:p/>
        </w:tc>
        <w:tc>
          <w:tcPr>
            <w:tcW w:type="dxa" w:w="2307"/>
          </w:tcPr>
          <w:p>
            <w:pPr>
              <w:pStyle w:val="null3"/>
              <w:jc w:val="left"/>
            </w:pPr>
            <w:r>
              <w:rPr/>
              <w:t>项目业绩 (12.0分)</w:t>
            </w:r>
          </w:p>
        </w:tc>
        <w:tc>
          <w:tcPr>
            <w:tcW w:type="dxa" w:w="5076"/>
          </w:tcPr>
          <w:p>
            <w:pPr>
              <w:pStyle w:val="null3"/>
              <w:jc w:val="left"/>
            </w:pPr>
            <w:r>
              <w:rPr/>
              <w:t>投标人提供2022年01月至今，独立承担过林业有害生物防治项目业绩，每提供一项得4分，本项满分12分。 注：提供合同复印件，时间以合同签订时间为准，未提供不得分。</w:t>
            </w:r>
          </w:p>
        </w:tc>
      </w:tr>
      <w:tr>
        <w:tc>
          <w:tcPr>
            <w:tcW w:type="dxa" w:w="922"/>
            <w:gridSpan w:val="2"/>
            <w:vMerge/>
          </w:tcPr>
          <w:p/>
        </w:tc>
        <w:tc>
          <w:tcPr>
            <w:tcW w:type="dxa" w:w="2307"/>
          </w:tcPr>
          <w:p>
            <w:pPr>
              <w:pStyle w:val="null3"/>
              <w:jc w:val="left"/>
            </w:pPr>
            <w:r>
              <w:rPr/>
              <w:t>安全作业保障 (10.0分)</w:t>
            </w:r>
          </w:p>
        </w:tc>
        <w:tc>
          <w:tcPr>
            <w:tcW w:type="dxa" w:w="5076"/>
          </w:tcPr>
          <w:p>
            <w:pPr>
              <w:pStyle w:val="null3"/>
              <w:jc w:val="left"/>
            </w:pPr>
            <w:r>
              <w:rPr/>
              <w:t>投标人为拟投入本项目服务团队人员购买团体意外保险或承诺中标（成交）后购买的，得10分。 注：须提供有效的购买团体意外保险保单复印件或提供承诺中标（成交）后购买的承诺函（格式自拟）并响应加盖投标单位公章，否则不得分。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根据《关于优化政府采购信用评价工作的通知》要求，对投标人的诚信状况（普通失信行为）进行评审，具体计算公式如下：投标供应商评审因素得分=诚信记录得分×5%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440201-2026-01833</w:t>
      </w:r>
    </w:p>
    <w:p>
      <w:pPr>
        <w:pStyle w:val="null3"/>
        <w:jc w:val="center"/>
        <w:outlineLvl w:val="3"/>
      </w:pPr>
      <w:r>
        <w:rPr>
          <w:sz w:val="24"/>
          <w:b/>
        </w:rPr>
        <w:t>采购项目编号：</w:t>
      </w:r>
      <w:r>
        <w:rPr>
          <w:sz w:val="24"/>
          <w:b/>
        </w:rPr>
        <w:t>ZH2026070016FW</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中恒招标代理(韶关)有限公司</w:t>
      </w:r>
    </w:p>
    <w:p>
      <w:pPr>
        <w:pStyle w:val="null3"/>
        <w:ind w:firstLine="480"/>
      </w:pPr>
      <w:r>
        <w:rPr/>
        <w:t xml:space="preserve"> 你方组织的</w:t>
      </w:r>
      <w:r>
        <w:rPr>
          <w:u w:val="single"/>
        </w:rPr>
        <w:t>“</w:t>
      </w:r>
      <w:r>
        <w:rPr>
          <w:u w:val="single"/>
        </w:rPr>
        <w:t>广东省韶关市本级（仁化林场）2026年中央财政林草有害生物防治项目</w:t>
      </w:r>
      <w:r>
        <w:rPr>
          <w:u w:val="single"/>
        </w:rPr>
        <w:t>”</w:t>
      </w:r>
      <w:r>
        <w:rPr/>
        <w:t>项目的招标[采购项目编号为：</w:t>
      </w:r>
      <w:r>
        <w:rPr>
          <w:u w:val="single"/>
        </w:rPr>
        <w:t>ZH2026070016FW</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广东省韶关市本级（仁化林场）2026年中央财政林草有害生物防治项目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中恒招标代理(韶关)有限公司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广东省韶关市本级（仁化林场）2026年中央财政林草有害生物防治项目</w:t>
      </w:r>
      <w:r>
        <w:rPr/>
        <w:t>”项目采购[采购项目编号为</w:t>
      </w:r>
      <w:r>
        <w:rPr/>
        <w:t>ZH2026070016FW</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韶关市国有仁化林场</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中恒招标代理(韶关)有限公司</w:t>
      </w:r>
    </w:p>
    <w:p>
      <w:pPr>
        <w:pStyle w:val="null3"/>
        <w:ind w:firstLine="480"/>
      </w:pPr>
      <w:r>
        <w:rPr/>
        <w:t xml:space="preserve"> 如果我方在贵采购代理机构组织的</w:t>
      </w:r>
      <w:r>
        <w:rPr/>
        <w:t>广东省韶关市本级（仁化林场）2026年中央财政林草有害生物防治项目</w:t>
      </w:r>
      <w:r>
        <w:rPr/>
        <w:t>招标中获中标（采购项目编号：</w:t>
      </w:r>
      <w:r>
        <w:rPr/>
        <w:t>ZH2026070016FW</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中恒招标代理(韶关)有限公司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中恒招标代理(韶关)有限公司</w:t>
      </w:r>
    </w:p>
    <w:p>
      <w:pPr>
        <w:pStyle w:val="null3"/>
        <w:ind w:firstLine="480"/>
      </w:pPr>
      <w:r>
        <w:rPr/>
        <w:t>我单位已登记并准备参与“</w:t>
      </w:r>
      <w:r>
        <w:rPr/>
        <w:t>广东省韶关市本级（仁化林场）2026年中央财政林草有害生物防治项目</w:t>
      </w:r>
      <w:r>
        <w:rPr/>
        <w:t>”项目（采购项目编号：</w:t>
      </w:r>
      <w:r>
        <w:rPr/>
        <w:t>ZH2026070016FW</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