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EFB1D">
      <w:pPr>
        <w:pStyle w:val="18"/>
        <w:tabs>
          <w:tab w:val="left" w:pos="7050"/>
        </w:tabs>
        <w:spacing w:line="500" w:lineRule="exact"/>
        <w:jc w:val="center"/>
        <w:rPr>
          <w:rFonts w:hint="eastAsia" w:cs="SimSong Bold" w:asciiTheme="minorEastAsia" w:hAnsiTheme="minorEastAsia" w:eastAsiaTheme="minorEastAsia"/>
          <w:sz w:val="52"/>
          <w:szCs w:val="52"/>
        </w:rPr>
      </w:pPr>
      <w:r>
        <w:rPr>
          <w:rFonts w:asciiTheme="minorEastAsia" w:hAnsiTheme="minorEastAsia" w:eastAsiaTheme="minorEastAsia"/>
          <w:sz w:val="52"/>
          <w:szCs w:val="52"/>
        </w:rPr>
        <w:t xml:space="preserve"> </w:t>
      </w:r>
    </w:p>
    <w:p w14:paraId="7377FFCD">
      <w:pPr>
        <w:pStyle w:val="4"/>
        <w:rPr>
          <w:rFonts w:hint="eastAsia" w:eastAsiaTheme="minorEastAsia"/>
          <w:sz w:val="60"/>
          <w:szCs w:val="60"/>
          <w:lang w:eastAsia="zh-CN"/>
        </w:rPr>
      </w:pPr>
      <w:bookmarkStart w:id="2" w:name="_GoBack"/>
      <w:r>
        <w:rPr>
          <w:rFonts w:hint="eastAsia" w:cs="SimSong Bold" w:asciiTheme="minorEastAsia" w:hAnsiTheme="minorEastAsia"/>
          <w:b/>
          <w:bCs/>
          <w:sz w:val="52"/>
          <w:szCs w:val="52"/>
          <w:lang w:eastAsia="zh-CN"/>
        </w:rPr>
        <w:t>如东洋口港经济开发区金牛码头病媒生物监测与防治项目</w:t>
      </w:r>
    </w:p>
    <w:bookmarkEnd w:id="2"/>
    <w:p w14:paraId="0EE1C99C">
      <w:pPr>
        <w:pStyle w:val="4"/>
      </w:pPr>
    </w:p>
    <w:p w14:paraId="09B8DB4C">
      <w:pPr>
        <w:pStyle w:val="4"/>
      </w:pPr>
    </w:p>
    <w:p w14:paraId="08B118C9">
      <w:pPr>
        <w:pStyle w:val="4"/>
      </w:pPr>
    </w:p>
    <w:p w14:paraId="35135159">
      <w:pPr>
        <w:pStyle w:val="4"/>
      </w:pPr>
    </w:p>
    <w:p w14:paraId="57B46B41">
      <w:pPr>
        <w:pStyle w:val="4"/>
      </w:pPr>
    </w:p>
    <w:p w14:paraId="33D355F2">
      <w:pPr>
        <w:pStyle w:val="4"/>
      </w:pPr>
    </w:p>
    <w:p w14:paraId="2BE5608E">
      <w:pPr>
        <w:pStyle w:val="4"/>
      </w:pPr>
      <w:r>
        <w:rPr>
          <w:rFonts w:hint="eastAsia"/>
        </w:rPr>
        <w:t>招    标    文    件</w:t>
      </w:r>
    </w:p>
    <w:p w14:paraId="26E6A0C9">
      <w:pPr>
        <w:pStyle w:val="18"/>
        <w:tabs>
          <w:tab w:val="left" w:pos="7050"/>
        </w:tabs>
        <w:spacing w:line="500" w:lineRule="exact"/>
        <w:jc w:val="center"/>
        <w:rPr>
          <w:rFonts w:hint="eastAsia" w:asciiTheme="minorEastAsia" w:hAnsiTheme="minorEastAsia" w:eastAsiaTheme="minorEastAsia"/>
          <w:spacing w:val="20"/>
          <w:sz w:val="32"/>
          <w:szCs w:val="32"/>
          <w:u w:val="single"/>
          <w:lang w:val="zh-TW"/>
        </w:rPr>
      </w:pPr>
    </w:p>
    <w:p w14:paraId="567FD47E">
      <w:pPr>
        <w:pStyle w:val="18"/>
        <w:tabs>
          <w:tab w:val="left" w:pos="7050"/>
        </w:tabs>
        <w:spacing w:line="500" w:lineRule="exact"/>
        <w:jc w:val="center"/>
        <w:rPr>
          <w:rFonts w:hint="eastAsia" w:cs="SimSong Bold" w:asciiTheme="minorEastAsia" w:hAnsiTheme="minorEastAsia" w:eastAsiaTheme="minorEastAsia"/>
          <w:spacing w:val="20"/>
          <w:sz w:val="32"/>
          <w:szCs w:val="32"/>
          <w:u w:val="single"/>
          <w:lang w:eastAsia="zh-CN"/>
        </w:rPr>
      </w:pPr>
      <w:r>
        <w:rPr>
          <w:rFonts w:hint="eastAsia" w:asciiTheme="minorEastAsia" w:hAnsiTheme="minorEastAsia" w:eastAsiaTheme="minorEastAsia"/>
          <w:spacing w:val="20"/>
          <w:sz w:val="28"/>
          <w:szCs w:val="28"/>
          <w:u w:val="single"/>
          <w:lang w:val="zh-TW" w:eastAsia="zh-TW"/>
        </w:rPr>
        <w:t>项目编号：</w:t>
      </w:r>
      <w:r>
        <w:rPr>
          <w:rFonts w:hint="eastAsia" w:asciiTheme="minorEastAsia" w:hAnsiTheme="minorEastAsia" w:eastAsiaTheme="minorEastAsia"/>
          <w:spacing w:val="20"/>
          <w:sz w:val="28"/>
          <w:szCs w:val="28"/>
          <w:u w:val="single"/>
          <w:lang w:eastAsia="zh-CN"/>
        </w:rPr>
        <w:t xml:space="preserve">YKG2026CJB073 </w:t>
      </w:r>
    </w:p>
    <w:p w14:paraId="0107B7D3">
      <w:pPr>
        <w:pStyle w:val="18"/>
        <w:tabs>
          <w:tab w:val="left" w:pos="7050"/>
        </w:tabs>
        <w:spacing w:line="500" w:lineRule="exact"/>
        <w:ind w:firstLine="3574"/>
        <w:rPr>
          <w:rFonts w:hint="eastAsia" w:cs="SimSong Bold" w:asciiTheme="minorEastAsia" w:hAnsiTheme="minorEastAsia" w:eastAsiaTheme="minorEastAsia"/>
          <w:spacing w:val="20"/>
          <w:sz w:val="32"/>
          <w:szCs w:val="32"/>
        </w:rPr>
      </w:pPr>
    </w:p>
    <w:p w14:paraId="20E107B7">
      <w:pPr>
        <w:pStyle w:val="18"/>
        <w:tabs>
          <w:tab w:val="left" w:pos="7050"/>
        </w:tabs>
        <w:spacing w:line="500" w:lineRule="exact"/>
        <w:rPr>
          <w:rFonts w:hint="eastAsia" w:cs="SimSong Bold" w:asciiTheme="minorEastAsia" w:hAnsiTheme="minorEastAsia" w:eastAsiaTheme="minorEastAsia"/>
          <w:spacing w:val="20"/>
          <w:sz w:val="52"/>
          <w:szCs w:val="52"/>
        </w:rPr>
      </w:pPr>
      <w:r>
        <w:rPr>
          <w:rFonts w:asciiTheme="minorEastAsia" w:hAnsiTheme="minorEastAsia" w:eastAsiaTheme="minorEastAsia"/>
          <w:spacing w:val="20"/>
          <w:sz w:val="52"/>
          <w:szCs w:val="52"/>
        </w:rPr>
        <w:t xml:space="preserve">    </w:t>
      </w:r>
    </w:p>
    <w:p w14:paraId="1B0435FC">
      <w:pPr>
        <w:pStyle w:val="18"/>
        <w:tabs>
          <w:tab w:val="left" w:pos="7050"/>
        </w:tabs>
        <w:spacing w:line="500" w:lineRule="exact"/>
        <w:rPr>
          <w:rFonts w:hint="eastAsia" w:cs="SimSong Bold" w:asciiTheme="minorEastAsia" w:hAnsiTheme="minorEastAsia" w:eastAsiaTheme="minorEastAsia"/>
          <w:spacing w:val="20"/>
          <w:sz w:val="52"/>
          <w:szCs w:val="52"/>
        </w:rPr>
      </w:pPr>
    </w:p>
    <w:p w14:paraId="5B1BDA91">
      <w:pPr>
        <w:pStyle w:val="18"/>
        <w:tabs>
          <w:tab w:val="left" w:pos="7050"/>
        </w:tabs>
        <w:spacing w:line="500" w:lineRule="exact"/>
        <w:rPr>
          <w:rFonts w:hint="eastAsia" w:cs="SimSong Bold" w:asciiTheme="minorEastAsia" w:hAnsiTheme="minorEastAsia" w:eastAsiaTheme="minorEastAsia"/>
          <w:spacing w:val="20"/>
          <w:sz w:val="52"/>
          <w:szCs w:val="52"/>
        </w:rPr>
      </w:pPr>
    </w:p>
    <w:p w14:paraId="229D6804">
      <w:pPr>
        <w:pStyle w:val="18"/>
        <w:tabs>
          <w:tab w:val="left" w:pos="7050"/>
        </w:tabs>
        <w:spacing w:line="500" w:lineRule="exact"/>
        <w:rPr>
          <w:rFonts w:hint="eastAsia" w:cs="SimSong Bold" w:asciiTheme="minorEastAsia" w:hAnsiTheme="minorEastAsia" w:eastAsiaTheme="minorEastAsia"/>
          <w:spacing w:val="20"/>
          <w:sz w:val="52"/>
          <w:szCs w:val="52"/>
        </w:rPr>
      </w:pPr>
    </w:p>
    <w:p w14:paraId="714B5EDA">
      <w:pPr>
        <w:pStyle w:val="18"/>
        <w:tabs>
          <w:tab w:val="left" w:pos="7050"/>
        </w:tabs>
        <w:spacing w:line="500" w:lineRule="exact"/>
        <w:rPr>
          <w:rFonts w:hint="eastAsia" w:cs="SimSong Bold" w:asciiTheme="minorEastAsia" w:hAnsiTheme="minorEastAsia" w:eastAsiaTheme="minorEastAsia"/>
          <w:spacing w:val="20"/>
          <w:sz w:val="52"/>
          <w:szCs w:val="52"/>
        </w:rPr>
      </w:pPr>
    </w:p>
    <w:p w14:paraId="27866A17">
      <w:pPr>
        <w:pStyle w:val="18"/>
        <w:tabs>
          <w:tab w:val="left" w:pos="7050"/>
        </w:tabs>
        <w:spacing w:line="500" w:lineRule="exact"/>
        <w:rPr>
          <w:rFonts w:hint="eastAsia" w:cs="SimSong Bold" w:asciiTheme="minorEastAsia" w:hAnsiTheme="minorEastAsia" w:eastAsiaTheme="minorEastAsia"/>
          <w:spacing w:val="20"/>
          <w:sz w:val="52"/>
          <w:szCs w:val="52"/>
        </w:rPr>
      </w:pPr>
    </w:p>
    <w:p w14:paraId="395139C3">
      <w:pPr>
        <w:pStyle w:val="18"/>
        <w:spacing w:line="480" w:lineRule="auto"/>
        <w:ind w:left="1672" w:leftChars="580" w:hanging="280" w:hangingChars="100"/>
        <w:rPr>
          <w:rFonts w:hint="eastAsia" w:asciiTheme="minorEastAsia" w:hAnsiTheme="minorEastAsia" w:eastAsiaTheme="minorEastAsia"/>
          <w:sz w:val="28"/>
          <w:szCs w:val="28"/>
          <w:u w:val="single"/>
          <w:lang w:val="en-US" w:eastAsia="zh-CN"/>
        </w:rPr>
      </w:pPr>
      <w:r>
        <w:rPr>
          <w:rFonts w:hint="eastAsia" w:asciiTheme="minorEastAsia" w:hAnsiTheme="minorEastAsia" w:eastAsiaTheme="minorEastAsia"/>
          <w:sz w:val="28"/>
          <w:szCs w:val="28"/>
          <w:lang w:val="zh-TW" w:eastAsia="zh-TW"/>
        </w:rPr>
        <w:t>招标单位（盖章）：</w:t>
      </w:r>
      <w:r>
        <w:rPr>
          <w:rFonts w:hint="eastAsia" w:asciiTheme="minorEastAsia" w:hAnsiTheme="minorEastAsia" w:eastAsiaTheme="minorEastAsia"/>
          <w:sz w:val="28"/>
          <w:szCs w:val="28"/>
          <w:u w:val="single"/>
          <w:lang w:val="zh-TW" w:eastAsia="zh-TW"/>
        </w:rPr>
        <w:t>江苏洋口港港务有限公司</w:t>
      </w:r>
      <w:r>
        <w:rPr>
          <w:rFonts w:hint="eastAsia" w:asciiTheme="minorEastAsia" w:hAnsiTheme="minorEastAsia" w:eastAsiaTheme="minorEastAsia"/>
          <w:sz w:val="28"/>
          <w:szCs w:val="28"/>
          <w:u w:val="single"/>
          <w:lang w:val="en-US" w:eastAsia="zh-CN"/>
        </w:rPr>
        <w:t>、</w:t>
      </w:r>
    </w:p>
    <w:p w14:paraId="17E8E385">
      <w:pPr>
        <w:pStyle w:val="18"/>
        <w:spacing w:line="480" w:lineRule="auto"/>
        <w:ind w:left="1670" w:leftChars="696" w:firstLine="2240" w:firstLineChars="800"/>
        <w:rPr>
          <w:rFonts w:hint="eastAsia" w:cs="SimSong Bold" w:asciiTheme="minorEastAsia" w:hAnsiTheme="minorEastAsia" w:eastAsiaTheme="minorEastAsia"/>
          <w:sz w:val="28"/>
          <w:szCs w:val="28"/>
          <w:lang w:val="en-US" w:eastAsia="zh-CN"/>
        </w:rPr>
      </w:pPr>
      <w:r>
        <w:rPr>
          <w:rFonts w:hint="eastAsia" w:asciiTheme="minorEastAsia" w:hAnsiTheme="minorEastAsia" w:eastAsiaTheme="minorEastAsia"/>
          <w:sz w:val="28"/>
          <w:szCs w:val="28"/>
          <w:u w:val="single"/>
          <w:lang w:val="en-US" w:eastAsia="zh-CN"/>
        </w:rPr>
        <w:t>江苏洋口宁港码头物流有限公司</w:t>
      </w:r>
    </w:p>
    <w:p w14:paraId="5C6D1814">
      <w:pPr>
        <w:pStyle w:val="18"/>
        <w:spacing w:line="480" w:lineRule="auto"/>
        <w:ind w:firstLine="1400" w:firstLineChars="500"/>
        <w:jc w:val="left"/>
        <w:rPr>
          <w:rFonts w:hint="eastAsia" w:cs="SimSong Bold" w:asciiTheme="minorEastAsia" w:hAnsiTheme="minorEastAsia" w:eastAsiaTheme="minorEastAsia"/>
          <w:sz w:val="28"/>
          <w:szCs w:val="28"/>
        </w:rPr>
      </w:pPr>
      <w:r>
        <w:rPr>
          <w:rFonts w:hint="eastAsia" w:asciiTheme="minorEastAsia" w:hAnsiTheme="minorEastAsia" w:eastAsiaTheme="minorEastAsia"/>
          <w:sz w:val="28"/>
          <w:szCs w:val="28"/>
          <w:lang w:val="zh-TW" w:eastAsia="zh-TW"/>
        </w:rPr>
        <w:t>招标代理（盖章）：</w:t>
      </w:r>
      <w:r>
        <w:rPr>
          <w:rFonts w:hint="eastAsia" w:asciiTheme="minorEastAsia" w:hAnsiTheme="minorEastAsia" w:eastAsiaTheme="minorEastAsia"/>
          <w:sz w:val="28"/>
          <w:szCs w:val="28"/>
          <w:u w:val="single"/>
          <w:lang w:val="zh-TW" w:eastAsia="zh-CN"/>
        </w:rPr>
        <w:t>南通城建工程项目管理有限公司</w:t>
      </w:r>
      <w:r>
        <w:rPr>
          <w:rFonts w:hint="eastAsia" w:asciiTheme="minorEastAsia" w:hAnsiTheme="minorEastAsia" w:eastAsiaTheme="minorEastAsia"/>
          <w:sz w:val="28"/>
          <w:szCs w:val="28"/>
          <w:lang w:val="zh-TW" w:eastAsia="zh-TW"/>
        </w:rPr>
        <w:t xml:space="preserve"> </w:t>
      </w:r>
    </w:p>
    <w:p w14:paraId="51A2F556">
      <w:pPr>
        <w:pStyle w:val="18"/>
        <w:tabs>
          <w:tab w:val="left" w:pos="7050"/>
        </w:tabs>
        <w:spacing w:line="480" w:lineRule="auto"/>
        <w:ind w:firstLine="1400" w:firstLineChars="500"/>
        <w:jc w:val="left"/>
        <w:rPr>
          <w:rFonts w:hint="eastAsia" w:asciiTheme="minorEastAsia" w:hAnsiTheme="minorEastAsia" w:eastAsiaTheme="minorEastAsia"/>
          <w:sz w:val="28"/>
          <w:szCs w:val="28"/>
          <w:lang w:val="zh-TW" w:eastAsia="zh-CN"/>
        </w:rPr>
      </w:pPr>
      <w:r>
        <w:rPr>
          <w:rFonts w:hint="eastAsia" w:asciiTheme="minorEastAsia" w:hAnsiTheme="minorEastAsia" w:eastAsiaTheme="minorEastAsia"/>
          <w:sz w:val="28"/>
          <w:szCs w:val="28"/>
          <w:lang w:val="zh-TW" w:eastAsia="zh-TW"/>
        </w:rPr>
        <w:t>日</w:t>
      </w:r>
      <w:r>
        <w:rPr>
          <w:rFonts w:hint="eastAsia" w:asciiTheme="minorEastAsia" w:hAnsiTheme="minorEastAsia" w:eastAsiaTheme="minorEastAsia"/>
          <w:sz w:val="28"/>
          <w:szCs w:val="28"/>
          <w:lang w:val="zh-TW"/>
        </w:rPr>
        <w:t xml:space="preserve">           </w:t>
      </w:r>
      <w:r>
        <w:rPr>
          <w:rFonts w:hint="eastAsia" w:asciiTheme="minorEastAsia" w:hAnsiTheme="minorEastAsia" w:eastAsiaTheme="minorEastAsia"/>
          <w:sz w:val="28"/>
          <w:szCs w:val="28"/>
          <w:lang w:val="zh-TW" w:eastAsia="zh-TW"/>
        </w:rPr>
        <w:t>期</w:t>
      </w: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lang w:val="zh-TW" w:eastAsia="zh-CN"/>
        </w:rPr>
        <w:t>2026年</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lang w:val="zh-TW" w:eastAsia="zh-CN"/>
        </w:rPr>
        <w:t>月</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lang w:val="zh-TW" w:eastAsia="zh-CN"/>
        </w:rPr>
        <w:t>日</w:t>
      </w:r>
    </w:p>
    <w:p w14:paraId="2CB0AEAF">
      <w:pPr>
        <w:pStyle w:val="18"/>
        <w:tabs>
          <w:tab w:val="left" w:pos="7050"/>
        </w:tabs>
        <w:spacing w:line="480" w:lineRule="auto"/>
        <w:ind w:firstLine="1200" w:firstLineChars="400"/>
        <w:jc w:val="left"/>
        <w:rPr>
          <w:rFonts w:hint="eastAsia" w:cs="SimSong Bold" w:asciiTheme="minorEastAsia" w:hAnsiTheme="minorEastAsia" w:eastAsiaTheme="minorEastAsia"/>
          <w:sz w:val="30"/>
          <w:szCs w:val="30"/>
        </w:rPr>
      </w:pPr>
    </w:p>
    <w:p w14:paraId="05C507B5">
      <w:pPr>
        <w:pStyle w:val="18"/>
        <w:tabs>
          <w:tab w:val="left" w:pos="7050"/>
        </w:tabs>
        <w:spacing w:line="480" w:lineRule="auto"/>
        <w:ind w:firstLine="1200" w:firstLineChars="400"/>
        <w:jc w:val="left"/>
        <w:rPr>
          <w:rFonts w:hint="eastAsia" w:cs="SimSong Bold" w:asciiTheme="minorEastAsia" w:hAnsiTheme="minorEastAsia" w:eastAsiaTheme="minorEastAsia"/>
          <w:sz w:val="30"/>
          <w:szCs w:val="30"/>
        </w:rPr>
      </w:pPr>
    </w:p>
    <w:p w14:paraId="78A02E46">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SimSong Bold" w:asciiTheme="minorEastAsia" w:hAnsiTheme="minorEastAsia" w:eastAsiaTheme="minorEastAsia"/>
          <w:b w:val="0"/>
          <w:bCs w:val="0"/>
          <w:lang w:val="zh-TW" w:eastAsia="zh-TW"/>
        </w:rPr>
      </w:pPr>
      <w:r>
        <w:rPr>
          <w:rFonts w:hint="eastAsia" w:asciiTheme="minorEastAsia" w:hAnsiTheme="minorEastAsia" w:eastAsiaTheme="minorEastAsia"/>
          <w:b w:val="0"/>
          <w:bCs w:val="0"/>
          <w:lang w:val="zh-TW" w:eastAsia="zh-TW"/>
        </w:rPr>
        <w:t xml:space="preserve">第一章  </w:t>
      </w:r>
      <w:bookmarkStart w:id="0" w:name="OLE_LINK1"/>
      <w:r>
        <w:rPr>
          <w:rFonts w:hint="eastAsia" w:asciiTheme="minorEastAsia" w:hAnsiTheme="minorEastAsia" w:eastAsiaTheme="minorEastAsia"/>
          <w:b w:val="0"/>
          <w:bCs w:val="0"/>
          <w:lang w:val="zh-TW" w:eastAsia="zh-TW"/>
        </w:rPr>
        <w:t>招标公告</w:t>
      </w:r>
    </w:p>
    <w:bookmarkEnd w:id="0"/>
    <w:p w14:paraId="341C18CF">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项目概况</w:t>
      </w:r>
    </w:p>
    <w:p w14:paraId="34F08DE6">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u w:val="single"/>
          <w:lang w:val="zh-TW" w:eastAsia="zh-CN"/>
        </w:rPr>
        <w:t>如东洋口港经济开发区金牛码头病媒生物监测与防治项目</w:t>
      </w:r>
      <w:r>
        <w:rPr>
          <w:rFonts w:hint="eastAsia" w:asciiTheme="minorEastAsia" w:hAnsiTheme="minorEastAsia" w:eastAsiaTheme="minorEastAsia"/>
          <w:sz w:val="24"/>
          <w:szCs w:val="24"/>
          <w:lang w:val="zh-TW" w:eastAsia="zh-TW"/>
        </w:rPr>
        <w:t>的潜在投标人应在如东限额交易网获取招标文件，并于</w:t>
      </w:r>
      <w:r>
        <w:rPr>
          <w:rFonts w:hint="eastAsia" w:asciiTheme="minorEastAsia" w:hAnsiTheme="minorEastAsia" w:eastAsiaTheme="minorEastAsia"/>
          <w:sz w:val="24"/>
          <w:szCs w:val="24"/>
          <w:u w:val="single"/>
          <w:lang w:eastAsia="zh-CN"/>
        </w:rPr>
        <w:t>2026年</w:t>
      </w:r>
      <w:r>
        <w:rPr>
          <w:rFonts w:hint="eastAsia" w:asciiTheme="minorEastAsia" w:hAnsiTheme="minorEastAsia" w:eastAsiaTheme="minorEastAsia"/>
          <w:sz w:val="24"/>
          <w:szCs w:val="24"/>
          <w:u w:val="single"/>
          <w:lang w:val="en-US" w:eastAsia="zh-CN"/>
        </w:rPr>
        <w:t>7</w:t>
      </w:r>
      <w:r>
        <w:rPr>
          <w:rFonts w:hint="eastAsia" w:asciiTheme="minorEastAsia" w:hAnsiTheme="minorEastAsia" w:eastAsiaTheme="minorEastAsia"/>
          <w:sz w:val="24"/>
          <w:szCs w:val="24"/>
          <w:u w:val="single"/>
          <w:lang w:eastAsia="zh-CN"/>
        </w:rPr>
        <w:t>月</w:t>
      </w:r>
      <w:r>
        <w:rPr>
          <w:rFonts w:hint="eastAsia" w:asciiTheme="minorEastAsia" w:hAnsiTheme="minorEastAsia" w:eastAsiaTheme="minorEastAsia"/>
          <w:sz w:val="24"/>
          <w:szCs w:val="24"/>
          <w:u w:val="single"/>
          <w:lang w:val="en-US" w:eastAsia="zh-CN"/>
        </w:rPr>
        <w:t>17</w:t>
      </w:r>
      <w:r>
        <w:rPr>
          <w:rFonts w:hint="eastAsia" w:asciiTheme="minorEastAsia" w:hAnsiTheme="minorEastAsia" w:eastAsiaTheme="minorEastAsia"/>
          <w:sz w:val="24"/>
          <w:szCs w:val="24"/>
          <w:u w:val="single"/>
          <w:lang w:eastAsia="zh-CN"/>
        </w:rPr>
        <w:t>日</w:t>
      </w:r>
      <w:r>
        <w:rPr>
          <w:rFonts w:hint="eastAsia" w:asciiTheme="minorEastAsia" w:hAnsiTheme="minorEastAsia" w:eastAsiaTheme="minorEastAsia"/>
          <w:sz w:val="24"/>
          <w:szCs w:val="24"/>
          <w:u w:val="single"/>
          <w:lang w:val="en-US" w:eastAsia="zh-CN"/>
        </w:rPr>
        <w:t>下</w:t>
      </w:r>
      <w:r>
        <w:rPr>
          <w:rFonts w:hint="eastAsia" w:asciiTheme="minorEastAsia" w:hAnsiTheme="minorEastAsia" w:eastAsiaTheme="minorEastAsia"/>
          <w:sz w:val="24"/>
          <w:szCs w:val="24"/>
          <w:u w:val="single"/>
          <w:lang w:eastAsia="zh-CN"/>
        </w:rPr>
        <w:t>午</w:t>
      </w:r>
      <w:r>
        <w:rPr>
          <w:rFonts w:hint="eastAsia" w:asciiTheme="minorEastAsia" w:hAnsiTheme="minorEastAsia" w:eastAsiaTheme="minorEastAsia"/>
          <w:sz w:val="24"/>
          <w:szCs w:val="24"/>
          <w:u w:val="single"/>
          <w:lang w:val="en-US" w:eastAsia="zh-CN"/>
        </w:rPr>
        <w:t>15</w:t>
      </w:r>
      <w:r>
        <w:rPr>
          <w:rFonts w:hint="eastAsia" w:asciiTheme="minorEastAsia" w:hAnsiTheme="minorEastAsia" w:eastAsiaTheme="minorEastAsia"/>
          <w:sz w:val="24"/>
          <w:szCs w:val="24"/>
          <w:u w:val="single"/>
          <w:lang w:eastAsia="zh-CN"/>
        </w:rPr>
        <w:t>时</w:t>
      </w:r>
      <w:r>
        <w:rPr>
          <w:rFonts w:hint="eastAsia" w:asciiTheme="minorEastAsia" w:hAnsiTheme="minorEastAsia" w:eastAsiaTheme="minorEastAsia"/>
          <w:sz w:val="24"/>
          <w:szCs w:val="24"/>
          <w:u w:val="single"/>
          <w:lang w:val="en-US" w:eastAsia="zh-CN"/>
        </w:rPr>
        <w:t>3</w:t>
      </w:r>
      <w:r>
        <w:rPr>
          <w:rFonts w:hint="eastAsia" w:asciiTheme="minorEastAsia" w:hAnsiTheme="minorEastAsia" w:eastAsiaTheme="minorEastAsia"/>
          <w:sz w:val="24"/>
          <w:szCs w:val="24"/>
          <w:u w:val="single"/>
          <w:lang w:eastAsia="zh-CN"/>
        </w:rPr>
        <w:t>0分</w:t>
      </w:r>
      <w:r>
        <w:rPr>
          <w:rFonts w:hint="eastAsia" w:asciiTheme="minorEastAsia" w:hAnsiTheme="minorEastAsia" w:eastAsiaTheme="minorEastAsia"/>
          <w:sz w:val="24"/>
          <w:szCs w:val="24"/>
          <w:lang w:val="zh-TW" w:eastAsia="zh-TW"/>
        </w:rPr>
        <w:t>（北京时间）前递交投标文件。</w:t>
      </w:r>
    </w:p>
    <w:p w14:paraId="0B807C16">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一、项目基本情况</w:t>
      </w:r>
    </w:p>
    <w:p w14:paraId="5B250F1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项目编号：</w:t>
      </w:r>
      <w:r>
        <w:rPr>
          <w:rFonts w:hint="eastAsia" w:asciiTheme="minorEastAsia" w:hAnsiTheme="minorEastAsia" w:eastAsiaTheme="minorEastAsia"/>
          <w:sz w:val="24"/>
          <w:szCs w:val="24"/>
          <w:lang w:eastAsia="zh-CN"/>
        </w:rPr>
        <w:t xml:space="preserve">YKG2026CJB073 </w:t>
      </w:r>
      <w:r>
        <w:rPr>
          <w:rFonts w:asciiTheme="minorEastAsia" w:hAnsiTheme="minorEastAsia" w:eastAsiaTheme="minorEastAsia"/>
          <w:sz w:val="24"/>
          <w:szCs w:val="24"/>
        </w:rPr>
        <w:t xml:space="preserve">  </w:t>
      </w:r>
    </w:p>
    <w:p w14:paraId="37BFC60F">
      <w:pPr>
        <w:pStyle w:val="18"/>
        <w:spacing w:line="400" w:lineRule="exact"/>
        <w:ind w:firstLine="480"/>
        <w:rPr>
          <w:rFonts w:hint="eastAsia" w:cs="宋体" w:asciiTheme="minorEastAsia" w:hAnsiTheme="minorEastAsia" w:eastAsiaTheme="minorEastAsia"/>
          <w:sz w:val="24"/>
          <w:szCs w:val="24"/>
          <w:lang w:eastAsia="zh-CN"/>
        </w:rPr>
      </w:pPr>
      <w:r>
        <w:rPr>
          <w:rFonts w:hint="eastAsia" w:asciiTheme="minorEastAsia" w:hAnsiTheme="minorEastAsia" w:eastAsiaTheme="minorEastAsia"/>
          <w:sz w:val="24"/>
          <w:szCs w:val="24"/>
          <w:lang w:val="zh-TW" w:eastAsia="zh-TW"/>
        </w:rPr>
        <w:t>项目名称：</w:t>
      </w:r>
      <w:r>
        <w:rPr>
          <w:rFonts w:hint="eastAsia" w:asciiTheme="minorEastAsia" w:hAnsiTheme="minorEastAsia" w:eastAsiaTheme="minorEastAsia"/>
          <w:sz w:val="24"/>
          <w:szCs w:val="24"/>
          <w:lang w:val="zh-TW" w:eastAsia="zh-CN"/>
        </w:rPr>
        <w:t>如东洋口港经济开发区金牛码头病媒生物监测与防治项目</w:t>
      </w:r>
    </w:p>
    <w:p w14:paraId="531E00D8">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highlight w:val="none"/>
          <w:lang w:val="zh-TW" w:eastAsia="zh-TW"/>
        </w:rPr>
        <w:t>招标控制价</w:t>
      </w:r>
      <w:r>
        <w:rPr>
          <w:rFonts w:hint="eastAsia"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val="zh-TW" w:eastAsia="zh-CN"/>
        </w:rPr>
        <w:t>万元</w:t>
      </w:r>
      <w:r>
        <w:rPr>
          <w:rFonts w:hint="eastAsia" w:asciiTheme="minorEastAsia" w:hAnsiTheme="minorEastAsia" w:eastAsiaTheme="minorEastAsia"/>
          <w:sz w:val="24"/>
          <w:szCs w:val="24"/>
          <w:lang w:val="en-US" w:eastAsia="zh-CN"/>
        </w:rPr>
        <w:t>/年（两年共14万元）</w:t>
      </w:r>
      <w:r>
        <w:rPr>
          <w:rFonts w:hint="eastAsia" w:asciiTheme="minorEastAsia" w:hAnsiTheme="minorEastAsia" w:eastAsiaTheme="minorEastAsia"/>
          <w:sz w:val="24"/>
          <w:szCs w:val="24"/>
          <w:lang w:val="zh-TW" w:eastAsia="zh-CN"/>
        </w:rPr>
        <w:t>，</w:t>
      </w:r>
      <w:r>
        <w:rPr>
          <w:rFonts w:hint="eastAsia" w:asciiTheme="minorEastAsia" w:hAnsiTheme="minorEastAsia" w:eastAsiaTheme="minorEastAsia"/>
          <w:sz w:val="24"/>
          <w:szCs w:val="24"/>
          <w:lang w:val="en-US" w:eastAsia="zh-CN"/>
        </w:rPr>
        <w:t>投标报价超过控制价的为无效报价</w:t>
      </w:r>
      <w:r>
        <w:rPr>
          <w:rFonts w:hint="eastAsia" w:asciiTheme="minorEastAsia" w:hAnsiTheme="minorEastAsia" w:eastAsiaTheme="minorEastAsia"/>
          <w:sz w:val="24"/>
          <w:szCs w:val="24"/>
          <w:lang w:val="zh-TW" w:eastAsia="zh-TW"/>
        </w:rPr>
        <w:t>。</w:t>
      </w:r>
    </w:p>
    <w:p w14:paraId="41133EAD">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采购需求：详见第三章项目需求，请仔细研究。</w:t>
      </w:r>
    </w:p>
    <w:p w14:paraId="2A8F3060">
      <w:pPr>
        <w:pStyle w:val="18"/>
        <w:spacing w:line="400" w:lineRule="exact"/>
        <w:ind w:firstLine="48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服务周期</w:t>
      </w:r>
      <w:r>
        <w:rPr>
          <w:rFonts w:hint="eastAsia" w:ascii="宋体" w:hAnsi="宋体" w:eastAsia="宋体" w:cs="宋体"/>
          <w:bCs/>
          <w:sz w:val="24"/>
          <w:szCs w:val="24"/>
        </w:rPr>
        <w:t>：</w:t>
      </w:r>
      <w:r>
        <w:rPr>
          <w:rFonts w:hint="eastAsia" w:ascii="宋体" w:hAnsi="宋体" w:eastAsia="宋体" w:cs="宋体"/>
          <w:bCs/>
          <w:sz w:val="24"/>
          <w:szCs w:val="24"/>
          <w:lang w:eastAsia="zh-CN"/>
        </w:rPr>
        <w:t>2年，具体起止日期以合同签订时间为准。</w:t>
      </w:r>
    </w:p>
    <w:p w14:paraId="54FEAE61">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二、申请人的资格要求：</w:t>
      </w:r>
    </w:p>
    <w:p w14:paraId="373E3CF5">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eastAsia="zh-CN"/>
        </w:rPr>
        <w:t>1.满足《中华人民共和国政府采购法》第二十二条规定；</w:t>
      </w:r>
    </w:p>
    <w:p w14:paraId="226E5828">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eastAsia="zh-CN"/>
        </w:rPr>
        <w:t>2.未被“信用中国”网站列入失信被执行人、重大税收违法案件当事人名单、政府采购严重失信行为记录名单；</w:t>
      </w:r>
    </w:p>
    <w:p w14:paraId="0463A2BF">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eastAsia="zh-CN"/>
        </w:rPr>
        <w:t>3.本项目的特定资格要求：无。</w:t>
      </w:r>
    </w:p>
    <w:p w14:paraId="54EEBEEA">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val="en-US" w:eastAsia="zh-CN"/>
        </w:rPr>
        <w:t>4.</w:t>
      </w:r>
      <w:r>
        <w:rPr>
          <w:rFonts w:hint="eastAsia" w:ascii="宋体" w:hAnsi="宋体" w:eastAsia="宋体" w:cs="宋体"/>
          <w:color w:val="000000"/>
          <w:spacing w:val="7"/>
          <w:lang w:eastAsia="zh-CN"/>
        </w:rPr>
        <w:t>单位负责人为同一人或者存在直接控股、管理关系的不同供应商，不得同时参与同一采购项目相同标段的招标活动。</w:t>
      </w:r>
    </w:p>
    <w:p w14:paraId="1D85231F">
      <w:pPr>
        <w:spacing w:line="400" w:lineRule="exact"/>
        <w:ind w:firstLine="508" w:firstLineChars="200"/>
        <w:jc w:val="both"/>
        <w:rPr>
          <w:rFonts w:hint="eastAsia" w:ascii="宋体" w:hAnsi="宋体" w:eastAsia="宋体" w:cs="宋体"/>
          <w:color w:val="000000"/>
          <w:spacing w:val="7"/>
          <w:lang w:eastAsia="zh-CN"/>
        </w:rPr>
      </w:pPr>
      <w:r>
        <w:rPr>
          <w:rFonts w:hint="eastAsia" w:ascii="宋体" w:hAnsi="宋体" w:eastAsia="宋体" w:cs="宋体"/>
          <w:color w:val="000000"/>
          <w:spacing w:val="7"/>
          <w:lang w:val="en-US" w:eastAsia="zh-CN"/>
        </w:rPr>
        <w:t>5</w:t>
      </w:r>
      <w:r>
        <w:rPr>
          <w:rFonts w:hint="eastAsia" w:ascii="宋体" w:hAnsi="宋体" w:eastAsia="宋体" w:cs="宋体"/>
          <w:color w:val="000000"/>
          <w:spacing w:val="7"/>
          <w:lang w:eastAsia="zh-CN"/>
        </w:rPr>
        <w:t>. 落实政府采购政策需满足的资格要求：无；</w:t>
      </w:r>
    </w:p>
    <w:p w14:paraId="17A12BEA">
      <w:pPr>
        <w:spacing w:line="400" w:lineRule="exact"/>
        <w:ind w:firstLine="495" w:firstLineChars="195"/>
        <w:jc w:val="both"/>
        <w:rPr>
          <w:rFonts w:hint="eastAsia" w:ascii="宋体" w:hAnsi="宋体" w:eastAsia="宋体" w:cs="宋体"/>
          <w:bCs/>
          <w:color w:val="000000"/>
          <w:spacing w:val="7"/>
          <w:lang w:eastAsia="zh-CN"/>
        </w:rPr>
      </w:pPr>
      <w:r>
        <w:rPr>
          <w:rFonts w:hint="eastAsia" w:ascii="宋体" w:hAnsi="宋体" w:eastAsia="宋体" w:cs="宋体"/>
          <w:bCs/>
          <w:color w:val="000000"/>
          <w:spacing w:val="7"/>
          <w:lang w:val="en-US" w:eastAsia="zh-CN"/>
        </w:rPr>
        <w:t>6</w:t>
      </w:r>
      <w:r>
        <w:rPr>
          <w:rFonts w:hint="eastAsia" w:ascii="宋体" w:hAnsi="宋体" w:eastAsia="宋体" w:cs="宋体"/>
          <w:bCs/>
          <w:color w:val="000000"/>
          <w:spacing w:val="7"/>
          <w:lang w:eastAsia="zh-CN"/>
        </w:rPr>
        <w:t>．本项目不接受联合体。</w:t>
      </w:r>
    </w:p>
    <w:p w14:paraId="176A23BD">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三、获取招标文件</w:t>
      </w:r>
    </w:p>
    <w:p w14:paraId="5DE9D197">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时间：</w:t>
      </w:r>
      <w:r>
        <w:rPr>
          <w:rFonts w:hint="eastAsia" w:asciiTheme="minorEastAsia" w:hAnsiTheme="minorEastAsia" w:eastAsiaTheme="minorEastAsia"/>
          <w:sz w:val="24"/>
          <w:szCs w:val="24"/>
          <w:lang w:eastAsia="zh-CN"/>
        </w:rPr>
        <w:t>2026年</w:t>
      </w:r>
      <w:r>
        <w:rPr>
          <w:rFonts w:hint="eastAsia" w:asciiTheme="minorEastAsia" w:hAnsiTheme="minorEastAsia" w:eastAsiaTheme="minorEastAsia"/>
          <w:sz w:val="24"/>
          <w:szCs w:val="24"/>
          <w:lang w:val="en-US" w:eastAsia="zh-CN"/>
        </w:rPr>
        <w:t>7月6</w:t>
      </w:r>
      <w:r>
        <w:rPr>
          <w:rFonts w:hint="eastAsia" w:asciiTheme="minorEastAsia" w:hAnsiTheme="minorEastAsia" w:eastAsiaTheme="minorEastAsia"/>
          <w:sz w:val="24"/>
          <w:szCs w:val="24"/>
          <w:lang w:val="zh-TW" w:eastAsia="zh-TW"/>
        </w:rPr>
        <w:t>日至</w:t>
      </w:r>
      <w:r>
        <w:rPr>
          <w:rFonts w:hint="eastAsia" w:asciiTheme="minorEastAsia" w:hAnsiTheme="minorEastAsia" w:eastAsiaTheme="minorEastAsia"/>
          <w:sz w:val="24"/>
          <w:szCs w:val="24"/>
          <w:lang w:eastAsia="zh-CN"/>
        </w:rPr>
        <w:t>2026年</w:t>
      </w:r>
      <w:r>
        <w:rPr>
          <w:rFonts w:hint="eastAsia" w:asciiTheme="minorEastAsia" w:hAnsiTheme="minorEastAsia" w:eastAsiaTheme="minorEastAsia"/>
          <w:sz w:val="24"/>
          <w:szCs w:val="24"/>
          <w:lang w:val="en-US" w:eastAsia="zh-CN"/>
        </w:rPr>
        <w:t>7月17日</w:t>
      </w:r>
      <w:r>
        <w:rPr>
          <w:rFonts w:hint="eastAsia" w:asciiTheme="minorEastAsia" w:hAnsiTheme="minorEastAsia" w:eastAsiaTheme="minorEastAsia"/>
          <w:sz w:val="24"/>
          <w:szCs w:val="24"/>
          <w:lang w:val="zh-TW" w:eastAsia="zh-TW"/>
        </w:rPr>
        <w:t>。</w:t>
      </w:r>
    </w:p>
    <w:p w14:paraId="6E1A7614">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地点：如东限额交易网</w:t>
      </w:r>
    </w:p>
    <w:p w14:paraId="0830D082">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方式：自行下载</w:t>
      </w:r>
    </w:p>
    <w:p w14:paraId="53BBCCCA">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四、提交投标文件截止时间、开标时间和地点</w:t>
      </w:r>
    </w:p>
    <w:p w14:paraId="66AC38BF">
      <w:pPr>
        <w:pStyle w:val="18"/>
        <w:spacing w:line="400" w:lineRule="exact"/>
        <w:ind w:firstLine="480"/>
        <w:rPr>
          <w:rFonts w:hint="eastAsia" w:cs="宋体" w:asciiTheme="minorEastAsia" w:hAnsiTheme="minorEastAsia" w:eastAsiaTheme="minorEastAsia"/>
          <w:sz w:val="24"/>
          <w:szCs w:val="24"/>
          <w:u w:val="single"/>
        </w:rPr>
      </w:pPr>
      <w:r>
        <w:rPr>
          <w:rFonts w:hint="eastAsia" w:asciiTheme="minorEastAsia" w:hAnsiTheme="minorEastAsia" w:eastAsiaTheme="minorEastAsia"/>
          <w:sz w:val="24"/>
          <w:szCs w:val="24"/>
          <w:lang w:val="en-US" w:eastAsia="zh-CN"/>
        </w:rPr>
        <w:t>时间：</w:t>
      </w:r>
      <w:r>
        <w:rPr>
          <w:rFonts w:hint="eastAsia" w:asciiTheme="minorEastAsia" w:hAnsiTheme="minorEastAsia" w:eastAsiaTheme="minorEastAsia"/>
          <w:sz w:val="24"/>
          <w:szCs w:val="24"/>
          <w:lang w:eastAsia="zh-CN"/>
        </w:rPr>
        <w:t>2026年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lang w:eastAsia="zh-CN"/>
        </w:rPr>
        <w:t>日</w:t>
      </w:r>
      <w:r>
        <w:rPr>
          <w:rFonts w:hint="eastAsia" w:asciiTheme="minorEastAsia" w:hAnsiTheme="minorEastAsia" w:eastAsiaTheme="minorEastAsia"/>
          <w:sz w:val="24"/>
          <w:szCs w:val="24"/>
          <w:lang w:val="en-US" w:eastAsia="zh-CN"/>
        </w:rPr>
        <w:t>下午</w:t>
      </w:r>
      <w:r>
        <w:rPr>
          <w:rFonts w:hint="eastAsia" w:asciiTheme="minorEastAsia" w:hAnsiTheme="minorEastAsia" w:eastAsiaTheme="minorEastAsia"/>
          <w:sz w:val="24"/>
          <w:szCs w:val="24"/>
          <w:lang w:eastAsia="zh-CN"/>
        </w:rPr>
        <w:t>午</w:t>
      </w: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lang w:eastAsia="zh-CN"/>
        </w:rPr>
        <w:t>时</w:t>
      </w: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lang w:eastAsia="zh-CN"/>
        </w:rPr>
        <w:t>分</w:t>
      </w:r>
      <w:r>
        <w:rPr>
          <w:rFonts w:hint="eastAsia" w:asciiTheme="minorEastAsia" w:hAnsiTheme="minorEastAsia" w:eastAsiaTheme="minorEastAsia"/>
          <w:sz w:val="24"/>
          <w:szCs w:val="24"/>
          <w:lang w:val="zh-TW" w:eastAsia="zh-TW"/>
        </w:rPr>
        <w:t>（北京时间）</w:t>
      </w:r>
    </w:p>
    <w:p w14:paraId="7809EFA5">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地点：本项目采用不见面招投标，开标当日，投标人不必抵达开标现场，仅需在任意地点通过</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如东县区镇限额电子招投标平台</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参加开标会议。</w:t>
      </w:r>
    </w:p>
    <w:p w14:paraId="303B7B3D">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五、公告期限</w:t>
      </w:r>
    </w:p>
    <w:p w14:paraId="74F39505">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自本公告发布之日起</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个工作日。</w:t>
      </w:r>
    </w:p>
    <w:p w14:paraId="3FA8D40E">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六、其他补充事宜</w:t>
      </w:r>
    </w:p>
    <w:p w14:paraId="4ADC0503">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rPr>
        <w:t>1.</w:t>
      </w:r>
      <w:r>
        <w:rPr>
          <w:rFonts w:hint="eastAsia" w:asciiTheme="minorEastAsia" w:hAnsiTheme="minorEastAsia" w:eastAsiaTheme="minorEastAsia"/>
          <w:sz w:val="24"/>
          <w:szCs w:val="24"/>
          <w:lang w:val="zh-TW" w:eastAsia="zh-TW"/>
        </w:rPr>
        <w:t>本项目采用不见面招投标，开标当日，投标人不必抵达开标现场，仅需在任意地点通过</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如东县区镇限额电子招投标平台</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参加开标会议（不见面开标的系统网址为</w:t>
      </w:r>
      <w:r>
        <w:rPr>
          <w:rFonts w:asciiTheme="minorEastAsia" w:hAnsiTheme="minorEastAsia" w:eastAsiaTheme="minorEastAsia"/>
          <w:sz w:val="24"/>
          <w:szCs w:val="24"/>
        </w:rPr>
        <w:t>http://www.rudong.net/web/index</w:t>
      </w:r>
      <w:r>
        <w:rPr>
          <w:rFonts w:hint="eastAsia" w:asciiTheme="minorEastAsia" w:hAnsiTheme="minorEastAsia" w:eastAsiaTheme="minorEastAsia"/>
          <w:sz w:val="24"/>
          <w:szCs w:val="24"/>
          <w:lang w:val="zh-TW" w:eastAsia="zh-TW"/>
        </w:rPr>
        <w:t>）并在投标截止时间后需要进行投标文件的解密，并根据需要使用聊天室与现场招标人进行互动交流、澄清、提疑以及文件传送等活动。具体操作流程可参见《操作手册》。投标人须在投标截止时间前按照招标文件要求将投标文件上传至系统内相应位置。</w:t>
      </w:r>
    </w:p>
    <w:p w14:paraId="75B91B7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解密时间：投标人解密限定在招标人确定解密时间后半小时内完成（如因投标人个人原因，未在限定时间内完成解密的，将退回其投标文件，不得再参加本项目的投标）。（友情提醒：请各投标人在投标之前熟悉操作手册，及时安装好相关软件系统，并做好电脑环境检查，以免在投标时造成操作失误等现象无法投标 ）。</w:t>
      </w:r>
    </w:p>
    <w:p w14:paraId="595F2966">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公共资源交易平台技术服务联系电话：</w:t>
      </w:r>
      <w:r>
        <w:rPr>
          <w:rFonts w:asciiTheme="minorEastAsia" w:hAnsiTheme="minorEastAsia" w:eastAsiaTheme="minorEastAsia"/>
          <w:sz w:val="24"/>
          <w:szCs w:val="24"/>
        </w:rPr>
        <w:t>84800088</w:t>
      </w: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18036200288</w:t>
      </w:r>
      <w:r>
        <w:rPr>
          <w:rFonts w:hint="eastAsia" w:asciiTheme="minorEastAsia" w:hAnsiTheme="minorEastAsia" w:eastAsiaTheme="minorEastAsia"/>
          <w:sz w:val="24"/>
          <w:szCs w:val="24"/>
          <w:lang w:val="zh-TW" w:eastAsia="zh-TW"/>
        </w:rPr>
        <w:t>。</w:t>
      </w:r>
    </w:p>
    <w:p w14:paraId="32C41C6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．本项目招标文件及相关招标资料必须自行登录如东县区镇限额电子招投标平台的项目投标方业务系统进行网上报名（即下载本项目招标文件及相关招标资料），否则拒收投标文件。</w:t>
      </w:r>
    </w:p>
    <w:p w14:paraId="28834A6E">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．本项目投标时不需要提供纸质投标文件。中标单位在确定中标后，必须提供伍份使用系统打印出来（加盖公章）的完整的投标文件交招标代理（投标文件份数：正本壹份，副本肆份，</w:t>
      </w:r>
      <w:r>
        <w:rPr>
          <w:rFonts w:asciiTheme="minorEastAsia" w:hAnsiTheme="minorEastAsia" w:eastAsiaTheme="minorEastAsia"/>
          <w:sz w:val="24"/>
          <w:szCs w:val="24"/>
        </w:rPr>
        <w:t>PDF</w:t>
      </w:r>
      <w:r>
        <w:rPr>
          <w:rFonts w:hint="eastAsia" w:asciiTheme="minorEastAsia" w:hAnsiTheme="minorEastAsia" w:eastAsiaTheme="minorEastAsia"/>
          <w:sz w:val="24"/>
          <w:szCs w:val="24"/>
          <w:lang w:val="zh-TW" w:eastAsia="zh-TW"/>
        </w:rPr>
        <w:t>电子档壹份），若未在规定时间内提交纸质投标文件的，将作无效标处置。</w:t>
      </w:r>
    </w:p>
    <w:p w14:paraId="4FCB26B7">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．本次投标保证金</w:t>
      </w:r>
      <w:r>
        <w:rPr>
          <w:rFonts w:hint="eastAsia" w:asciiTheme="minorEastAsia" w:hAnsiTheme="minorEastAsia" w:eastAsiaTheme="minorEastAsia"/>
          <w:sz w:val="24"/>
          <w:szCs w:val="24"/>
          <w:lang w:val="en-US" w:eastAsia="zh-CN"/>
        </w:rPr>
        <w:t>免收</w:t>
      </w:r>
      <w:r>
        <w:rPr>
          <w:rFonts w:hint="eastAsia" w:asciiTheme="minorEastAsia" w:hAnsiTheme="minorEastAsia" w:eastAsiaTheme="minorEastAsia"/>
          <w:sz w:val="24"/>
          <w:szCs w:val="24"/>
          <w:lang w:val="zh-TW" w:eastAsia="zh-TW"/>
        </w:rPr>
        <w:t>，招标文件中涉及投标保证金的事项，均按免收投标保证金执行。</w:t>
      </w:r>
    </w:p>
    <w:p w14:paraId="3F9922A2">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lang w:val="zh-TW" w:eastAsia="zh-TW"/>
        </w:rPr>
        <w:t>．投标人如对本招标文件中的招标需求（包括详细方案、技术参数、技术需求和服务要求、投标人资格条件等）有疑问或不明之处，可与招标人联系。招标人对采购项目的采购需求有解释权。在采购过程中如出现投标人针对本项目采购需求提出质疑、疑问，由招标人负责并书面答复。对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电子交易平台</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操作阶段的询问请向软件公司提出。</w:t>
      </w:r>
    </w:p>
    <w:p w14:paraId="70D266C2">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rPr>
        <w:t>7</w:t>
      </w:r>
      <w:r>
        <w:rPr>
          <w:rFonts w:hint="eastAsia" w:asciiTheme="minorEastAsia" w:hAnsiTheme="minorEastAsia" w:eastAsiaTheme="minorEastAsia"/>
          <w:sz w:val="24"/>
          <w:szCs w:val="24"/>
          <w:lang w:val="zh-TW" w:eastAsia="zh-TW"/>
        </w:rPr>
        <w:t>．请各</w:t>
      </w:r>
      <w:r>
        <w:rPr>
          <w:rFonts w:hint="eastAsia" w:asciiTheme="minorEastAsia" w:hAnsiTheme="minorEastAsia" w:eastAsiaTheme="minorEastAsia"/>
          <w:sz w:val="24"/>
          <w:szCs w:val="24"/>
          <w:lang w:val="zh-TW" w:eastAsia="zh-CN"/>
        </w:rPr>
        <w:t>投标</w:t>
      </w:r>
      <w:r>
        <w:rPr>
          <w:rFonts w:hint="eastAsia" w:asciiTheme="minorEastAsia" w:hAnsiTheme="minorEastAsia" w:eastAsiaTheme="minorEastAsia"/>
          <w:sz w:val="24"/>
          <w:szCs w:val="24"/>
          <w:lang w:val="zh-TW" w:eastAsia="zh-TW"/>
        </w:rPr>
        <w:t>人连续关注本网站可能发生的相关变化等信息。如没有及时获悉相关变化而引起的后果由</w:t>
      </w:r>
      <w:r>
        <w:rPr>
          <w:rFonts w:hint="eastAsia" w:asciiTheme="minorEastAsia" w:hAnsiTheme="minorEastAsia" w:eastAsiaTheme="minorEastAsia"/>
          <w:sz w:val="24"/>
          <w:szCs w:val="24"/>
          <w:lang w:val="zh-TW" w:eastAsia="zh-CN"/>
        </w:rPr>
        <w:t>投标</w:t>
      </w:r>
      <w:r>
        <w:rPr>
          <w:rFonts w:hint="eastAsia" w:asciiTheme="minorEastAsia" w:hAnsiTheme="minorEastAsia" w:eastAsiaTheme="minorEastAsia"/>
          <w:sz w:val="24"/>
          <w:szCs w:val="24"/>
          <w:lang w:val="zh-TW" w:eastAsia="zh-TW"/>
        </w:rPr>
        <w:t>人自负。</w:t>
      </w:r>
    </w:p>
    <w:p w14:paraId="52BD0C5F">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七、对本次招标提出询问，请按以下方式联系。</w:t>
      </w:r>
    </w:p>
    <w:p w14:paraId="399087EE">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lang w:val="zh-TW" w:eastAsia="zh-TW"/>
        </w:rPr>
        <w:t>1.</w:t>
      </w:r>
      <w:r>
        <w:rPr>
          <w:rFonts w:hint="eastAsia" w:asciiTheme="minorEastAsia" w:hAnsiTheme="minorEastAsia" w:eastAsiaTheme="minorEastAsia"/>
          <w:sz w:val="24"/>
          <w:szCs w:val="24"/>
          <w:lang w:val="zh-TW" w:eastAsia="zh-TW"/>
        </w:rPr>
        <w:t>采购人信息</w:t>
      </w:r>
    </w:p>
    <w:p w14:paraId="78BB931E">
      <w:pPr>
        <w:pStyle w:val="18"/>
        <w:spacing w:line="400" w:lineRule="exact"/>
        <w:ind w:firstLine="48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zh-TW" w:eastAsia="zh-TW"/>
        </w:rPr>
        <w:t>名称：江苏洋口港港务有限公司</w:t>
      </w:r>
      <w:r>
        <w:rPr>
          <w:rFonts w:hint="eastAsia" w:asciiTheme="minorEastAsia" w:hAnsiTheme="minorEastAsia" w:eastAsiaTheme="minorEastAsia"/>
          <w:sz w:val="24"/>
          <w:szCs w:val="24"/>
          <w:lang w:val="en-US" w:eastAsia="zh-CN"/>
        </w:rPr>
        <w:t>、江苏洋口宁港码头物流有限公司</w:t>
      </w:r>
    </w:p>
    <w:p w14:paraId="4F07E80C">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地址：如东洋口港经济开发区</w:t>
      </w:r>
    </w:p>
    <w:p w14:paraId="1FE0F303">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联系人：</w:t>
      </w:r>
      <w:r>
        <w:rPr>
          <w:rFonts w:hint="eastAsia" w:asciiTheme="minorEastAsia" w:hAnsiTheme="minorEastAsia" w:eastAsiaTheme="minorEastAsia"/>
          <w:sz w:val="24"/>
          <w:szCs w:val="24"/>
          <w:lang w:val="en-US" w:eastAsia="zh-CN"/>
        </w:rPr>
        <w:t>范</w:t>
      </w:r>
      <w:r>
        <w:rPr>
          <w:rFonts w:hint="eastAsia" w:asciiTheme="minorEastAsia" w:hAnsiTheme="minorEastAsia" w:eastAsiaTheme="minorEastAsia"/>
          <w:sz w:val="24"/>
          <w:szCs w:val="24"/>
          <w:lang w:val="zh-TW" w:eastAsia="zh-TW"/>
        </w:rPr>
        <w:t>女士</w:t>
      </w:r>
      <w:r>
        <w:rPr>
          <w:rFonts w:hint="eastAsia" w:asciiTheme="minorEastAsia" w:hAnsiTheme="minorEastAsia" w:eastAsiaTheme="minorEastAsia"/>
          <w:sz w:val="24"/>
          <w:szCs w:val="24"/>
          <w:lang w:val="zh-TW"/>
        </w:rPr>
        <w:t>；</w:t>
      </w:r>
      <w:r>
        <w:rPr>
          <w:rFonts w:hint="eastAsia" w:asciiTheme="minorEastAsia" w:hAnsiTheme="minorEastAsia" w:eastAsiaTheme="minorEastAsia"/>
          <w:sz w:val="24"/>
          <w:szCs w:val="24"/>
          <w:lang w:val="zh-TW" w:eastAsia="zh-TW"/>
        </w:rPr>
        <w:t>联系方式：</w:t>
      </w:r>
      <w:r>
        <w:rPr>
          <w:rFonts w:asciiTheme="minorEastAsia" w:hAnsiTheme="minorEastAsia" w:eastAsiaTheme="minorEastAsia"/>
          <w:sz w:val="24"/>
          <w:szCs w:val="24"/>
          <w:lang w:val="zh-TW" w:eastAsia="zh-TW"/>
        </w:rPr>
        <w:t>0513-69</w:t>
      </w: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lang w:val="zh-TW" w:eastAsia="zh-TW"/>
        </w:rPr>
        <w:t>76565</w:t>
      </w:r>
    </w:p>
    <w:p w14:paraId="308D994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采购代理机构信息</w:t>
      </w:r>
    </w:p>
    <w:p w14:paraId="433DCFB9">
      <w:pPr>
        <w:pStyle w:val="18"/>
        <w:spacing w:line="400" w:lineRule="exact"/>
        <w:ind w:firstLine="480"/>
        <w:rPr>
          <w:rFonts w:hint="eastAsia" w:cs="宋体" w:asciiTheme="minorEastAsia" w:hAnsiTheme="minorEastAsia" w:eastAsiaTheme="minorEastAsia"/>
          <w:sz w:val="24"/>
          <w:szCs w:val="24"/>
          <w:lang w:val="zh-TW" w:eastAsia="zh-CN"/>
        </w:rPr>
      </w:pPr>
      <w:r>
        <w:rPr>
          <w:rFonts w:hint="eastAsia" w:asciiTheme="minorEastAsia" w:hAnsiTheme="minorEastAsia" w:eastAsiaTheme="minorEastAsia"/>
          <w:sz w:val="24"/>
          <w:szCs w:val="24"/>
          <w:lang w:val="zh-TW" w:eastAsia="zh-TW"/>
        </w:rPr>
        <w:t>名称：</w:t>
      </w:r>
      <w:r>
        <w:rPr>
          <w:rFonts w:hint="eastAsia" w:asciiTheme="minorEastAsia" w:hAnsiTheme="minorEastAsia" w:eastAsiaTheme="minorEastAsia"/>
          <w:sz w:val="24"/>
          <w:szCs w:val="24"/>
          <w:lang w:val="zh-TW" w:eastAsia="zh-CN"/>
        </w:rPr>
        <w:t>南通城建工程项目管理有限公司</w:t>
      </w:r>
    </w:p>
    <w:p w14:paraId="3556B603">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地址：如东洋口港经济开发区</w:t>
      </w:r>
    </w:p>
    <w:p w14:paraId="174463B2">
      <w:pPr>
        <w:pStyle w:val="18"/>
        <w:spacing w:line="400" w:lineRule="exact"/>
        <w:ind w:firstLine="48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zh-TW" w:eastAsia="zh-TW"/>
        </w:rPr>
        <w:t>联系人：</w:t>
      </w:r>
      <w:r>
        <w:rPr>
          <w:rFonts w:hint="eastAsia" w:asciiTheme="minorEastAsia" w:hAnsiTheme="minorEastAsia" w:eastAsiaTheme="minorEastAsia"/>
          <w:sz w:val="24"/>
          <w:szCs w:val="24"/>
          <w:lang w:val="en-US" w:eastAsia="zh-CN"/>
        </w:rPr>
        <w:t>顾</w:t>
      </w:r>
      <w:r>
        <w:rPr>
          <w:rFonts w:hint="eastAsia" w:asciiTheme="minorEastAsia" w:hAnsiTheme="minorEastAsia" w:eastAsiaTheme="minorEastAsia"/>
          <w:sz w:val="24"/>
          <w:szCs w:val="24"/>
          <w:lang w:val="zh-TW" w:eastAsia="zh-TW"/>
        </w:rPr>
        <w:t>工；联系方式：</w:t>
      </w:r>
      <w:r>
        <w:rPr>
          <w:rFonts w:hint="eastAsia" w:asciiTheme="minorEastAsia" w:hAnsiTheme="minorEastAsia" w:eastAsiaTheme="minorEastAsia"/>
          <w:sz w:val="24"/>
          <w:szCs w:val="24"/>
          <w:lang w:val="en-US" w:eastAsia="zh-CN"/>
        </w:rPr>
        <w:t>17625215928</w:t>
      </w:r>
    </w:p>
    <w:p w14:paraId="406F21F1">
      <w:pPr>
        <w:pStyle w:val="18"/>
        <w:spacing w:line="400" w:lineRule="exact"/>
        <w:ind w:firstLine="48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邮箱：1802893279@qq.com</w:t>
      </w:r>
    </w:p>
    <w:p w14:paraId="0C3A1A40">
      <w:pPr>
        <w:rPr>
          <w:rFonts w:hint="eastAsia" w:cs="黑体" w:asciiTheme="minorEastAsia" w:hAnsiTheme="minorEastAsia" w:eastAsiaTheme="minorEastAsia"/>
          <w:b w:val="0"/>
          <w:bCs w:val="0"/>
          <w:color w:val="000000"/>
          <w:kern w:val="2"/>
          <w:sz w:val="44"/>
          <w:szCs w:val="44"/>
          <w:u w:color="000000"/>
          <w:lang w:val="zh-TW" w:eastAsia="zh-TW" w:bidi="ar-SA"/>
        </w:rPr>
      </w:pPr>
      <w:r>
        <w:rPr>
          <w:rFonts w:hint="eastAsia" w:cs="黑体" w:asciiTheme="minorEastAsia" w:hAnsiTheme="minorEastAsia" w:eastAsiaTheme="minorEastAsia"/>
          <w:b w:val="0"/>
          <w:bCs w:val="0"/>
          <w:color w:val="000000"/>
          <w:kern w:val="2"/>
          <w:sz w:val="44"/>
          <w:szCs w:val="44"/>
          <w:u w:color="000000"/>
          <w:lang w:val="zh-TW" w:eastAsia="zh-TW" w:bidi="ar-SA"/>
        </w:rPr>
        <w:br w:type="page"/>
      </w:r>
    </w:p>
    <w:p w14:paraId="6D93E6F1">
      <w:pPr>
        <w:pStyle w:val="18"/>
        <w:spacing w:line="400" w:lineRule="exact"/>
        <w:ind w:firstLine="480"/>
        <w:jc w:val="center"/>
        <w:rPr>
          <w:rFonts w:hint="eastAsia" w:cs="黑体" w:asciiTheme="minorEastAsia" w:hAnsiTheme="minorEastAsia" w:eastAsiaTheme="minorEastAsia"/>
          <w:b w:val="0"/>
          <w:bCs w:val="0"/>
          <w:color w:val="000000"/>
          <w:kern w:val="2"/>
          <w:sz w:val="44"/>
          <w:szCs w:val="44"/>
          <w:u w:color="000000"/>
          <w:lang w:val="zh-TW" w:eastAsia="zh-TW" w:bidi="ar-SA"/>
        </w:rPr>
      </w:pPr>
    </w:p>
    <w:p w14:paraId="72E6C987">
      <w:pPr>
        <w:pStyle w:val="18"/>
        <w:spacing w:line="400" w:lineRule="exact"/>
        <w:ind w:firstLine="480"/>
        <w:jc w:val="center"/>
        <w:rPr>
          <w:rFonts w:hint="eastAsia" w:cs="SimSong Bold" w:asciiTheme="minorEastAsia" w:hAnsiTheme="minorEastAsia" w:eastAsiaTheme="minorEastAsia"/>
          <w:b w:val="0"/>
          <w:bCs w:val="0"/>
          <w:lang w:val="zh-TW" w:eastAsia="zh-TW"/>
        </w:rPr>
      </w:pPr>
      <w:r>
        <w:rPr>
          <w:rFonts w:hint="eastAsia" w:cs="黑体" w:asciiTheme="minorEastAsia" w:hAnsiTheme="minorEastAsia" w:eastAsiaTheme="minorEastAsia"/>
          <w:b w:val="0"/>
          <w:bCs w:val="0"/>
          <w:color w:val="000000"/>
          <w:kern w:val="2"/>
          <w:sz w:val="44"/>
          <w:szCs w:val="44"/>
          <w:u w:color="000000"/>
          <w:lang w:val="zh-TW" w:eastAsia="zh-TW" w:bidi="ar-SA"/>
        </w:rPr>
        <w:t>第二章  投标人须知</w:t>
      </w:r>
    </w:p>
    <w:p w14:paraId="1ACE3023">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一、总则</w:t>
      </w:r>
    </w:p>
    <w:p w14:paraId="73197E5C">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w:t>
      </w:r>
      <w:r>
        <w:rPr>
          <w:rFonts w:hint="eastAsia" w:asciiTheme="minorEastAsia" w:hAnsiTheme="minorEastAsia" w:eastAsiaTheme="minorEastAsia"/>
          <w:b w:val="0"/>
          <w:bCs w:val="0"/>
          <w:sz w:val="24"/>
          <w:szCs w:val="24"/>
          <w:lang w:val="zh-TW" w:eastAsia="zh-TW"/>
        </w:rPr>
        <w:t>．招标方式</w:t>
      </w:r>
    </w:p>
    <w:p w14:paraId="341192D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1.1 </w:t>
      </w:r>
      <w:r>
        <w:rPr>
          <w:rFonts w:hint="eastAsia" w:asciiTheme="minorEastAsia" w:hAnsiTheme="minorEastAsia" w:eastAsiaTheme="minorEastAsia"/>
          <w:sz w:val="24"/>
          <w:szCs w:val="24"/>
          <w:lang w:val="zh-TW" w:eastAsia="zh-TW"/>
        </w:rPr>
        <w:t>本次招标采取公开招标方式，本招标文件仅适用于招标公告中所述项目。</w:t>
      </w:r>
    </w:p>
    <w:p w14:paraId="213B5963">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w:t>
      </w:r>
      <w:r>
        <w:rPr>
          <w:rFonts w:hint="eastAsia" w:asciiTheme="minorEastAsia" w:hAnsiTheme="minorEastAsia" w:eastAsiaTheme="minorEastAsia"/>
          <w:b w:val="0"/>
          <w:bCs w:val="0"/>
          <w:sz w:val="24"/>
          <w:szCs w:val="24"/>
          <w:lang w:val="zh-TW" w:eastAsia="zh-TW"/>
        </w:rPr>
        <w:t>．合格的投标人</w:t>
      </w:r>
    </w:p>
    <w:p w14:paraId="7CE0FA8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2.1</w:t>
      </w:r>
      <w:r>
        <w:rPr>
          <w:rFonts w:hint="eastAsia" w:asciiTheme="minorEastAsia" w:hAnsiTheme="minorEastAsia" w:eastAsiaTheme="minorEastAsia"/>
          <w:sz w:val="24"/>
          <w:szCs w:val="24"/>
          <w:lang w:val="zh-TW" w:eastAsia="zh-TW"/>
        </w:rPr>
        <w:t>满足招标公告中投标人的资格要求的规定。</w:t>
      </w:r>
    </w:p>
    <w:p w14:paraId="5DF8563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2.2 </w:t>
      </w:r>
      <w:r>
        <w:rPr>
          <w:rFonts w:hint="eastAsia" w:asciiTheme="minorEastAsia" w:hAnsiTheme="minorEastAsia" w:eastAsiaTheme="minorEastAsia"/>
          <w:sz w:val="24"/>
          <w:szCs w:val="24"/>
          <w:lang w:val="zh-TW" w:eastAsia="zh-TW"/>
        </w:rPr>
        <w:t>满足本文件实质性条款的规定。</w:t>
      </w:r>
    </w:p>
    <w:p w14:paraId="1B10BDAC">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3</w:t>
      </w:r>
      <w:r>
        <w:rPr>
          <w:rFonts w:hint="eastAsia" w:asciiTheme="minorEastAsia" w:hAnsiTheme="minorEastAsia" w:eastAsiaTheme="minorEastAsia"/>
          <w:b w:val="0"/>
          <w:bCs w:val="0"/>
          <w:sz w:val="24"/>
          <w:szCs w:val="24"/>
          <w:lang w:val="zh-TW" w:eastAsia="zh-TW"/>
        </w:rPr>
        <w:t>．适用法律</w:t>
      </w:r>
    </w:p>
    <w:p w14:paraId="6C4937B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lang w:val="zh-TW" w:eastAsia="zh-TW"/>
        </w:rPr>
        <w:t>本次招标及由此产生的合同受中华人民共和国有关的法律法规制约和保护。</w:t>
      </w:r>
    </w:p>
    <w:p w14:paraId="4FEB4537">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4</w:t>
      </w:r>
      <w:r>
        <w:rPr>
          <w:rFonts w:hint="eastAsia" w:asciiTheme="minorEastAsia" w:hAnsiTheme="minorEastAsia" w:eastAsiaTheme="minorEastAsia"/>
          <w:b w:val="0"/>
          <w:bCs w:val="0"/>
          <w:sz w:val="24"/>
          <w:szCs w:val="24"/>
          <w:lang w:val="zh-TW" w:eastAsia="zh-TW"/>
        </w:rPr>
        <w:t>．投标费用</w:t>
      </w:r>
    </w:p>
    <w:p w14:paraId="0FCB31D0">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lang w:val="zh-TW" w:eastAsia="zh-TW"/>
        </w:rPr>
        <w:t>投标人应自行承担所有与参加投标有关的费用，无论投标过程中的做法和结果如何，采购人在任何情况下均无义务和责任承担这些费用。</w:t>
      </w:r>
    </w:p>
    <w:p w14:paraId="0142C272">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4.2</w:t>
      </w:r>
      <w:r>
        <w:rPr>
          <w:rFonts w:hint="eastAsia" w:asciiTheme="minorEastAsia" w:hAnsiTheme="minorEastAsia" w:eastAsiaTheme="minorEastAsia"/>
          <w:sz w:val="24"/>
          <w:szCs w:val="24"/>
          <w:lang w:val="zh-TW" w:eastAsia="zh-TW"/>
        </w:rPr>
        <w:t>中标人须承担本项目评审服务费，招标代理机构在任何情况下均无义务和责任承担这些费用；</w:t>
      </w:r>
    </w:p>
    <w:p w14:paraId="792A46A2">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4.3</w:t>
      </w:r>
      <w:r>
        <w:rPr>
          <w:rFonts w:hint="eastAsia" w:asciiTheme="minorEastAsia" w:hAnsiTheme="minorEastAsia" w:eastAsiaTheme="minorEastAsia"/>
          <w:sz w:val="24"/>
          <w:szCs w:val="24"/>
          <w:lang w:val="zh-TW" w:eastAsia="zh-CN"/>
        </w:rPr>
        <w:t>如东洋口港经济开发区金牛码头病媒生物监测与防治项目</w:t>
      </w:r>
      <w:r>
        <w:rPr>
          <w:rFonts w:hint="eastAsia" w:asciiTheme="minorEastAsia" w:hAnsiTheme="minorEastAsia" w:eastAsiaTheme="minorEastAsia"/>
          <w:sz w:val="24"/>
          <w:szCs w:val="24"/>
          <w:lang w:val="zh-TW" w:eastAsia="zh-TW"/>
        </w:rPr>
        <w:t>，投标人必须到现场进行实地勘察，了解项目详细概况，中标人进场后不得以不了解现场为由提出增加费用的要求。</w:t>
      </w:r>
    </w:p>
    <w:p w14:paraId="65E4B008">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5</w:t>
      </w:r>
      <w:r>
        <w:rPr>
          <w:rFonts w:hint="eastAsia" w:asciiTheme="minorEastAsia" w:hAnsiTheme="minorEastAsia" w:eastAsiaTheme="minorEastAsia"/>
          <w:b w:val="0"/>
          <w:bCs w:val="0"/>
          <w:sz w:val="24"/>
          <w:szCs w:val="24"/>
          <w:lang w:val="zh-TW" w:eastAsia="zh-TW"/>
        </w:rPr>
        <w:t>．招标文件的约束力</w:t>
      </w:r>
    </w:p>
    <w:p w14:paraId="11421FF7">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5.1</w:t>
      </w:r>
      <w:r>
        <w:rPr>
          <w:rFonts w:hint="eastAsia" w:asciiTheme="minorEastAsia" w:hAnsiTheme="minorEastAsia" w:eastAsiaTheme="minorEastAsia"/>
          <w:sz w:val="24"/>
          <w:szCs w:val="24"/>
          <w:lang w:val="zh-TW" w:eastAsia="zh-TW"/>
        </w:rPr>
        <w:t>投标人一旦领取本招标文件并决定参加投标，即被认为接受了本招标文件的规定和约束，并且视为自招标文件发布之日起已经知道或应当知道招标文件是否损害其自身权益。投标人一旦参加本项目投标，即表明承诺接受了本招标文件中的所有条件和规定。</w:t>
      </w:r>
    </w:p>
    <w:p w14:paraId="30D10047">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二、招标文件</w:t>
      </w:r>
    </w:p>
    <w:p w14:paraId="5D046A73">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6</w:t>
      </w:r>
      <w:r>
        <w:rPr>
          <w:rFonts w:hint="eastAsia" w:asciiTheme="minorEastAsia" w:hAnsiTheme="minorEastAsia" w:eastAsiaTheme="minorEastAsia"/>
          <w:b w:val="0"/>
          <w:bCs w:val="0"/>
          <w:sz w:val="24"/>
          <w:szCs w:val="24"/>
          <w:lang w:val="zh-TW" w:eastAsia="zh-TW"/>
        </w:rPr>
        <w:t>．招标文件构成</w:t>
      </w:r>
    </w:p>
    <w:p w14:paraId="0D74A2A2">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6.1</w:t>
      </w:r>
      <w:r>
        <w:rPr>
          <w:rFonts w:hint="eastAsia" w:asciiTheme="minorEastAsia" w:hAnsiTheme="minorEastAsia" w:eastAsiaTheme="minorEastAsia"/>
          <w:sz w:val="24"/>
          <w:szCs w:val="24"/>
          <w:lang w:val="zh-TW" w:eastAsia="zh-TW"/>
        </w:rPr>
        <w:t xml:space="preserve"> 招标文件</w:t>
      </w:r>
      <w:r>
        <w:rPr>
          <w:rFonts w:hint="eastAsia" w:asciiTheme="minorEastAsia" w:hAnsiTheme="minorEastAsia" w:eastAsiaTheme="minorEastAsia"/>
          <w:sz w:val="24"/>
          <w:szCs w:val="24"/>
          <w:lang w:val="zh-TW" w:eastAsia="zh-CN"/>
        </w:rPr>
        <w:t>由以下部分组成</w:t>
      </w:r>
      <w:r>
        <w:rPr>
          <w:rFonts w:hint="eastAsia" w:asciiTheme="minorEastAsia" w:hAnsiTheme="minorEastAsia" w:eastAsiaTheme="minorEastAsia"/>
          <w:sz w:val="24"/>
          <w:szCs w:val="24"/>
          <w:lang w:val="zh-TW" w:eastAsia="zh-TW"/>
        </w:rPr>
        <w:t>：</w:t>
      </w:r>
    </w:p>
    <w:p w14:paraId="4E8FE70F">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）招标公告</w:t>
      </w:r>
    </w:p>
    <w:p w14:paraId="01A00BDC">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）投标人须知</w:t>
      </w:r>
    </w:p>
    <w:p w14:paraId="73F3AF7D">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）项目需求</w:t>
      </w:r>
    </w:p>
    <w:p w14:paraId="66A053EE">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）评标方法与评标标准</w:t>
      </w:r>
    </w:p>
    <w:p w14:paraId="2FC0D111">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）投标文件格式</w:t>
      </w:r>
    </w:p>
    <w:p w14:paraId="1321397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6.2</w:t>
      </w:r>
      <w:r>
        <w:rPr>
          <w:rFonts w:hint="eastAsia" w:asciiTheme="minorEastAsia" w:hAnsiTheme="minorEastAsia" w:eastAsiaTheme="minorEastAsia"/>
          <w:sz w:val="24"/>
          <w:szCs w:val="24"/>
          <w:lang w:val="zh-TW" w:eastAsia="zh-TW"/>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CA65E39">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7</w:t>
      </w:r>
      <w:r>
        <w:rPr>
          <w:rFonts w:hint="eastAsia" w:asciiTheme="minorEastAsia" w:hAnsiTheme="minorEastAsia" w:eastAsiaTheme="minorEastAsia"/>
          <w:b w:val="0"/>
          <w:bCs w:val="0"/>
          <w:sz w:val="24"/>
          <w:szCs w:val="24"/>
          <w:lang w:val="zh-TW" w:eastAsia="zh-TW"/>
        </w:rPr>
        <w:t>．招标文件的澄清</w:t>
      </w:r>
    </w:p>
    <w:p w14:paraId="1579A24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7.1</w:t>
      </w:r>
      <w:r>
        <w:rPr>
          <w:rFonts w:hint="eastAsia" w:asciiTheme="minorEastAsia" w:hAnsiTheme="minorEastAsia" w:eastAsiaTheme="minorEastAsia"/>
          <w:sz w:val="24"/>
          <w:szCs w:val="24"/>
          <w:lang w:val="zh-TW" w:eastAsia="zh-TW"/>
        </w:rPr>
        <w:t xml:space="preserve"> 任何要求对招标文件进行澄清的投标人，均应在招标文件发出后五日内发送至招标代理专用邮箱（</w:t>
      </w:r>
      <w:r>
        <w:rPr>
          <w:rFonts w:hint="eastAsia" w:asciiTheme="minorEastAsia" w:hAnsiTheme="minorEastAsia" w:eastAsiaTheme="minorEastAsia"/>
          <w:sz w:val="24"/>
          <w:szCs w:val="24"/>
          <w:lang w:eastAsia="zh-CN"/>
        </w:rPr>
        <w:t>1802893279</w:t>
      </w:r>
      <w:r>
        <w:rPr>
          <w:rFonts w:asciiTheme="minorEastAsia" w:hAnsiTheme="minorEastAsia" w:eastAsiaTheme="minorEastAsia"/>
          <w:sz w:val="24"/>
          <w:szCs w:val="24"/>
        </w:rPr>
        <w:t>@qq.com</w:t>
      </w:r>
      <w:r>
        <w:rPr>
          <w:rFonts w:hint="eastAsia" w:asciiTheme="minorEastAsia" w:hAnsiTheme="minorEastAsia" w:eastAsiaTheme="minorEastAsia"/>
          <w:sz w:val="24"/>
          <w:szCs w:val="24"/>
          <w:lang w:val="zh-TW" w:eastAsia="zh-TW"/>
        </w:rPr>
        <w:t>）。采购人认为已发布的招标文件确有必要澄清或者修改的，将发布补充通知。</w:t>
      </w:r>
    </w:p>
    <w:p w14:paraId="76542588">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8</w:t>
      </w:r>
      <w:r>
        <w:rPr>
          <w:rFonts w:hint="eastAsia" w:asciiTheme="minorEastAsia" w:hAnsiTheme="minorEastAsia" w:eastAsiaTheme="minorEastAsia"/>
          <w:b w:val="0"/>
          <w:bCs w:val="0"/>
          <w:sz w:val="24"/>
          <w:szCs w:val="24"/>
          <w:lang w:val="zh-TW" w:eastAsia="zh-TW"/>
        </w:rPr>
        <w:t>．招标文件的修改</w:t>
      </w:r>
    </w:p>
    <w:p w14:paraId="1530D02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8.1</w:t>
      </w:r>
      <w:r>
        <w:rPr>
          <w:rFonts w:hint="eastAsia" w:asciiTheme="minorEastAsia" w:hAnsiTheme="minorEastAsia" w:eastAsiaTheme="minorEastAsia"/>
          <w:sz w:val="24"/>
          <w:szCs w:val="24"/>
          <w:lang w:val="zh-TW" w:eastAsia="zh-TW"/>
        </w:rPr>
        <w:t xml:space="preserve"> 在投标截止时间前，采购人均可以以补充文件的方式对招标文件进行修改。</w:t>
      </w:r>
    </w:p>
    <w:p w14:paraId="0CADA0C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8.2</w:t>
      </w:r>
      <w:r>
        <w:rPr>
          <w:rFonts w:hint="eastAsia" w:asciiTheme="minorEastAsia" w:hAnsiTheme="minorEastAsia" w:eastAsiaTheme="minorEastAsia"/>
          <w:sz w:val="24"/>
          <w:szCs w:val="24"/>
          <w:lang w:val="zh-TW" w:eastAsia="zh-TW"/>
        </w:rPr>
        <w:t>采购人有权按规定要求推迟投标截止日期和开标日期。</w:t>
      </w:r>
    </w:p>
    <w:p w14:paraId="7BFD2EB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8.3</w:t>
      </w:r>
      <w:r>
        <w:rPr>
          <w:rFonts w:hint="eastAsia" w:asciiTheme="minorEastAsia" w:hAnsiTheme="minorEastAsia" w:eastAsiaTheme="minorEastAsia"/>
          <w:sz w:val="24"/>
          <w:szCs w:val="24"/>
          <w:lang w:val="zh-TW" w:eastAsia="zh-TW"/>
        </w:rPr>
        <w:t>招标文件的修改将在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如东限额交易网</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发布媒体公布，补充文件将作为招标文件的组成部分，并对投标人具有约束力。</w:t>
      </w:r>
    </w:p>
    <w:p w14:paraId="3AF5B5BD">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三、投标文件的编制</w:t>
      </w:r>
    </w:p>
    <w:p w14:paraId="7F49E15B">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9</w:t>
      </w:r>
      <w:r>
        <w:rPr>
          <w:rFonts w:hint="eastAsia" w:asciiTheme="minorEastAsia" w:hAnsiTheme="minorEastAsia" w:eastAsiaTheme="minorEastAsia"/>
          <w:b w:val="0"/>
          <w:bCs w:val="0"/>
          <w:sz w:val="24"/>
          <w:szCs w:val="24"/>
          <w:lang w:val="zh-TW" w:eastAsia="zh-TW"/>
        </w:rPr>
        <w:t>．投标文件的语言及度量衡单位</w:t>
      </w:r>
    </w:p>
    <w:p w14:paraId="50576E1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9.1</w:t>
      </w:r>
      <w:r>
        <w:rPr>
          <w:rFonts w:hint="eastAsia" w:asciiTheme="minorEastAsia" w:hAnsiTheme="minorEastAsia" w:eastAsiaTheme="minorEastAsia"/>
          <w:sz w:val="24"/>
          <w:szCs w:val="24"/>
          <w:lang w:val="zh-TW" w:eastAsia="zh-TW"/>
        </w:rPr>
        <w:t xml:space="preserve"> 投标人提交的投标文件以及投标人与采购人就有关投标的所有来往通知、函件和文件均应使用简体中文。</w:t>
      </w:r>
    </w:p>
    <w:p w14:paraId="4528841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9.2</w:t>
      </w:r>
      <w:r>
        <w:rPr>
          <w:rFonts w:hint="eastAsia" w:asciiTheme="minorEastAsia" w:hAnsiTheme="minorEastAsia" w:eastAsiaTheme="minorEastAsia"/>
          <w:sz w:val="24"/>
          <w:szCs w:val="24"/>
          <w:lang w:val="zh-TW" w:eastAsia="zh-TW"/>
        </w:rPr>
        <w:t xml:space="preserve"> 除技术性能另有规定外，投标文件所使用的度量衡单位，均须采用国家法定计量单位。</w:t>
      </w:r>
    </w:p>
    <w:p w14:paraId="3E601E41">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10</w:t>
      </w:r>
      <w:r>
        <w:rPr>
          <w:rFonts w:hint="eastAsia" w:asciiTheme="minorEastAsia" w:hAnsiTheme="minorEastAsia" w:eastAsiaTheme="minorEastAsia"/>
          <w:b w:val="0"/>
          <w:bCs w:val="0"/>
          <w:sz w:val="24"/>
          <w:szCs w:val="24"/>
          <w:lang w:val="zh-TW" w:eastAsia="zh-TW"/>
        </w:rPr>
        <w:t>．投标文件构成</w:t>
      </w:r>
    </w:p>
    <w:p w14:paraId="08756A6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10.1</w:t>
      </w:r>
      <w:r>
        <w:rPr>
          <w:rFonts w:hint="eastAsia" w:asciiTheme="minorEastAsia" w:hAnsiTheme="minorEastAsia" w:eastAsiaTheme="minorEastAsia"/>
          <w:sz w:val="24"/>
          <w:szCs w:val="24"/>
          <w:lang w:val="zh-TW" w:eastAsia="zh-TW"/>
        </w:rPr>
        <w:t xml:space="preserve">投标文件的构成详见第五章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 xml:space="preserve">投标文件格式 </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w:t>
      </w:r>
    </w:p>
    <w:p w14:paraId="1B807DA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10.2 </w:t>
      </w:r>
      <w:r>
        <w:rPr>
          <w:rFonts w:hint="eastAsia" w:asciiTheme="minorEastAsia" w:hAnsiTheme="minorEastAsia" w:eastAsiaTheme="minorEastAsia"/>
          <w:sz w:val="24"/>
          <w:szCs w:val="24"/>
          <w:lang w:val="zh-TW" w:eastAsia="zh-TW"/>
        </w:rPr>
        <w:t>投标人应将投标文件按顺序装订成册，并编制投标文件资料目录。</w:t>
      </w:r>
    </w:p>
    <w:p w14:paraId="2B61A0BA">
      <w:pPr>
        <w:pStyle w:val="18"/>
        <w:tabs>
          <w:tab w:val="left" w:pos="945"/>
        </w:tabs>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10.3</w:t>
      </w:r>
      <w:r>
        <w:rPr>
          <w:rFonts w:hint="eastAsia" w:asciiTheme="minorEastAsia" w:hAnsiTheme="minorEastAsia" w:eastAsiaTheme="minorEastAsia"/>
          <w:sz w:val="24"/>
          <w:szCs w:val="24"/>
          <w:lang w:val="zh-TW" w:eastAsia="zh-TW"/>
        </w:rPr>
        <w:t>投标文件参照投标文件格式中</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投标主要文件目录</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的顺序制作，并请编制目录。由于不按要求编排，编排混乱等导致投标文件被误读或查找不到，责任由投标人承担。</w:t>
      </w:r>
    </w:p>
    <w:p w14:paraId="5B5FBB5D">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11</w:t>
      </w:r>
      <w:r>
        <w:rPr>
          <w:rFonts w:hint="eastAsia" w:asciiTheme="minorEastAsia" w:hAnsiTheme="minorEastAsia" w:eastAsiaTheme="minorEastAsia"/>
          <w:b w:val="0"/>
          <w:bCs w:val="0"/>
          <w:sz w:val="24"/>
          <w:szCs w:val="24"/>
          <w:lang w:val="zh-TW" w:eastAsia="zh-TW"/>
        </w:rPr>
        <w:t>．证明投标人资格及符合招标文件规定的文件</w:t>
      </w:r>
    </w:p>
    <w:p w14:paraId="02A3B6AE">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11.1</w:t>
      </w:r>
      <w:r>
        <w:rPr>
          <w:rFonts w:hint="eastAsia" w:asciiTheme="minorEastAsia" w:hAnsiTheme="minorEastAsia" w:eastAsiaTheme="minorEastAsia"/>
          <w:sz w:val="24"/>
          <w:szCs w:val="24"/>
          <w:lang w:val="zh-TW" w:eastAsia="zh-TW"/>
        </w:rPr>
        <w:t>投标人应按要求提交资格证明文件及符合招标文件规定的文件。</w:t>
      </w:r>
    </w:p>
    <w:p w14:paraId="5DA3E72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11.2</w:t>
      </w:r>
      <w:r>
        <w:rPr>
          <w:rFonts w:hint="eastAsia" w:asciiTheme="minorEastAsia" w:hAnsiTheme="minorEastAsia" w:eastAsiaTheme="minorEastAsia"/>
          <w:sz w:val="24"/>
          <w:szCs w:val="24"/>
          <w:lang w:val="zh-TW" w:eastAsia="zh-TW"/>
        </w:rPr>
        <w:t>投标人除必须具有履行合同所需提供的货物以及服务的能力外，还必须具备相应的财务、技术方面的能力。</w:t>
      </w:r>
    </w:p>
    <w:p w14:paraId="0B5471D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12</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zh-TW" w:eastAsia="zh-TW"/>
        </w:rPr>
        <w:t>有关费用处理。</w:t>
      </w:r>
    </w:p>
    <w:p w14:paraId="41A123FF">
      <w:pPr>
        <w:pStyle w:val="18"/>
        <w:spacing w:line="400" w:lineRule="exact"/>
        <w:ind w:firstLine="480"/>
        <w:rPr>
          <w:rFonts w:hint="eastAsia" w:asciiTheme="minorEastAsia" w:hAnsiTheme="minorEastAsia" w:eastAsiaTheme="minorEastAsia"/>
          <w:sz w:val="24"/>
          <w:szCs w:val="24"/>
          <w:lang w:val="zh-TW"/>
        </w:rPr>
      </w:pPr>
      <w:r>
        <w:rPr>
          <w:rFonts w:hint="eastAsia" w:asciiTheme="minorEastAsia" w:hAnsiTheme="minorEastAsia" w:eastAsiaTheme="minorEastAsia"/>
          <w:sz w:val="24"/>
          <w:szCs w:val="24"/>
          <w:lang w:val="zh-TW" w:eastAsia="zh-TW"/>
        </w:rPr>
        <w:t>投标人报价时应充分考虑服务期间的市场风险和国家政策性风险系数。</w:t>
      </w:r>
      <w:r>
        <w:rPr>
          <w:rFonts w:hint="eastAsia" w:asciiTheme="minorEastAsia" w:hAnsiTheme="minorEastAsia" w:eastAsiaTheme="minorEastAsia"/>
          <w:sz w:val="24"/>
          <w:szCs w:val="24"/>
          <w:lang w:val="en-US" w:eastAsia="zh-CN"/>
        </w:rPr>
        <w:t>投标报价</w:t>
      </w:r>
      <w:r>
        <w:rPr>
          <w:rFonts w:hint="eastAsia" w:asciiTheme="minorEastAsia" w:hAnsiTheme="minorEastAsia" w:eastAsiaTheme="minorEastAsia"/>
          <w:sz w:val="24"/>
          <w:szCs w:val="24"/>
          <w:lang w:val="zh-TW" w:eastAsia="zh-TW"/>
        </w:rPr>
        <w:t>中包括为完成</w:t>
      </w:r>
      <w:r>
        <w:rPr>
          <w:rFonts w:hint="eastAsia" w:asciiTheme="minorEastAsia" w:hAnsiTheme="minorEastAsia" w:eastAsiaTheme="minorEastAsia"/>
          <w:sz w:val="24"/>
          <w:szCs w:val="24"/>
          <w:lang w:val="zh-TW" w:eastAsia="zh-CN"/>
        </w:rPr>
        <w:t>如东洋口港经济开发区金牛码头病媒生物监测与防治项目</w:t>
      </w:r>
      <w:r>
        <w:rPr>
          <w:rFonts w:hint="eastAsia" w:asciiTheme="minorEastAsia" w:hAnsiTheme="minorEastAsia" w:eastAsiaTheme="minorEastAsia"/>
          <w:sz w:val="24"/>
          <w:szCs w:val="24"/>
          <w:lang w:val="zh-TW" w:eastAsia="zh-TW"/>
        </w:rPr>
        <w:t>所需的</w:t>
      </w:r>
      <w:r>
        <w:rPr>
          <w:rFonts w:hint="eastAsia" w:asciiTheme="minorEastAsia" w:hAnsiTheme="minorEastAsia" w:eastAsiaTheme="minorEastAsia"/>
          <w:sz w:val="24"/>
          <w:szCs w:val="24"/>
          <w:lang w:val="zh-TW" w:eastAsia="zh-CN"/>
        </w:rPr>
        <w:t>人工、器械费、药饵费、应急服务费、监测监控费、取样送样、差旅、保险、管理、税金、利润、政策性文件规定及合同包含的所有风险、责任等各项应有费用，即响应本项目的所有应有费用</w:t>
      </w:r>
      <w:r>
        <w:rPr>
          <w:rFonts w:hint="eastAsia" w:asciiTheme="minorEastAsia" w:hAnsiTheme="minorEastAsia" w:eastAsiaTheme="minorEastAsia"/>
          <w:sz w:val="24"/>
          <w:szCs w:val="24"/>
          <w:lang w:val="zh-TW" w:eastAsia="zh-TW"/>
        </w:rPr>
        <w:t>。</w:t>
      </w:r>
    </w:p>
    <w:p w14:paraId="5DEEB903">
      <w:pPr>
        <w:pStyle w:val="18"/>
        <w:spacing w:line="400" w:lineRule="exact"/>
        <w:ind w:firstLine="480"/>
        <w:rPr>
          <w:rFonts w:hint="eastAsia" w:cs="SimSong Bold"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无论本文件是否以文字形式规定，报价供应商应具备足够的专业知识和能力判定本项目所需的一切材料、服务、检测等各种未预见费用，采购方不接受任何可选择的报价，成交供应商也不得在服务期间提出任何增加费用的要求，更不得降低服务质量。</w:t>
      </w:r>
    </w:p>
    <w:p w14:paraId="2A3C9DF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其它费用处理</w:t>
      </w:r>
    </w:p>
    <w:p w14:paraId="728468C3">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招标文件未列明，而投标人认为必需的费用也需列入报价。</w:t>
      </w:r>
    </w:p>
    <w:p w14:paraId="5CB3F9D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12.</w:t>
      </w: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投标货币</w:t>
      </w:r>
    </w:p>
    <w:p w14:paraId="7F84E128">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投标文件中的货物单价和总价无特殊规定的采用人民币报价，以元为单位标注。招标文件中另有规定的按规定执行。</w:t>
      </w:r>
    </w:p>
    <w:p w14:paraId="7195E232">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13</w:t>
      </w:r>
      <w:r>
        <w:rPr>
          <w:rFonts w:hint="eastAsia" w:asciiTheme="minorEastAsia" w:hAnsiTheme="minorEastAsia" w:eastAsiaTheme="minorEastAsia"/>
          <w:b w:val="0"/>
          <w:bCs w:val="0"/>
          <w:sz w:val="24"/>
          <w:szCs w:val="24"/>
          <w:lang w:val="zh-TW" w:eastAsia="zh-TW"/>
        </w:rPr>
        <w:t>．服务承诺及售后服务机构、人员的情况介绍</w:t>
      </w:r>
    </w:p>
    <w:p w14:paraId="1E139453">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 xml:space="preserve"> 投标人的服务承诺应按不低于招标文件中要求的标准。</w:t>
      </w:r>
    </w:p>
    <w:p w14:paraId="702DE6E0">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14</w:t>
      </w:r>
      <w:r>
        <w:rPr>
          <w:rFonts w:hint="eastAsia" w:asciiTheme="minorEastAsia" w:hAnsiTheme="minorEastAsia" w:eastAsiaTheme="minorEastAsia"/>
          <w:b w:val="0"/>
          <w:bCs w:val="0"/>
          <w:sz w:val="24"/>
          <w:szCs w:val="24"/>
          <w:lang w:val="zh-TW" w:eastAsia="zh-TW"/>
        </w:rPr>
        <w:t>．投标函及分项报价表</w:t>
      </w:r>
    </w:p>
    <w:p w14:paraId="2BFF1E74">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投标人应按照招标文件中提供的格式完整、正确填写投标函。</w:t>
      </w:r>
    </w:p>
    <w:p w14:paraId="75402460">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15</w:t>
      </w:r>
      <w:r>
        <w:rPr>
          <w:rFonts w:hint="eastAsia" w:asciiTheme="minorEastAsia" w:hAnsiTheme="minorEastAsia" w:eastAsiaTheme="minorEastAsia"/>
          <w:b w:val="0"/>
          <w:bCs w:val="0"/>
          <w:sz w:val="24"/>
          <w:szCs w:val="24"/>
          <w:lang w:val="zh-TW" w:eastAsia="zh-TW"/>
        </w:rPr>
        <w:t>．</w:t>
      </w:r>
      <w:r>
        <w:rPr>
          <w:rFonts w:cs="黑体" w:asciiTheme="minorEastAsia" w:hAnsiTheme="minorEastAsia" w:eastAsiaTheme="minorEastAsia"/>
          <w:b w:val="0"/>
          <w:bCs w:val="0"/>
          <w:sz w:val="24"/>
          <w:szCs w:val="24"/>
          <w:lang w:val="zh-TW" w:eastAsia="zh-TW"/>
        </w:rPr>
        <w:t>投标保证金及履约保证金</w:t>
      </w:r>
    </w:p>
    <w:p w14:paraId="38C067B8">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rPr>
        <w:t>1</w:t>
      </w:r>
      <w:r>
        <w:rPr>
          <w:rFonts w:asciiTheme="minorEastAsia" w:hAnsiTheme="minorEastAsia" w:eastAsiaTheme="minorEastAsia"/>
          <w:sz w:val="24"/>
          <w:szCs w:val="24"/>
          <w:lang w:val="zh-TW" w:eastAsia="zh-TW"/>
        </w:rPr>
        <w:t xml:space="preserve">5.1 </w:t>
      </w:r>
      <w:r>
        <w:rPr>
          <w:rFonts w:hint="eastAsia" w:asciiTheme="minorEastAsia" w:hAnsiTheme="minorEastAsia" w:eastAsiaTheme="minorEastAsia"/>
          <w:sz w:val="24"/>
          <w:szCs w:val="24"/>
          <w:lang w:val="zh-TW" w:eastAsia="zh-TW"/>
        </w:rPr>
        <w:t>本项目投标保证金：免收。</w:t>
      </w:r>
    </w:p>
    <w:p w14:paraId="4857C699">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lang w:val="zh-TW" w:eastAsia="zh-TW"/>
        </w:rPr>
        <w:t>15.2</w:t>
      </w:r>
      <w:r>
        <w:rPr>
          <w:rFonts w:hint="eastAsia" w:asciiTheme="minorEastAsia" w:hAnsiTheme="minorEastAsia" w:eastAsiaTheme="minorEastAsia"/>
          <w:sz w:val="24"/>
          <w:szCs w:val="24"/>
          <w:lang w:val="zh-TW" w:eastAsia="zh-TW"/>
        </w:rPr>
        <w:t>本项目履约保证金：</w:t>
      </w:r>
      <w:r>
        <w:rPr>
          <w:rFonts w:hint="eastAsia" w:asciiTheme="minorEastAsia" w:hAnsiTheme="minorEastAsia" w:eastAsiaTheme="minorEastAsia"/>
          <w:sz w:val="24"/>
          <w:szCs w:val="24"/>
          <w:lang w:val="zh-TW" w:eastAsia="zh-CN"/>
        </w:rPr>
        <w:t>中标价的3%</w:t>
      </w:r>
      <w:r>
        <w:rPr>
          <w:rFonts w:hint="eastAsia" w:asciiTheme="minorEastAsia" w:hAnsiTheme="minorEastAsia" w:eastAsiaTheme="minorEastAsia"/>
          <w:sz w:val="24"/>
          <w:szCs w:val="24"/>
          <w:lang w:val="zh-TW" w:eastAsia="zh-TW"/>
        </w:rPr>
        <w:t>。</w:t>
      </w:r>
    </w:p>
    <w:p w14:paraId="6A6AC3BB">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履约保证金在由中标人</w:t>
      </w:r>
      <w:r>
        <w:rPr>
          <w:rFonts w:asciiTheme="minorEastAsia" w:hAnsiTheme="minorEastAsia" w:eastAsiaTheme="minorEastAsia"/>
          <w:sz w:val="24"/>
          <w:szCs w:val="24"/>
        </w:rPr>
        <w:t>①</w:t>
      </w:r>
      <w:r>
        <w:rPr>
          <w:rFonts w:hint="eastAsia" w:asciiTheme="minorEastAsia" w:hAnsiTheme="minorEastAsia" w:eastAsiaTheme="minorEastAsia"/>
          <w:sz w:val="24"/>
          <w:szCs w:val="24"/>
          <w:lang w:val="zh-TW" w:eastAsia="zh-TW"/>
        </w:rPr>
        <w:t>经区交易中心备案的合同原件；</w:t>
      </w:r>
      <w:r>
        <w:rPr>
          <w:rFonts w:asciiTheme="minorEastAsia" w:hAnsiTheme="minorEastAsia" w:eastAsiaTheme="minorEastAsia"/>
          <w:sz w:val="24"/>
          <w:szCs w:val="24"/>
        </w:rPr>
        <w:t>②</w:t>
      </w:r>
      <w:r>
        <w:rPr>
          <w:rFonts w:hint="eastAsia" w:asciiTheme="minorEastAsia" w:hAnsiTheme="minorEastAsia" w:eastAsiaTheme="minorEastAsia"/>
          <w:sz w:val="24"/>
          <w:szCs w:val="24"/>
          <w:lang w:val="zh-TW" w:eastAsia="zh-TW"/>
        </w:rPr>
        <w:t>采购人签发的项目验收合格单后按规定退还。</w:t>
      </w:r>
      <w:r>
        <w:rPr>
          <w:rFonts w:asciiTheme="minorEastAsia" w:hAnsiTheme="minorEastAsia" w:eastAsiaTheme="minorEastAsia"/>
          <w:sz w:val="24"/>
          <w:szCs w:val="24"/>
        </w:rPr>
        <w:t xml:space="preserve"> </w:t>
      </w:r>
    </w:p>
    <w:p w14:paraId="1CE3C93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15.3</w:t>
      </w:r>
      <w:r>
        <w:rPr>
          <w:rFonts w:hint="eastAsia" w:asciiTheme="minorEastAsia" w:hAnsiTheme="minorEastAsia" w:eastAsiaTheme="minorEastAsia"/>
          <w:sz w:val="24"/>
          <w:szCs w:val="24"/>
          <w:lang w:val="zh-TW" w:eastAsia="zh-TW"/>
        </w:rPr>
        <w:t xml:space="preserve"> 下列任何情况发生时，投标保证金或履约保证金将被扣除或没收，直至终止合同：</w:t>
      </w:r>
    </w:p>
    <w:p w14:paraId="69AABBC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）投标人在投标有效期内撤回其投标；</w:t>
      </w:r>
    </w:p>
    <w:p w14:paraId="55F2FD7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）投标人提供的有关资料、资格证明文件被确认是不真实的；</w:t>
      </w:r>
    </w:p>
    <w:p w14:paraId="65F18F5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）投标人之间被证实有串通（统一哄抬价格）、欺诈行为；</w:t>
      </w:r>
    </w:p>
    <w:p w14:paraId="7F15251E">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）投标人被证明有妨碍其他人公平竞争、损害交易中心或者其他投标人合法权益的；</w:t>
      </w:r>
    </w:p>
    <w:p w14:paraId="693DDD4B">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）中标人在规定期限内未能根据规定签订合同的；</w:t>
      </w:r>
    </w:p>
    <w:p w14:paraId="055F6795">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6</w:t>
      </w:r>
      <w:r>
        <w:rPr>
          <w:rFonts w:hint="eastAsia" w:asciiTheme="minorEastAsia" w:hAnsiTheme="minorEastAsia" w:eastAsiaTheme="minorEastAsia"/>
          <w:sz w:val="24"/>
          <w:szCs w:val="24"/>
          <w:lang w:val="zh-TW" w:eastAsia="zh-TW"/>
        </w:rPr>
        <w:t>）中标人在规定期限内不同意交纳履约保证金；</w:t>
      </w:r>
    </w:p>
    <w:p w14:paraId="381570BB">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7</w:t>
      </w:r>
      <w:r>
        <w:rPr>
          <w:rFonts w:hint="eastAsia" w:asciiTheme="minorEastAsia" w:hAnsiTheme="minorEastAsia" w:eastAsiaTheme="minorEastAsia"/>
          <w:sz w:val="24"/>
          <w:szCs w:val="24"/>
          <w:lang w:val="zh-TW" w:eastAsia="zh-TW"/>
        </w:rPr>
        <w:t>）中标人未能在规定期限内完成相应工作量，将终止合同，没收履约保证金；</w:t>
      </w:r>
    </w:p>
    <w:p w14:paraId="29929937">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8</w:t>
      </w:r>
      <w:r>
        <w:rPr>
          <w:rFonts w:hint="eastAsia" w:asciiTheme="minorEastAsia" w:hAnsiTheme="minorEastAsia" w:eastAsiaTheme="minorEastAsia"/>
          <w:sz w:val="24"/>
          <w:szCs w:val="24"/>
          <w:lang w:val="zh-TW" w:eastAsia="zh-TW"/>
        </w:rPr>
        <w:t>）在招标过程中，投标人有违法违规行为的；</w:t>
      </w:r>
    </w:p>
    <w:p w14:paraId="780CA04E">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9</w:t>
      </w:r>
      <w:r>
        <w:rPr>
          <w:rFonts w:hint="eastAsia" w:asciiTheme="minorEastAsia" w:hAnsiTheme="minorEastAsia" w:eastAsiaTheme="minorEastAsia"/>
          <w:sz w:val="24"/>
          <w:szCs w:val="24"/>
          <w:lang w:val="zh-TW" w:eastAsia="zh-TW"/>
        </w:rPr>
        <w:t>）中标人放弃中标资格的；</w:t>
      </w:r>
    </w:p>
    <w:p w14:paraId="176EBB9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10</w:t>
      </w:r>
      <w:r>
        <w:rPr>
          <w:rFonts w:hint="eastAsia" w:asciiTheme="minorEastAsia" w:hAnsiTheme="minorEastAsia" w:eastAsiaTheme="minorEastAsia"/>
          <w:sz w:val="24"/>
          <w:szCs w:val="24"/>
          <w:lang w:val="zh-TW" w:eastAsia="zh-TW"/>
        </w:rPr>
        <w:t>）投标人或中标人有违反</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投标诚信承诺书</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承诺约定的；</w:t>
      </w:r>
    </w:p>
    <w:p w14:paraId="08426023">
      <w:pPr>
        <w:pStyle w:val="18"/>
        <w:spacing w:line="400" w:lineRule="exact"/>
        <w:ind w:firstLine="480"/>
        <w:rPr>
          <w:rFonts w:hint="eastAsia" w:asciiTheme="minorEastAsia" w:hAnsiTheme="minorEastAsia" w:eastAsiaTheme="minorEastAsia"/>
          <w:sz w:val="24"/>
          <w:szCs w:val="24"/>
          <w:lang w:val="zh-TW"/>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11</w:t>
      </w:r>
      <w:r>
        <w:rPr>
          <w:rFonts w:hint="eastAsia" w:asciiTheme="minorEastAsia" w:hAnsiTheme="minorEastAsia" w:eastAsiaTheme="minorEastAsia"/>
          <w:sz w:val="24"/>
          <w:szCs w:val="24"/>
          <w:lang w:val="zh-TW" w:eastAsia="zh-TW"/>
        </w:rPr>
        <w:t>）投标人或中标人有其他违反本招标文件及《中华人民共和国政府采购法》等相关法律法规的行为的。</w:t>
      </w:r>
    </w:p>
    <w:p w14:paraId="51EDBB60">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16</w:t>
      </w:r>
      <w:r>
        <w:rPr>
          <w:rFonts w:hint="eastAsia" w:asciiTheme="minorEastAsia" w:hAnsiTheme="minorEastAsia" w:eastAsiaTheme="minorEastAsia"/>
          <w:sz w:val="24"/>
          <w:szCs w:val="24"/>
          <w:lang w:val="zh-TW" w:eastAsia="zh-TW"/>
        </w:rPr>
        <w:t>．投标有效期</w:t>
      </w:r>
    </w:p>
    <w:p w14:paraId="0ACFCF6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16.1 </w:t>
      </w:r>
      <w:r>
        <w:rPr>
          <w:rFonts w:hint="eastAsia" w:asciiTheme="minorEastAsia" w:hAnsiTheme="minorEastAsia" w:eastAsiaTheme="minorEastAsia"/>
          <w:sz w:val="24"/>
          <w:szCs w:val="24"/>
          <w:lang w:val="zh-TW" w:eastAsia="zh-TW"/>
        </w:rPr>
        <w:t>投标有效期为招标文件中规定的开标之日后六十（</w:t>
      </w:r>
      <w:r>
        <w:rPr>
          <w:rFonts w:asciiTheme="minorEastAsia" w:hAnsiTheme="minorEastAsia" w:eastAsiaTheme="minorEastAsia"/>
          <w:sz w:val="24"/>
          <w:szCs w:val="24"/>
        </w:rPr>
        <w:t>60</w:t>
      </w:r>
      <w:r>
        <w:rPr>
          <w:rFonts w:hint="eastAsia" w:asciiTheme="minorEastAsia" w:hAnsiTheme="minorEastAsia" w:eastAsiaTheme="minorEastAsia"/>
          <w:sz w:val="24"/>
          <w:szCs w:val="24"/>
          <w:lang w:val="zh-TW" w:eastAsia="zh-TW"/>
        </w:rPr>
        <w:t>）日历天。投标有效期比规定短的将被视为非响应性投标而予以拒绝。</w:t>
      </w:r>
    </w:p>
    <w:p w14:paraId="6154D63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16.2</w:t>
      </w:r>
      <w:r>
        <w:rPr>
          <w:rFonts w:hint="eastAsia" w:asciiTheme="minorEastAsia" w:hAnsiTheme="minorEastAsia" w:eastAsiaTheme="minorEastAsia"/>
          <w:sz w:val="24"/>
          <w:szCs w:val="24"/>
          <w:lang w:val="zh-TW" w:eastAsia="zh-TW"/>
        </w:rPr>
        <w:t xml:space="preserve"> 在特殊情况下，采购人于原投标有效期满之前，可向投标人提出延长投标有效期的要求。这种要求与答复均应采用书面形式。投标人可以拒绝采购人的这一要求而放弃投标，采购人在接到投标人书面答复后，将在原投标有效期满后五日内无息退还其投标保证金。同意延长投标有效期的投标人既不能要求也不允许修改其投标文件。第</w:t>
      </w:r>
      <w:r>
        <w:rPr>
          <w:rFonts w:asciiTheme="minorEastAsia" w:hAnsiTheme="minorEastAsia" w:eastAsiaTheme="minorEastAsia"/>
          <w:sz w:val="24"/>
          <w:szCs w:val="24"/>
        </w:rPr>
        <w:t>16</w:t>
      </w:r>
      <w:r>
        <w:rPr>
          <w:rFonts w:hint="eastAsia" w:asciiTheme="minorEastAsia" w:hAnsiTheme="minorEastAsia" w:eastAsiaTheme="minorEastAsia"/>
          <w:sz w:val="24"/>
          <w:szCs w:val="24"/>
          <w:lang w:val="zh-TW" w:eastAsia="zh-TW"/>
        </w:rPr>
        <w:t>条有关投标保证金的没收和退还的规定在延长期内继续有效，同时受投标有效期约束的所有权利与义务均延长至新的有效期。</w:t>
      </w:r>
    </w:p>
    <w:p w14:paraId="0EAC065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17</w:t>
      </w:r>
      <w:r>
        <w:rPr>
          <w:rFonts w:hint="eastAsia" w:asciiTheme="minorEastAsia" w:hAnsiTheme="minorEastAsia" w:eastAsiaTheme="minorEastAsia"/>
          <w:sz w:val="24"/>
          <w:szCs w:val="24"/>
          <w:lang w:val="zh-TW" w:eastAsia="zh-TW"/>
        </w:rPr>
        <w:t>．投标文件份数和签署</w:t>
      </w:r>
    </w:p>
    <w:p w14:paraId="787B9D61">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17.1</w:t>
      </w:r>
      <w:r>
        <w:rPr>
          <w:rFonts w:hint="eastAsia" w:asciiTheme="minorEastAsia" w:hAnsiTheme="minorEastAsia" w:eastAsiaTheme="minorEastAsia"/>
          <w:sz w:val="24"/>
          <w:szCs w:val="24"/>
          <w:lang w:val="zh-TW" w:eastAsia="zh-TW"/>
        </w:rPr>
        <w:t>投标文件由投标人法定代表人或其授权代表签字。授权代表须将法定代表人以书面形式出具的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法定代表人授权书</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（原件）附在投标文件中。</w:t>
      </w:r>
    </w:p>
    <w:p w14:paraId="39517C6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17.2</w:t>
      </w:r>
      <w:r>
        <w:rPr>
          <w:rFonts w:hint="eastAsia" w:asciiTheme="minorEastAsia" w:hAnsiTheme="minorEastAsia" w:eastAsiaTheme="minorEastAsia"/>
          <w:sz w:val="24"/>
          <w:szCs w:val="24"/>
          <w:lang w:val="zh-TW" w:eastAsia="zh-TW"/>
        </w:rPr>
        <w:t>除投标人对错处做必要修改外，投标文件不得行间插字、涂改或增删。如有修改错漏处，必须由法定代表人或其授权委托人签字或盖章。投标供应商在投标文件及相关文件的签订、履行、通知等事项的书面文件中的单位盖章、印章、公章等处均仅指与当事人名称全称相一致的公章。不符合本条规定的投标将被拒绝或做无效投标处理。</w:t>
      </w:r>
    </w:p>
    <w:p w14:paraId="061EB0D3">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18</w:t>
      </w:r>
      <w:r>
        <w:rPr>
          <w:rFonts w:hint="eastAsia" w:asciiTheme="minorEastAsia" w:hAnsiTheme="minorEastAsia" w:eastAsiaTheme="minorEastAsia"/>
          <w:sz w:val="24"/>
          <w:szCs w:val="24"/>
          <w:lang w:val="zh-TW" w:eastAsia="zh-TW"/>
        </w:rPr>
        <w:t>．投标文件的标记</w:t>
      </w:r>
    </w:p>
    <w:p w14:paraId="6272389C">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18.1</w:t>
      </w:r>
      <w:r>
        <w:rPr>
          <w:rFonts w:hint="eastAsia" w:asciiTheme="minorEastAsia" w:hAnsiTheme="minorEastAsia" w:eastAsiaTheme="minorEastAsia"/>
          <w:sz w:val="24"/>
          <w:szCs w:val="24"/>
          <w:lang w:val="zh-TW" w:eastAsia="zh-TW"/>
        </w:rPr>
        <w:t>投标人在投标文件中的单位盖章、印章、公章等处均仅指与当事人名称全称相一致的标准公章，不得使用</w:t>
      </w:r>
      <w:r>
        <w:rPr>
          <w:rFonts w:hint="eastAsia" w:asciiTheme="minorEastAsia" w:hAnsiTheme="minorEastAsia" w:eastAsiaTheme="minorEastAsia"/>
          <w:sz w:val="24"/>
          <w:szCs w:val="24"/>
          <w:lang w:val="zh-TW" w:eastAsia="zh-CN"/>
        </w:rPr>
        <w:t>其他形式</w:t>
      </w:r>
      <w:r>
        <w:rPr>
          <w:rFonts w:hint="eastAsia" w:asciiTheme="minorEastAsia" w:hAnsiTheme="minorEastAsia" w:eastAsiaTheme="minorEastAsia"/>
          <w:sz w:val="24"/>
          <w:szCs w:val="24"/>
          <w:lang w:val="zh-TW" w:eastAsia="zh-TW"/>
        </w:rPr>
        <w:t>（如带有</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专用章</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等字样的印章）。不符合本条规定的评标评委会有权做无效投标处理。</w:t>
      </w:r>
    </w:p>
    <w:p w14:paraId="52F2AE1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18.2 </w:t>
      </w:r>
      <w:r>
        <w:rPr>
          <w:rFonts w:hint="eastAsia" w:asciiTheme="minorEastAsia" w:hAnsiTheme="minorEastAsia" w:eastAsiaTheme="minorEastAsia"/>
          <w:sz w:val="24"/>
          <w:szCs w:val="24"/>
          <w:lang w:val="zh-TW" w:eastAsia="zh-TW"/>
        </w:rPr>
        <w:t>投标文件分为资审文件、技术标和经济标文件三个部分</w:t>
      </w:r>
    </w:p>
    <w:p w14:paraId="430D4DAB">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各投标单位须按招标文件要求将</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内，将按招标文件要求的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内，将按招标文件要求的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w:t>
      </w:r>
    </w:p>
    <w:p w14:paraId="7069847E">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四、投标文件的递交</w:t>
      </w:r>
    </w:p>
    <w:p w14:paraId="1B0CBAC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19</w:t>
      </w:r>
      <w:r>
        <w:rPr>
          <w:rFonts w:hint="eastAsia" w:asciiTheme="minorEastAsia" w:hAnsiTheme="minorEastAsia" w:eastAsiaTheme="minorEastAsia"/>
          <w:sz w:val="24"/>
          <w:szCs w:val="24"/>
          <w:lang w:val="zh-TW" w:eastAsia="zh-TW"/>
        </w:rPr>
        <w:t>．本项目采用不见面招投标，开标当日，投标人不必抵达开标现场，仅需在任意地点通过</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如东县限额交易网</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参加开标会议（不见面开标的系统网址为</w:t>
      </w:r>
      <w:r>
        <w:rPr>
          <w:rFonts w:asciiTheme="minorEastAsia" w:hAnsiTheme="minorEastAsia" w:eastAsiaTheme="minorEastAsia"/>
          <w:sz w:val="24"/>
          <w:szCs w:val="24"/>
        </w:rPr>
        <w:t>http://www.rudong.net/web/index</w:t>
      </w:r>
      <w:r>
        <w:rPr>
          <w:rFonts w:hint="eastAsia" w:asciiTheme="minorEastAsia" w:hAnsiTheme="minorEastAsia" w:eastAsiaTheme="minorEastAsia"/>
          <w:sz w:val="24"/>
          <w:szCs w:val="24"/>
          <w:lang w:val="zh-TW" w:eastAsia="zh-TW"/>
        </w:rPr>
        <w:t>）并在投标截止时间后需要进行投标文件的解密，并根据需要使用聊天室与现场招标人进行互动交流、澄清、提疑以及文件传送等活动。具体操作流程可参见《操作手册》。投标人须在投标截止时间前按照招标文件要求将投标文件上传至系统内相应位置。</w:t>
      </w:r>
    </w:p>
    <w:p w14:paraId="52663870">
      <w:pPr>
        <w:pStyle w:val="24"/>
        <w:spacing w:line="440" w:lineRule="exact"/>
        <w:ind w:firstLine="482"/>
        <w:outlineLvl w:val="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20</w:t>
      </w:r>
      <w:r>
        <w:rPr>
          <w:rFonts w:hint="eastAsia" w:asciiTheme="minorEastAsia" w:hAnsiTheme="minorEastAsia" w:eastAsiaTheme="minorEastAsia"/>
          <w:sz w:val="24"/>
          <w:szCs w:val="24"/>
          <w:lang w:val="zh-TW" w:eastAsia="zh-TW"/>
        </w:rPr>
        <w:t>．解密时间：投标人解密限定在采购人确定解密时间后半小时内完成（如因投标人个人原因，未在限定时间内完成解密的，将退回其投标文件，不得再参加本项目的投标）。（友情提醒：请各投标人在投标之前熟悉操作手册，及时安装好相关软件系统，并做好电脑环境检查，以免在投标时造成操作失误等现象无法投标 ）</w:t>
      </w:r>
    </w:p>
    <w:p w14:paraId="368FF9DA">
      <w:pPr>
        <w:pStyle w:val="22"/>
        <w:spacing w:before="0" w:after="0" w:line="400" w:lineRule="exact"/>
        <w:ind w:firstLine="480"/>
        <w:rPr>
          <w:rFonts w:hint="eastAsia" w:cs="宋体"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val="zh-TW" w:eastAsia="zh-TW"/>
        </w:rPr>
        <w:t>公共资源交易平台技术服务联系电话：</w:t>
      </w:r>
      <w:r>
        <w:rPr>
          <w:rFonts w:asciiTheme="minorEastAsia" w:hAnsiTheme="minorEastAsia" w:eastAsiaTheme="minorEastAsia"/>
          <w:b w:val="0"/>
          <w:bCs w:val="0"/>
          <w:sz w:val="24"/>
          <w:szCs w:val="24"/>
        </w:rPr>
        <w:t>84800088</w:t>
      </w:r>
    </w:p>
    <w:p w14:paraId="4C70FFE1">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20.1</w:t>
      </w:r>
      <w:r>
        <w:rPr>
          <w:rFonts w:hint="eastAsia" w:asciiTheme="minorEastAsia" w:hAnsiTheme="minorEastAsia" w:eastAsiaTheme="minorEastAsia"/>
          <w:sz w:val="24"/>
          <w:szCs w:val="24"/>
          <w:lang w:val="zh-TW" w:eastAsia="zh-TW"/>
        </w:rPr>
        <w:t>本项目招标文件及相关招标资料必须自行登录公共资源交易平台的项目投标方业务系统进行网上报名（即下载本项目招标文件及相关招标资料），否则拒收投标文件。</w:t>
      </w:r>
    </w:p>
    <w:p w14:paraId="261532DB">
      <w:pPr>
        <w:pStyle w:val="22"/>
        <w:spacing w:before="0" w:after="0" w:line="400" w:lineRule="exact"/>
        <w:ind w:firstLine="480"/>
        <w:rPr>
          <w:rFonts w:hint="eastAsia" w:cs="SimSong Bold" w:asciiTheme="minorEastAsia" w:hAnsiTheme="minorEastAsia" w:eastAsiaTheme="minorEastAsia"/>
          <w:b w:val="0"/>
          <w:bCs w:val="0"/>
          <w:sz w:val="24"/>
          <w:szCs w:val="24"/>
        </w:rPr>
      </w:pPr>
      <w:r>
        <w:rPr>
          <w:rFonts w:asciiTheme="minorEastAsia" w:hAnsiTheme="minorEastAsia" w:eastAsiaTheme="minorEastAsia"/>
          <w:b w:val="0"/>
          <w:bCs w:val="0"/>
          <w:sz w:val="24"/>
          <w:szCs w:val="24"/>
        </w:rPr>
        <w:t>21</w:t>
      </w:r>
      <w:r>
        <w:rPr>
          <w:rFonts w:hint="eastAsia" w:asciiTheme="minorEastAsia" w:hAnsiTheme="minorEastAsia" w:eastAsiaTheme="minorEastAsia"/>
          <w:b w:val="0"/>
          <w:bCs w:val="0"/>
          <w:sz w:val="24"/>
          <w:szCs w:val="24"/>
          <w:lang w:val="zh-TW" w:eastAsia="zh-TW"/>
        </w:rPr>
        <w:t>．</w:t>
      </w:r>
      <w:r>
        <w:rPr>
          <w:rFonts w:hint="eastAsia" w:asciiTheme="minorEastAsia" w:hAnsiTheme="minorEastAsia" w:eastAsiaTheme="minorEastAsia"/>
          <w:b/>
          <w:bCs/>
          <w:sz w:val="24"/>
          <w:szCs w:val="24"/>
          <w:lang w:val="zh-TW" w:eastAsia="zh-TW"/>
        </w:rPr>
        <w:t>本项目投标时不需要提供纸质投标文件。中标单位在确定中标后，必须提供伍份使用系统打印出来（加盖公章）的完整的投标文件交招标代理（投标文件份数：正本壹份，副本肆份，</w:t>
      </w:r>
      <w:r>
        <w:rPr>
          <w:rFonts w:asciiTheme="minorEastAsia" w:hAnsiTheme="minorEastAsia" w:eastAsiaTheme="minorEastAsia"/>
          <w:b/>
          <w:bCs/>
          <w:sz w:val="24"/>
          <w:szCs w:val="24"/>
        </w:rPr>
        <w:t>PDF</w:t>
      </w:r>
      <w:r>
        <w:rPr>
          <w:rFonts w:hint="eastAsia" w:asciiTheme="minorEastAsia" w:hAnsiTheme="minorEastAsia" w:eastAsiaTheme="minorEastAsia"/>
          <w:b/>
          <w:bCs/>
          <w:sz w:val="24"/>
          <w:szCs w:val="24"/>
          <w:lang w:val="zh-TW" w:eastAsia="zh-TW"/>
        </w:rPr>
        <w:t>电子档壹份）</w:t>
      </w:r>
      <w:r>
        <w:rPr>
          <w:rFonts w:hint="eastAsia" w:asciiTheme="minorEastAsia" w:hAnsiTheme="minorEastAsia" w:eastAsiaTheme="minorEastAsia"/>
          <w:b w:val="0"/>
          <w:bCs w:val="0"/>
          <w:sz w:val="24"/>
          <w:szCs w:val="24"/>
          <w:lang w:val="zh-TW" w:eastAsia="zh-TW"/>
        </w:rPr>
        <w:t>。</w:t>
      </w:r>
    </w:p>
    <w:p w14:paraId="164CC66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21.1</w:t>
      </w:r>
      <w:r>
        <w:rPr>
          <w:rFonts w:hint="eastAsia" w:asciiTheme="minorEastAsia" w:hAnsiTheme="minorEastAsia" w:eastAsiaTheme="minorEastAsia"/>
          <w:sz w:val="24"/>
          <w:szCs w:val="24"/>
          <w:lang w:val="zh-TW" w:eastAsia="zh-TW"/>
        </w:rPr>
        <w:t>本项目投标截止时间详见招标公告。</w:t>
      </w:r>
    </w:p>
    <w:p w14:paraId="1A649598">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五、开标与评标</w:t>
      </w:r>
    </w:p>
    <w:p w14:paraId="1FCBADD4">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22</w:t>
      </w:r>
      <w:r>
        <w:rPr>
          <w:rFonts w:hint="eastAsia" w:asciiTheme="minorEastAsia" w:hAnsiTheme="minorEastAsia" w:eastAsiaTheme="minorEastAsia"/>
          <w:b w:val="0"/>
          <w:bCs w:val="0"/>
          <w:sz w:val="24"/>
          <w:szCs w:val="24"/>
          <w:lang w:val="zh-TW" w:eastAsia="zh-TW"/>
        </w:rPr>
        <w:t>．开标</w:t>
      </w:r>
    </w:p>
    <w:p w14:paraId="63D86E0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22.1</w:t>
      </w:r>
      <w:r>
        <w:rPr>
          <w:rFonts w:hint="eastAsia" w:asciiTheme="minorEastAsia" w:hAnsiTheme="minorEastAsia" w:eastAsiaTheme="minorEastAsia"/>
          <w:sz w:val="24"/>
          <w:szCs w:val="24"/>
          <w:lang w:val="zh-TW" w:eastAsia="zh-TW"/>
        </w:rPr>
        <w:t xml:space="preserve"> 采购人或招标代理单位将在招标公告中规定的时间和地点组织公开开标。</w:t>
      </w:r>
    </w:p>
    <w:p w14:paraId="01024F2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22.2</w:t>
      </w:r>
      <w:r>
        <w:rPr>
          <w:rFonts w:hint="eastAsia" w:asciiTheme="minorEastAsia" w:hAnsiTheme="minorEastAsia" w:eastAsiaTheme="minorEastAsia"/>
          <w:sz w:val="24"/>
          <w:szCs w:val="24"/>
          <w:lang w:val="zh-TW" w:eastAsia="zh-TW"/>
        </w:rPr>
        <w:t>开标仪式由招标代理单位主持，采购人代表、监督代表、投标人代表以及有关工作人员参加。</w:t>
      </w:r>
    </w:p>
    <w:p w14:paraId="50A4272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22.3 </w:t>
      </w:r>
      <w:r>
        <w:rPr>
          <w:rFonts w:hint="eastAsia" w:asciiTheme="minorEastAsia" w:hAnsiTheme="minorEastAsia" w:eastAsiaTheme="minorEastAsia"/>
          <w:sz w:val="24"/>
          <w:szCs w:val="24"/>
          <w:lang w:val="zh-TW" w:eastAsia="zh-TW"/>
        </w:rPr>
        <w:t>按照规定同意撤回的投标将不予开封。</w:t>
      </w:r>
    </w:p>
    <w:p w14:paraId="48D91B9E">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22.</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zh-TW" w:eastAsia="zh-TW"/>
        </w:rPr>
        <w:t>投标人在报价时不允许采用选择性报价，否则将被视为无效投标，招标文件有要求的除外。</w:t>
      </w:r>
    </w:p>
    <w:p w14:paraId="4C054E38">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23</w:t>
      </w:r>
      <w:r>
        <w:rPr>
          <w:rFonts w:hint="eastAsia" w:asciiTheme="minorEastAsia" w:hAnsiTheme="minorEastAsia" w:eastAsiaTheme="minorEastAsia"/>
          <w:b w:val="0"/>
          <w:bCs w:val="0"/>
          <w:sz w:val="24"/>
          <w:szCs w:val="24"/>
          <w:lang w:val="zh-TW" w:eastAsia="zh-TW"/>
        </w:rPr>
        <w:t>．评标委员会</w:t>
      </w:r>
    </w:p>
    <w:p w14:paraId="0296A1AD">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 xml:space="preserve">23.1 </w:t>
      </w:r>
      <w:r>
        <w:rPr>
          <w:rFonts w:hint="eastAsia" w:asciiTheme="minorEastAsia" w:hAnsiTheme="minorEastAsia" w:eastAsiaTheme="minorEastAsia"/>
          <w:sz w:val="24"/>
          <w:szCs w:val="24"/>
          <w:lang w:val="zh-TW" w:eastAsia="zh-TW"/>
        </w:rPr>
        <w:t>开标后，交易中心将立即组织评标委员会（以下简称评委会）进行评标。</w:t>
      </w:r>
    </w:p>
    <w:p w14:paraId="67C50977">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23.2 </w:t>
      </w:r>
      <w:r>
        <w:rPr>
          <w:rFonts w:hint="eastAsia" w:asciiTheme="minorEastAsia" w:hAnsiTheme="minorEastAsia" w:eastAsiaTheme="minorEastAsia"/>
          <w:sz w:val="24"/>
          <w:szCs w:val="24"/>
          <w:lang w:val="zh-TW" w:eastAsia="zh-TW"/>
        </w:rPr>
        <w:t>评委会由行业专家、采购人代表组成，且人员构成符合有关规定。</w:t>
      </w:r>
    </w:p>
    <w:p w14:paraId="0D090D1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23.3</w:t>
      </w:r>
      <w:r>
        <w:rPr>
          <w:rFonts w:hint="eastAsia" w:asciiTheme="minorEastAsia" w:hAnsiTheme="minorEastAsia" w:eastAsiaTheme="minorEastAsia"/>
          <w:sz w:val="24"/>
          <w:szCs w:val="24"/>
          <w:lang w:val="zh-TW" w:eastAsia="zh-TW"/>
        </w:rPr>
        <w:t>评委会应以科学、公正的态度参加评审工作并推荐中标候选人或受采购人的委托直接确定中标人。评审专家在评审过程中不受任何干扰，独立、负责地提出评审意见，并对自己的评审意见承担责任。</w:t>
      </w:r>
    </w:p>
    <w:p w14:paraId="2F485405">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23.4</w:t>
      </w:r>
      <w:r>
        <w:rPr>
          <w:rFonts w:hint="eastAsia" w:asciiTheme="minorEastAsia" w:hAnsiTheme="minorEastAsia" w:eastAsiaTheme="minorEastAsia"/>
          <w:sz w:val="24"/>
          <w:szCs w:val="24"/>
          <w:lang w:val="zh-TW" w:eastAsia="zh-TW"/>
        </w:rPr>
        <w:t>评委会将对投标人的商业、技术秘密予以保密。</w:t>
      </w:r>
    </w:p>
    <w:p w14:paraId="04CC18CA">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24</w:t>
      </w:r>
      <w:r>
        <w:rPr>
          <w:rFonts w:hint="eastAsia" w:asciiTheme="minorEastAsia" w:hAnsiTheme="minorEastAsia" w:eastAsiaTheme="minorEastAsia"/>
          <w:b w:val="0"/>
          <w:bCs w:val="0"/>
          <w:sz w:val="24"/>
          <w:szCs w:val="24"/>
          <w:lang w:val="zh-TW" w:eastAsia="zh-TW"/>
        </w:rPr>
        <w:t>．评标过程的保密与公正</w:t>
      </w:r>
    </w:p>
    <w:p w14:paraId="24DFB01C">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24.1</w:t>
      </w:r>
      <w:r>
        <w:rPr>
          <w:rFonts w:hint="eastAsia" w:asciiTheme="minorEastAsia" w:hAnsiTheme="minorEastAsia" w:eastAsiaTheme="minorEastAsia"/>
          <w:sz w:val="24"/>
          <w:szCs w:val="24"/>
          <w:lang w:val="zh-TW" w:eastAsia="zh-TW"/>
        </w:rPr>
        <w:t>公开开标后，直至向中标的投标人授予合同时止，凡是与审查、澄清、评价和比较投标的有关资料以及授标建议等，均不得向投标人或与评标无关的其他人员透露。</w:t>
      </w:r>
    </w:p>
    <w:p w14:paraId="3473FAE3">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24.2</w:t>
      </w:r>
      <w:r>
        <w:rPr>
          <w:rFonts w:hint="eastAsia" w:asciiTheme="minorEastAsia" w:hAnsiTheme="minorEastAsia" w:eastAsiaTheme="minorEastAsia"/>
          <w:sz w:val="24"/>
          <w:szCs w:val="24"/>
          <w:lang w:val="zh-TW" w:eastAsia="zh-TW"/>
        </w:rPr>
        <w:t>在评标过程中，如果投标人试图向交易中心和参与评标的人员施加任何影响，都将会导致其投标被拒绝。</w:t>
      </w:r>
    </w:p>
    <w:p w14:paraId="606CB2B3">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24.3</w:t>
      </w:r>
      <w:r>
        <w:rPr>
          <w:rFonts w:hint="eastAsia" w:asciiTheme="minorEastAsia" w:hAnsiTheme="minorEastAsia" w:eastAsiaTheme="minorEastAsia"/>
          <w:sz w:val="24"/>
          <w:szCs w:val="24"/>
          <w:lang w:val="zh-TW" w:eastAsia="zh-TW"/>
        </w:rPr>
        <w:t>交易中心和评标委员会不向落标的投标人解释落标原因，也不公布评标过程中的相关细节。</w:t>
      </w:r>
    </w:p>
    <w:p w14:paraId="45106DDF">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25</w:t>
      </w:r>
      <w:r>
        <w:rPr>
          <w:rFonts w:hint="eastAsia" w:asciiTheme="minorEastAsia" w:hAnsiTheme="minorEastAsia" w:eastAsiaTheme="minorEastAsia"/>
          <w:b w:val="0"/>
          <w:bCs w:val="0"/>
          <w:sz w:val="24"/>
          <w:szCs w:val="24"/>
          <w:lang w:val="zh-TW" w:eastAsia="zh-TW"/>
        </w:rPr>
        <w:t>．投标的澄清</w:t>
      </w:r>
    </w:p>
    <w:p w14:paraId="2253CC9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26.1</w:t>
      </w:r>
      <w:r>
        <w:rPr>
          <w:rFonts w:hint="eastAsia" w:asciiTheme="minorEastAsia" w:hAnsiTheme="minorEastAsia" w:eastAsiaTheme="minorEastAsia"/>
          <w:sz w:val="24"/>
          <w:szCs w:val="24"/>
          <w:lang w:val="zh-TW" w:eastAsia="zh-TW"/>
        </w:rPr>
        <w:t>评标期间，为有助于对投标文件的审查、评价和比较，评委会有权要求投标人对其投标文件中含义不明确、同类问题表述不一致或者有明显文字和计算错误等内容进行澄清，但并非对每个投标人都作澄清要求。</w:t>
      </w:r>
    </w:p>
    <w:p w14:paraId="03DDA39E">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25.2</w:t>
      </w:r>
      <w:r>
        <w:rPr>
          <w:rFonts w:hint="eastAsia" w:asciiTheme="minorEastAsia" w:hAnsiTheme="minorEastAsia" w:eastAsiaTheme="minorEastAsia"/>
          <w:sz w:val="24"/>
          <w:szCs w:val="24"/>
          <w:lang w:val="zh-TW" w:eastAsia="zh-TW"/>
        </w:rPr>
        <w:t>评标委员会认为有必要，可要求投标人对某些问题作出必要的澄清、说明和纠正。接到评委会澄清要求的投标人应派人按评委会通知的时间和地点做出书面澄清，书面澄清的内容须由投标人法定代表人或授权代表签署，并作为投标文件的补充部分，但投标的价格和实质性的内容不得做任何更改，书面澄清的内容不得超出投标文件的范围或者改变投标文件的实质性内容。</w:t>
      </w:r>
    </w:p>
    <w:p w14:paraId="68DA8C2F">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25.3 </w:t>
      </w:r>
      <w:r>
        <w:rPr>
          <w:rFonts w:hint="eastAsia" w:asciiTheme="minorEastAsia" w:hAnsiTheme="minorEastAsia" w:eastAsiaTheme="minorEastAsia"/>
          <w:sz w:val="24"/>
          <w:szCs w:val="24"/>
          <w:lang w:val="zh-TW" w:eastAsia="zh-TW"/>
        </w:rPr>
        <w:t>接到评委会澄清要求的投标人如未按规定</w:t>
      </w:r>
      <w:r>
        <w:rPr>
          <w:rFonts w:hint="eastAsia" w:asciiTheme="minorEastAsia" w:hAnsiTheme="minorEastAsia" w:eastAsiaTheme="minorEastAsia"/>
          <w:sz w:val="24"/>
          <w:szCs w:val="24"/>
          <w:lang w:val="zh-TW" w:eastAsia="zh-CN"/>
        </w:rPr>
        <w:t>作出</w:t>
      </w:r>
      <w:r>
        <w:rPr>
          <w:rFonts w:hint="eastAsia" w:asciiTheme="minorEastAsia" w:hAnsiTheme="minorEastAsia" w:eastAsiaTheme="minorEastAsia"/>
          <w:sz w:val="24"/>
          <w:szCs w:val="24"/>
          <w:lang w:val="zh-TW" w:eastAsia="zh-TW"/>
        </w:rPr>
        <w:t>澄清，将视为放弃该权利，其风险由投标人自行承担。</w:t>
      </w:r>
    </w:p>
    <w:p w14:paraId="2340D239">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 xml:space="preserve">25.4 </w:t>
      </w:r>
      <w:r>
        <w:rPr>
          <w:rFonts w:hint="eastAsia" w:asciiTheme="minorEastAsia" w:hAnsiTheme="minorEastAsia" w:eastAsiaTheme="minorEastAsia"/>
          <w:sz w:val="24"/>
          <w:szCs w:val="24"/>
          <w:lang w:val="zh-TW" w:eastAsia="zh-TW"/>
        </w:rPr>
        <w:t>评委会不接受投标主动提出的澄清。</w:t>
      </w:r>
    </w:p>
    <w:p w14:paraId="08CDA4CF">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26</w:t>
      </w:r>
      <w:r>
        <w:rPr>
          <w:rFonts w:hint="eastAsia" w:asciiTheme="minorEastAsia" w:hAnsiTheme="minorEastAsia" w:eastAsiaTheme="minorEastAsia"/>
          <w:b w:val="0"/>
          <w:bCs w:val="0"/>
          <w:sz w:val="24"/>
          <w:szCs w:val="24"/>
          <w:lang w:val="zh-TW" w:eastAsia="zh-TW"/>
        </w:rPr>
        <w:t>．对投标文件的初审</w:t>
      </w:r>
    </w:p>
    <w:p w14:paraId="5438535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26.1</w:t>
      </w:r>
      <w:r>
        <w:rPr>
          <w:rFonts w:hint="eastAsia" w:asciiTheme="minorEastAsia" w:hAnsiTheme="minorEastAsia" w:eastAsiaTheme="minorEastAsia"/>
          <w:sz w:val="24"/>
          <w:szCs w:val="24"/>
          <w:lang w:val="zh-TW" w:eastAsia="zh-TW"/>
        </w:rPr>
        <w:t>投标文件初审分为资格性检查和符合性检查。</w:t>
      </w:r>
    </w:p>
    <w:p w14:paraId="0FE22F03">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资格性检查：依据法律法规和招标文件的规定，对投标文件中的资格证明文件、投标保证金等进行审查，以确定投标供应商是否具备投标资格。</w:t>
      </w:r>
    </w:p>
    <w:p w14:paraId="733249F9">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符合性检查：依据招标文件的规定，从投标文件的有效性、完整性和对招标文件的响应程度进行审查，以确定是否对招标文件的实质性要求作出响应。</w:t>
      </w:r>
    </w:p>
    <w:p w14:paraId="6B4CC50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26.2</w:t>
      </w:r>
      <w:r>
        <w:rPr>
          <w:rFonts w:hint="eastAsia" w:asciiTheme="minorEastAsia" w:hAnsiTheme="minorEastAsia" w:eastAsiaTheme="minorEastAsia"/>
          <w:sz w:val="24"/>
          <w:szCs w:val="24"/>
          <w:lang w:val="zh-TW" w:eastAsia="zh-TW"/>
        </w:rPr>
        <w:t>在详细评标之前，将首先审查每份投标文件是否实质性响应了招标文件的要求。实质性响应的投标应该是与招标文件要求的全部条款、条件和规格相符，没有重大偏离的投标。</w:t>
      </w:r>
    </w:p>
    <w:p w14:paraId="40D52AFB">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rPr>
        <w:t>26.3</w:t>
      </w:r>
      <w:r>
        <w:rPr>
          <w:rFonts w:hint="eastAsia" w:asciiTheme="minorEastAsia" w:hAnsiTheme="minorEastAsia" w:eastAsiaTheme="minorEastAsia"/>
          <w:sz w:val="24"/>
          <w:szCs w:val="24"/>
          <w:lang w:val="zh-TW" w:eastAsia="zh-TW"/>
        </w:rPr>
        <w:t>如果投标文件实质上没有响应招标文件的要求，评委会将予以拒绝，投标人不得通过修改或撤销</w:t>
      </w:r>
      <w:r>
        <w:rPr>
          <w:rFonts w:hint="eastAsia" w:asciiTheme="minorEastAsia" w:hAnsiTheme="minorEastAsia" w:eastAsiaTheme="minorEastAsia"/>
          <w:sz w:val="24"/>
          <w:szCs w:val="24"/>
          <w:lang w:val="zh-TW" w:eastAsia="zh-CN"/>
        </w:rPr>
        <w:t>不符</w:t>
      </w:r>
      <w:r>
        <w:rPr>
          <w:rFonts w:hint="eastAsia" w:asciiTheme="minorEastAsia" w:hAnsiTheme="minorEastAsia" w:eastAsiaTheme="minorEastAsia"/>
          <w:sz w:val="24"/>
          <w:szCs w:val="24"/>
          <w:lang w:val="zh-TW" w:eastAsia="zh-TW"/>
        </w:rPr>
        <w:t>合要求的偏离或保留而使其投标成为实质性响应的投标。</w:t>
      </w:r>
    </w:p>
    <w:p w14:paraId="63F01FC8">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26.4</w:t>
      </w:r>
      <w:r>
        <w:rPr>
          <w:rFonts w:hint="eastAsia" w:asciiTheme="minorEastAsia" w:hAnsiTheme="minorEastAsia" w:eastAsiaTheme="minorEastAsia"/>
          <w:sz w:val="24"/>
          <w:szCs w:val="24"/>
          <w:lang w:val="zh-TW" w:eastAsia="zh-TW"/>
        </w:rPr>
        <w:t>评委会将对确定为实质性响应的投标进行进一步审核，看其是否有计算上或累加上的算术错误，若出现相互矛盾之处，应以排列在先的原则为准优先处理：</w:t>
      </w:r>
    </w:p>
    <w:p w14:paraId="0E002CBA">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如果正本与副本不一致，以正本为准。</w:t>
      </w:r>
    </w:p>
    <w:p w14:paraId="37C092B8">
      <w:pPr>
        <w:pStyle w:val="18"/>
        <w:spacing w:line="40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如果以文字表示的数据与数字表示的有差别，以文字为准修正数字。如果大小写金额不一致的，以大写金额为准。</w:t>
      </w:r>
    </w:p>
    <w:p w14:paraId="71C96AB1">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）如果单价乘以数量不等于总价，以单价为准修正总价，但修正后的汇总价格不得高于投标报价；若以单价为准修正总价后的汇总价格高于投标报价的，则以总价为准修正单价，投标报价保持不变。</w:t>
      </w:r>
    </w:p>
    <w:p w14:paraId="570EFDF0">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26.5</w:t>
      </w:r>
      <w:r>
        <w:rPr>
          <w:rFonts w:hint="eastAsia" w:asciiTheme="minorEastAsia" w:hAnsiTheme="minorEastAsia" w:eastAsiaTheme="minorEastAsia"/>
          <w:sz w:val="24"/>
          <w:szCs w:val="24"/>
          <w:lang w:val="zh-TW" w:eastAsia="zh-TW"/>
        </w:rPr>
        <w:t>评委会将按上述修正错误的方法调整投标文件中的投标报价，调整后的价格</w:t>
      </w:r>
      <w:r>
        <w:rPr>
          <w:rFonts w:hint="eastAsia" w:asciiTheme="minorEastAsia" w:hAnsiTheme="minorEastAsia" w:eastAsiaTheme="minorEastAsia"/>
          <w:sz w:val="24"/>
          <w:szCs w:val="24"/>
          <w:lang w:val="zh-TW" w:eastAsia="zh-CN"/>
        </w:rPr>
        <w:t>对</w:t>
      </w:r>
      <w:r>
        <w:rPr>
          <w:rFonts w:hint="eastAsia" w:asciiTheme="minorEastAsia" w:hAnsiTheme="minorEastAsia" w:eastAsiaTheme="minorEastAsia"/>
          <w:sz w:val="24"/>
          <w:szCs w:val="24"/>
          <w:lang w:val="zh-TW" w:eastAsia="zh-TW"/>
        </w:rPr>
        <w:t>投标人具有约束力。如果投标人不接受修正后的价格，则其投标将被拒绝，其投标保证金将被没收。</w:t>
      </w:r>
    </w:p>
    <w:p w14:paraId="7530C0EB">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26.6</w:t>
      </w:r>
      <w:r>
        <w:rPr>
          <w:rFonts w:hint="eastAsia" w:asciiTheme="minorEastAsia" w:hAnsiTheme="minorEastAsia" w:eastAsiaTheme="minorEastAsia"/>
          <w:sz w:val="24"/>
          <w:szCs w:val="24"/>
          <w:lang w:val="zh-TW" w:eastAsia="zh-TW"/>
        </w:rPr>
        <w:t>评委会将允许修正投标文件中不构成重大偏离的、微小的、非正规的、不一致的或不规则的地方，但这些修改不能影响任何投标人相应的名次排列。</w:t>
      </w:r>
    </w:p>
    <w:p w14:paraId="6A65E451">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27</w:t>
      </w:r>
      <w:r>
        <w:rPr>
          <w:rFonts w:hint="eastAsia" w:asciiTheme="minorEastAsia" w:hAnsiTheme="minorEastAsia" w:eastAsiaTheme="minorEastAsia"/>
          <w:b w:val="0"/>
          <w:bCs w:val="0"/>
          <w:sz w:val="24"/>
          <w:szCs w:val="24"/>
          <w:lang w:val="zh-TW" w:eastAsia="zh-TW"/>
        </w:rPr>
        <w:t>．无效投标条款和废标条款</w:t>
      </w:r>
    </w:p>
    <w:p w14:paraId="61F4D57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27.1</w:t>
      </w:r>
      <w:r>
        <w:rPr>
          <w:rFonts w:hint="eastAsia" w:asciiTheme="minorEastAsia" w:hAnsiTheme="minorEastAsia" w:eastAsiaTheme="minorEastAsia"/>
          <w:sz w:val="24"/>
          <w:szCs w:val="24"/>
          <w:lang w:val="zh-TW" w:eastAsia="zh-TW"/>
        </w:rPr>
        <w:t>无效投标条款</w:t>
      </w:r>
    </w:p>
    <w:p w14:paraId="08ADE823">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）投标人未按本招标文件要求提供投标文件，或投标文件未按要求密封、标记的；</w:t>
      </w:r>
    </w:p>
    <w:p w14:paraId="12AF3925">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）投标人资格证明文件不符合本招标文件要求的；</w:t>
      </w:r>
    </w:p>
    <w:p w14:paraId="672FFD48">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）投标文件未按本招标文件规定的格式制作的；</w:t>
      </w:r>
    </w:p>
    <w:p w14:paraId="37149FE1">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）投标文件未按本招标文件要求盖章及签署的；</w:t>
      </w:r>
    </w:p>
    <w:p w14:paraId="2D4643B8">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）投标人提供虚假、伪造、过期资料的；</w:t>
      </w:r>
    </w:p>
    <w:p w14:paraId="7BA0C088">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6</w:t>
      </w:r>
      <w:r>
        <w:rPr>
          <w:rFonts w:hint="eastAsia" w:asciiTheme="minorEastAsia" w:hAnsiTheme="minorEastAsia" w:eastAsiaTheme="minorEastAsia"/>
          <w:sz w:val="24"/>
          <w:szCs w:val="24"/>
          <w:lang w:val="zh-TW" w:eastAsia="zh-TW"/>
        </w:rPr>
        <w:t>）报价资料漏项、字迹模糊，无法</w:t>
      </w:r>
      <w:r>
        <w:rPr>
          <w:rFonts w:hint="eastAsia" w:asciiTheme="minorEastAsia" w:hAnsiTheme="minorEastAsia" w:eastAsiaTheme="minorEastAsia"/>
          <w:sz w:val="24"/>
          <w:szCs w:val="24"/>
          <w:lang w:val="zh-TW" w:eastAsia="zh-CN"/>
        </w:rPr>
        <w:t>辨认</w:t>
      </w:r>
      <w:r>
        <w:rPr>
          <w:rFonts w:hint="eastAsia" w:asciiTheme="minorEastAsia" w:hAnsiTheme="minorEastAsia" w:eastAsiaTheme="minorEastAsia"/>
          <w:sz w:val="24"/>
          <w:szCs w:val="24"/>
          <w:lang w:val="zh-TW" w:eastAsia="zh-TW"/>
        </w:rPr>
        <w:t>的；</w:t>
      </w:r>
    </w:p>
    <w:p w14:paraId="610727AD">
      <w:pPr>
        <w:pStyle w:val="18"/>
        <w:tabs>
          <w:tab w:val="left" w:pos="900"/>
        </w:tabs>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7</w:t>
      </w:r>
      <w:r>
        <w:rPr>
          <w:rFonts w:hint="eastAsia" w:asciiTheme="minorEastAsia" w:hAnsiTheme="minorEastAsia" w:eastAsiaTheme="minorEastAsia"/>
          <w:sz w:val="24"/>
          <w:szCs w:val="24"/>
          <w:lang w:val="zh-TW" w:eastAsia="zh-TW"/>
        </w:rPr>
        <w:t>）投标报价高于招标控制价的；</w:t>
      </w:r>
    </w:p>
    <w:p w14:paraId="6A8A04DE">
      <w:pPr>
        <w:pStyle w:val="18"/>
        <w:tabs>
          <w:tab w:val="left" w:pos="900"/>
        </w:tabs>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8</w:t>
      </w:r>
      <w:r>
        <w:rPr>
          <w:rFonts w:hint="eastAsia" w:asciiTheme="minorEastAsia" w:hAnsiTheme="minorEastAsia" w:eastAsiaTheme="minorEastAsia"/>
          <w:sz w:val="24"/>
          <w:szCs w:val="24"/>
          <w:lang w:val="zh-TW" w:eastAsia="zh-TW"/>
        </w:rPr>
        <w:t>）投标人改变本采购文件提供的清单中的计量单位、数量的；</w:t>
      </w:r>
    </w:p>
    <w:p w14:paraId="4BE99D80">
      <w:pPr>
        <w:pStyle w:val="18"/>
        <w:widowControl/>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9</w:t>
      </w:r>
      <w:r>
        <w:rPr>
          <w:rFonts w:hint="eastAsia" w:asciiTheme="minorEastAsia" w:hAnsiTheme="minorEastAsia" w:eastAsiaTheme="minorEastAsia"/>
          <w:sz w:val="24"/>
          <w:szCs w:val="24"/>
          <w:lang w:val="zh-TW" w:eastAsia="zh-TW"/>
        </w:rPr>
        <w:t>）投标文件提出了不能满足本招标文件要求或招标人不能接受的工程验收、计量、价款结算支付办法；</w:t>
      </w:r>
    </w:p>
    <w:p w14:paraId="5C4C2412">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10</w:t>
      </w:r>
      <w:r>
        <w:rPr>
          <w:rFonts w:hint="eastAsia" w:asciiTheme="minorEastAsia" w:hAnsiTheme="minorEastAsia" w:eastAsiaTheme="minorEastAsia"/>
          <w:sz w:val="24"/>
          <w:szCs w:val="24"/>
          <w:lang w:val="zh-TW" w:eastAsia="zh-TW"/>
        </w:rPr>
        <w:t>）报价资料中有两个或两个以上报价的；</w:t>
      </w:r>
    </w:p>
    <w:p w14:paraId="7010A7F1">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11</w:t>
      </w:r>
      <w:r>
        <w:rPr>
          <w:rFonts w:hint="eastAsia" w:asciiTheme="minorEastAsia" w:hAnsiTheme="minorEastAsia" w:eastAsiaTheme="minorEastAsia"/>
          <w:sz w:val="24"/>
          <w:szCs w:val="24"/>
          <w:lang w:val="zh-TW" w:eastAsia="zh-TW"/>
        </w:rPr>
        <w:t>）投标人未按本招标文件要求提供电子投标文件或未携带相关投标资料的备查原件到投标现场的；</w:t>
      </w:r>
    </w:p>
    <w:p w14:paraId="4A07CDD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12</w:t>
      </w:r>
      <w:r>
        <w:rPr>
          <w:rFonts w:hint="eastAsia" w:asciiTheme="minorEastAsia" w:hAnsiTheme="minorEastAsia" w:eastAsiaTheme="minorEastAsia"/>
          <w:sz w:val="24"/>
          <w:szCs w:val="24"/>
          <w:lang w:val="zh-TW" w:eastAsia="zh-TW"/>
        </w:rPr>
        <w:t>）投标文件未对招标文件作出实质性响应的；</w:t>
      </w:r>
    </w:p>
    <w:p w14:paraId="2870DD11">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13</w:t>
      </w:r>
      <w:r>
        <w:rPr>
          <w:rFonts w:hint="eastAsia" w:asciiTheme="minorEastAsia" w:hAnsiTheme="minorEastAsia" w:eastAsiaTheme="minorEastAsia"/>
          <w:sz w:val="24"/>
          <w:szCs w:val="24"/>
          <w:lang w:val="zh-TW" w:eastAsia="zh-TW"/>
        </w:rPr>
        <w:t>）投标文件违反法律、法规要求，或本招标文件中另有规定为无效投标情形的；</w:t>
      </w:r>
    </w:p>
    <w:p w14:paraId="0CDDA9D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14</w:t>
      </w:r>
      <w:r>
        <w:rPr>
          <w:rFonts w:hint="eastAsia" w:asciiTheme="minorEastAsia" w:hAnsiTheme="minorEastAsia" w:eastAsiaTheme="minorEastAsia"/>
          <w:sz w:val="24"/>
          <w:szCs w:val="24"/>
          <w:lang w:val="zh-TW" w:eastAsia="zh-TW"/>
        </w:rPr>
        <w:t>）不同投标人委托同一自然人进行投标的；</w:t>
      </w:r>
    </w:p>
    <w:p w14:paraId="2EC9A70D">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15</w:t>
      </w:r>
      <w:r>
        <w:rPr>
          <w:rFonts w:hint="eastAsia" w:asciiTheme="minorEastAsia" w:hAnsiTheme="minorEastAsia" w:eastAsiaTheme="minorEastAsia"/>
          <w:sz w:val="24"/>
          <w:szCs w:val="24"/>
          <w:lang w:val="zh-TW" w:eastAsia="zh-TW"/>
        </w:rPr>
        <w:t>）投标文件资料不全或内容偏离本招标文件规定，评标委员认为未对招标文件作出实质性响应的；</w:t>
      </w:r>
    </w:p>
    <w:p w14:paraId="091A609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16</w:t>
      </w:r>
      <w:r>
        <w:rPr>
          <w:rFonts w:hint="eastAsia" w:asciiTheme="minorEastAsia" w:hAnsiTheme="minorEastAsia" w:eastAsiaTheme="minorEastAsia"/>
          <w:sz w:val="24"/>
          <w:szCs w:val="24"/>
          <w:lang w:val="zh-TW" w:eastAsia="zh-TW"/>
        </w:rPr>
        <w:t>）不同投标人的投标文件以及投标文件制作过</w:t>
      </w:r>
      <w:r>
        <w:rPr>
          <w:rFonts w:hint="eastAsia" w:asciiTheme="minorEastAsia" w:hAnsiTheme="minorEastAsia" w:eastAsiaTheme="minorEastAsia"/>
          <w:sz w:val="24"/>
          <w:szCs w:val="24"/>
          <w:lang w:val="zh-TW" w:eastAsia="zh-CN"/>
        </w:rPr>
        <w:t>程中</w:t>
      </w:r>
      <w:r>
        <w:rPr>
          <w:rFonts w:hint="eastAsia" w:asciiTheme="minorEastAsia" w:hAnsiTheme="minorEastAsia" w:eastAsiaTheme="minorEastAsia"/>
          <w:sz w:val="24"/>
          <w:szCs w:val="24"/>
          <w:lang w:val="zh-TW" w:eastAsia="zh-TW"/>
        </w:rPr>
        <w:t>出现了评标委员会认为不应当雷同的情况的，废标并没收其投标保证金，招标人及监管部门将视情节轻重列入非诚信企业黑名单，取消在洋口港经济开发区（含区镇、集团公司）1-3年所有项目的投标资格；</w:t>
      </w:r>
    </w:p>
    <w:p w14:paraId="53F728B0">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17</w:t>
      </w:r>
      <w:r>
        <w:rPr>
          <w:rFonts w:hint="eastAsia" w:asciiTheme="minorEastAsia" w:hAnsiTheme="minorEastAsia" w:eastAsiaTheme="minorEastAsia"/>
          <w:sz w:val="24"/>
          <w:szCs w:val="24"/>
          <w:lang w:val="zh-TW" w:eastAsia="zh-TW"/>
        </w:rPr>
        <w:t>）以他人的名义投标、串通投标、以行贿手段谋取中标或者以其他弄虚作假方式投标的；废标并没收其投标保证金，招标人及监管部门将视情节轻重列入非诚信企业黑名单，取消在洋口港经济开发区（含区镇、集团公司）1-3年所有项目的投标资格；</w:t>
      </w:r>
    </w:p>
    <w:p w14:paraId="4BE0C081">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18</w:t>
      </w:r>
      <w:r>
        <w:rPr>
          <w:rFonts w:hint="eastAsia" w:asciiTheme="minorEastAsia" w:hAnsiTheme="minorEastAsia" w:eastAsiaTheme="minorEastAsia"/>
          <w:sz w:val="24"/>
          <w:szCs w:val="24"/>
          <w:lang w:val="zh-TW" w:eastAsia="zh-TW"/>
        </w:rPr>
        <w:t>）不同单位的投标经办人若为近亲关系的（父母、夫妻、子女等</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视为串标行为，废标并没收其投标保证金，招标人及监管部门将视情节轻重列入非诚信企业黑名单，取消在洋口港经济开发区（含区镇、集团公司）1-3年所有项目的投标资格；</w:t>
      </w:r>
    </w:p>
    <w:p w14:paraId="0845E32B">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19</w:t>
      </w:r>
      <w:r>
        <w:rPr>
          <w:rFonts w:hint="eastAsia" w:asciiTheme="minorEastAsia" w:hAnsiTheme="minorEastAsia" w:eastAsiaTheme="minorEastAsia"/>
          <w:sz w:val="24"/>
          <w:szCs w:val="24"/>
          <w:lang w:val="zh-TW" w:eastAsia="zh-TW"/>
        </w:rPr>
        <w:t>）若中标人放弃中标的，则没收投标保证金及履约保证金，同时招标人及监管部门将视情节轻重列入非诚信企业黑名单，取消在洋口港经济开发区（含区镇、集团公司）1-3年所有项目的投标资格。</w:t>
      </w:r>
    </w:p>
    <w:p w14:paraId="7C2894FA">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20</w:t>
      </w:r>
      <w:r>
        <w:rPr>
          <w:rFonts w:hint="eastAsia" w:asciiTheme="minorEastAsia" w:hAnsiTheme="minorEastAsia" w:eastAsiaTheme="minorEastAsia"/>
          <w:sz w:val="24"/>
          <w:szCs w:val="24"/>
          <w:lang w:val="zh-TW" w:eastAsia="zh-TW"/>
        </w:rPr>
        <w:t>）投标人未在如东县限额交易网（</w:t>
      </w:r>
      <w:r>
        <w:rPr>
          <w:rFonts w:asciiTheme="minorEastAsia" w:hAnsiTheme="minorEastAsia" w:eastAsiaTheme="minorEastAsia"/>
          <w:sz w:val="24"/>
          <w:szCs w:val="24"/>
        </w:rPr>
        <w:t>http://www.rudong.net/web/index→</w:t>
      </w:r>
      <w:r>
        <w:rPr>
          <w:rFonts w:hint="eastAsia" w:asciiTheme="minorEastAsia" w:hAnsiTheme="minorEastAsia" w:eastAsiaTheme="minorEastAsia"/>
          <w:sz w:val="24"/>
          <w:szCs w:val="24"/>
          <w:lang w:val="zh-TW" w:eastAsia="zh-TW"/>
        </w:rPr>
        <w:t xml:space="preserve">项目投标方）的项目投标方业务系统进行网上报名（即下载本项目招标文件及相关招标资料） </w:t>
      </w:r>
    </w:p>
    <w:p w14:paraId="3BE8290A">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21</w:t>
      </w:r>
      <w:r>
        <w:rPr>
          <w:rFonts w:hint="eastAsia" w:asciiTheme="minorEastAsia" w:hAnsiTheme="minorEastAsia" w:eastAsiaTheme="minorEastAsia"/>
          <w:sz w:val="24"/>
          <w:szCs w:val="24"/>
          <w:lang w:val="zh-TW" w:eastAsia="zh-TW"/>
        </w:rPr>
        <w:t>）未按招标文件要求提供电子投标文件，或者投标文件未能解密且按照采购文件明确的投标文件解密失败的补救方案补救不成功的；</w:t>
      </w:r>
    </w:p>
    <w:p w14:paraId="547B45F7">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27.2</w:t>
      </w:r>
      <w:r>
        <w:rPr>
          <w:rFonts w:hint="eastAsia" w:asciiTheme="minorEastAsia" w:hAnsiTheme="minorEastAsia" w:eastAsiaTheme="minorEastAsia"/>
          <w:sz w:val="24"/>
          <w:szCs w:val="24"/>
          <w:lang w:val="zh-TW" w:eastAsia="zh-TW"/>
        </w:rPr>
        <w:t>废标条款：</w:t>
      </w:r>
    </w:p>
    <w:p w14:paraId="1837ECB3">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）符合专业条件的供应商或者对招标文件作实质响应的供应商不足三家的；</w:t>
      </w:r>
    </w:p>
    <w:p w14:paraId="34804BF2">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）出现影响采购公正的违法、违规行为的；</w:t>
      </w:r>
    </w:p>
    <w:p w14:paraId="38EE503E">
      <w:pPr>
        <w:pStyle w:val="18"/>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lang w:val="zh-TW" w:eastAsia="zh-TW"/>
        </w:rPr>
        <w:t>3</w:t>
      </w:r>
      <w:r>
        <w:rPr>
          <w:rFonts w:hint="eastAsia" w:asciiTheme="minorEastAsia" w:hAnsiTheme="minorEastAsia" w:eastAsiaTheme="minorEastAsia"/>
          <w:sz w:val="24"/>
          <w:szCs w:val="24"/>
          <w:lang w:val="zh-TW" w:eastAsia="zh-TW"/>
        </w:rPr>
        <w:t>）投标人所投标段的报价均超过本项目招标控制价的（本项目招标控制价：</w:t>
      </w:r>
      <w:r>
        <w:rPr>
          <w:rFonts w:hint="eastAsia" w:asciiTheme="minorEastAsia" w:hAnsiTheme="minorEastAsia" w:eastAsiaTheme="minorEastAsia"/>
          <w:sz w:val="24"/>
          <w:szCs w:val="24"/>
          <w:highlight w:val="none"/>
          <w:lang w:val="en-US" w:eastAsia="zh-CN"/>
        </w:rPr>
        <w:t>7万元/年（两年共14万元）</w:t>
      </w:r>
      <w:r>
        <w:rPr>
          <w:rFonts w:hint="eastAsia" w:asciiTheme="minorEastAsia" w:hAnsiTheme="minorEastAsia" w:eastAsiaTheme="minorEastAsia"/>
          <w:sz w:val="24"/>
          <w:szCs w:val="24"/>
          <w:highlight w:val="none"/>
          <w:lang w:val="zh-TW" w:eastAsia="zh-TW"/>
        </w:rPr>
        <w:t>）</w:t>
      </w:r>
      <w:r>
        <w:rPr>
          <w:rFonts w:hint="eastAsia" w:asciiTheme="minorEastAsia" w:hAnsiTheme="minorEastAsia" w:eastAsiaTheme="minorEastAsia"/>
          <w:sz w:val="24"/>
          <w:szCs w:val="24"/>
          <w:lang w:val="zh-TW" w:eastAsia="zh-TW"/>
        </w:rPr>
        <w:t>；</w:t>
      </w:r>
    </w:p>
    <w:p w14:paraId="29891F62">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）因重大变故，采购任务取消的。</w:t>
      </w:r>
    </w:p>
    <w:p w14:paraId="0C85C9AC">
      <w:pPr>
        <w:pStyle w:val="21"/>
        <w:tabs>
          <w:tab w:val="clear" w:pos="720"/>
        </w:tabs>
        <w:spacing w:line="40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六、定标</w:t>
      </w:r>
    </w:p>
    <w:p w14:paraId="03968183">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28</w:t>
      </w:r>
      <w:r>
        <w:rPr>
          <w:rFonts w:hint="eastAsia" w:asciiTheme="minorEastAsia" w:hAnsiTheme="minorEastAsia" w:eastAsiaTheme="minorEastAsia"/>
          <w:b w:val="0"/>
          <w:bCs w:val="0"/>
          <w:sz w:val="24"/>
          <w:szCs w:val="24"/>
          <w:lang w:val="zh-TW" w:eastAsia="zh-TW"/>
        </w:rPr>
        <w:t>．确定中标单位</w:t>
      </w:r>
    </w:p>
    <w:p w14:paraId="3FF330A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28.1</w:t>
      </w:r>
      <w:r>
        <w:rPr>
          <w:rFonts w:hint="eastAsia" w:asciiTheme="minorEastAsia" w:hAnsiTheme="minorEastAsia" w:eastAsiaTheme="minorEastAsia"/>
          <w:sz w:val="24"/>
          <w:szCs w:val="24"/>
          <w:lang w:val="zh-TW" w:eastAsia="zh-TW"/>
        </w:rPr>
        <w:t>评委会根据本招标文件规</w:t>
      </w:r>
      <w:r>
        <w:rPr>
          <w:rFonts w:hint="eastAsia" w:asciiTheme="minorEastAsia" w:hAnsiTheme="minorEastAsia" w:eastAsiaTheme="minorEastAsia"/>
          <w:sz w:val="24"/>
          <w:szCs w:val="24"/>
          <w:lang w:val="zh-TW" w:eastAsia="zh-CN"/>
        </w:rPr>
        <w:t>定的</w:t>
      </w:r>
      <w:r>
        <w:rPr>
          <w:rFonts w:hint="eastAsia" w:asciiTheme="minorEastAsia" w:hAnsiTheme="minorEastAsia" w:eastAsiaTheme="minorEastAsia"/>
          <w:sz w:val="24"/>
          <w:szCs w:val="24"/>
          <w:lang w:val="zh-TW" w:eastAsia="zh-TW"/>
        </w:rPr>
        <w:t>评分办法与评分标准，向采购人推荐不超过</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名中标候选人。任何单项因素的最优不能作为中标、成交的保证。</w:t>
      </w:r>
    </w:p>
    <w:p w14:paraId="6F9DEA4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28.2</w:t>
      </w:r>
      <w:r>
        <w:rPr>
          <w:rFonts w:hint="eastAsia" w:asciiTheme="minorEastAsia" w:hAnsiTheme="minorEastAsia" w:eastAsiaTheme="minorEastAsia"/>
          <w:sz w:val="24"/>
          <w:szCs w:val="24"/>
          <w:lang w:val="zh-TW" w:eastAsia="zh-TW"/>
        </w:rPr>
        <w:t>由采购人根据评委会推荐的中标候选人（多名候选人的根据排名顺序依次）确定中标人。</w:t>
      </w:r>
    </w:p>
    <w:p w14:paraId="18328D4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28.3</w:t>
      </w:r>
      <w:r>
        <w:rPr>
          <w:rFonts w:hint="eastAsia" w:asciiTheme="minorEastAsia" w:hAnsiTheme="minorEastAsia" w:eastAsiaTheme="minorEastAsia"/>
          <w:sz w:val="24"/>
          <w:szCs w:val="24"/>
          <w:lang w:val="zh-TW" w:eastAsia="zh-TW"/>
        </w:rPr>
        <w:t>评审结束后，中标人名单将在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如东限额交易网</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等媒体进行公示。</w:t>
      </w:r>
    </w:p>
    <w:p w14:paraId="66638A3A">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28.4</w:t>
      </w:r>
      <w:r>
        <w:rPr>
          <w:rFonts w:hint="eastAsia" w:asciiTheme="minorEastAsia" w:hAnsiTheme="minorEastAsia" w:eastAsiaTheme="minorEastAsia"/>
          <w:sz w:val="24"/>
          <w:szCs w:val="24"/>
          <w:lang w:val="zh-TW" w:eastAsia="zh-TW"/>
        </w:rPr>
        <w:t>若有充分证据证明，中标（候选人）人出现下列情况之一的，一经查实，将被取消中标资格：</w:t>
      </w:r>
    </w:p>
    <w:p w14:paraId="13BAC94F">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）提供虚假材料谋取中标的；</w:t>
      </w:r>
    </w:p>
    <w:p w14:paraId="7FC9A74C">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）与评审专家、采购人、其他供应商或者交易中心工作人员恶意串通的；</w:t>
      </w:r>
    </w:p>
    <w:p w14:paraId="7624196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TW" w:eastAsia="zh-TW"/>
        </w:rPr>
        <w:t>）向评审专家、采购人或交易中心工作人员行贿或者提供其他不正当利益的；</w:t>
      </w:r>
    </w:p>
    <w:p w14:paraId="61EE60FF">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4</w:t>
      </w:r>
      <w:r>
        <w:rPr>
          <w:rFonts w:hint="eastAsia" w:asciiTheme="minorEastAsia" w:hAnsiTheme="minorEastAsia" w:eastAsiaTheme="minorEastAsia"/>
          <w:sz w:val="24"/>
          <w:szCs w:val="24"/>
          <w:lang w:val="zh-TW" w:eastAsia="zh-TW"/>
        </w:rPr>
        <w:t>）恶意竞争，投标总报价明显低于其自身合理成本且又无法提供证明的；</w:t>
      </w:r>
    </w:p>
    <w:p w14:paraId="110C10D9">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5</w:t>
      </w:r>
      <w:r>
        <w:rPr>
          <w:rFonts w:hint="eastAsia" w:asciiTheme="minorEastAsia" w:hAnsiTheme="minorEastAsia" w:eastAsiaTheme="minorEastAsia"/>
          <w:sz w:val="24"/>
          <w:szCs w:val="24"/>
          <w:lang w:val="zh-TW" w:eastAsia="zh-TW"/>
        </w:rPr>
        <w:t>）不满足本招标文件规定的实质性要求，但在评标过程中又未被评委会发现的；</w:t>
      </w:r>
    </w:p>
    <w:p w14:paraId="16EF1220">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6</w:t>
      </w:r>
      <w:r>
        <w:rPr>
          <w:rFonts w:hint="eastAsia" w:asciiTheme="minorEastAsia" w:hAnsiTheme="minorEastAsia" w:eastAsiaTheme="minorEastAsia"/>
          <w:sz w:val="24"/>
          <w:szCs w:val="24"/>
          <w:lang w:val="zh-TW" w:eastAsia="zh-TW"/>
        </w:rPr>
        <w:t>）不符合</w:t>
      </w:r>
      <w:r>
        <w:rPr>
          <w:rFonts w:hint="eastAsia" w:asciiTheme="minorEastAsia" w:hAnsiTheme="minorEastAsia" w:eastAsiaTheme="minorEastAsia"/>
          <w:sz w:val="24"/>
          <w:szCs w:val="24"/>
          <w:lang w:val="zh-TW" w:eastAsia="zh-CN"/>
        </w:rPr>
        <w:t>法律法规</w:t>
      </w:r>
      <w:r>
        <w:rPr>
          <w:rFonts w:hint="eastAsia" w:asciiTheme="minorEastAsia" w:hAnsiTheme="minorEastAsia" w:eastAsiaTheme="minorEastAsia"/>
          <w:sz w:val="24"/>
          <w:szCs w:val="24"/>
          <w:lang w:val="zh-TW" w:eastAsia="zh-TW"/>
        </w:rPr>
        <w:t>的规定的其他情形。</w:t>
      </w:r>
    </w:p>
    <w:p w14:paraId="6C971F6D">
      <w:pPr>
        <w:pStyle w:val="18"/>
        <w:spacing w:line="400" w:lineRule="exact"/>
        <w:ind w:firstLine="480"/>
        <w:rPr>
          <w:rFonts w:hint="eastAsia" w:cs="宋体"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在此情况下一经认定，报经政府采购监督管理部门批准，交易中心有权重新组织采购。</w:t>
      </w:r>
    </w:p>
    <w:p w14:paraId="7C9D9593">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28.5</w:t>
      </w:r>
      <w:r>
        <w:rPr>
          <w:rFonts w:hint="eastAsia" w:asciiTheme="minorEastAsia" w:hAnsiTheme="minorEastAsia" w:eastAsiaTheme="minorEastAsia"/>
          <w:sz w:val="24"/>
          <w:szCs w:val="24"/>
          <w:lang w:val="zh-TW" w:eastAsia="zh-TW"/>
        </w:rPr>
        <w:t>投标人或中标人有下列情形之一的，其投标保证金不予退还并按本招标文件及《中华人民共和国政府采购法》等相关法律法规给予处罚：</w:t>
      </w:r>
      <w:r>
        <w:rPr>
          <w:rFonts w:asciiTheme="minorEastAsia" w:hAnsiTheme="minorEastAsia" w:eastAsiaTheme="minorEastAsia"/>
          <w:sz w:val="24"/>
          <w:szCs w:val="24"/>
        </w:rPr>
        <w:t>①</w:t>
      </w:r>
      <w:r>
        <w:rPr>
          <w:rFonts w:hint="eastAsia" w:asciiTheme="minorEastAsia" w:hAnsiTheme="minorEastAsia" w:eastAsiaTheme="minorEastAsia"/>
          <w:sz w:val="24"/>
          <w:szCs w:val="24"/>
          <w:lang w:val="zh-TW" w:eastAsia="zh-TW"/>
        </w:rPr>
        <w:t>在招标过程中，投标人有违法违规行为的；</w:t>
      </w:r>
      <w:r>
        <w:rPr>
          <w:rFonts w:asciiTheme="minorEastAsia" w:hAnsiTheme="minorEastAsia" w:eastAsiaTheme="minorEastAsia"/>
          <w:sz w:val="24"/>
          <w:szCs w:val="24"/>
        </w:rPr>
        <w:t>②</w:t>
      </w:r>
      <w:r>
        <w:rPr>
          <w:rFonts w:hint="eastAsia" w:asciiTheme="minorEastAsia" w:hAnsiTheme="minorEastAsia" w:eastAsiaTheme="minorEastAsia"/>
          <w:sz w:val="24"/>
          <w:szCs w:val="24"/>
          <w:lang w:val="zh-TW" w:eastAsia="zh-TW"/>
        </w:rPr>
        <w:t>投标人在投标有效期内撤回投标的；</w:t>
      </w:r>
      <w:r>
        <w:rPr>
          <w:rFonts w:asciiTheme="minorEastAsia" w:hAnsiTheme="minorEastAsia" w:eastAsiaTheme="minorEastAsia"/>
          <w:sz w:val="24"/>
          <w:szCs w:val="24"/>
        </w:rPr>
        <w:t>③</w:t>
      </w:r>
      <w:r>
        <w:rPr>
          <w:rFonts w:hint="eastAsia" w:asciiTheme="minorEastAsia" w:hAnsiTheme="minorEastAsia" w:eastAsiaTheme="minorEastAsia"/>
          <w:sz w:val="24"/>
          <w:szCs w:val="24"/>
          <w:lang w:val="zh-TW" w:eastAsia="zh-TW"/>
        </w:rPr>
        <w:t>中标人放弃中标资格的；</w:t>
      </w:r>
      <w:r>
        <w:rPr>
          <w:rFonts w:asciiTheme="minorEastAsia" w:hAnsiTheme="minorEastAsia" w:eastAsiaTheme="minorEastAsia"/>
          <w:sz w:val="24"/>
          <w:szCs w:val="24"/>
        </w:rPr>
        <w:t>④</w:t>
      </w:r>
      <w:r>
        <w:rPr>
          <w:rFonts w:hint="eastAsia" w:asciiTheme="minorEastAsia" w:hAnsiTheme="minorEastAsia" w:eastAsiaTheme="minorEastAsia"/>
          <w:sz w:val="24"/>
          <w:szCs w:val="24"/>
          <w:lang w:val="zh-TW" w:eastAsia="zh-TW"/>
        </w:rPr>
        <w:t>中标人不按规定</w:t>
      </w:r>
      <w:r>
        <w:rPr>
          <w:rFonts w:hint="eastAsia" w:asciiTheme="minorEastAsia" w:hAnsiTheme="minorEastAsia" w:eastAsiaTheme="minorEastAsia"/>
          <w:sz w:val="24"/>
          <w:szCs w:val="24"/>
          <w:lang w:val="zh-TW" w:eastAsia="zh-CN"/>
        </w:rPr>
        <w:t>签订合同</w:t>
      </w:r>
      <w:r>
        <w:rPr>
          <w:rFonts w:hint="eastAsia" w:asciiTheme="minorEastAsia" w:hAnsiTheme="minorEastAsia" w:eastAsiaTheme="minorEastAsia"/>
          <w:sz w:val="24"/>
          <w:szCs w:val="24"/>
          <w:lang w:val="zh-TW" w:eastAsia="zh-TW"/>
        </w:rPr>
        <w:t>的；</w:t>
      </w:r>
      <w:r>
        <w:rPr>
          <w:rFonts w:asciiTheme="minorEastAsia" w:hAnsiTheme="minorEastAsia" w:eastAsiaTheme="minorEastAsia"/>
          <w:sz w:val="24"/>
          <w:szCs w:val="24"/>
        </w:rPr>
        <w:t>⑤</w:t>
      </w:r>
      <w:r>
        <w:rPr>
          <w:rFonts w:hint="eastAsia" w:asciiTheme="minorEastAsia" w:hAnsiTheme="minorEastAsia" w:eastAsiaTheme="minorEastAsia"/>
          <w:sz w:val="24"/>
          <w:szCs w:val="24"/>
          <w:lang w:val="zh-TW" w:eastAsia="zh-TW"/>
        </w:rPr>
        <w:t>投标人或中标人有违反</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投标诚信承诺书</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承诺约定的</w:t>
      </w:r>
      <w:r>
        <w:rPr>
          <w:rFonts w:asciiTheme="minorEastAsia" w:hAnsiTheme="minorEastAsia" w:eastAsiaTheme="minorEastAsia"/>
          <w:sz w:val="24"/>
          <w:szCs w:val="24"/>
        </w:rPr>
        <w:t>⑥</w:t>
      </w:r>
      <w:r>
        <w:rPr>
          <w:rFonts w:hint="eastAsia" w:asciiTheme="minorEastAsia" w:hAnsiTheme="minorEastAsia" w:eastAsiaTheme="minorEastAsia"/>
          <w:sz w:val="24"/>
          <w:szCs w:val="24"/>
          <w:lang w:val="zh-TW" w:eastAsia="zh-TW"/>
        </w:rPr>
        <w:t>投标人或中标人有其他违反本招标文件及《中华人民共和国政府采购法》等相关法律法规的行为的。</w:t>
      </w:r>
    </w:p>
    <w:p w14:paraId="448027B5">
      <w:pPr>
        <w:pStyle w:val="22"/>
        <w:spacing w:before="0" w:after="0" w:line="40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29</w:t>
      </w:r>
      <w:r>
        <w:rPr>
          <w:rFonts w:hint="eastAsia" w:asciiTheme="minorEastAsia" w:hAnsiTheme="minorEastAsia" w:eastAsiaTheme="minorEastAsia"/>
          <w:b w:val="0"/>
          <w:bCs w:val="0"/>
          <w:sz w:val="24"/>
          <w:szCs w:val="24"/>
          <w:lang w:val="zh-TW" w:eastAsia="zh-TW"/>
        </w:rPr>
        <w:t>．质疑处理</w:t>
      </w:r>
    </w:p>
    <w:p w14:paraId="0380159C">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29.1</w:t>
      </w:r>
      <w:r>
        <w:rPr>
          <w:rFonts w:hint="eastAsia" w:asciiTheme="minorEastAsia" w:hAnsiTheme="minorEastAsia" w:eastAsiaTheme="minorEastAsia"/>
          <w:sz w:val="24"/>
          <w:szCs w:val="24"/>
          <w:lang w:val="zh-TW" w:eastAsia="zh-TW"/>
        </w:rPr>
        <w:t>参加投标供应商认为采购过程和采购结果使自己的权益受到损害的，可以从招标文件发出后第六日起算七个工作日内和采购结果公布之日起七个工作日内，以书面形式向交易中心提出质疑。非书面形式、七个工作日之外提交以及匿名的质疑将不予受理 。</w:t>
      </w:r>
    </w:p>
    <w:p w14:paraId="63C9C6C1">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29.2</w:t>
      </w:r>
      <w:r>
        <w:rPr>
          <w:rFonts w:hint="eastAsia" w:asciiTheme="minorEastAsia" w:hAnsiTheme="minorEastAsia" w:eastAsiaTheme="minorEastAsia"/>
          <w:sz w:val="24"/>
          <w:szCs w:val="24"/>
          <w:lang w:val="zh-TW" w:eastAsia="zh-TW"/>
        </w:rPr>
        <w:t>质疑应由投标供应商法定代表人或参加投标的授权委托人签署并盖公章（原件），质疑必须以参加投标供应商法定代表人或授权代表（投标文件中所确定的）送达的方式提交，未按上述要求提交的质疑函（含传真、电子邮件等）交易中心有权不予受理。</w:t>
      </w:r>
    </w:p>
    <w:p w14:paraId="4EDAC61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29.3</w:t>
      </w:r>
      <w:r>
        <w:rPr>
          <w:rFonts w:hint="eastAsia" w:asciiTheme="minorEastAsia" w:hAnsiTheme="minorEastAsia" w:eastAsiaTheme="minorEastAsia"/>
          <w:sz w:val="24"/>
          <w:szCs w:val="24"/>
          <w:lang w:val="zh-TW" w:eastAsia="zh-TW"/>
        </w:rPr>
        <w:t>未参加投标的供应商或在投标活动中本身权益未受到损害或从投标活动中收益的供应商所提出的质疑也不予受理。</w:t>
      </w:r>
    </w:p>
    <w:p w14:paraId="39EE0A04">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29.4</w:t>
      </w:r>
      <w:r>
        <w:rPr>
          <w:rFonts w:hint="eastAsia" w:asciiTheme="minorEastAsia" w:hAnsiTheme="minorEastAsia" w:eastAsiaTheme="minorEastAsia"/>
          <w:sz w:val="24"/>
          <w:szCs w:val="24"/>
          <w:lang w:val="zh-TW" w:eastAsia="zh-TW"/>
        </w:rPr>
        <w:t>交易中心将在收到投标供应商的书面质疑后七个工作日内作出答复，并以书面形式通知质疑供应商和其他有关供应商，但答复的内容不得涉及商业秘密。</w:t>
      </w:r>
    </w:p>
    <w:p w14:paraId="7C0314FD">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29.5</w:t>
      </w:r>
      <w:r>
        <w:rPr>
          <w:rFonts w:hint="eastAsia" w:asciiTheme="minorEastAsia" w:hAnsiTheme="minorEastAsia" w:eastAsiaTheme="minorEastAsia"/>
          <w:sz w:val="24"/>
          <w:szCs w:val="24"/>
          <w:lang w:val="zh-TW" w:eastAsia="zh-TW"/>
        </w:rPr>
        <w:t>投标人提出书面质疑必须有理、有据，不得恶意质疑或提交虚假质疑。否则，一经查实，交易中心有权依据政府采购的有关规定，报请政府采购监管部门对该投标人进行相应的行政处罚。</w:t>
      </w:r>
    </w:p>
    <w:p w14:paraId="1D493070">
      <w:pPr>
        <w:pStyle w:val="22"/>
        <w:spacing w:before="0" w:after="0" w:line="360" w:lineRule="exact"/>
        <w:ind w:firstLine="480"/>
        <w:rPr>
          <w:rFonts w:hint="eastAsia" w:cs="宋体" w:asciiTheme="minorEastAsia" w:hAnsiTheme="minorEastAsia" w:eastAsiaTheme="minorEastAsia"/>
          <w:b w:val="0"/>
          <w:bCs w:val="0"/>
          <w:sz w:val="24"/>
          <w:szCs w:val="24"/>
        </w:rPr>
      </w:pPr>
      <w:r>
        <w:rPr>
          <w:rFonts w:asciiTheme="minorEastAsia" w:hAnsiTheme="minorEastAsia" w:eastAsiaTheme="minorEastAsia"/>
          <w:b w:val="0"/>
          <w:bCs w:val="0"/>
          <w:sz w:val="24"/>
          <w:szCs w:val="24"/>
        </w:rPr>
        <w:t>30</w:t>
      </w:r>
      <w:r>
        <w:rPr>
          <w:rFonts w:hint="eastAsia" w:asciiTheme="minorEastAsia" w:hAnsiTheme="minorEastAsia" w:eastAsiaTheme="minorEastAsia"/>
          <w:b w:val="0"/>
          <w:bCs w:val="0"/>
          <w:sz w:val="24"/>
          <w:szCs w:val="24"/>
          <w:lang w:val="zh-TW" w:eastAsia="zh-TW"/>
        </w:rPr>
        <w:t>．中标通知书</w:t>
      </w:r>
    </w:p>
    <w:p w14:paraId="1BD3FC5A">
      <w:pPr>
        <w:pStyle w:val="18"/>
        <w:spacing w:line="360" w:lineRule="exact"/>
        <w:ind w:firstLine="480"/>
        <w:rPr>
          <w:rFonts w:hint="eastAsia" w:cs="SimSong Bold" w:asciiTheme="minorEastAsia" w:hAnsiTheme="minorEastAsia" w:eastAsiaTheme="minorEastAsia"/>
          <w:sz w:val="24"/>
          <w:szCs w:val="24"/>
        </w:rPr>
      </w:pPr>
      <w:r>
        <w:rPr>
          <w:rFonts w:asciiTheme="minorEastAsia" w:hAnsiTheme="minorEastAsia" w:eastAsiaTheme="minorEastAsia"/>
          <w:sz w:val="24"/>
          <w:szCs w:val="24"/>
        </w:rPr>
        <w:t>30.l</w:t>
      </w:r>
      <w:r>
        <w:rPr>
          <w:rFonts w:hint="eastAsia" w:asciiTheme="minorEastAsia" w:hAnsiTheme="minorEastAsia" w:eastAsiaTheme="minorEastAsia"/>
          <w:sz w:val="24"/>
          <w:szCs w:val="24"/>
          <w:lang w:val="zh-TW" w:eastAsia="zh-TW"/>
        </w:rPr>
        <w:t>中标人在中标公示期满后</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val="zh-TW" w:eastAsia="zh-TW"/>
        </w:rPr>
        <w:t>日内须按规定在本项目所在地（如东县洋口港经济开发区）领取中标通知书，在中标通知书发出后</w:t>
      </w:r>
      <w:r>
        <w:rPr>
          <w:rFonts w:asciiTheme="minorEastAsia" w:hAnsiTheme="minorEastAsia" w:eastAsiaTheme="minorEastAsia"/>
          <w:sz w:val="24"/>
          <w:szCs w:val="24"/>
        </w:rPr>
        <w:t>7</w:t>
      </w:r>
      <w:r>
        <w:rPr>
          <w:rFonts w:hint="eastAsia" w:asciiTheme="minorEastAsia" w:hAnsiTheme="minorEastAsia" w:eastAsiaTheme="minorEastAsia"/>
          <w:sz w:val="24"/>
          <w:szCs w:val="24"/>
          <w:lang w:val="zh-TW" w:eastAsia="zh-TW"/>
        </w:rPr>
        <w:t>日内缴纳</w:t>
      </w:r>
      <w:r>
        <w:rPr>
          <w:rFonts w:hint="eastAsia" w:asciiTheme="minorEastAsia" w:hAnsiTheme="minorEastAsia" w:eastAsiaTheme="minorEastAsia"/>
          <w:sz w:val="24"/>
          <w:szCs w:val="24"/>
          <w:lang w:val="zh-TW" w:eastAsia="zh-CN"/>
        </w:rPr>
        <w:t>中标价的3%</w:t>
      </w:r>
      <w:r>
        <w:rPr>
          <w:rFonts w:hint="eastAsia" w:asciiTheme="minorEastAsia" w:hAnsiTheme="minorEastAsia" w:eastAsiaTheme="minorEastAsia"/>
          <w:sz w:val="24"/>
          <w:szCs w:val="24"/>
          <w:lang w:val="zh-TW" w:eastAsia="zh-TW"/>
        </w:rPr>
        <w:t>，作为履约保证金，履约保证金提交形式为银行转账（接收账户为招标人指定账户）、网银汇款，履约保证金在项目完成验收合格后退还；中标人在中标通知书发出后</w:t>
      </w:r>
      <w:r>
        <w:rPr>
          <w:rFonts w:asciiTheme="minorEastAsia" w:hAnsiTheme="minorEastAsia" w:eastAsiaTheme="minorEastAsia"/>
          <w:sz w:val="24"/>
          <w:szCs w:val="24"/>
        </w:rPr>
        <w:t>14</w:t>
      </w:r>
      <w:r>
        <w:rPr>
          <w:rFonts w:hint="eastAsia" w:asciiTheme="minorEastAsia" w:hAnsiTheme="minorEastAsia" w:eastAsiaTheme="minorEastAsia"/>
          <w:sz w:val="24"/>
          <w:szCs w:val="24"/>
          <w:lang w:val="zh-TW" w:eastAsia="zh-TW"/>
        </w:rPr>
        <w:t>日内与采购人签订合同；中标人在中标通知书发出后</w:t>
      </w:r>
      <w:r>
        <w:rPr>
          <w:rFonts w:asciiTheme="minorEastAsia" w:hAnsiTheme="minorEastAsia" w:eastAsiaTheme="minorEastAsia"/>
          <w:sz w:val="24"/>
          <w:szCs w:val="24"/>
        </w:rPr>
        <w:t>21</w:t>
      </w:r>
      <w:r>
        <w:rPr>
          <w:rFonts w:hint="eastAsia" w:asciiTheme="minorEastAsia" w:hAnsiTheme="minorEastAsia" w:eastAsiaTheme="minorEastAsia"/>
          <w:sz w:val="24"/>
          <w:szCs w:val="24"/>
          <w:lang w:val="zh-TW" w:eastAsia="zh-TW"/>
        </w:rPr>
        <w:t>日内将与采购人签订的合同原件递交区交易中心进行备案；若中标人因自身原因未能按上述时间节点办理以上相关手续并因此影响项目实施进程，甚至给招标人造成恶劣影响或损失，则视为违约，招标人及区公共资源交易中心将视情节恶劣程度有权作出“取消中标资格，没收投标</w:t>
      </w:r>
      <w:r>
        <w:rPr>
          <w:rFonts w:hint="eastAsia" w:asciiTheme="minorEastAsia" w:hAnsiTheme="minorEastAsia" w:eastAsiaTheme="minorEastAsia"/>
          <w:sz w:val="24"/>
          <w:szCs w:val="24"/>
          <w:lang w:val="zh-TW" w:eastAsia="zh-CN"/>
        </w:rPr>
        <w:t>保证金</w:t>
      </w:r>
      <w:r>
        <w:rPr>
          <w:rFonts w:hint="eastAsia" w:asciiTheme="minorEastAsia" w:hAnsiTheme="minorEastAsia" w:eastAsiaTheme="minorEastAsia"/>
          <w:sz w:val="24"/>
          <w:szCs w:val="24"/>
          <w:lang w:val="zh-TW" w:eastAsia="zh-TW"/>
        </w:rPr>
        <w:t>及履约保证金，并视情节轻重列入非诚信企业黑名单，取消在洋口港经济开发区（含镇区、国有集团公司）1-3年的投标资格”等相关处罚措施。</w:t>
      </w:r>
    </w:p>
    <w:p w14:paraId="2E84BCFF">
      <w:pPr>
        <w:pStyle w:val="18"/>
        <w:spacing w:line="36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30.2</w:t>
      </w:r>
      <w:r>
        <w:rPr>
          <w:rFonts w:hint="eastAsia" w:asciiTheme="minorEastAsia" w:hAnsiTheme="minorEastAsia" w:eastAsiaTheme="minorEastAsia"/>
          <w:sz w:val="24"/>
          <w:szCs w:val="24"/>
          <w:lang w:val="zh-TW" w:eastAsia="zh-TW"/>
        </w:rPr>
        <w:t>中标人应根据国家、省、市、工程所在地政府及相关部门的规定缴纳有关费用，该费用已包含在报价中，采购人不另行给付，费用缴纳的标准中标人可向有关部门查询。</w:t>
      </w:r>
    </w:p>
    <w:p w14:paraId="3553543C">
      <w:pPr>
        <w:pStyle w:val="18"/>
        <w:spacing w:line="36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30.3</w:t>
      </w:r>
      <w:r>
        <w:rPr>
          <w:rFonts w:hint="eastAsia" w:asciiTheme="minorEastAsia" w:hAnsiTheme="minorEastAsia" w:eastAsiaTheme="minorEastAsia"/>
          <w:sz w:val="24"/>
          <w:szCs w:val="24"/>
          <w:lang w:val="zh-TW" w:eastAsia="zh-TW"/>
        </w:rPr>
        <w:t>中标通知书将是合同的一个组成部分。对采购人和中标人均具有法律效力。中标通知书发出后，中标人放弃中标项目的，应当依法承担法律责任。</w:t>
      </w:r>
    </w:p>
    <w:p w14:paraId="58D35438">
      <w:pPr>
        <w:pStyle w:val="21"/>
        <w:tabs>
          <w:tab w:val="clear" w:pos="720"/>
        </w:tabs>
        <w:spacing w:line="360" w:lineRule="exact"/>
        <w:ind w:left="0" w:firstLine="480"/>
        <w:rPr>
          <w:rFonts w:cs="SimSong Bold" w:asciiTheme="minorEastAsia" w:hAnsiTheme="minorEastAsia" w:eastAsiaTheme="minorEastAsia"/>
          <w:b w:val="0"/>
          <w:bCs w:val="0"/>
          <w:sz w:val="24"/>
          <w:szCs w:val="24"/>
          <w:lang w:val="zh-TW" w:eastAsia="zh-TW"/>
        </w:rPr>
      </w:pPr>
      <w:r>
        <w:rPr>
          <w:rFonts w:asciiTheme="minorEastAsia" w:hAnsiTheme="minorEastAsia" w:eastAsiaTheme="minorEastAsia"/>
          <w:b w:val="0"/>
          <w:bCs w:val="0"/>
          <w:sz w:val="24"/>
          <w:szCs w:val="24"/>
          <w:lang w:val="zh-TW" w:eastAsia="zh-TW"/>
        </w:rPr>
        <w:t>七、其他说明</w:t>
      </w:r>
    </w:p>
    <w:p w14:paraId="00CD77AA">
      <w:pPr>
        <w:pStyle w:val="18"/>
        <w:spacing w:line="360" w:lineRule="exact"/>
        <w:ind w:firstLine="480"/>
        <w:jc w:val="left"/>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投标人如对本招标文件中的采购需求（包括详细方案、技术参数、技术需求和服务要求、供应商资格条件、评标方法与评标标准等）有疑问或不明之处，可与采购人联系。采购人对采购项目的采购需求有解释权。在招标过程中如出现投标人针对本项目采购需求提出质疑、疑问，由采购人负责并按规定进行答复。</w:t>
      </w:r>
    </w:p>
    <w:p w14:paraId="1F0718F9">
      <w:pPr>
        <w:pStyle w:val="18"/>
        <w:numPr>
          <w:ilvl w:val="0"/>
          <w:numId w:val="0"/>
        </w:numPr>
        <w:spacing w:line="360" w:lineRule="exact"/>
        <w:jc w:val="left"/>
        <w:rPr>
          <w:rFonts w:hint="default" w:asciiTheme="minorEastAsia" w:hAnsiTheme="minorEastAsia" w:eastAsiaTheme="minorEastAsia"/>
          <w:b w:val="0"/>
          <w:bCs w:val="0"/>
          <w:sz w:val="24"/>
          <w:szCs w:val="24"/>
          <w:lang w:val="en-US" w:eastAsia="zh-CN"/>
        </w:rPr>
      </w:pPr>
    </w:p>
    <w:p w14:paraId="7D7E5CE3">
      <w:pPr>
        <w:rPr>
          <w:rFonts w:hint="eastAsia" w:cs="Arial Unicode MS" w:asciiTheme="minorEastAsia" w:hAnsiTheme="minorEastAsia" w:eastAsiaTheme="minorEastAsia"/>
          <w:color w:val="000000"/>
          <w:kern w:val="2"/>
          <w:u w:color="000000"/>
          <w:lang w:val="zh-TW" w:eastAsia="zh-CN"/>
        </w:rPr>
      </w:pPr>
      <w:r>
        <w:rPr>
          <w:rFonts w:hint="eastAsia" w:asciiTheme="minorEastAsia" w:hAnsiTheme="minorEastAsia" w:eastAsiaTheme="minorEastAsia"/>
          <w:lang w:val="zh-TW" w:eastAsia="zh-CN"/>
        </w:rPr>
        <w:br w:type="page"/>
      </w:r>
    </w:p>
    <w:p w14:paraId="7C919F2A">
      <w:pPr>
        <w:pStyle w:val="20"/>
        <w:keepNext w:val="0"/>
        <w:keepLines w:val="0"/>
        <w:pageBreakBefore w:val="0"/>
        <w:shd w:val="clear" w:fill="FFFFFF" w:themeFill="background1"/>
        <w:kinsoku/>
        <w:wordWrap/>
        <w:overflowPunct/>
        <w:topLinePunct w:val="0"/>
        <w:bidi w:val="0"/>
        <w:spacing w:line="336" w:lineRule="auto"/>
        <w:textAlignment w:val="auto"/>
        <w:rPr>
          <w:rFonts w:hint="eastAsia" w:ascii="宋体" w:hAnsi="宋体" w:eastAsia="宋体" w:cs="宋体"/>
          <w:b/>
          <w:bCs/>
          <w:color w:val="auto"/>
          <w:kern w:val="0"/>
          <w:sz w:val="40"/>
          <w:szCs w:val="40"/>
          <w:highlight w:val="none"/>
          <w:lang w:val="zh-TW" w:eastAsia="zh-TW" w:bidi="ar-SA"/>
        </w:rPr>
      </w:pPr>
      <w:r>
        <w:rPr>
          <w:rFonts w:hint="eastAsia" w:ascii="宋体" w:hAnsi="宋体" w:eastAsia="宋体" w:cs="宋体"/>
          <w:b/>
          <w:bCs/>
          <w:color w:val="auto"/>
          <w:kern w:val="0"/>
          <w:sz w:val="40"/>
          <w:szCs w:val="40"/>
          <w:highlight w:val="none"/>
          <w:lang w:val="zh-TW" w:eastAsia="zh-TW" w:bidi="ar-SA"/>
        </w:rPr>
        <w:t>第三章 项目需求</w:t>
      </w:r>
    </w:p>
    <w:p w14:paraId="7A23EFC8">
      <w:pPr>
        <w:keepNext w:val="0"/>
        <w:keepLines w:val="0"/>
        <w:pageBreakBefore w:val="0"/>
        <w:shd w:val="clear"/>
        <w:kinsoku/>
        <w:wordWrap/>
        <w:overflowPunct/>
        <w:topLinePunct w:val="0"/>
        <w:bidi w:val="0"/>
        <w:spacing w:line="336"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一、病媒生物监测</w:t>
      </w:r>
    </w:p>
    <w:p w14:paraId="7DE723D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1、四定要求：必须遵循“四定”原则，即“定人员、定时间、定生境和定方法”。</w:t>
      </w:r>
    </w:p>
    <w:p w14:paraId="3F378FC7">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定人员：监测周期内，监测人员没有特殊情况不得随意更换。</w:t>
      </w:r>
    </w:p>
    <w:p w14:paraId="0C8667B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定时间：监测周期、频次和器具布放时间，一经确定不得更改，如遇特殊天气可顺延。</w:t>
      </w:r>
    </w:p>
    <w:p w14:paraId="0B11486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定生境：根据</w:t>
      </w:r>
      <w:r>
        <w:rPr>
          <w:rFonts w:hint="eastAsia" w:ascii="宋体" w:hAnsi="宋体" w:eastAsia="宋体" w:cs="宋体"/>
          <w:kern w:val="0"/>
          <w:sz w:val="24"/>
          <w:szCs w:val="24"/>
          <w:highlight w:val="none"/>
          <w:lang w:eastAsia="zh-CN"/>
        </w:rPr>
        <w:t>金牛码头</w:t>
      </w:r>
      <w:r>
        <w:rPr>
          <w:rFonts w:hint="eastAsia" w:ascii="宋体" w:hAnsi="宋体" w:eastAsia="宋体" w:cs="宋体"/>
          <w:kern w:val="0"/>
          <w:sz w:val="24"/>
          <w:szCs w:val="24"/>
          <w:highlight w:val="none"/>
        </w:rPr>
        <w:t>范围和地貌特点，选择具有代表性生态环境为监测点。在监测周期内，不得随意更改生境。</w:t>
      </w:r>
    </w:p>
    <w:p w14:paraId="039B97E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定方法：方法经如东海关认可，一旦确定，不得更改。</w:t>
      </w:r>
    </w:p>
    <w:p w14:paraId="4A534EA5">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2、洋口港病媒生物监测对象：</w:t>
      </w:r>
    </w:p>
    <w:p w14:paraId="58A30179">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鼠类及体表寄生虫（蚤、蜱、螨）；</w:t>
      </w:r>
    </w:p>
    <w:p w14:paraId="57049B9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蚊类（成蚊）；</w:t>
      </w:r>
    </w:p>
    <w:p w14:paraId="47EDACF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伊蚊（卵）；</w:t>
      </w:r>
    </w:p>
    <w:p w14:paraId="7C3B7CF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蝇类。</w:t>
      </w:r>
    </w:p>
    <w:p w14:paraId="5953645C">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3、监测范围及监测点</w:t>
      </w:r>
    </w:p>
    <w:p w14:paraId="72226F6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监测范围为如东洋口港经济开发区金牛码头区域，根据生活区、工作区、外环境3个不同生境确定监测点为：</w:t>
      </w:r>
    </w:p>
    <w:p w14:paraId="66A3BCF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码头及引桥（工作区）</w:t>
      </w:r>
    </w:p>
    <w:p w14:paraId="27ED17BC">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海关监管堆场（外环境）</w:t>
      </w:r>
    </w:p>
    <w:p w14:paraId="4F70603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办公区（生活区）</w:t>
      </w:r>
    </w:p>
    <w:p w14:paraId="0D2342FD">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4、监测时间</w:t>
      </w:r>
    </w:p>
    <w:p w14:paraId="5339AC3D">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鼠及体表寄生虫监测：每季度监测1次。每季度的中间月（2、5、8、11月）的10、11、12日为口岸鼠及体表寄生虫监测日。</w:t>
      </w:r>
    </w:p>
    <w:p w14:paraId="4A780777">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成蚊监测：5-10月每月上下旬各监测一次，每月的6日、26日为口岸成蚊监测日，如遇雨天或风力大于5级以上则向后顺延。</w:t>
      </w:r>
    </w:p>
    <w:p w14:paraId="28071C0B">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伊蚊诱卵器法监测：5-10月每月监测一次，每月的16日为口岸伊蚊诱卵器法监测日，19日现场检查一次，22日回收。</w:t>
      </w:r>
    </w:p>
    <w:p w14:paraId="710C7F5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蝇类监测：4-10月每月上、下二旬各监测1次，每月的4日、24日为蝇类调查监测日，如遇雨天，向后顺延。</w:t>
      </w:r>
    </w:p>
    <w:p w14:paraId="3DD5673E">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5、监测方法</w:t>
      </w:r>
    </w:p>
    <w:p w14:paraId="71D5D506">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 鼠类</w:t>
      </w:r>
    </w:p>
    <w:p w14:paraId="76AA0235">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5.1.1 夹夜法：统一采用标准2号鼠夹，采用市售新鲜生花生米为诱饵，定人定点，于每季度的中间月（2、5、8、11月）的10、11、12日进行监测，每次监测晚17时布夹，次日晨7时收夹。每点每晚布鼠夹100只，连布3晚，室内按每15平方米布鼠夹一个，超过15平方米布鼠夹2个，室内沿墙基放置，鼠夹与墙基垂直平放，踏板端紧靠墙基，并布放于隐蔽处；室外按直线每隔5米布放一个鼠夹，两平行间距约20米。将捕获的鼠类编号进行登记，装入布袋，带回实验室分类鉴定、统计密度，制作标本同时进行病原学检测。鼠夹法鼠密度参考控制标准为小于1%。</w:t>
      </w:r>
    </w:p>
    <w:p w14:paraId="473CD2D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鼠密度=（捕鼠总数/有效夹数）x100%</w:t>
      </w:r>
    </w:p>
    <w:p w14:paraId="3B3F541F">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5.1.2 鼠笼法：在上述</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个相同的调查点，每点每次布放鼠笼10只，晚放晨收（方法同上），鼠笼与墙基垂直平放，鼠笼开口朝向墙面。对捕获的活鼠编号登记，连笼装入布袋带回实验室分类鉴定、统计密度，制作标本同时进行病原学检测。</w:t>
      </w:r>
    </w:p>
    <w:p w14:paraId="424A8D9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鼠笼法鼠密度参考控制标准为小于0.5%。</w:t>
      </w:r>
    </w:p>
    <w:p w14:paraId="7B17B96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鼠密度=（捕鼠总数/有效笼数）x100%</w:t>
      </w:r>
    </w:p>
    <w:p w14:paraId="69087F97">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 蜱、螨、蚤的调查：</w:t>
      </w:r>
    </w:p>
    <w:p w14:paraId="377F4FD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5.2.1 蚤类：</w:t>
      </w:r>
    </w:p>
    <w:p w14:paraId="49134D91">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将捕获鼠及器械放入白布袋，扎紧袋口，置于密闭容器内，用氯仿或乙醚麻醉处理。处理后的鼠体放在白瓷盘上，用梳子或刷子捡蚤，以湿毛笔沾起放入75%酒精中，每只鼠检获的蚤类放入同一试管内，做好唯一性标识，在解剖镜下进行分类计数。</w:t>
      </w:r>
    </w:p>
    <w:p w14:paraId="5B8B9919">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鼠体染蚤率（%）=（染蚤鼠数/捕获鼠数）×100%</w:t>
      </w:r>
    </w:p>
    <w:p w14:paraId="3D62A3FC">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鼠体蚤指数（个/只）=集蚤总数/染蚤鼠数</w:t>
      </w:r>
    </w:p>
    <w:p w14:paraId="3061FA0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蚤构成比（%）=（某种蚤数/集蚤总数）×100%</w:t>
      </w:r>
    </w:p>
    <w:p w14:paraId="4402F431">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5.2.2 鼠体寄生蜱类：</w:t>
      </w:r>
    </w:p>
    <w:p w14:paraId="4D9E916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同鼠类调查同时进行，检蜱方法同蚤类。鼠体染蜱率（%）=（染蜱鼠数/捕获鼠数）×100%</w:t>
      </w:r>
    </w:p>
    <w:p w14:paraId="3C7C9DE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鼠体蜱指数（个/只）=集蜱总数/染蜱鼠数</w:t>
      </w:r>
    </w:p>
    <w:p w14:paraId="361AFC3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蜱构成比（%）=（某种蜱数/集蜱总数）×100%</w:t>
      </w:r>
    </w:p>
    <w:p w14:paraId="18D769E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5.2.3 螨类</w:t>
      </w:r>
    </w:p>
    <w:p w14:paraId="56C54DBF">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同鼠类调查同时进行，检螨方法同蚤类。鼠体染螨率（%）=（染螨鼠数/捕获鼠数）×100%</w:t>
      </w:r>
    </w:p>
    <w:p w14:paraId="02701468">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鼠体螨指数（个/只）=集螨总数/染螨鼠数</w:t>
      </w:r>
    </w:p>
    <w:p w14:paraId="7E0393E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螨构成比（%）=（某种螨数/集螨总数）×100%</w:t>
      </w:r>
    </w:p>
    <w:p w14:paraId="0A9E6B8D">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 成蚊：</w:t>
      </w:r>
    </w:p>
    <w:p w14:paraId="579E654D">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采用二氧化碳全自动高效蚊虫采样器。每月上下旬各监测1次，日落时开始监测，每次监测时长为2小时。捕获的成蚊带回实验室进行分类鉴定、统计密度，制作标本、进行病原学检测。</w:t>
      </w:r>
    </w:p>
    <w:p w14:paraId="4AF1AB6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成蚊参考控制标准为平均密度小于60只/灯·小时。</w:t>
      </w:r>
    </w:p>
    <w:p w14:paraId="585DC422">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平均密度［只/（灯·小时）］＝捕蚊总数/（诱蚊灯数×2）</w:t>
      </w:r>
    </w:p>
    <w:p w14:paraId="1F9F2861">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5.4 伊蚊诱卵器法监测</w:t>
      </w:r>
    </w:p>
    <w:p w14:paraId="0324FA3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5月开始至10月份，于每月中旬的17日在每个监测点放置10个诱卵器（尽量放置在阴暗避光处），拍照、记录，各诱卵器间隔不少于10米，连续放置7日，于第4、7日分别检查、收集诱到的成蚊及蚊卵，记录阳性容器数。同时记录调查期间平均气温和降雨情况。诱蚊诱卵器指数＝（阳性容器数/回收有效的容器数）×100%</w:t>
      </w:r>
    </w:p>
    <w:p w14:paraId="7DF89469">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 成蝇监测：</w:t>
      </w:r>
    </w:p>
    <w:p w14:paraId="685F1F3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采用“诱蝇笼捕集法”，在选定的上述</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个蝇类调查点，每月规定的调查时间内，选用规格为25*25*40CM的圆柱形蝇笼，下置统一采购的混合诱饵，晨放晚收，捕获到的成蝇连同诱蝇笼装入特制的塑料袋内密封，标记，送实验室鉴定分类，计算成蝇密度（只/笼.天）。同时进行携带病原学检测。</w:t>
      </w:r>
    </w:p>
    <w:p w14:paraId="7C975BDE">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蝇类参考控制标准为平均密度小于200只/（笼·日）。</w:t>
      </w:r>
    </w:p>
    <w:p w14:paraId="7DB8DAE7">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平均密度［只/（笼·日）］=捕获蝇总数/诱蝇笼总数</w:t>
      </w:r>
    </w:p>
    <w:p w14:paraId="3877629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6、标本鉴定和送样</w:t>
      </w:r>
    </w:p>
    <w:p w14:paraId="25D72B0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所捕获的病媒生物需按采集点分类，送如东海关组织鉴定、病原学监测及标本制作。</w:t>
      </w:r>
    </w:p>
    <w:p w14:paraId="608A25B4">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7、其他要求</w:t>
      </w:r>
    </w:p>
    <w:p w14:paraId="2479CEB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1、每次调查监测结束后，及时填写相应的监测记录表；</w:t>
      </w:r>
    </w:p>
    <w:p w14:paraId="3E34790E">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2、每次现场监测需拍照留存，包括调查监测现场放置器械的照片、捕获的媒介照片等，图片格式为JPG/PNG，照片右下角需有日期。</w:t>
      </w:r>
    </w:p>
    <w:p w14:paraId="2363316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3、每月最后1个工作日需将本月监测记录表交如东海关。</w:t>
      </w:r>
    </w:p>
    <w:p w14:paraId="2616DE0A">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4、年底对监测结果需进行统计分析，12月31日前出具监测报告。</w:t>
      </w:r>
    </w:p>
    <w:p w14:paraId="05BD8E71">
      <w:pPr>
        <w:keepNext w:val="0"/>
        <w:keepLines w:val="0"/>
        <w:pageBreakBefore w:val="0"/>
        <w:shd w:val="clear"/>
        <w:kinsoku/>
        <w:wordWrap/>
        <w:overflowPunct/>
        <w:topLinePunct w:val="0"/>
        <w:bidi w:val="0"/>
        <w:spacing w:line="336"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二、病媒生物预防控制</w:t>
      </w:r>
    </w:p>
    <w:p w14:paraId="6E286A42">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1、范围：防治范围为如东洋口港经济开发区金牛码头区域</w:t>
      </w:r>
      <w:r>
        <w:rPr>
          <w:rFonts w:hint="eastAsia" w:ascii="宋体" w:hAnsi="宋体" w:eastAsia="宋体" w:cs="宋体"/>
          <w:kern w:val="0"/>
          <w:sz w:val="24"/>
          <w:szCs w:val="24"/>
          <w:highlight w:val="none"/>
          <w:lang w:eastAsia="zh-CN"/>
        </w:rPr>
        <w:t>，包括码头及引桥、海关监管堆场、办公区</w:t>
      </w:r>
      <w:r>
        <w:rPr>
          <w:rFonts w:hint="eastAsia" w:ascii="宋体" w:hAnsi="宋体" w:eastAsia="宋体" w:cs="宋体"/>
          <w:kern w:val="0"/>
          <w:sz w:val="24"/>
          <w:szCs w:val="24"/>
          <w:highlight w:val="none"/>
        </w:rPr>
        <w:t>。</w:t>
      </w:r>
    </w:p>
    <w:p w14:paraId="7B39E8DF">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2、防治对象：鼠、蝇、蚊、蜚蠊</w:t>
      </w:r>
    </w:p>
    <w:p w14:paraId="72484380">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3、防治措施：</w:t>
      </w:r>
    </w:p>
    <w:p w14:paraId="5CCE771C">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3.1需根据港口特点和功能分区及环境条件等实际情况，针对鼠、蝇、蚊、蜚蠊4种媒介对各区域内风险进行评估分级，制定详细的防治方案，方案需经如东海关认可；</w:t>
      </w:r>
    </w:p>
    <w:p w14:paraId="6A4BB3B9">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长效虫控器械布置：盖金牛码头全域，重点区域：码头及引桥沿线、海关监管堆场四周、办公区。合理布置新型毒饵站、连续捕鼠器、捕虫灯、防鼠网等器械，布放数量应满足要求，每个防控器械需有标识标签，并提供总体分布图。新增毒饵站数量不少于</w:t>
      </w:r>
      <w:r>
        <w:rPr>
          <w:rFonts w:hint="eastAsia" w:ascii="宋体" w:hAnsi="宋体" w:eastAsia="宋体" w:cs="宋体"/>
          <w:kern w:val="0"/>
          <w:sz w:val="24"/>
          <w:szCs w:val="24"/>
          <w:highlight w:val="none"/>
          <w:lang w:val="en-US" w:eastAsia="zh-CN"/>
        </w:rPr>
        <w:t>300</w:t>
      </w:r>
      <w:r>
        <w:rPr>
          <w:rFonts w:hint="eastAsia" w:ascii="宋体" w:hAnsi="宋体" w:eastAsia="宋体" w:cs="宋体"/>
          <w:kern w:val="0"/>
          <w:sz w:val="24"/>
          <w:szCs w:val="24"/>
          <w:highlight w:val="none"/>
        </w:rPr>
        <w:t>个、新增连续捕鼠器数量不少于</w:t>
      </w:r>
      <w:r>
        <w:rPr>
          <w:rFonts w:hint="eastAsia" w:ascii="宋体" w:hAnsi="宋体" w:eastAsia="宋体" w:cs="宋体"/>
          <w:kern w:val="0"/>
          <w:sz w:val="24"/>
          <w:szCs w:val="24"/>
          <w:highlight w:val="none"/>
          <w:lang w:val="en-US" w:eastAsia="zh-CN"/>
        </w:rPr>
        <w:t>60</w:t>
      </w:r>
      <w:r>
        <w:rPr>
          <w:rFonts w:hint="eastAsia" w:ascii="宋体" w:hAnsi="宋体" w:eastAsia="宋体" w:cs="宋体"/>
          <w:kern w:val="0"/>
          <w:sz w:val="24"/>
          <w:szCs w:val="24"/>
          <w:highlight w:val="none"/>
        </w:rPr>
        <w:t>个、新增室内外捕虫灯数量不少于</w:t>
      </w:r>
      <w:r>
        <w:rPr>
          <w:rFonts w:hint="eastAsia" w:ascii="宋体" w:hAnsi="宋体" w:eastAsia="宋体" w:cs="宋体"/>
          <w:kern w:val="0"/>
          <w:sz w:val="24"/>
          <w:szCs w:val="24"/>
          <w:highlight w:val="none"/>
          <w:lang w:val="en-US" w:eastAsia="zh-CN"/>
        </w:rPr>
        <w:t>15</w:t>
      </w:r>
      <w:r>
        <w:rPr>
          <w:rFonts w:hint="eastAsia" w:ascii="宋体" w:hAnsi="宋体" w:eastAsia="宋体" w:cs="宋体"/>
          <w:kern w:val="0"/>
          <w:sz w:val="24"/>
          <w:szCs w:val="24"/>
          <w:highlight w:val="none"/>
        </w:rPr>
        <w:t>个。（投标人踏勘现场后可结合金牛码头 3 处点位实际地形优化布点方案，但总配置数量不得低于最低要求）。</w:t>
      </w:r>
    </w:p>
    <w:p w14:paraId="4B3F8573">
      <w:pPr>
        <w:keepNext w:val="0"/>
        <w:keepLines w:val="0"/>
        <w:pageBreakBefore w:val="0"/>
        <w:shd w:val="clear"/>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杀灭措施：根据季节特点和鼠、蝇、蚊、蜚蠊的生性，有针对性定期开展。鼠类控制每年不少于12次（全年每月1次），每月需针对外围毒饵站进行药剂更换及所有鼠类控制器械的清洁维护；蚊、蝇4-11月间不得少于8次（4-11月每月1次），需针对垃圾房、建筑外围绿化、污水处理区、食堂等蚊蝇易滋生区域进行药剂滞留喷洒处理，针对室内蚊蝇捕虫灯进行每月1次的定期清洁维护并更换相应耗材；蜚蠊每年不得少于12次（全年每月1次），每月需针对生活区食堂等易滋生蟑螂的区域进行药物及物理器械控制服务。每年4月、10月需对鼠蟑蚊蝇进行整体密度监测评估（评估方法为，鼠类：夹夜法，不少于300有效夹；蚊：紫外灯诱捕法，不少于5灯次；蝇：笼诱法，不少于10笼次；蟑：粘捕法，不少于50张粘蟑板），对监测发现密度、数量、种群等有超标或其他异常情况的，需及时调整方案。</w:t>
      </w:r>
    </w:p>
    <w:p w14:paraId="22475D4B">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4、其他要求</w:t>
      </w:r>
    </w:p>
    <w:p w14:paraId="15921C77">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4.1现场防制需填写记录、提供每次现场防制服务记录单，并进行统计分析，按季度提交病媒生物防制报告，建立病媒生物防制档案。</w:t>
      </w:r>
    </w:p>
    <w:p w14:paraId="0D184E19">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4.2每次现场防治需拍照留存，照片右下角需有日期。</w:t>
      </w:r>
    </w:p>
    <w:p w14:paraId="1440ADAF">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4.3实施单位需有完善的应急处置预案，发生中毒或其他安全事故能及时有效处置。</w:t>
      </w:r>
    </w:p>
    <w:p w14:paraId="1F2928EE">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4.4实施单位具备规范的药械使用管理体系，所用药品必须全部是国家主管机关部门认可、推荐的药物，器械使用后的清洗要按操作规程，药物残液要带离现场并按有毒物质的规定处理。</w:t>
      </w:r>
    </w:p>
    <w:p w14:paraId="2850331F">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4.5实施单位需为</w:t>
      </w:r>
      <w:r>
        <w:rPr>
          <w:rFonts w:hint="eastAsia" w:ascii="宋体" w:hAnsi="宋体" w:eastAsia="宋体" w:cs="宋体"/>
          <w:kern w:val="0"/>
          <w:sz w:val="24"/>
          <w:szCs w:val="24"/>
          <w:highlight w:val="none"/>
          <w:lang w:val="en-US" w:eastAsia="zh-CN"/>
        </w:rPr>
        <w:t>金牛码头</w:t>
      </w:r>
      <w:r>
        <w:rPr>
          <w:rFonts w:hint="eastAsia" w:ascii="宋体" w:hAnsi="宋体" w:eastAsia="宋体" w:cs="宋体"/>
          <w:kern w:val="0"/>
          <w:sz w:val="24"/>
          <w:szCs w:val="24"/>
          <w:highlight w:val="none"/>
        </w:rPr>
        <w:t>相关单位提供病媒生物防治技术培训，每年2次培训。</w:t>
      </w:r>
    </w:p>
    <w:p w14:paraId="531E471D">
      <w:pPr>
        <w:keepNext w:val="0"/>
        <w:keepLines w:val="0"/>
        <w:pageBreakBefore w:val="0"/>
        <w:kinsoku/>
        <w:wordWrap/>
        <w:overflowPunct/>
        <w:topLinePunct w:val="0"/>
        <w:bidi w:val="0"/>
        <w:spacing w:line="336"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4.6实施单位需提供病媒生物防制实施方案，现场所有工作内容的作业方案、人员安排、药剂选择、器械种类、作业区域、长效器械布置示意图等关键因素均需体现在实施方案内。</w:t>
      </w:r>
    </w:p>
    <w:p w14:paraId="35256A5F">
      <w:pPr>
        <w:keepNext w:val="0"/>
        <w:keepLines w:val="0"/>
        <w:pageBreakBefore w:val="0"/>
        <w:kinsoku/>
        <w:wordWrap/>
        <w:overflowPunct/>
        <w:topLinePunct w:val="0"/>
        <w:autoSpaceDE w:val="0"/>
        <w:autoSpaceDN w:val="0"/>
        <w:bidi w:val="0"/>
        <w:adjustRightInd w:val="0"/>
        <w:spacing w:line="336" w:lineRule="auto"/>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三、服务周期</w:t>
      </w:r>
    </w:p>
    <w:p w14:paraId="6213E6DE">
      <w:pPr>
        <w:keepNext w:val="0"/>
        <w:keepLines w:val="0"/>
        <w:pageBreakBefore w:val="0"/>
        <w:kinsoku/>
        <w:wordWrap/>
        <w:overflowPunct/>
        <w:topLinePunct w:val="0"/>
        <w:bidi w:val="0"/>
        <w:spacing w:line="336" w:lineRule="auto"/>
        <w:ind w:firstLine="480"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2年，具体起止日期以合同签订时间为准。</w:t>
      </w:r>
    </w:p>
    <w:p w14:paraId="37A4B3A3">
      <w:pPr>
        <w:keepNext w:val="0"/>
        <w:keepLines w:val="0"/>
        <w:pageBreakBefore w:val="0"/>
        <w:kinsoku/>
        <w:wordWrap/>
        <w:overflowPunct/>
        <w:topLinePunct w:val="0"/>
        <w:bidi w:val="0"/>
        <w:spacing w:line="336" w:lineRule="auto"/>
        <w:ind w:firstLine="482"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四、相关费用</w:t>
      </w:r>
    </w:p>
    <w:p w14:paraId="67BE41F3">
      <w:pPr>
        <w:keepNext w:val="0"/>
        <w:keepLines w:val="0"/>
        <w:pageBreakBefore w:val="0"/>
        <w:kinsoku/>
        <w:wordWrap/>
        <w:overflowPunct/>
        <w:topLinePunct w:val="0"/>
        <w:autoSpaceDE w:val="0"/>
        <w:autoSpaceDN w:val="0"/>
        <w:bidi w:val="0"/>
        <w:adjustRightInd w:val="0"/>
        <w:spacing w:line="336"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本项目采用固定总价报价方式。 投标人报价时应充分考虑服务期间的市场风险和国家政策性风险系数。</w:t>
      </w:r>
      <w:r>
        <w:rPr>
          <w:rFonts w:hint="eastAsia" w:ascii="宋体" w:hAnsi="宋体" w:eastAsia="宋体" w:cs="宋体"/>
          <w:sz w:val="24"/>
          <w:szCs w:val="24"/>
          <w:highlight w:val="none"/>
          <w:lang w:val="en-US" w:eastAsia="zh-CN"/>
        </w:rPr>
        <w:t>投标报价</w:t>
      </w:r>
      <w:r>
        <w:rPr>
          <w:rFonts w:hint="eastAsia" w:ascii="宋体" w:hAnsi="宋体" w:eastAsia="宋体" w:cs="宋体"/>
          <w:sz w:val="24"/>
          <w:szCs w:val="24"/>
          <w:highlight w:val="none"/>
        </w:rPr>
        <w:t>中包括为完成</w:t>
      </w:r>
      <w:r>
        <w:rPr>
          <w:rFonts w:hint="eastAsia" w:ascii="宋体" w:hAnsi="宋体" w:eastAsia="宋体" w:cs="宋体"/>
          <w:sz w:val="24"/>
          <w:szCs w:val="24"/>
          <w:highlight w:val="none"/>
          <w:lang w:eastAsia="zh-CN"/>
        </w:rPr>
        <w:t>如东洋口港经济开发区金牛码头病媒生物监测与防治项目</w:t>
      </w:r>
      <w:r>
        <w:rPr>
          <w:rFonts w:hint="eastAsia" w:ascii="宋体" w:hAnsi="宋体" w:eastAsia="宋体" w:cs="宋体"/>
          <w:sz w:val="24"/>
          <w:szCs w:val="24"/>
          <w:highlight w:val="none"/>
        </w:rPr>
        <w:t>所需的</w:t>
      </w:r>
      <w:r>
        <w:rPr>
          <w:rFonts w:hint="eastAsia" w:ascii="宋体" w:hAnsi="宋体" w:eastAsia="宋体" w:cs="宋体"/>
          <w:b/>
          <w:bCs/>
          <w:sz w:val="24"/>
          <w:szCs w:val="24"/>
          <w:highlight w:val="none"/>
        </w:rPr>
        <w:t>人工、器械费、药饵费、应急服务费、</w:t>
      </w:r>
      <w:r>
        <w:rPr>
          <w:rFonts w:hint="eastAsia" w:ascii="宋体" w:hAnsi="宋体" w:eastAsia="宋体" w:cs="宋体"/>
          <w:b/>
          <w:bCs/>
          <w:sz w:val="24"/>
          <w:szCs w:val="24"/>
          <w:highlight w:val="none"/>
          <w:lang w:eastAsia="zh-CN"/>
        </w:rPr>
        <w:t>监测监控费</w:t>
      </w:r>
      <w:r>
        <w:rPr>
          <w:rFonts w:hint="eastAsia" w:ascii="宋体" w:hAnsi="宋体" w:eastAsia="宋体" w:cs="宋体"/>
          <w:b/>
          <w:bCs/>
          <w:sz w:val="24"/>
          <w:szCs w:val="24"/>
          <w:highlight w:val="none"/>
        </w:rPr>
        <w:t>、取样送样、差旅、保险、管理、税金、利润、政策性文件规定及合同包含的所有风险、责任等各项应有费用，即响应本项目的所有应有费用</w:t>
      </w:r>
      <w:r>
        <w:rPr>
          <w:rFonts w:hint="eastAsia" w:ascii="宋体" w:hAnsi="宋体" w:eastAsia="宋体" w:cs="宋体"/>
          <w:sz w:val="24"/>
          <w:szCs w:val="24"/>
          <w:highlight w:val="none"/>
        </w:rPr>
        <w:t>。</w:t>
      </w:r>
    </w:p>
    <w:p w14:paraId="47654E93">
      <w:pPr>
        <w:keepNext w:val="0"/>
        <w:keepLines w:val="0"/>
        <w:pageBreakBefore w:val="0"/>
        <w:kinsoku/>
        <w:wordWrap/>
        <w:overflowPunct/>
        <w:topLinePunct w:val="0"/>
        <w:bidi w:val="0"/>
        <w:spacing w:line="336" w:lineRule="auto"/>
        <w:ind w:firstLine="482"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五、付款方式</w:t>
      </w:r>
    </w:p>
    <w:p w14:paraId="43D020EF">
      <w:pPr>
        <w:keepNext w:val="0"/>
        <w:keepLines w:val="0"/>
        <w:pageBreakBefore w:val="0"/>
        <w:kinsoku/>
        <w:wordWrap/>
        <w:overflowPunct/>
        <w:topLinePunct w:val="0"/>
        <w:bidi w:val="0"/>
        <w:spacing w:line="336"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每年度病媒生物监测完成并经甲方组织验收合格，且监测报告经相关部门认可后支付当年度</w:t>
      </w:r>
      <w:r>
        <w:rPr>
          <w:rFonts w:hint="eastAsia" w:ascii="宋体" w:hAnsi="宋体" w:eastAsia="宋体" w:cs="宋体"/>
          <w:b/>
          <w:bCs/>
          <w:kern w:val="0"/>
          <w:sz w:val="24"/>
          <w:szCs w:val="24"/>
          <w:highlight w:val="none"/>
          <w:lang w:val="en-US" w:eastAsia="zh-CN"/>
        </w:rPr>
        <w:t>服务</w:t>
      </w:r>
      <w:r>
        <w:rPr>
          <w:rFonts w:hint="eastAsia" w:ascii="宋体" w:hAnsi="宋体" w:eastAsia="宋体" w:cs="宋体"/>
          <w:b/>
          <w:bCs/>
          <w:kern w:val="0"/>
          <w:sz w:val="24"/>
          <w:szCs w:val="24"/>
          <w:highlight w:val="none"/>
          <w:lang w:eastAsia="zh-CN"/>
        </w:rPr>
        <w:t>费</w:t>
      </w:r>
      <w:r>
        <w:rPr>
          <w:rFonts w:hint="eastAsia" w:ascii="宋体" w:hAnsi="宋体" w:eastAsia="宋体" w:cs="宋体"/>
          <w:b/>
          <w:bCs/>
          <w:kern w:val="0"/>
          <w:sz w:val="24"/>
          <w:szCs w:val="24"/>
          <w:highlight w:val="none"/>
        </w:rPr>
        <w:t>用</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注：在取得对口岸外开放批复之前，相关费用由江苏洋口港港务有限公司承担；口岸对外开发之后，费用由江苏洋口宁港码头物流有限公司承担</w:t>
      </w:r>
      <w:r>
        <w:rPr>
          <w:rFonts w:hint="eastAsia" w:ascii="宋体" w:hAnsi="宋体" w:eastAsia="宋体" w:cs="宋体"/>
          <w:b/>
          <w:bCs/>
          <w:kern w:val="0"/>
          <w:sz w:val="24"/>
          <w:szCs w:val="24"/>
          <w:highlight w:val="none"/>
        </w:rPr>
        <w:t>。经验收合格及增值税专用发票向江苏洋口港港务有限公司</w:t>
      </w:r>
      <w:r>
        <w:rPr>
          <w:rFonts w:hint="eastAsia" w:ascii="宋体" w:hAnsi="宋体" w:eastAsia="宋体" w:cs="宋体"/>
          <w:b/>
          <w:bCs/>
          <w:kern w:val="0"/>
          <w:sz w:val="24"/>
          <w:szCs w:val="24"/>
          <w:highlight w:val="none"/>
          <w:lang w:val="en-US" w:eastAsia="zh-CN"/>
        </w:rPr>
        <w:t>或江苏洋口宁港码头物流有限公司</w:t>
      </w:r>
      <w:r>
        <w:rPr>
          <w:rFonts w:hint="eastAsia" w:ascii="宋体" w:hAnsi="宋体" w:eastAsia="宋体" w:cs="宋体"/>
          <w:b/>
          <w:bCs/>
          <w:kern w:val="0"/>
          <w:sz w:val="24"/>
          <w:szCs w:val="24"/>
          <w:highlight w:val="none"/>
        </w:rPr>
        <w:t>按规定进行资金结算申报。）</w:t>
      </w:r>
      <w:r>
        <w:rPr>
          <w:rFonts w:hint="eastAsia" w:ascii="宋体" w:hAnsi="宋体" w:eastAsia="宋体" w:cs="宋体"/>
          <w:b/>
          <w:bCs/>
          <w:sz w:val="24"/>
          <w:szCs w:val="24"/>
          <w:highlight w:val="none"/>
        </w:rPr>
        <w:t>六、其他要求</w:t>
      </w:r>
    </w:p>
    <w:p w14:paraId="27AD657F">
      <w:pPr>
        <w:keepNext w:val="0"/>
        <w:keepLines w:val="0"/>
        <w:pageBreakBefore w:val="0"/>
        <w:widowControl w:val="0"/>
        <w:kinsoku/>
        <w:wordWrap/>
        <w:overflowPunct/>
        <w:topLinePunct w:val="0"/>
        <w:bidi w:val="0"/>
        <w:spacing w:line="336" w:lineRule="auto"/>
        <w:ind w:firstLine="480" w:firstLineChars="200"/>
        <w:jc w:val="both"/>
        <w:textAlignment w:val="auto"/>
        <w:rPr>
          <w:rFonts w:hint="eastAsia"/>
        </w:rPr>
      </w:pPr>
      <w:r>
        <w:rPr>
          <w:rFonts w:hint="eastAsia" w:ascii="宋体" w:hAnsi="宋体" w:eastAsia="宋体" w:cs="宋体"/>
          <w:sz w:val="24"/>
          <w:szCs w:val="24"/>
          <w:highlight w:val="none"/>
          <w:lang w:val="en-US" w:bidi="zh-CN"/>
        </w:rPr>
        <w:t>供应商</w:t>
      </w:r>
      <w:r>
        <w:rPr>
          <w:rFonts w:hint="eastAsia" w:ascii="宋体" w:hAnsi="宋体" w:eastAsia="宋体" w:cs="宋体"/>
          <w:sz w:val="24"/>
          <w:szCs w:val="24"/>
          <w:highlight w:val="none"/>
          <w:lang w:bidi="zh-CN"/>
        </w:rPr>
        <w:t>必须到现场进行实地勘察，了解项目详细概况，以保证报价的合理性和准确性。注：</w:t>
      </w:r>
      <w:r>
        <w:rPr>
          <w:rFonts w:hint="eastAsia" w:ascii="宋体" w:hAnsi="宋体" w:eastAsia="宋体" w:cs="宋体"/>
          <w:sz w:val="24"/>
          <w:szCs w:val="24"/>
          <w:highlight w:val="none"/>
          <w:lang w:val="en-US" w:bidi="zh-CN"/>
        </w:rPr>
        <w:t>供应商</w:t>
      </w:r>
      <w:r>
        <w:rPr>
          <w:rFonts w:hint="eastAsia" w:ascii="宋体" w:hAnsi="宋体" w:eastAsia="宋体" w:cs="宋体"/>
          <w:sz w:val="24"/>
          <w:szCs w:val="24"/>
          <w:highlight w:val="none"/>
          <w:lang w:bidi="zh-CN"/>
        </w:rPr>
        <w:t>应认真对现场环境进行踏勘，对现场情况进行周密的勘察和研究，作出自己的判断结论和估价。</w:t>
      </w:r>
      <w:r>
        <w:rPr>
          <w:rFonts w:hint="eastAsia" w:ascii="宋体" w:hAnsi="宋体" w:eastAsia="宋体" w:cs="宋体"/>
          <w:sz w:val="24"/>
          <w:szCs w:val="24"/>
          <w:highlight w:val="none"/>
          <w:lang w:val="en-US" w:bidi="zh-CN"/>
        </w:rPr>
        <w:t>成交</w:t>
      </w:r>
      <w:r>
        <w:rPr>
          <w:rFonts w:hint="eastAsia" w:ascii="宋体" w:hAnsi="宋体" w:eastAsia="宋体" w:cs="宋体"/>
          <w:sz w:val="24"/>
          <w:szCs w:val="24"/>
          <w:highlight w:val="none"/>
          <w:lang w:bidi="zh-CN"/>
        </w:rPr>
        <w:t>后和签订合同时及实施过程中，</w:t>
      </w:r>
      <w:r>
        <w:rPr>
          <w:rFonts w:hint="eastAsia" w:ascii="宋体" w:hAnsi="宋体" w:eastAsia="宋体" w:cs="宋体"/>
          <w:sz w:val="24"/>
          <w:szCs w:val="24"/>
          <w:highlight w:val="none"/>
          <w:lang w:val="en-US" w:bidi="zh-CN"/>
        </w:rPr>
        <w:t>供应商</w:t>
      </w:r>
      <w:r>
        <w:rPr>
          <w:rFonts w:hint="eastAsia" w:ascii="宋体" w:hAnsi="宋体" w:eastAsia="宋体" w:cs="宋体"/>
          <w:sz w:val="24"/>
          <w:szCs w:val="24"/>
          <w:highlight w:val="none"/>
          <w:lang w:bidi="zh-CN"/>
        </w:rPr>
        <w:t>均不得以不了解现场情况为由，提出任何形式增加费用的要求。</w:t>
      </w:r>
    </w:p>
    <w:p w14:paraId="19473754">
      <w:pPr>
        <w:pStyle w:val="3"/>
        <w:keepNext w:val="0"/>
        <w:keepLines w:val="0"/>
        <w:pageBreakBefore w:val="0"/>
        <w:kinsoku/>
        <w:wordWrap/>
        <w:overflowPunct/>
        <w:topLinePunct w:val="0"/>
        <w:bidi w:val="0"/>
        <w:spacing w:line="336" w:lineRule="auto"/>
        <w:textAlignment w:val="auto"/>
        <w:rPr>
          <w:rFonts w:hint="eastAsia" w:ascii="宋体" w:hAnsi="宋体" w:eastAsia="宋体" w:cs="宋体"/>
          <w:sz w:val="24"/>
          <w:szCs w:val="24"/>
          <w:highlight w:val="none"/>
          <w:lang w:bidi="zh-CN"/>
        </w:rPr>
        <w:sectPr>
          <w:footerReference r:id="rId6" w:type="first"/>
          <w:footerReference r:id="rId4" w:type="default"/>
          <w:headerReference r:id="rId3" w:type="even"/>
          <w:footerReference r:id="rId5" w:type="even"/>
          <w:pgSz w:w="11900" w:h="16840"/>
          <w:pgMar w:top="1247" w:right="1077" w:bottom="1247" w:left="1077" w:header="567" w:footer="850" w:gutter="0"/>
          <w:cols w:space="720" w:num="1"/>
          <w:titlePg/>
          <w:docGrid w:linePitch="326" w:charSpace="0"/>
        </w:sectPr>
      </w:pPr>
    </w:p>
    <w:p w14:paraId="6D041A98">
      <w:pPr>
        <w:snapToGrid w:val="0"/>
        <w:spacing w:line="380" w:lineRule="exact"/>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附表1：</w:t>
      </w:r>
      <w:r>
        <w:rPr>
          <w:rFonts w:hint="eastAsia" w:ascii="宋体" w:hAnsi="宋体" w:eastAsia="宋体" w:cs="宋体"/>
          <w:kern w:val="0"/>
          <w:sz w:val="36"/>
          <w:szCs w:val="36"/>
          <w:highlight w:val="none"/>
        </w:rPr>
        <w:t xml:space="preserve">                </w:t>
      </w:r>
      <w:r>
        <w:rPr>
          <w:rFonts w:hint="eastAsia" w:ascii="宋体" w:hAnsi="宋体" w:eastAsia="宋体" w:cs="宋体"/>
          <w:b/>
          <w:kern w:val="0"/>
          <w:sz w:val="36"/>
          <w:szCs w:val="36"/>
          <w:highlight w:val="none"/>
        </w:rPr>
        <w:t xml:space="preserve"> 病媒生物监测（鼠类）记录表</w:t>
      </w:r>
    </w:p>
    <w:p w14:paraId="490C71FB">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 xml:space="preserve">监测地点：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监测日期：      </w:t>
      </w:r>
    </w:p>
    <w:p w14:paraId="6E85B3BE">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天气：  　               温度： 　　      ℃；                  湿度：　　　　　　%；</w:t>
      </w:r>
    </w:p>
    <w:p w14:paraId="3C9C6638">
      <w:pPr>
        <w:snapToGrid w:val="0"/>
        <w:spacing w:line="380" w:lineRule="exact"/>
        <w:rPr>
          <w:rFonts w:hint="eastAsia" w:ascii="宋体" w:hAnsi="宋体" w:eastAsia="宋体" w:cs="宋体"/>
          <w:sz w:val="24"/>
          <w:highlight w:val="none"/>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1020"/>
        <w:gridCol w:w="1274"/>
        <w:gridCol w:w="714"/>
        <w:gridCol w:w="708"/>
        <w:gridCol w:w="846"/>
        <w:gridCol w:w="851"/>
        <w:gridCol w:w="866"/>
        <w:gridCol w:w="936"/>
        <w:gridCol w:w="929"/>
        <w:gridCol w:w="929"/>
        <w:gridCol w:w="883"/>
        <w:gridCol w:w="992"/>
        <w:gridCol w:w="912"/>
        <w:gridCol w:w="928"/>
      </w:tblGrid>
      <w:tr w14:paraId="55C2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restart"/>
            <w:noWrap w:val="0"/>
            <w:vAlign w:val="center"/>
          </w:tcPr>
          <w:p w14:paraId="691FB1B1">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编号</w:t>
            </w:r>
          </w:p>
        </w:tc>
        <w:tc>
          <w:tcPr>
            <w:tcW w:w="1020" w:type="dxa"/>
            <w:vMerge w:val="restart"/>
            <w:noWrap w:val="0"/>
            <w:vAlign w:val="center"/>
          </w:tcPr>
          <w:p w14:paraId="79A7E27E">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监测点</w:t>
            </w:r>
          </w:p>
        </w:tc>
        <w:tc>
          <w:tcPr>
            <w:tcW w:w="1274" w:type="dxa"/>
            <w:vMerge w:val="restart"/>
            <w:noWrap w:val="0"/>
            <w:vAlign w:val="center"/>
          </w:tcPr>
          <w:p w14:paraId="28527C4A">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生　　境</w:t>
            </w:r>
          </w:p>
        </w:tc>
        <w:tc>
          <w:tcPr>
            <w:tcW w:w="714" w:type="dxa"/>
            <w:vMerge w:val="restart"/>
            <w:noWrap w:val="0"/>
            <w:vAlign w:val="center"/>
          </w:tcPr>
          <w:p w14:paraId="0ADF18E1">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布夹数</w:t>
            </w:r>
          </w:p>
        </w:tc>
        <w:tc>
          <w:tcPr>
            <w:tcW w:w="708" w:type="dxa"/>
            <w:vMerge w:val="restart"/>
            <w:noWrap w:val="0"/>
            <w:vAlign w:val="center"/>
          </w:tcPr>
          <w:p w14:paraId="2EB8F495">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鼠笼数</w:t>
            </w:r>
          </w:p>
        </w:tc>
        <w:tc>
          <w:tcPr>
            <w:tcW w:w="846" w:type="dxa"/>
            <w:vMerge w:val="restart"/>
            <w:noWrap w:val="0"/>
            <w:vAlign w:val="center"/>
          </w:tcPr>
          <w:p w14:paraId="214107EB">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有效器械数</w:t>
            </w:r>
          </w:p>
        </w:tc>
        <w:tc>
          <w:tcPr>
            <w:tcW w:w="1717" w:type="dxa"/>
            <w:gridSpan w:val="2"/>
            <w:vMerge w:val="restart"/>
            <w:noWrap w:val="0"/>
            <w:vAlign w:val="center"/>
          </w:tcPr>
          <w:p w14:paraId="7B1054BA">
            <w:pPr>
              <w:snapToGrid w:val="0"/>
              <w:spacing w:line="380" w:lineRule="exact"/>
              <w:jc w:val="center"/>
              <w:rPr>
                <w:rFonts w:hint="eastAsia" w:ascii="宋体" w:hAnsi="宋体" w:eastAsia="宋体" w:cs="宋体"/>
                <w:sz w:val="24"/>
                <w:highlight w:val="none"/>
              </w:rPr>
            </w:pPr>
            <w:r>
              <w:rPr>
                <w:rFonts w:hint="eastAsia" w:ascii="宋体" w:hAnsi="宋体" w:eastAsia="宋体" w:cs="宋体"/>
                <w:kern w:val="0"/>
                <w:sz w:val="24"/>
                <w:highlight w:val="none"/>
              </w:rPr>
              <w:t>捕鼠总数</w:t>
            </w:r>
          </w:p>
        </w:tc>
        <w:tc>
          <w:tcPr>
            <w:tcW w:w="5581" w:type="dxa"/>
            <w:gridSpan w:val="6"/>
            <w:noWrap w:val="0"/>
            <w:vAlign w:val="center"/>
          </w:tcPr>
          <w:p w14:paraId="163DD363">
            <w:pPr>
              <w:snapToGrid w:val="0"/>
              <w:spacing w:line="380" w:lineRule="exact"/>
              <w:jc w:val="center"/>
              <w:rPr>
                <w:rFonts w:hint="eastAsia" w:ascii="宋体" w:hAnsi="宋体" w:eastAsia="宋体" w:cs="宋体"/>
                <w:sz w:val="24"/>
                <w:highlight w:val="none"/>
              </w:rPr>
            </w:pPr>
            <w:r>
              <w:rPr>
                <w:rFonts w:hint="eastAsia" w:ascii="宋体" w:hAnsi="宋体" w:eastAsia="宋体" w:cs="宋体"/>
                <w:kern w:val="0"/>
                <w:sz w:val="24"/>
                <w:highlight w:val="none"/>
              </w:rPr>
              <w:t>鼠　种（只）</w:t>
            </w:r>
          </w:p>
        </w:tc>
        <w:tc>
          <w:tcPr>
            <w:tcW w:w="928" w:type="dxa"/>
            <w:vMerge w:val="restart"/>
            <w:noWrap w:val="0"/>
            <w:vAlign w:val="center"/>
          </w:tcPr>
          <w:p w14:paraId="13124732">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鼠密度</w:t>
            </w:r>
          </w:p>
        </w:tc>
      </w:tr>
      <w:tr w14:paraId="166E8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continue"/>
            <w:noWrap w:val="0"/>
            <w:vAlign w:val="center"/>
          </w:tcPr>
          <w:p w14:paraId="4AD89F6E">
            <w:pPr>
              <w:widowControl/>
              <w:snapToGrid w:val="0"/>
              <w:spacing w:line="380" w:lineRule="exact"/>
              <w:jc w:val="center"/>
              <w:rPr>
                <w:rFonts w:hint="eastAsia" w:ascii="宋体" w:hAnsi="宋体" w:eastAsia="宋体" w:cs="宋体"/>
                <w:kern w:val="0"/>
                <w:sz w:val="24"/>
                <w:highlight w:val="none"/>
              </w:rPr>
            </w:pPr>
          </w:p>
        </w:tc>
        <w:tc>
          <w:tcPr>
            <w:tcW w:w="1020" w:type="dxa"/>
            <w:vMerge w:val="continue"/>
            <w:noWrap w:val="0"/>
            <w:vAlign w:val="center"/>
          </w:tcPr>
          <w:p w14:paraId="16605376">
            <w:pPr>
              <w:widowControl/>
              <w:snapToGrid w:val="0"/>
              <w:spacing w:line="380" w:lineRule="exact"/>
              <w:jc w:val="center"/>
              <w:rPr>
                <w:rFonts w:hint="eastAsia" w:ascii="宋体" w:hAnsi="宋体" w:eastAsia="宋体" w:cs="宋体"/>
                <w:kern w:val="0"/>
                <w:sz w:val="24"/>
                <w:highlight w:val="none"/>
              </w:rPr>
            </w:pPr>
          </w:p>
        </w:tc>
        <w:tc>
          <w:tcPr>
            <w:tcW w:w="1274" w:type="dxa"/>
            <w:vMerge w:val="continue"/>
            <w:noWrap w:val="0"/>
            <w:vAlign w:val="center"/>
          </w:tcPr>
          <w:p w14:paraId="040435C9">
            <w:pPr>
              <w:widowControl/>
              <w:snapToGrid w:val="0"/>
              <w:spacing w:line="380" w:lineRule="exact"/>
              <w:jc w:val="center"/>
              <w:rPr>
                <w:rFonts w:hint="eastAsia" w:ascii="宋体" w:hAnsi="宋体" w:eastAsia="宋体" w:cs="宋体"/>
                <w:kern w:val="0"/>
                <w:sz w:val="24"/>
                <w:highlight w:val="none"/>
              </w:rPr>
            </w:pPr>
          </w:p>
        </w:tc>
        <w:tc>
          <w:tcPr>
            <w:tcW w:w="714" w:type="dxa"/>
            <w:vMerge w:val="continue"/>
            <w:noWrap w:val="0"/>
            <w:vAlign w:val="center"/>
          </w:tcPr>
          <w:p w14:paraId="49348F75">
            <w:pPr>
              <w:widowControl/>
              <w:snapToGrid w:val="0"/>
              <w:spacing w:line="380" w:lineRule="exact"/>
              <w:jc w:val="center"/>
              <w:rPr>
                <w:rFonts w:hint="eastAsia" w:ascii="宋体" w:hAnsi="宋体" w:eastAsia="宋体" w:cs="宋体"/>
                <w:kern w:val="0"/>
                <w:sz w:val="24"/>
                <w:highlight w:val="none"/>
              </w:rPr>
            </w:pPr>
          </w:p>
        </w:tc>
        <w:tc>
          <w:tcPr>
            <w:tcW w:w="708" w:type="dxa"/>
            <w:vMerge w:val="continue"/>
            <w:noWrap w:val="0"/>
            <w:vAlign w:val="top"/>
          </w:tcPr>
          <w:p w14:paraId="2D2077FE">
            <w:pPr>
              <w:widowControl/>
              <w:snapToGrid w:val="0"/>
              <w:spacing w:line="380" w:lineRule="exact"/>
              <w:jc w:val="center"/>
              <w:rPr>
                <w:rFonts w:hint="eastAsia" w:ascii="宋体" w:hAnsi="宋体" w:eastAsia="宋体" w:cs="宋体"/>
                <w:kern w:val="0"/>
                <w:sz w:val="24"/>
                <w:highlight w:val="none"/>
              </w:rPr>
            </w:pPr>
          </w:p>
        </w:tc>
        <w:tc>
          <w:tcPr>
            <w:tcW w:w="846" w:type="dxa"/>
            <w:vMerge w:val="continue"/>
            <w:noWrap w:val="0"/>
            <w:vAlign w:val="center"/>
          </w:tcPr>
          <w:p w14:paraId="60ADF340">
            <w:pPr>
              <w:widowControl/>
              <w:snapToGrid w:val="0"/>
              <w:spacing w:line="380" w:lineRule="exact"/>
              <w:jc w:val="center"/>
              <w:rPr>
                <w:rFonts w:hint="eastAsia" w:ascii="宋体" w:hAnsi="宋体" w:eastAsia="宋体" w:cs="宋体"/>
                <w:kern w:val="0"/>
                <w:sz w:val="24"/>
                <w:highlight w:val="none"/>
              </w:rPr>
            </w:pPr>
          </w:p>
        </w:tc>
        <w:tc>
          <w:tcPr>
            <w:tcW w:w="1717" w:type="dxa"/>
            <w:gridSpan w:val="2"/>
            <w:vMerge w:val="continue"/>
            <w:noWrap w:val="0"/>
            <w:vAlign w:val="center"/>
          </w:tcPr>
          <w:p w14:paraId="21300007">
            <w:pPr>
              <w:snapToGrid w:val="0"/>
              <w:spacing w:line="380" w:lineRule="exact"/>
              <w:jc w:val="center"/>
              <w:rPr>
                <w:rFonts w:hint="eastAsia" w:ascii="宋体" w:hAnsi="宋体" w:eastAsia="宋体" w:cs="宋体"/>
                <w:sz w:val="24"/>
                <w:highlight w:val="none"/>
              </w:rPr>
            </w:pPr>
          </w:p>
        </w:tc>
        <w:tc>
          <w:tcPr>
            <w:tcW w:w="1865" w:type="dxa"/>
            <w:gridSpan w:val="2"/>
            <w:noWrap w:val="0"/>
            <w:vAlign w:val="center"/>
          </w:tcPr>
          <w:p w14:paraId="3BDA03F0">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小家鼠</w:t>
            </w:r>
          </w:p>
        </w:tc>
        <w:tc>
          <w:tcPr>
            <w:tcW w:w="1812" w:type="dxa"/>
            <w:gridSpan w:val="2"/>
            <w:noWrap w:val="0"/>
            <w:vAlign w:val="center"/>
          </w:tcPr>
          <w:p w14:paraId="77FEC067">
            <w:pPr>
              <w:snapToGrid w:val="0"/>
              <w:spacing w:line="380" w:lineRule="exact"/>
              <w:jc w:val="center"/>
              <w:rPr>
                <w:rFonts w:hint="eastAsia" w:ascii="宋体" w:hAnsi="宋体" w:eastAsia="宋体" w:cs="宋体"/>
                <w:sz w:val="24"/>
                <w:highlight w:val="none"/>
              </w:rPr>
            </w:pPr>
            <w:r>
              <w:rPr>
                <w:rFonts w:hint="eastAsia" w:ascii="宋体" w:hAnsi="宋体" w:eastAsia="宋体" w:cs="宋体"/>
                <w:kern w:val="0"/>
                <w:sz w:val="24"/>
                <w:highlight w:val="none"/>
              </w:rPr>
              <w:t>褐家鼠</w:t>
            </w:r>
          </w:p>
        </w:tc>
        <w:tc>
          <w:tcPr>
            <w:tcW w:w="1904" w:type="dxa"/>
            <w:gridSpan w:val="2"/>
            <w:noWrap w:val="0"/>
            <w:vAlign w:val="center"/>
          </w:tcPr>
          <w:p w14:paraId="5DEC9844">
            <w:pPr>
              <w:snapToGrid w:val="0"/>
              <w:spacing w:line="380" w:lineRule="exact"/>
              <w:jc w:val="center"/>
              <w:rPr>
                <w:rFonts w:hint="eastAsia" w:ascii="宋体" w:hAnsi="宋体" w:eastAsia="宋体" w:cs="宋体"/>
                <w:sz w:val="24"/>
                <w:highlight w:val="none"/>
              </w:rPr>
            </w:pPr>
          </w:p>
        </w:tc>
        <w:tc>
          <w:tcPr>
            <w:tcW w:w="928" w:type="dxa"/>
            <w:vMerge w:val="continue"/>
            <w:noWrap w:val="0"/>
            <w:vAlign w:val="center"/>
          </w:tcPr>
          <w:p w14:paraId="3517711F">
            <w:pPr>
              <w:snapToGrid w:val="0"/>
              <w:spacing w:line="380" w:lineRule="exact"/>
              <w:jc w:val="center"/>
              <w:rPr>
                <w:rFonts w:hint="eastAsia" w:ascii="宋体" w:hAnsi="宋体" w:eastAsia="宋体" w:cs="宋体"/>
                <w:sz w:val="24"/>
                <w:highlight w:val="none"/>
              </w:rPr>
            </w:pPr>
          </w:p>
        </w:tc>
      </w:tr>
      <w:tr w14:paraId="4455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continue"/>
            <w:noWrap w:val="0"/>
            <w:vAlign w:val="center"/>
          </w:tcPr>
          <w:p w14:paraId="70808D06">
            <w:pPr>
              <w:widowControl/>
              <w:snapToGrid w:val="0"/>
              <w:spacing w:line="380" w:lineRule="exact"/>
              <w:jc w:val="center"/>
              <w:rPr>
                <w:rFonts w:hint="eastAsia" w:ascii="宋体" w:hAnsi="宋体" w:eastAsia="宋体" w:cs="宋体"/>
                <w:b/>
                <w:kern w:val="0"/>
                <w:sz w:val="24"/>
                <w:highlight w:val="none"/>
              </w:rPr>
            </w:pPr>
          </w:p>
        </w:tc>
        <w:tc>
          <w:tcPr>
            <w:tcW w:w="1020" w:type="dxa"/>
            <w:vMerge w:val="continue"/>
            <w:noWrap w:val="0"/>
            <w:vAlign w:val="center"/>
          </w:tcPr>
          <w:p w14:paraId="03AE79CD">
            <w:pPr>
              <w:widowControl/>
              <w:snapToGrid w:val="0"/>
              <w:spacing w:line="380" w:lineRule="exact"/>
              <w:jc w:val="center"/>
              <w:rPr>
                <w:rFonts w:hint="eastAsia" w:ascii="宋体" w:hAnsi="宋体" w:eastAsia="宋体" w:cs="宋体"/>
                <w:kern w:val="0"/>
                <w:sz w:val="24"/>
                <w:highlight w:val="none"/>
              </w:rPr>
            </w:pPr>
          </w:p>
        </w:tc>
        <w:tc>
          <w:tcPr>
            <w:tcW w:w="1274" w:type="dxa"/>
            <w:vMerge w:val="continue"/>
            <w:noWrap w:val="0"/>
            <w:vAlign w:val="center"/>
          </w:tcPr>
          <w:p w14:paraId="4B3BFB33">
            <w:pPr>
              <w:widowControl/>
              <w:snapToGrid w:val="0"/>
              <w:spacing w:line="380" w:lineRule="exact"/>
              <w:jc w:val="center"/>
              <w:rPr>
                <w:rFonts w:hint="eastAsia" w:ascii="宋体" w:hAnsi="宋体" w:eastAsia="宋体" w:cs="宋体"/>
                <w:kern w:val="0"/>
                <w:sz w:val="24"/>
                <w:highlight w:val="none"/>
              </w:rPr>
            </w:pPr>
          </w:p>
        </w:tc>
        <w:tc>
          <w:tcPr>
            <w:tcW w:w="714" w:type="dxa"/>
            <w:vMerge w:val="continue"/>
            <w:noWrap w:val="0"/>
            <w:vAlign w:val="center"/>
          </w:tcPr>
          <w:p w14:paraId="37E498B5">
            <w:pPr>
              <w:widowControl/>
              <w:snapToGrid w:val="0"/>
              <w:spacing w:line="380" w:lineRule="exact"/>
              <w:jc w:val="center"/>
              <w:rPr>
                <w:rFonts w:hint="eastAsia" w:ascii="宋体" w:hAnsi="宋体" w:eastAsia="宋体" w:cs="宋体"/>
                <w:kern w:val="0"/>
                <w:sz w:val="24"/>
                <w:highlight w:val="none"/>
              </w:rPr>
            </w:pPr>
          </w:p>
        </w:tc>
        <w:tc>
          <w:tcPr>
            <w:tcW w:w="708" w:type="dxa"/>
            <w:vMerge w:val="continue"/>
            <w:noWrap w:val="0"/>
            <w:vAlign w:val="top"/>
          </w:tcPr>
          <w:p w14:paraId="7FE6C661">
            <w:pPr>
              <w:widowControl/>
              <w:snapToGrid w:val="0"/>
              <w:spacing w:line="380" w:lineRule="exact"/>
              <w:jc w:val="center"/>
              <w:rPr>
                <w:rFonts w:hint="eastAsia" w:ascii="宋体" w:hAnsi="宋体" w:eastAsia="宋体" w:cs="宋体"/>
                <w:kern w:val="0"/>
                <w:sz w:val="24"/>
                <w:highlight w:val="none"/>
              </w:rPr>
            </w:pPr>
          </w:p>
        </w:tc>
        <w:tc>
          <w:tcPr>
            <w:tcW w:w="846" w:type="dxa"/>
            <w:vMerge w:val="continue"/>
            <w:noWrap w:val="0"/>
            <w:vAlign w:val="center"/>
          </w:tcPr>
          <w:p w14:paraId="4A285228">
            <w:pPr>
              <w:widowControl/>
              <w:snapToGrid w:val="0"/>
              <w:spacing w:line="380" w:lineRule="exact"/>
              <w:jc w:val="center"/>
              <w:rPr>
                <w:rFonts w:hint="eastAsia" w:ascii="宋体" w:hAnsi="宋体" w:eastAsia="宋体" w:cs="宋体"/>
                <w:kern w:val="0"/>
                <w:sz w:val="24"/>
                <w:highlight w:val="none"/>
              </w:rPr>
            </w:pPr>
          </w:p>
        </w:tc>
        <w:tc>
          <w:tcPr>
            <w:tcW w:w="851" w:type="dxa"/>
            <w:noWrap w:val="0"/>
            <w:vAlign w:val="center"/>
          </w:tcPr>
          <w:p w14:paraId="06536E8E">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雌性</w:t>
            </w:r>
          </w:p>
        </w:tc>
        <w:tc>
          <w:tcPr>
            <w:tcW w:w="866" w:type="dxa"/>
            <w:noWrap w:val="0"/>
            <w:vAlign w:val="center"/>
          </w:tcPr>
          <w:p w14:paraId="3E565BF8">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雄性</w:t>
            </w:r>
          </w:p>
        </w:tc>
        <w:tc>
          <w:tcPr>
            <w:tcW w:w="936" w:type="dxa"/>
            <w:noWrap w:val="0"/>
            <w:vAlign w:val="center"/>
          </w:tcPr>
          <w:p w14:paraId="4C941873">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雌性</w:t>
            </w:r>
          </w:p>
        </w:tc>
        <w:tc>
          <w:tcPr>
            <w:tcW w:w="929" w:type="dxa"/>
            <w:noWrap w:val="0"/>
            <w:vAlign w:val="center"/>
          </w:tcPr>
          <w:p w14:paraId="4D00A1C1">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雄性</w:t>
            </w:r>
          </w:p>
        </w:tc>
        <w:tc>
          <w:tcPr>
            <w:tcW w:w="929" w:type="dxa"/>
            <w:noWrap w:val="0"/>
            <w:vAlign w:val="center"/>
          </w:tcPr>
          <w:p w14:paraId="1ABAFEE4">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雌性</w:t>
            </w:r>
          </w:p>
        </w:tc>
        <w:tc>
          <w:tcPr>
            <w:tcW w:w="883" w:type="dxa"/>
            <w:noWrap w:val="0"/>
            <w:vAlign w:val="center"/>
          </w:tcPr>
          <w:p w14:paraId="1DE509B8">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雄性</w:t>
            </w:r>
          </w:p>
        </w:tc>
        <w:tc>
          <w:tcPr>
            <w:tcW w:w="992" w:type="dxa"/>
            <w:noWrap w:val="0"/>
            <w:vAlign w:val="center"/>
          </w:tcPr>
          <w:p w14:paraId="4D4A67FD">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78F75E11">
            <w:pPr>
              <w:snapToGrid w:val="0"/>
              <w:spacing w:line="380" w:lineRule="exact"/>
              <w:jc w:val="center"/>
              <w:rPr>
                <w:rFonts w:hint="eastAsia" w:ascii="宋体" w:hAnsi="宋体" w:eastAsia="宋体" w:cs="宋体"/>
                <w:sz w:val="24"/>
                <w:highlight w:val="none"/>
              </w:rPr>
            </w:pPr>
          </w:p>
        </w:tc>
        <w:tc>
          <w:tcPr>
            <w:tcW w:w="928" w:type="dxa"/>
            <w:vMerge w:val="continue"/>
            <w:noWrap w:val="0"/>
            <w:vAlign w:val="center"/>
          </w:tcPr>
          <w:p w14:paraId="4141FE22">
            <w:pPr>
              <w:snapToGrid w:val="0"/>
              <w:spacing w:line="380" w:lineRule="exact"/>
              <w:jc w:val="center"/>
              <w:rPr>
                <w:rFonts w:hint="eastAsia" w:ascii="宋体" w:hAnsi="宋体" w:eastAsia="宋体" w:cs="宋体"/>
                <w:sz w:val="24"/>
                <w:highlight w:val="none"/>
              </w:rPr>
            </w:pPr>
          </w:p>
        </w:tc>
      </w:tr>
      <w:tr w14:paraId="41823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09496B2A">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7F95C744">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74587B8B">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32B79E3B">
            <w:pPr>
              <w:snapToGrid w:val="0"/>
              <w:spacing w:line="380" w:lineRule="exact"/>
              <w:jc w:val="center"/>
              <w:rPr>
                <w:rFonts w:hint="eastAsia" w:ascii="宋体" w:hAnsi="宋体" w:eastAsia="宋体" w:cs="宋体"/>
                <w:sz w:val="24"/>
                <w:highlight w:val="none"/>
              </w:rPr>
            </w:pPr>
          </w:p>
        </w:tc>
        <w:tc>
          <w:tcPr>
            <w:tcW w:w="708" w:type="dxa"/>
            <w:noWrap w:val="0"/>
            <w:vAlign w:val="top"/>
          </w:tcPr>
          <w:p w14:paraId="175144EE">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4243F81F">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445DF90B">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0C7B68EA">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2137782C">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63455863">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69B525D9">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24651E2E">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344AF828">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01D570E5">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7DE82056">
            <w:pPr>
              <w:snapToGrid w:val="0"/>
              <w:spacing w:line="380" w:lineRule="exact"/>
              <w:jc w:val="center"/>
              <w:rPr>
                <w:rFonts w:hint="eastAsia" w:ascii="宋体" w:hAnsi="宋体" w:eastAsia="宋体" w:cs="宋体"/>
                <w:sz w:val="24"/>
                <w:highlight w:val="none"/>
              </w:rPr>
            </w:pPr>
          </w:p>
        </w:tc>
      </w:tr>
      <w:tr w14:paraId="013B1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237900D7">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53DA2991">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76463155">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1DCF4544">
            <w:pPr>
              <w:snapToGrid w:val="0"/>
              <w:spacing w:line="380" w:lineRule="exact"/>
              <w:jc w:val="center"/>
              <w:rPr>
                <w:rFonts w:hint="eastAsia" w:ascii="宋体" w:hAnsi="宋体" w:eastAsia="宋体" w:cs="宋体"/>
                <w:sz w:val="24"/>
                <w:highlight w:val="none"/>
              </w:rPr>
            </w:pPr>
          </w:p>
        </w:tc>
        <w:tc>
          <w:tcPr>
            <w:tcW w:w="708" w:type="dxa"/>
            <w:noWrap w:val="0"/>
            <w:vAlign w:val="top"/>
          </w:tcPr>
          <w:p w14:paraId="5E02D76D">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3BB8FC28">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3A68FB39">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195BFE21">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1ECA5B50">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51C30CD">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64B86D0">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56DA75E1">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1F48E460">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0F3EF9AB">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34822879">
            <w:pPr>
              <w:snapToGrid w:val="0"/>
              <w:spacing w:line="380" w:lineRule="exact"/>
              <w:jc w:val="center"/>
              <w:rPr>
                <w:rFonts w:hint="eastAsia" w:ascii="宋体" w:hAnsi="宋体" w:eastAsia="宋体" w:cs="宋体"/>
                <w:sz w:val="24"/>
                <w:highlight w:val="none"/>
              </w:rPr>
            </w:pPr>
          </w:p>
        </w:tc>
      </w:tr>
      <w:tr w14:paraId="222C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2D61D811">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208F6EF1">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34C8532D">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55740FC5">
            <w:pPr>
              <w:snapToGrid w:val="0"/>
              <w:spacing w:line="380" w:lineRule="exact"/>
              <w:jc w:val="center"/>
              <w:rPr>
                <w:rFonts w:hint="eastAsia" w:ascii="宋体" w:hAnsi="宋体" w:eastAsia="宋体" w:cs="宋体"/>
                <w:sz w:val="24"/>
                <w:highlight w:val="none"/>
              </w:rPr>
            </w:pPr>
          </w:p>
        </w:tc>
        <w:tc>
          <w:tcPr>
            <w:tcW w:w="708" w:type="dxa"/>
            <w:noWrap w:val="0"/>
            <w:vAlign w:val="top"/>
          </w:tcPr>
          <w:p w14:paraId="5F210E74">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AF80F98">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1FA286AA">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29E4C861">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581F3DAB">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40C3BAAB">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4C579D9C">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180BA898">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70E69F55">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2738C412">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68BB40C2">
            <w:pPr>
              <w:snapToGrid w:val="0"/>
              <w:spacing w:line="380" w:lineRule="exact"/>
              <w:jc w:val="center"/>
              <w:rPr>
                <w:rFonts w:hint="eastAsia" w:ascii="宋体" w:hAnsi="宋体" w:eastAsia="宋体" w:cs="宋体"/>
                <w:sz w:val="24"/>
                <w:highlight w:val="none"/>
              </w:rPr>
            </w:pPr>
          </w:p>
        </w:tc>
      </w:tr>
      <w:tr w14:paraId="25214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63FC53A9">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70A12ABD">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22D8DCEC">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6E445290">
            <w:pPr>
              <w:snapToGrid w:val="0"/>
              <w:spacing w:line="380" w:lineRule="exact"/>
              <w:jc w:val="center"/>
              <w:rPr>
                <w:rFonts w:hint="eastAsia" w:ascii="宋体" w:hAnsi="宋体" w:eastAsia="宋体" w:cs="宋体"/>
                <w:sz w:val="24"/>
                <w:highlight w:val="none"/>
              </w:rPr>
            </w:pPr>
          </w:p>
        </w:tc>
        <w:tc>
          <w:tcPr>
            <w:tcW w:w="708" w:type="dxa"/>
            <w:noWrap w:val="0"/>
            <w:vAlign w:val="top"/>
          </w:tcPr>
          <w:p w14:paraId="25238F6B">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85442EA">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69CA158F">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37451099">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0175830A">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3DED9768">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6522AF49">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56CECF7F">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32B8218B">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1FA255F6">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4241C6CE">
            <w:pPr>
              <w:snapToGrid w:val="0"/>
              <w:spacing w:line="380" w:lineRule="exact"/>
              <w:jc w:val="center"/>
              <w:rPr>
                <w:rFonts w:hint="eastAsia" w:ascii="宋体" w:hAnsi="宋体" w:eastAsia="宋体" w:cs="宋体"/>
                <w:sz w:val="24"/>
                <w:highlight w:val="none"/>
              </w:rPr>
            </w:pPr>
          </w:p>
        </w:tc>
      </w:tr>
      <w:tr w14:paraId="178F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77F4B0FF">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50F2F013">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54BDE97D">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04F8B034">
            <w:pPr>
              <w:snapToGrid w:val="0"/>
              <w:spacing w:line="380" w:lineRule="exact"/>
              <w:jc w:val="center"/>
              <w:rPr>
                <w:rFonts w:hint="eastAsia" w:ascii="宋体" w:hAnsi="宋体" w:eastAsia="宋体" w:cs="宋体"/>
                <w:sz w:val="24"/>
                <w:highlight w:val="none"/>
              </w:rPr>
            </w:pPr>
          </w:p>
        </w:tc>
        <w:tc>
          <w:tcPr>
            <w:tcW w:w="708" w:type="dxa"/>
            <w:noWrap w:val="0"/>
            <w:vAlign w:val="top"/>
          </w:tcPr>
          <w:p w14:paraId="59EFEED9">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36DA34AF">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188736E1">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7D1741F3">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00E1D2AC">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4EDF2DAA">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7115013">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6161EA7B">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37F22D65">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4A19D0E0">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6FC32E36">
            <w:pPr>
              <w:snapToGrid w:val="0"/>
              <w:spacing w:line="380" w:lineRule="exact"/>
              <w:jc w:val="center"/>
              <w:rPr>
                <w:rFonts w:hint="eastAsia" w:ascii="宋体" w:hAnsi="宋体" w:eastAsia="宋体" w:cs="宋体"/>
                <w:sz w:val="24"/>
                <w:highlight w:val="none"/>
              </w:rPr>
            </w:pPr>
          </w:p>
        </w:tc>
      </w:tr>
      <w:tr w14:paraId="4899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7A704E9E">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10F551C6">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28C06855">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785D34F0">
            <w:pPr>
              <w:snapToGrid w:val="0"/>
              <w:spacing w:line="380" w:lineRule="exact"/>
              <w:jc w:val="center"/>
              <w:rPr>
                <w:rFonts w:hint="eastAsia" w:ascii="宋体" w:hAnsi="宋体" w:eastAsia="宋体" w:cs="宋体"/>
                <w:sz w:val="24"/>
                <w:highlight w:val="none"/>
              </w:rPr>
            </w:pPr>
          </w:p>
        </w:tc>
        <w:tc>
          <w:tcPr>
            <w:tcW w:w="708" w:type="dxa"/>
            <w:noWrap w:val="0"/>
            <w:vAlign w:val="top"/>
          </w:tcPr>
          <w:p w14:paraId="3C462B2E">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3F2E7A03">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46E1C20A">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1F18EC6F">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0D3A69B3">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1879FA61">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1EE382FB">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56A4F29C">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6ACCAAC0">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3B5E574A">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0B7E7BE3">
            <w:pPr>
              <w:snapToGrid w:val="0"/>
              <w:spacing w:line="380" w:lineRule="exact"/>
              <w:jc w:val="center"/>
              <w:rPr>
                <w:rFonts w:hint="eastAsia" w:ascii="宋体" w:hAnsi="宋体" w:eastAsia="宋体" w:cs="宋体"/>
                <w:sz w:val="24"/>
                <w:highlight w:val="none"/>
              </w:rPr>
            </w:pPr>
          </w:p>
        </w:tc>
      </w:tr>
      <w:tr w14:paraId="4C38C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0269314B">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035918EB">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154F834B">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7BD14C16">
            <w:pPr>
              <w:snapToGrid w:val="0"/>
              <w:spacing w:line="380" w:lineRule="exact"/>
              <w:jc w:val="center"/>
              <w:rPr>
                <w:rFonts w:hint="eastAsia" w:ascii="宋体" w:hAnsi="宋体" w:eastAsia="宋体" w:cs="宋体"/>
                <w:sz w:val="24"/>
                <w:highlight w:val="none"/>
              </w:rPr>
            </w:pPr>
          </w:p>
        </w:tc>
        <w:tc>
          <w:tcPr>
            <w:tcW w:w="708" w:type="dxa"/>
            <w:noWrap w:val="0"/>
            <w:vAlign w:val="top"/>
          </w:tcPr>
          <w:p w14:paraId="5525027E">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22AA2D40">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3EA1BA6E">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078229FC">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63D6E664">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35299854">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6B8F807F">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6758287D">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5D712234">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34D058E1">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73117BBC">
            <w:pPr>
              <w:snapToGrid w:val="0"/>
              <w:spacing w:line="380" w:lineRule="exact"/>
              <w:jc w:val="center"/>
              <w:rPr>
                <w:rFonts w:hint="eastAsia" w:ascii="宋体" w:hAnsi="宋体" w:eastAsia="宋体" w:cs="宋体"/>
                <w:sz w:val="24"/>
                <w:highlight w:val="none"/>
              </w:rPr>
            </w:pPr>
          </w:p>
        </w:tc>
      </w:tr>
      <w:tr w14:paraId="4A93A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35F9A92F">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68AC70C4">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26628FD4">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0F543C6E">
            <w:pPr>
              <w:snapToGrid w:val="0"/>
              <w:spacing w:line="380" w:lineRule="exact"/>
              <w:jc w:val="center"/>
              <w:rPr>
                <w:rFonts w:hint="eastAsia" w:ascii="宋体" w:hAnsi="宋体" w:eastAsia="宋体" w:cs="宋体"/>
                <w:sz w:val="24"/>
                <w:highlight w:val="none"/>
              </w:rPr>
            </w:pPr>
          </w:p>
        </w:tc>
        <w:tc>
          <w:tcPr>
            <w:tcW w:w="708" w:type="dxa"/>
            <w:noWrap w:val="0"/>
            <w:vAlign w:val="top"/>
          </w:tcPr>
          <w:p w14:paraId="6083D3F9">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5D118DC2">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234F7890">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3F8CE178">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224C9495">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8097A53">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F4F3B93">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246B6851">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34E1517D">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3A295BFD">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1B36DAD5">
            <w:pPr>
              <w:snapToGrid w:val="0"/>
              <w:spacing w:line="380" w:lineRule="exact"/>
              <w:jc w:val="center"/>
              <w:rPr>
                <w:rFonts w:hint="eastAsia" w:ascii="宋体" w:hAnsi="宋体" w:eastAsia="宋体" w:cs="宋体"/>
                <w:sz w:val="24"/>
                <w:highlight w:val="none"/>
              </w:rPr>
            </w:pPr>
          </w:p>
        </w:tc>
      </w:tr>
      <w:tr w14:paraId="7471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0BB09C8D">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2E9C5FAD">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0D54F4AA">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43FBCA6F">
            <w:pPr>
              <w:snapToGrid w:val="0"/>
              <w:spacing w:line="380" w:lineRule="exact"/>
              <w:jc w:val="center"/>
              <w:rPr>
                <w:rFonts w:hint="eastAsia" w:ascii="宋体" w:hAnsi="宋体" w:eastAsia="宋体" w:cs="宋体"/>
                <w:sz w:val="24"/>
                <w:highlight w:val="none"/>
              </w:rPr>
            </w:pPr>
          </w:p>
        </w:tc>
        <w:tc>
          <w:tcPr>
            <w:tcW w:w="708" w:type="dxa"/>
            <w:noWrap w:val="0"/>
            <w:vAlign w:val="top"/>
          </w:tcPr>
          <w:p w14:paraId="5E653E4B">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8805AB1">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0A964169">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659EE1D7">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7557FAB2">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2E784947">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4AD663B">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32946D1A">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0E6FFAA4">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06ED5441">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284A1B4D">
            <w:pPr>
              <w:snapToGrid w:val="0"/>
              <w:spacing w:line="380" w:lineRule="exact"/>
              <w:jc w:val="center"/>
              <w:rPr>
                <w:rFonts w:hint="eastAsia" w:ascii="宋体" w:hAnsi="宋体" w:eastAsia="宋体" w:cs="宋体"/>
                <w:sz w:val="24"/>
                <w:highlight w:val="none"/>
              </w:rPr>
            </w:pPr>
          </w:p>
        </w:tc>
      </w:tr>
      <w:tr w14:paraId="13BB4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73708982">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7CDDBE98">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1032772E">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2AE1B0E8">
            <w:pPr>
              <w:snapToGrid w:val="0"/>
              <w:spacing w:line="380" w:lineRule="exact"/>
              <w:jc w:val="center"/>
              <w:rPr>
                <w:rFonts w:hint="eastAsia" w:ascii="宋体" w:hAnsi="宋体" w:eastAsia="宋体" w:cs="宋体"/>
                <w:sz w:val="24"/>
                <w:highlight w:val="none"/>
              </w:rPr>
            </w:pPr>
          </w:p>
        </w:tc>
        <w:tc>
          <w:tcPr>
            <w:tcW w:w="708" w:type="dxa"/>
            <w:noWrap w:val="0"/>
            <w:vAlign w:val="top"/>
          </w:tcPr>
          <w:p w14:paraId="7A61B1B0">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8A591A0">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17FFFF00">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79A1B16B">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2B8CAC70">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19644695">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7A3C1E9">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7AC11100">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5B0915D0">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5E2E3BB5">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7E829C9F">
            <w:pPr>
              <w:snapToGrid w:val="0"/>
              <w:spacing w:line="380" w:lineRule="exact"/>
              <w:jc w:val="center"/>
              <w:rPr>
                <w:rFonts w:hint="eastAsia" w:ascii="宋体" w:hAnsi="宋体" w:eastAsia="宋体" w:cs="宋体"/>
                <w:sz w:val="24"/>
                <w:highlight w:val="none"/>
              </w:rPr>
            </w:pPr>
          </w:p>
        </w:tc>
      </w:tr>
      <w:tr w14:paraId="4C378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23AD27D4">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282FB76E">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7C288DD8">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7F5D5CD2">
            <w:pPr>
              <w:snapToGrid w:val="0"/>
              <w:spacing w:line="380" w:lineRule="exact"/>
              <w:jc w:val="center"/>
              <w:rPr>
                <w:rFonts w:hint="eastAsia" w:ascii="宋体" w:hAnsi="宋体" w:eastAsia="宋体" w:cs="宋体"/>
                <w:sz w:val="24"/>
                <w:highlight w:val="none"/>
              </w:rPr>
            </w:pPr>
          </w:p>
        </w:tc>
        <w:tc>
          <w:tcPr>
            <w:tcW w:w="708" w:type="dxa"/>
            <w:noWrap w:val="0"/>
            <w:vAlign w:val="top"/>
          </w:tcPr>
          <w:p w14:paraId="66100EB3">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72244E92">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096B3CC6">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3CEBD143">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01BB5A99">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74C8AEB5">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4224C360">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08D41B10">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083BBA1A">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23B84AF5">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3D32162B">
            <w:pPr>
              <w:snapToGrid w:val="0"/>
              <w:spacing w:line="380" w:lineRule="exact"/>
              <w:jc w:val="center"/>
              <w:rPr>
                <w:rFonts w:hint="eastAsia" w:ascii="宋体" w:hAnsi="宋体" w:eastAsia="宋体" w:cs="宋体"/>
                <w:sz w:val="24"/>
                <w:highlight w:val="none"/>
              </w:rPr>
            </w:pPr>
          </w:p>
        </w:tc>
      </w:tr>
      <w:tr w14:paraId="432C9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noWrap w:val="0"/>
            <w:vAlign w:val="center"/>
          </w:tcPr>
          <w:p w14:paraId="6AE60EFE">
            <w:pPr>
              <w:snapToGrid w:val="0"/>
              <w:spacing w:line="380" w:lineRule="exact"/>
              <w:jc w:val="center"/>
              <w:rPr>
                <w:rFonts w:hint="eastAsia" w:ascii="宋体" w:hAnsi="宋体" w:eastAsia="宋体" w:cs="宋体"/>
                <w:sz w:val="24"/>
                <w:highlight w:val="none"/>
              </w:rPr>
            </w:pPr>
          </w:p>
        </w:tc>
        <w:tc>
          <w:tcPr>
            <w:tcW w:w="1020" w:type="dxa"/>
            <w:noWrap w:val="0"/>
            <w:vAlign w:val="center"/>
          </w:tcPr>
          <w:p w14:paraId="6CCEDBB6">
            <w:pPr>
              <w:snapToGrid w:val="0"/>
              <w:spacing w:line="380" w:lineRule="exact"/>
              <w:jc w:val="center"/>
              <w:rPr>
                <w:rFonts w:hint="eastAsia" w:ascii="宋体" w:hAnsi="宋体" w:eastAsia="宋体" w:cs="宋体"/>
                <w:sz w:val="24"/>
                <w:highlight w:val="none"/>
              </w:rPr>
            </w:pPr>
          </w:p>
        </w:tc>
        <w:tc>
          <w:tcPr>
            <w:tcW w:w="1274" w:type="dxa"/>
            <w:noWrap w:val="0"/>
            <w:vAlign w:val="center"/>
          </w:tcPr>
          <w:p w14:paraId="154FAAA2">
            <w:pPr>
              <w:snapToGrid w:val="0"/>
              <w:spacing w:line="380" w:lineRule="exact"/>
              <w:jc w:val="center"/>
              <w:rPr>
                <w:rFonts w:hint="eastAsia" w:ascii="宋体" w:hAnsi="宋体" w:eastAsia="宋体" w:cs="宋体"/>
                <w:sz w:val="24"/>
                <w:highlight w:val="none"/>
              </w:rPr>
            </w:pPr>
          </w:p>
        </w:tc>
        <w:tc>
          <w:tcPr>
            <w:tcW w:w="714" w:type="dxa"/>
            <w:noWrap w:val="0"/>
            <w:vAlign w:val="center"/>
          </w:tcPr>
          <w:p w14:paraId="070FAB02">
            <w:pPr>
              <w:snapToGrid w:val="0"/>
              <w:spacing w:line="380" w:lineRule="exact"/>
              <w:jc w:val="center"/>
              <w:rPr>
                <w:rFonts w:hint="eastAsia" w:ascii="宋体" w:hAnsi="宋体" w:eastAsia="宋体" w:cs="宋体"/>
                <w:sz w:val="24"/>
                <w:highlight w:val="none"/>
              </w:rPr>
            </w:pPr>
          </w:p>
        </w:tc>
        <w:tc>
          <w:tcPr>
            <w:tcW w:w="708" w:type="dxa"/>
            <w:noWrap w:val="0"/>
            <w:vAlign w:val="top"/>
          </w:tcPr>
          <w:p w14:paraId="5AFF458D">
            <w:pPr>
              <w:snapToGrid w:val="0"/>
              <w:spacing w:line="380" w:lineRule="exact"/>
              <w:jc w:val="center"/>
              <w:rPr>
                <w:rFonts w:hint="eastAsia" w:ascii="宋体" w:hAnsi="宋体" w:eastAsia="宋体" w:cs="宋体"/>
                <w:sz w:val="24"/>
                <w:highlight w:val="none"/>
              </w:rPr>
            </w:pPr>
          </w:p>
        </w:tc>
        <w:tc>
          <w:tcPr>
            <w:tcW w:w="846" w:type="dxa"/>
            <w:noWrap w:val="0"/>
            <w:vAlign w:val="center"/>
          </w:tcPr>
          <w:p w14:paraId="6B8FCEA7">
            <w:pPr>
              <w:snapToGrid w:val="0"/>
              <w:spacing w:line="380" w:lineRule="exact"/>
              <w:jc w:val="center"/>
              <w:rPr>
                <w:rFonts w:hint="eastAsia" w:ascii="宋体" w:hAnsi="宋体" w:eastAsia="宋体" w:cs="宋体"/>
                <w:sz w:val="24"/>
                <w:highlight w:val="none"/>
              </w:rPr>
            </w:pPr>
          </w:p>
        </w:tc>
        <w:tc>
          <w:tcPr>
            <w:tcW w:w="851" w:type="dxa"/>
            <w:noWrap w:val="0"/>
            <w:vAlign w:val="center"/>
          </w:tcPr>
          <w:p w14:paraId="582DC247">
            <w:pPr>
              <w:snapToGrid w:val="0"/>
              <w:spacing w:line="380" w:lineRule="exact"/>
              <w:jc w:val="center"/>
              <w:rPr>
                <w:rFonts w:hint="eastAsia" w:ascii="宋体" w:hAnsi="宋体" w:eastAsia="宋体" w:cs="宋体"/>
                <w:sz w:val="24"/>
                <w:highlight w:val="none"/>
              </w:rPr>
            </w:pPr>
          </w:p>
        </w:tc>
        <w:tc>
          <w:tcPr>
            <w:tcW w:w="866" w:type="dxa"/>
            <w:noWrap w:val="0"/>
            <w:vAlign w:val="center"/>
          </w:tcPr>
          <w:p w14:paraId="0DFBA1F9">
            <w:pPr>
              <w:snapToGrid w:val="0"/>
              <w:spacing w:line="380" w:lineRule="exact"/>
              <w:jc w:val="center"/>
              <w:rPr>
                <w:rFonts w:hint="eastAsia" w:ascii="宋体" w:hAnsi="宋体" w:eastAsia="宋体" w:cs="宋体"/>
                <w:sz w:val="24"/>
                <w:highlight w:val="none"/>
              </w:rPr>
            </w:pPr>
          </w:p>
        </w:tc>
        <w:tc>
          <w:tcPr>
            <w:tcW w:w="936" w:type="dxa"/>
            <w:noWrap w:val="0"/>
            <w:vAlign w:val="center"/>
          </w:tcPr>
          <w:p w14:paraId="472CA77F">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834441D">
            <w:pPr>
              <w:snapToGrid w:val="0"/>
              <w:spacing w:line="380" w:lineRule="exact"/>
              <w:jc w:val="center"/>
              <w:rPr>
                <w:rFonts w:hint="eastAsia" w:ascii="宋体" w:hAnsi="宋体" w:eastAsia="宋体" w:cs="宋体"/>
                <w:sz w:val="24"/>
                <w:highlight w:val="none"/>
              </w:rPr>
            </w:pPr>
          </w:p>
        </w:tc>
        <w:tc>
          <w:tcPr>
            <w:tcW w:w="929" w:type="dxa"/>
            <w:noWrap w:val="0"/>
            <w:vAlign w:val="center"/>
          </w:tcPr>
          <w:p w14:paraId="0BD0D1F9">
            <w:pPr>
              <w:snapToGrid w:val="0"/>
              <w:spacing w:line="380" w:lineRule="exact"/>
              <w:jc w:val="center"/>
              <w:rPr>
                <w:rFonts w:hint="eastAsia" w:ascii="宋体" w:hAnsi="宋体" w:eastAsia="宋体" w:cs="宋体"/>
                <w:sz w:val="24"/>
                <w:highlight w:val="none"/>
              </w:rPr>
            </w:pPr>
          </w:p>
        </w:tc>
        <w:tc>
          <w:tcPr>
            <w:tcW w:w="883" w:type="dxa"/>
            <w:noWrap w:val="0"/>
            <w:vAlign w:val="center"/>
          </w:tcPr>
          <w:p w14:paraId="1FF946B2">
            <w:pPr>
              <w:snapToGrid w:val="0"/>
              <w:spacing w:line="380" w:lineRule="exact"/>
              <w:jc w:val="center"/>
              <w:rPr>
                <w:rFonts w:hint="eastAsia" w:ascii="宋体" w:hAnsi="宋体" w:eastAsia="宋体" w:cs="宋体"/>
                <w:sz w:val="24"/>
                <w:highlight w:val="none"/>
              </w:rPr>
            </w:pPr>
          </w:p>
        </w:tc>
        <w:tc>
          <w:tcPr>
            <w:tcW w:w="992" w:type="dxa"/>
            <w:noWrap w:val="0"/>
            <w:vAlign w:val="center"/>
          </w:tcPr>
          <w:p w14:paraId="1C67EA79">
            <w:pPr>
              <w:snapToGrid w:val="0"/>
              <w:spacing w:line="380" w:lineRule="exact"/>
              <w:jc w:val="center"/>
              <w:rPr>
                <w:rFonts w:hint="eastAsia" w:ascii="宋体" w:hAnsi="宋体" w:eastAsia="宋体" w:cs="宋体"/>
                <w:sz w:val="24"/>
                <w:highlight w:val="none"/>
              </w:rPr>
            </w:pPr>
          </w:p>
        </w:tc>
        <w:tc>
          <w:tcPr>
            <w:tcW w:w="912" w:type="dxa"/>
            <w:noWrap w:val="0"/>
            <w:vAlign w:val="center"/>
          </w:tcPr>
          <w:p w14:paraId="58412D7B">
            <w:pPr>
              <w:snapToGrid w:val="0"/>
              <w:spacing w:line="380" w:lineRule="exact"/>
              <w:jc w:val="center"/>
              <w:rPr>
                <w:rFonts w:hint="eastAsia" w:ascii="宋体" w:hAnsi="宋体" w:eastAsia="宋体" w:cs="宋体"/>
                <w:sz w:val="24"/>
                <w:highlight w:val="none"/>
              </w:rPr>
            </w:pPr>
          </w:p>
        </w:tc>
        <w:tc>
          <w:tcPr>
            <w:tcW w:w="928" w:type="dxa"/>
            <w:noWrap w:val="0"/>
            <w:vAlign w:val="center"/>
          </w:tcPr>
          <w:p w14:paraId="6D753B6E">
            <w:pPr>
              <w:snapToGrid w:val="0"/>
              <w:spacing w:line="380" w:lineRule="exact"/>
              <w:jc w:val="center"/>
              <w:rPr>
                <w:rFonts w:hint="eastAsia" w:ascii="宋体" w:hAnsi="宋体" w:eastAsia="宋体" w:cs="宋体"/>
                <w:sz w:val="24"/>
                <w:highlight w:val="none"/>
              </w:rPr>
            </w:pPr>
          </w:p>
        </w:tc>
      </w:tr>
    </w:tbl>
    <w:p w14:paraId="728ABC96">
      <w:pPr>
        <w:snapToGrid w:val="0"/>
        <w:spacing w:line="380" w:lineRule="exact"/>
        <w:rPr>
          <w:rFonts w:hint="eastAsia" w:ascii="宋体" w:hAnsi="宋体" w:eastAsia="宋体" w:cs="宋体"/>
          <w:sz w:val="24"/>
          <w:highlight w:val="none"/>
        </w:rPr>
      </w:pPr>
    </w:p>
    <w:p w14:paraId="1F39DE10">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填表单位：　 　　　　　监测人：  　　              　填表人：    　　　　　　填表日期：</w:t>
      </w:r>
    </w:p>
    <w:p w14:paraId="7AE0016F">
      <w:pPr>
        <w:snapToGrid w:val="0"/>
        <w:spacing w:line="380" w:lineRule="exact"/>
        <w:rPr>
          <w:rFonts w:hint="eastAsia" w:ascii="宋体" w:hAnsi="宋体" w:eastAsia="宋体" w:cs="宋体"/>
          <w:sz w:val="24"/>
          <w:highlight w:val="none"/>
        </w:rPr>
      </w:pPr>
    </w:p>
    <w:p w14:paraId="6662357D">
      <w:pPr>
        <w:snapToGrid w:val="0"/>
        <w:spacing w:line="380" w:lineRule="exact"/>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附表2：              病媒生物监测（鼠及寄生虫）记录表</w:t>
      </w:r>
    </w:p>
    <w:p w14:paraId="3E3DB256">
      <w:pPr>
        <w:snapToGrid w:val="0"/>
        <w:spacing w:line="380" w:lineRule="exact"/>
        <w:rPr>
          <w:rFonts w:hint="eastAsia" w:ascii="宋体" w:hAnsi="宋体" w:eastAsia="宋体" w:cs="宋体"/>
          <w:kern w:val="0"/>
          <w:sz w:val="24"/>
          <w:highlight w:val="none"/>
        </w:rPr>
      </w:pPr>
    </w:p>
    <w:p w14:paraId="0F6D6E40">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监测地点：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监测日期：       年      月    　日</w:t>
      </w:r>
    </w:p>
    <w:p w14:paraId="3041846E">
      <w:pPr>
        <w:snapToGrid w:val="0"/>
        <w:spacing w:line="380" w:lineRule="exact"/>
        <w:rPr>
          <w:rFonts w:hint="eastAsia" w:ascii="宋体" w:hAnsi="宋体" w:eastAsia="宋体" w:cs="宋体"/>
          <w:sz w:val="24"/>
          <w:highlight w:val="none"/>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1276"/>
        <w:gridCol w:w="635"/>
        <w:gridCol w:w="1072"/>
        <w:gridCol w:w="1072"/>
        <w:gridCol w:w="1072"/>
        <w:gridCol w:w="1072"/>
        <w:gridCol w:w="1072"/>
        <w:gridCol w:w="1072"/>
        <w:gridCol w:w="1072"/>
        <w:gridCol w:w="1072"/>
        <w:gridCol w:w="1072"/>
      </w:tblGrid>
      <w:tr w14:paraId="6E70A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noWrap w:val="0"/>
            <w:vAlign w:val="center"/>
          </w:tcPr>
          <w:p w14:paraId="706DDBC1">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编号</w:t>
            </w:r>
          </w:p>
        </w:tc>
        <w:tc>
          <w:tcPr>
            <w:tcW w:w="1559" w:type="dxa"/>
            <w:vMerge w:val="restart"/>
            <w:noWrap w:val="0"/>
            <w:vAlign w:val="center"/>
          </w:tcPr>
          <w:p w14:paraId="05EE73A7">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生境</w:t>
            </w:r>
          </w:p>
        </w:tc>
        <w:tc>
          <w:tcPr>
            <w:tcW w:w="1276" w:type="dxa"/>
            <w:vMerge w:val="restart"/>
            <w:noWrap w:val="0"/>
            <w:vAlign w:val="center"/>
          </w:tcPr>
          <w:p w14:paraId="78791839">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种类</w:t>
            </w:r>
          </w:p>
        </w:tc>
        <w:tc>
          <w:tcPr>
            <w:tcW w:w="635" w:type="dxa"/>
            <w:vMerge w:val="restart"/>
            <w:noWrap w:val="0"/>
            <w:vAlign w:val="center"/>
          </w:tcPr>
          <w:p w14:paraId="5E56A5B7">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性别</w:t>
            </w:r>
          </w:p>
        </w:tc>
        <w:tc>
          <w:tcPr>
            <w:tcW w:w="1072" w:type="dxa"/>
            <w:vMerge w:val="restart"/>
            <w:noWrap w:val="0"/>
            <w:vAlign w:val="center"/>
          </w:tcPr>
          <w:p w14:paraId="5C49DFEF">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体重（g）</w:t>
            </w:r>
          </w:p>
        </w:tc>
        <w:tc>
          <w:tcPr>
            <w:tcW w:w="1072" w:type="dxa"/>
            <w:vMerge w:val="restart"/>
            <w:noWrap w:val="0"/>
            <w:vAlign w:val="center"/>
          </w:tcPr>
          <w:p w14:paraId="404BC131">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体长</w:t>
            </w:r>
          </w:p>
          <w:p w14:paraId="5C274790">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（mm）</w:t>
            </w:r>
          </w:p>
        </w:tc>
        <w:tc>
          <w:tcPr>
            <w:tcW w:w="1072" w:type="dxa"/>
            <w:vMerge w:val="restart"/>
            <w:noWrap w:val="0"/>
            <w:vAlign w:val="center"/>
          </w:tcPr>
          <w:p w14:paraId="78A11D60">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尾长（mm）</w:t>
            </w:r>
          </w:p>
        </w:tc>
        <w:tc>
          <w:tcPr>
            <w:tcW w:w="1072" w:type="dxa"/>
            <w:vMerge w:val="restart"/>
            <w:noWrap w:val="0"/>
            <w:vAlign w:val="center"/>
          </w:tcPr>
          <w:p w14:paraId="2826B12C">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耳高（mm）</w:t>
            </w:r>
          </w:p>
        </w:tc>
        <w:tc>
          <w:tcPr>
            <w:tcW w:w="1072" w:type="dxa"/>
            <w:vMerge w:val="restart"/>
            <w:noWrap w:val="0"/>
            <w:vAlign w:val="center"/>
          </w:tcPr>
          <w:p w14:paraId="26FE96F9">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后足长（mm）</w:t>
            </w:r>
          </w:p>
        </w:tc>
        <w:tc>
          <w:tcPr>
            <w:tcW w:w="3216" w:type="dxa"/>
            <w:gridSpan w:val="3"/>
            <w:noWrap w:val="0"/>
            <w:vAlign w:val="center"/>
          </w:tcPr>
          <w:p w14:paraId="718313DB">
            <w:pPr>
              <w:snapToGrid w:val="0"/>
              <w:spacing w:line="380" w:lineRule="exact"/>
              <w:jc w:val="center"/>
              <w:rPr>
                <w:rFonts w:hint="eastAsia" w:ascii="宋体" w:hAnsi="宋体" w:eastAsia="宋体" w:cs="宋体"/>
                <w:sz w:val="24"/>
                <w:highlight w:val="none"/>
              </w:rPr>
            </w:pPr>
            <w:r>
              <w:rPr>
                <w:rFonts w:hint="eastAsia" w:ascii="宋体" w:hAnsi="宋体" w:eastAsia="宋体" w:cs="宋体"/>
                <w:kern w:val="0"/>
                <w:sz w:val="24"/>
                <w:highlight w:val="none"/>
              </w:rPr>
              <w:t>寄生虫数量（只）</w:t>
            </w:r>
          </w:p>
        </w:tc>
        <w:tc>
          <w:tcPr>
            <w:tcW w:w="1072" w:type="dxa"/>
            <w:vMerge w:val="restart"/>
            <w:noWrap w:val="0"/>
            <w:vAlign w:val="center"/>
          </w:tcPr>
          <w:p w14:paraId="55D89B9C">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3011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noWrap w:val="0"/>
            <w:vAlign w:val="center"/>
          </w:tcPr>
          <w:p w14:paraId="259FF72A">
            <w:pPr>
              <w:widowControl/>
              <w:snapToGrid w:val="0"/>
              <w:spacing w:line="380" w:lineRule="exact"/>
              <w:jc w:val="center"/>
              <w:rPr>
                <w:rFonts w:hint="eastAsia" w:ascii="宋体" w:hAnsi="宋体" w:eastAsia="宋体" w:cs="宋体"/>
                <w:kern w:val="0"/>
                <w:sz w:val="24"/>
                <w:highlight w:val="none"/>
              </w:rPr>
            </w:pPr>
          </w:p>
        </w:tc>
        <w:tc>
          <w:tcPr>
            <w:tcW w:w="1559" w:type="dxa"/>
            <w:vMerge w:val="continue"/>
            <w:noWrap w:val="0"/>
            <w:vAlign w:val="center"/>
          </w:tcPr>
          <w:p w14:paraId="40F0F220">
            <w:pPr>
              <w:widowControl/>
              <w:snapToGrid w:val="0"/>
              <w:spacing w:line="380" w:lineRule="exact"/>
              <w:jc w:val="center"/>
              <w:rPr>
                <w:rFonts w:hint="eastAsia" w:ascii="宋体" w:hAnsi="宋体" w:eastAsia="宋体" w:cs="宋体"/>
                <w:kern w:val="0"/>
                <w:sz w:val="24"/>
                <w:highlight w:val="none"/>
              </w:rPr>
            </w:pPr>
          </w:p>
        </w:tc>
        <w:tc>
          <w:tcPr>
            <w:tcW w:w="1276" w:type="dxa"/>
            <w:vMerge w:val="continue"/>
            <w:noWrap w:val="0"/>
            <w:vAlign w:val="center"/>
          </w:tcPr>
          <w:p w14:paraId="549A4DE0">
            <w:pPr>
              <w:widowControl/>
              <w:snapToGrid w:val="0"/>
              <w:spacing w:line="380" w:lineRule="exact"/>
              <w:jc w:val="center"/>
              <w:rPr>
                <w:rFonts w:hint="eastAsia" w:ascii="宋体" w:hAnsi="宋体" w:eastAsia="宋体" w:cs="宋体"/>
                <w:kern w:val="0"/>
                <w:sz w:val="24"/>
                <w:highlight w:val="none"/>
              </w:rPr>
            </w:pPr>
          </w:p>
        </w:tc>
        <w:tc>
          <w:tcPr>
            <w:tcW w:w="635" w:type="dxa"/>
            <w:vMerge w:val="continue"/>
            <w:noWrap w:val="0"/>
            <w:vAlign w:val="center"/>
          </w:tcPr>
          <w:p w14:paraId="41917A68">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2EF12189">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1A972B52">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724E3E3D">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7D0A1323">
            <w:pPr>
              <w:widowControl/>
              <w:snapToGrid w:val="0"/>
              <w:spacing w:line="380" w:lineRule="exact"/>
              <w:jc w:val="center"/>
              <w:rPr>
                <w:rFonts w:hint="eastAsia" w:ascii="宋体" w:hAnsi="宋体" w:eastAsia="宋体" w:cs="宋体"/>
                <w:kern w:val="0"/>
                <w:sz w:val="24"/>
                <w:highlight w:val="none"/>
              </w:rPr>
            </w:pPr>
          </w:p>
        </w:tc>
        <w:tc>
          <w:tcPr>
            <w:tcW w:w="1072" w:type="dxa"/>
            <w:vMerge w:val="continue"/>
            <w:noWrap w:val="0"/>
            <w:vAlign w:val="center"/>
          </w:tcPr>
          <w:p w14:paraId="0CA513A3">
            <w:pPr>
              <w:widowControl/>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3A5E8A5">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蜱</w:t>
            </w:r>
          </w:p>
        </w:tc>
        <w:tc>
          <w:tcPr>
            <w:tcW w:w="1072" w:type="dxa"/>
            <w:noWrap w:val="0"/>
            <w:vAlign w:val="center"/>
          </w:tcPr>
          <w:p w14:paraId="168C0BEF">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蚤</w:t>
            </w:r>
          </w:p>
        </w:tc>
        <w:tc>
          <w:tcPr>
            <w:tcW w:w="1072" w:type="dxa"/>
            <w:noWrap w:val="0"/>
            <w:vAlign w:val="center"/>
          </w:tcPr>
          <w:p w14:paraId="2D37A027">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螨</w:t>
            </w:r>
          </w:p>
        </w:tc>
        <w:tc>
          <w:tcPr>
            <w:tcW w:w="1072" w:type="dxa"/>
            <w:vMerge w:val="continue"/>
            <w:noWrap w:val="0"/>
            <w:vAlign w:val="center"/>
          </w:tcPr>
          <w:p w14:paraId="6175524F">
            <w:pPr>
              <w:snapToGrid w:val="0"/>
              <w:spacing w:line="380" w:lineRule="exact"/>
              <w:jc w:val="center"/>
              <w:rPr>
                <w:rFonts w:hint="eastAsia" w:ascii="宋体" w:hAnsi="宋体" w:eastAsia="宋体" w:cs="宋体"/>
                <w:sz w:val="24"/>
                <w:highlight w:val="none"/>
              </w:rPr>
            </w:pPr>
          </w:p>
        </w:tc>
      </w:tr>
      <w:tr w14:paraId="7490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D54B305">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3A0E1161">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35A1EB0C">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254A968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B462B9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31859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603998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40BBE5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3FB605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758FD1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5A1CE9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BE9A11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35A54F">
            <w:pPr>
              <w:snapToGrid w:val="0"/>
              <w:spacing w:line="380" w:lineRule="exact"/>
              <w:jc w:val="center"/>
              <w:rPr>
                <w:rFonts w:hint="eastAsia" w:ascii="宋体" w:hAnsi="宋体" w:eastAsia="宋体" w:cs="宋体"/>
                <w:sz w:val="24"/>
                <w:highlight w:val="none"/>
              </w:rPr>
            </w:pPr>
          </w:p>
        </w:tc>
      </w:tr>
      <w:tr w14:paraId="08134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B162E40">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654D4D24">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7C900DE">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62D6B83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7E6640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F0566C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0978631">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901AFA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9AA2C2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74B27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5EFAD2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91CA2F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C83A133">
            <w:pPr>
              <w:snapToGrid w:val="0"/>
              <w:spacing w:line="380" w:lineRule="exact"/>
              <w:jc w:val="center"/>
              <w:rPr>
                <w:rFonts w:hint="eastAsia" w:ascii="宋体" w:hAnsi="宋体" w:eastAsia="宋体" w:cs="宋体"/>
                <w:sz w:val="24"/>
                <w:highlight w:val="none"/>
              </w:rPr>
            </w:pPr>
          </w:p>
        </w:tc>
      </w:tr>
      <w:tr w14:paraId="7EC6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33F2B14">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388FCE61">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513CD78">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3864247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45904C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8820DE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442E02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DA8EE0">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EA1CC7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68D61C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19896C2">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26B28A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4C89A6D">
            <w:pPr>
              <w:snapToGrid w:val="0"/>
              <w:spacing w:line="380" w:lineRule="exact"/>
              <w:jc w:val="center"/>
              <w:rPr>
                <w:rFonts w:hint="eastAsia" w:ascii="宋体" w:hAnsi="宋体" w:eastAsia="宋体" w:cs="宋体"/>
                <w:sz w:val="24"/>
                <w:highlight w:val="none"/>
              </w:rPr>
            </w:pPr>
          </w:p>
        </w:tc>
      </w:tr>
      <w:tr w14:paraId="574DF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BAEF691">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398A5288">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8C1F540">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2008173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8F01CB1">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B3AAEF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8E01BA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844E53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74708F2">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78BF0C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753490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8061F1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C1B2827">
            <w:pPr>
              <w:snapToGrid w:val="0"/>
              <w:spacing w:line="380" w:lineRule="exact"/>
              <w:jc w:val="center"/>
              <w:rPr>
                <w:rFonts w:hint="eastAsia" w:ascii="宋体" w:hAnsi="宋体" w:eastAsia="宋体" w:cs="宋体"/>
                <w:sz w:val="24"/>
                <w:highlight w:val="none"/>
              </w:rPr>
            </w:pPr>
          </w:p>
        </w:tc>
      </w:tr>
      <w:tr w14:paraId="2E5B3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BAFCDE8">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67C177DF">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610E1EF8">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2A0E4A5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9B7211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0673D9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2F659B2">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30E7690">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7CEC5B9">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338318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3776C3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16B12B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527C7B5">
            <w:pPr>
              <w:snapToGrid w:val="0"/>
              <w:spacing w:line="380" w:lineRule="exact"/>
              <w:jc w:val="center"/>
              <w:rPr>
                <w:rFonts w:hint="eastAsia" w:ascii="宋体" w:hAnsi="宋体" w:eastAsia="宋体" w:cs="宋体"/>
                <w:sz w:val="24"/>
                <w:highlight w:val="none"/>
              </w:rPr>
            </w:pPr>
          </w:p>
        </w:tc>
      </w:tr>
      <w:tr w14:paraId="437A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18C6D72">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47575A33">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0C3CF6AD">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6E5A923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D7F96C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3F0941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306A37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D4A110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4B5857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1B311A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7E9682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995F16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AB5EC3E">
            <w:pPr>
              <w:snapToGrid w:val="0"/>
              <w:spacing w:line="380" w:lineRule="exact"/>
              <w:jc w:val="center"/>
              <w:rPr>
                <w:rFonts w:hint="eastAsia" w:ascii="宋体" w:hAnsi="宋体" w:eastAsia="宋体" w:cs="宋体"/>
                <w:sz w:val="24"/>
                <w:highlight w:val="none"/>
              </w:rPr>
            </w:pPr>
          </w:p>
        </w:tc>
      </w:tr>
      <w:tr w14:paraId="145A1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A656400">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6ACF3723">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74C1F675">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14FB258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1357F0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73E0FA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699218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7E8726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72AB4C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6671F32">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ADB42C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940548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DAA3E74">
            <w:pPr>
              <w:snapToGrid w:val="0"/>
              <w:spacing w:line="380" w:lineRule="exact"/>
              <w:jc w:val="center"/>
              <w:rPr>
                <w:rFonts w:hint="eastAsia" w:ascii="宋体" w:hAnsi="宋体" w:eastAsia="宋体" w:cs="宋体"/>
                <w:sz w:val="24"/>
                <w:highlight w:val="none"/>
              </w:rPr>
            </w:pPr>
          </w:p>
        </w:tc>
      </w:tr>
      <w:tr w14:paraId="75B59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388E788">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4AD81B8C">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71F21024">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75B8BB9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8F382B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A1DAA6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48D94E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BB7897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053EC5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E1A19E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CB5894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B055AB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09B7038">
            <w:pPr>
              <w:snapToGrid w:val="0"/>
              <w:spacing w:line="380" w:lineRule="exact"/>
              <w:jc w:val="center"/>
              <w:rPr>
                <w:rFonts w:hint="eastAsia" w:ascii="宋体" w:hAnsi="宋体" w:eastAsia="宋体" w:cs="宋体"/>
                <w:sz w:val="24"/>
                <w:highlight w:val="none"/>
              </w:rPr>
            </w:pPr>
          </w:p>
        </w:tc>
      </w:tr>
      <w:tr w14:paraId="2C819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94C84A9">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333703E1">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EF6947E">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4854EB2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91BEB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62EC989">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E5FF32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3F64A6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1CD782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11B81B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51D9DA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974858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B011B81">
            <w:pPr>
              <w:snapToGrid w:val="0"/>
              <w:spacing w:line="380" w:lineRule="exact"/>
              <w:jc w:val="center"/>
              <w:rPr>
                <w:rFonts w:hint="eastAsia" w:ascii="宋体" w:hAnsi="宋体" w:eastAsia="宋体" w:cs="宋体"/>
                <w:sz w:val="24"/>
                <w:highlight w:val="none"/>
              </w:rPr>
            </w:pPr>
          </w:p>
        </w:tc>
      </w:tr>
      <w:tr w14:paraId="22133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22375A9">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53023482">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068C4186">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61F1918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C66BBC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D0C5E8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55F52B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D64157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71FADD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509350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2C3DD08">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316451D">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08BFDFF">
            <w:pPr>
              <w:snapToGrid w:val="0"/>
              <w:spacing w:line="380" w:lineRule="exact"/>
              <w:jc w:val="center"/>
              <w:rPr>
                <w:rFonts w:hint="eastAsia" w:ascii="宋体" w:hAnsi="宋体" w:eastAsia="宋体" w:cs="宋体"/>
                <w:sz w:val="24"/>
                <w:highlight w:val="none"/>
              </w:rPr>
            </w:pPr>
          </w:p>
        </w:tc>
      </w:tr>
      <w:tr w14:paraId="2F730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EEAA93E">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5CC52E2A">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10D1D3EA">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56A7DD6F">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BD22CC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40559C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9BF384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E7F315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A965420">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99CF68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DB8357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10334C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A2D2A8B">
            <w:pPr>
              <w:snapToGrid w:val="0"/>
              <w:spacing w:line="380" w:lineRule="exact"/>
              <w:jc w:val="center"/>
              <w:rPr>
                <w:rFonts w:hint="eastAsia" w:ascii="宋体" w:hAnsi="宋体" w:eastAsia="宋体" w:cs="宋体"/>
                <w:sz w:val="24"/>
                <w:highlight w:val="none"/>
              </w:rPr>
            </w:pPr>
          </w:p>
        </w:tc>
      </w:tr>
      <w:tr w14:paraId="3CA34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F99384A">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5C963410">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7C85DE08">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0428081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6C6021E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E7EF5D5">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B6216CE">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EE5485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7E0ABA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721013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4BF4180">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2C1215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38C6808">
            <w:pPr>
              <w:snapToGrid w:val="0"/>
              <w:spacing w:line="380" w:lineRule="exact"/>
              <w:jc w:val="center"/>
              <w:rPr>
                <w:rFonts w:hint="eastAsia" w:ascii="宋体" w:hAnsi="宋体" w:eastAsia="宋体" w:cs="宋体"/>
                <w:sz w:val="24"/>
                <w:highlight w:val="none"/>
              </w:rPr>
            </w:pPr>
          </w:p>
        </w:tc>
      </w:tr>
      <w:tr w14:paraId="32533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8A61AE0">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23B7B91A">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5EF17FBF">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4FE3559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9D5C8A1">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0511706">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1293F9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24FB3B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129C9C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35E2E3E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C7484E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4C58A9A">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31BA7F3">
            <w:pPr>
              <w:snapToGrid w:val="0"/>
              <w:spacing w:line="380" w:lineRule="exact"/>
              <w:jc w:val="center"/>
              <w:rPr>
                <w:rFonts w:hint="eastAsia" w:ascii="宋体" w:hAnsi="宋体" w:eastAsia="宋体" w:cs="宋体"/>
                <w:sz w:val="24"/>
                <w:highlight w:val="none"/>
              </w:rPr>
            </w:pPr>
          </w:p>
        </w:tc>
      </w:tr>
      <w:tr w14:paraId="2110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190A484">
            <w:pPr>
              <w:snapToGrid w:val="0"/>
              <w:spacing w:line="380" w:lineRule="exact"/>
              <w:jc w:val="center"/>
              <w:rPr>
                <w:rFonts w:hint="eastAsia" w:ascii="宋体" w:hAnsi="宋体" w:eastAsia="宋体" w:cs="宋体"/>
                <w:sz w:val="24"/>
                <w:highlight w:val="none"/>
              </w:rPr>
            </w:pPr>
          </w:p>
        </w:tc>
        <w:tc>
          <w:tcPr>
            <w:tcW w:w="1559" w:type="dxa"/>
            <w:noWrap w:val="0"/>
            <w:vAlign w:val="center"/>
          </w:tcPr>
          <w:p w14:paraId="0AD439BA">
            <w:pPr>
              <w:snapToGrid w:val="0"/>
              <w:spacing w:line="380" w:lineRule="exact"/>
              <w:jc w:val="center"/>
              <w:rPr>
                <w:rFonts w:hint="eastAsia" w:ascii="宋体" w:hAnsi="宋体" w:eastAsia="宋体" w:cs="宋体"/>
                <w:sz w:val="24"/>
                <w:highlight w:val="none"/>
              </w:rPr>
            </w:pPr>
          </w:p>
        </w:tc>
        <w:tc>
          <w:tcPr>
            <w:tcW w:w="1276" w:type="dxa"/>
            <w:noWrap w:val="0"/>
            <w:vAlign w:val="center"/>
          </w:tcPr>
          <w:p w14:paraId="44E1D131">
            <w:pPr>
              <w:snapToGrid w:val="0"/>
              <w:spacing w:line="380" w:lineRule="exact"/>
              <w:jc w:val="center"/>
              <w:rPr>
                <w:rFonts w:hint="eastAsia" w:ascii="宋体" w:hAnsi="宋体" w:eastAsia="宋体" w:cs="宋体"/>
                <w:sz w:val="24"/>
                <w:highlight w:val="none"/>
              </w:rPr>
            </w:pPr>
          </w:p>
        </w:tc>
        <w:tc>
          <w:tcPr>
            <w:tcW w:w="635" w:type="dxa"/>
            <w:noWrap w:val="0"/>
            <w:vAlign w:val="center"/>
          </w:tcPr>
          <w:p w14:paraId="05D3B059">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B7A265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91127D9">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34A5857">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293F2741">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06A6BE2C">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52FFD56B">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175E6A94">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49A00D93">
            <w:pPr>
              <w:snapToGrid w:val="0"/>
              <w:spacing w:line="380" w:lineRule="exact"/>
              <w:jc w:val="center"/>
              <w:rPr>
                <w:rFonts w:hint="eastAsia" w:ascii="宋体" w:hAnsi="宋体" w:eastAsia="宋体" w:cs="宋体"/>
                <w:sz w:val="24"/>
                <w:highlight w:val="none"/>
              </w:rPr>
            </w:pPr>
          </w:p>
        </w:tc>
        <w:tc>
          <w:tcPr>
            <w:tcW w:w="1072" w:type="dxa"/>
            <w:noWrap w:val="0"/>
            <w:vAlign w:val="center"/>
          </w:tcPr>
          <w:p w14:paraId="73A44E7C">
            <w:pPr>
              <w:snapToGrid w:val="0"/>
              <w:spacing w:line="380" w:lineRule="exact"/>
              <w:jc w:val="center"/>
              <w:rPr>
                <w:rFonts w:hint="eastAsia" w:ascii="宋体" w:hAnsi="宋体" w:eastAsia="宋体" w:cs="宋体"/>
                <w:sz w:val="24"/>
                <w:highlight w:val="none"/>
              </w:rPr>
            </w:pPr>
          </w:p>
        </w:tc>
      </w:tr>
    </w:tbl>
    <w:p w14:paraId="17B4447C">
      <w:pPr>
        <w:snapToGrid w:val="0"/>
        <w:spacing w:line="380" w:lineRule="exact"/>
        <w:rPr>
          <w:rFonts w:hint="eastAsia" w:ascii="宋体" w:hAnsi="宋体" w:eastAsia="宋体" w:cs="宋体"/>
          <w:kern w:val="0"/>
          <w:sz w:val="24"/>
          <w:highlight w:val="none"/>
        </w:rPr>
      </w:pPr>
    </w:p>
    <w:p w14:paraId="365CDEF8">
      <w:pPr>
        <w:snapToGrid w:val="0"/>
        <w:spacing w:line="380" w:lineRule="exact"/>
        <w:rPr>
          <w:rFonts w:hint="eastAsia" w:ascii="宋体" w:hAnsi="宋体" w:eastAsia="宋体" w:cs="宋体"/>
          <w:sz w:val="24"/>
          <w:highlight w:val="none"/>
        </w:rPr>
      </w:pPr>
      <w:r>
        <w:rPr>
          <w:rFonts w:hint="eastAsia" w:ascii="宋体" w:hAnsi="宋体" w:eastAsia="宋体" w:cs="宋体"/>
          <w:kern w:val="0"/>
          <w:sz w:val="24"/>
          <w:highlight w:val="none"/>
        </w:rPr>
        <w:t>鉴定单位：　　　　　　　　　　　　　　　　　　　鉴定人：　　　　　　　　　复核人：</w:t>
      </w:r>
    </w:p>
    <w:p w14:paraId="0C4282EE">
      <w:pPr>
        <w:snapToGrid w:val="0"/>
        <w:spacing w:line="380" w:lineRule="exact"/>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附表3：                病媒生物监测（成蚊）记录表</w:t>
      </w:r>
    </w:p>
    <w:p w14:paraId="141DE0EA">
      <w:pPr>
        <w:snapToGrid w:val="0"/>
        <w:spacing w:line="380" w:lineRule="exact"/>
        <w:rPr>
          <w:rFonts w:hint="eastAsia" w:ascii="宋体" w:hAnsi="宋体" w:eastAsia="宋体" w:cs="宋体"/>
          <w:sz w:val="24"/>
          <w:highlight w:val="none"/>
        </w:rPr>
      </w:pPr>
    </w:p>
    <w:p w14:paraId="77D03B5B">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监测地点：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监测日期：　　　　  年      月    　日     时--    时</w:t>
      </w:r>
    </w:p>
    <w:p w14:paraId="4016252A">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天气：  　        ；风速：      　　　　（m/s）；温度：   　　      ℃；湿度：　　　　　　%</w:t>
      </w:r>
    </w:p>
    <w:p w14:paraId="5B92B267">
      <w:pPr>
        <w:snapToGrid w:val="0"/>
        <w:spacing w:line="380" w:lineRule="exact"/>
        <w:rPr>
          <w:rFonts w:hint="eastAsia" w:ascii="宋体" w:hAnsi="宋体" w:eastAsia="宋体" w:cs="宋体"/>
          <w:kern w:val="0"/>
          <w:sz w:val="24"/>
          <w:highlight w:val="none"/>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992"/>
        <w:gridCol w:w="1264"/>
        <w:gridCol w:w="1072"/>
        <w:gridCol w:w="1350"/>
        <w:gridCol w:w="1275"/>
        <w:gridCol w:w="1276"/>
        <w:gridCol w:w="1276"/>
        <w:gridCol w:w="1072"/>
        <w:gridCol w:w="1072"/>
        <w:gridCol w:w="1072"/>
        <w:gridCol w:w="1072"/>
      </w:tblGrid>
      <w:tr w14:paraId="7932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noWrap w:val="0"/>
            <w:vAlign w:val="center"/>
          </w:tcPr>
          <w:p w14:paraId="3FC13C79">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编号</w:t>
            </w:r>
          </w:p>
        </w:tc>
        <w:tc>
          <w:tcPr>
            <w:tcW w:w="992" w:type="dxa"/>
            <w:vMerge w:val="restart"/>
            <w:noWrap w:val="0"/>
            <w:vAlign w:val="center"/>
          </w:tcPr>
          <w:p w14:paraId="307261BA">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监测点</w:t>
            </w:r>
          </w:p>
        </w:tc>
        <w:tc>
          <w:tcPr>
            <w:tcW w:w="1264" w:type="dxa"/>
            <w:vMerge w:val="restart"/>
            <w:noWrap w:val="0"/>
            <w:vAlign w:val="center"/>
          </w:tcPr>
          <w:p w14:paraId="5628FD1B">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生境</w:t>
            </w:r>
          </w:p>
        </w:tc>
        <w:tc>
          <w:tcPr>
            <w:tcW w:w="9465" w:type="dxa"/>
            <w:gridSpan w:val="8"/>
            <w:noWrap w:val="0"/>
            <w:vAlign w:val="center"/>
          </w:tcPr>
          <w:p w14:paraId="03D443B2">
            <w:pPr>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spacing w:val="-24"/>
                <w:kern w:val="0"/>
                <w:sz w:val="24"/>
                <w:highlight w:val="none"/>
              </w:rPr>
              <w:t>蚊 种（只）</w:t>
            </w:r>
          </w:p>
        </w:tc>
        <w:tc>
          <w:tcPr>
            <w:tcW w:w="1072" w:type="dxa"/>
            <w:vMerge w:val="restart"/>
            <w:noWrap w:val="0"/>
            <w:vAlign w:val="center"/>
          </w:tcPr>
          <w:p w14:paraId="61689FD2">
            <w:pPr>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spacing w:val="-24"/>
                <w:kern w:val="0"/>
                <w:sz w:val="24"/>
                <w:highlight w:val="none"/>
              </w:rPr>
              <w:t>密度（只/灯*小时）</w:t>
            </w:r>
          </w:p>
        </w:tc>
      </w:tr>
      <w:tr w14:paraId="00599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noWrap w:val="0"/>
            <w:vAlign w:val="center"/>
          </w:tcPr>
          <w:p w14:paraId="73605323">
            <w:pPr>
              <w:widowControl/>
              <w:snapToGrid w:val="0"/>
              <w:spacing w:line="380" w:lineRule="exact"/>
              <w:jc w:val="center"/>
              <w:rPr>
                <w:rFonts w:hint="eastAsia" w:ascii="宋体" w:hAnsi="宋体" w:eastAsia="宋体" w:cs="宋体"/>
                <w:kern w:val="0"/>
                <w:sz w:val="24"/>
                <w:highlight w:val="none"/>
              </w:rPr>
            </w:pPr>
          </w:p>
        </w:tc>
        <w:tc>
          <w:tcPr>
            <w:tcW w:w="992" w:type="dxa"/>
            <w:vMerge w:val="continue"/>
            <w:noWrap w:val="0"/>
            <w:vAlign w:val="center"/>
          </w:tcPr>
          <w:p w14:paraId="5F608FE8">
            <w:pPr>
              <w:widowControl/>
              <w:snapToGrid w:val="0"/>
              <w:spacing w:line="380" w:lineRule="exact"/>
              <w:jc w:val="center"/>
              <w:rPr>
                <w:rFonts w:hint="eastAsia" w:ascii="宋体" w:hAnsi="宋体" w:eastAsia="宋体" w:cs="宋体"/>
                <w:kern w:val="0"/>
                <w:sz w:val="24"/>
                <w:highlight w:val="none"/>
              </w:rPr>
            </w:pPr>
          </w:p>
        </w:tc>
        <w:tc>
          <w:tcPr>
            <w:tcW w:w="1264" w:type="dxa"/>
            <w:vMerge w:val="continue"/>
            <w:noWrap w:val="0"/>
            <w:vAlign w:val="center"/>
          </w:tcPr>
          <w:p w14:paraId="0800C459">
            <w:pPr>
              <w:widowControl/>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A5E2FC4">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总　数</w:t>
            </w:r>
          </w:p>
        </w:tc>
        <w:tc>
          <w:tcPr>
            <w:tcW w:w="1350" w:type="dxa"/>
            <w:noWrap w:val="0"/>
            <w:vAlign w:val="center"/>
          </w:tcPr>
          <w:p w14:paraId="650DDBD8">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淡色/致倦库蚊</w:t>
            </w:r>
          </w:p>
        </w:tc>
        <w:tc>
          <w:tcPr>
            <w:tcW w:w="1275" w:type="dxa"/>
            <w:noWrap w:val="0"/>
            <w:vAlign w:val="center"/>
          </w:tcPr>
          <w:p w14:paraId="3DF94E94">
            <w:pPr>
              <w:widowControl/>
              <w:snapToGrid w:val="0"/>
              <w:spacing w:line="380" w:lineRule="exact"/>
              <w:jc w:val="center"/>
              <w:rPr>
                <w:rFonts w:hint="eastAsia" w:ascii="宋体" w:hAnsi="宋体" w:eastAsia="宋体" w:cs="宋体"/>
                <w:spacing w:val="-22"/>
                <w:kern w:val="0"/>
                <w:sz w:val="24"/>
                <w:highlight w:val="none"/>
              </w:rPr>
            </w:pPr>
            <w:r>
              <w:rPr>
                <w:rFonts w:hint="eastAsia" w:ascii="宋体" w:hAnsi="宋体" w:eastAsia="宋体" w:cs="宋体"/>
                <w:spacing w:val="-22"/>
                <w:kern w:val="0"/>
                <w:sz w:val="24"/>
                <w:highlight w:val="none"/>
              </w:rPr>
              <w:t>三带喙库蚊</w:t>
            </w:r>
          </w:p>
        </w:tc>
        <w:tc>
          <w:tcPr>
            <w:tcW w:w="1276" w:type="dxa"/>
            <w:noWrap w:val="0"/>
            <w:vAlign w:val="center"/>
          </w:tcPr>
          <w:p w14:paraId="1659E209">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白纹伊蚊</w:t>
            </w:r>
          </w:p>
        </w:tc>
        <w:tc>
          <w:tcPr>
            <w:tcW w:w="1276" w:type="dxa"/>
            <w:noWrap w:val="0"/>
            <w:vAlign w:val="center"/>
          </w:tcPr>
          <w:p w14:paraId="4F7CF62A">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中华按蚊</w:t>
            </w:r>
          </w:p>
        </w:tc>
        <w:tc>
          <w:tcPr>
            <w:tcW w:w="1072" w:type="dxa"/>
            <w:noWrap w:val="0"/>
            <w:vAlign w:val="center"/>
          </w:tcPr>
          <w:p w14:paraId="4C416E95">
            <w:pPr>
              <w:widowControl/>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EE51D27">
            <w:pPr>
              <w:widowControl/>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5F0DEE5">
            <w:pPr>
              <w:widowControl/>
              <w:snapToGri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其他</w:t>
            </w:r>
          </w:p>
        </w:tc>
        <w:tc>
          <w:tcPr>
            <w:tcW w:w="1072" w:type="dxa"/>
            <w:vMerge w:val="continue"/>
            <w:noWrap w:val="0"/>
            <w:vAlign w:val="center"/>
          </w:tcPr>
          <w:p w14:paraId="069F6451">
            <w:pPr>
              <w:snapToGrid w:val="0"/>
              <w:spacing w:line="380" w:lineRule="exact"/>
              <w:jc w:val="center"/>
              <w:rPr>
                <w:rFonts w:hint="eastAsia" w:ascii="宋体" w:hAnsi="宋体" w:eastAsia="宋体" w:cs="宋体"/>
                <w:kern w:val="0"/>
                <w:sz w:val="24"/>
                <w:highlight w:val="none"/>
              </w:rPr>
            </w:pPr>
          </w:p>
        </w:tc>
      </w:tr>
      <w:tr w14:paraId="4A7D2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4EE19DA0">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1BE84178">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3F67DB7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8711B44">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5BFEDA31">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3474AAA4">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21E98659">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C66385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BCD2501">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3ED37B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0C32A2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4C5E110">
            <w:pPr>
              <w:snapToGrid w:val="0"/>
              <w:spacing w:line="380" w:lineRule="exact"/>
              <w:jc w:val="center"/>
              <w:rPr>
                <w:rFonts w:hint="eastAsia" w:ascii="宋体" w:hAnsi="宋体" w:eastAsia="宋体" w:cs="宋体"/>
                <w:kern w:val="0"/>
                <w:sz w:val="24"/>
                <w:highlight w:val="none"/>
              </w:rPr>
            </w:pPr>
          </w:p>
        </w:tc>
      </w:tr>
      <w:tr w14:paraId="6F7D0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2E6E9267">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186A74A9">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7D14D4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299A25F">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3F75C633">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196E6552">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430BA0D1">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14EBDF4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7876082">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CB623D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8F64454">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5F80D91">
            <w:pPr>
              <w:snapToGrid w:val="0"/>
              <w:spacing w:line="380" w:lineRule="exact"/>
              <w:jc w:val="center"/>
              <w:rPr>
                <w:rFonts w:hint="eastAsia" w:ascii="宋体" w:hAnsi="宋体" w:eastAsia="宋体" w:cs="宋体"/>
                <w:kern w:val="0"/>
                <w:sz w:val="24"/>
                <w:highlight w:val="none"/>
              </w:rPr>
            </w:pPr>
          </w:p>
        </w:tc>
      </w:tr>
      <w:tr w14:paraId="3D3F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773DFF0D">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5141EE61">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3DF861ED">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AA71442">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7AB7195C">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6C86515B">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62694892">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02362DB">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F9A37DB">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F17F2B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2D4D409">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ED36B31">
            <w:pPr>
              <w:snapToGrid w:val="0"/>
              <w:spacing w:line="380" w:lineRule="exact"/>
              <w:jc w:val="center"/>
              <w:rPr>
                <w:rFonts w:hint="eastAsia" w:ascii="宋体" w:hAnsi="宋体" w:eastAsia="宋体" w:cs="宋体"/>
                <w:kern w:val="0"/>
                <w:sz w:val="24"/>
                <w:highlight w:val="none"/>
              </w:rPr>
            </w:pPr>
          </w:p>
        </w:tc>
      </w:tr>
      <w:tr w14:paraId="6468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317F65CE">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653DB6A1">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6FCC48A2">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B1A132D">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639D91D1">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20EA41EB">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091F351">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2114309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0EC6AC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D1B81E4">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D8E5F7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6FC1234">
            <w:pPr>
              <w:snapToGrid w:val="0"/>
              <w:spacing w:line="380" w:lineRule="exact"/>
              <w:jc w:val="center"/>
              <w:rPr>
                <w:rFonts w:hint="eastAsia" w:ascii="宋体" w:hAnsi="宋体" w:eastAsia="宋体" w:cs="宋体"/>
                <w:kern w:val="0"/>
                <w:sz w:val="24"/>
                <w:highlight w:val="none"/>
              </w:rPr>
            </w:pPr>
          </w:p>
        </w:tc>
      </w:tr>
      <w:tr w14:paraId="4490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38D44021">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0D7766F2">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5B9B74F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445A6C6">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46D2ACEE">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19761778">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438324F">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38A2AC5B">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D018BB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D427BA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0756E2E">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435C7B9">
            <w:pPr>
              <w:snapToGrid w:val="0"/>
              <w:spacing w:line="380" w:lineRule="exact"/>
              <w:jc w:val="center"/>
              <w:rPr>
                <w:rFonts w:hint="eastAsia" w:ascii="宋体" w:hAnsi="宋体" w:eastAsia="宋体" w:cs="宋体"/>
                <w:kern w:val="0"/>
                <w:sz w:val="24"/>
                <w:highlight w:val="none"/>
              </w:rPr>
            </w:pPr>
          </w:p>
        </w:tc>
      </w:tr>
      <w:tr w14:paraId="4C61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66976DA7">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1612D71E">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7642EF32">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6D20877">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2C6EED07">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64377820">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1CE44050">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2032C4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51D3AC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5C45AEF">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3F3522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8E020FD">
            <w:pPr>
              <w:snapToGrid w:val="0"/>
              <w:spacing w:line="380" w:lineRule="exact"/>
              <w:jc w:val="center"/>
              <w:rPr>
                <w:rFonts w:hint="eastAsia" w:ascii="宋体" w:hAnsi="宋体" w:eastAsia="宋体" w:cs="宋体"/>
                <w:kern w:val="0"/>
                <w:sz w:val="24"/>
                <w:highlight w:val="none"/>
              </w:rPr>
            </w:pPr>
          </w:p>
        </w:tc>
      </w:tr>
      <w:tr w14:paraId="3559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23A56A9B">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688E5DEA">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C065AE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8090595">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4458B0E1">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3A17CBD0">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753B9B8">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3DF244F">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7191EE43">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9487B70">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E52788F">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17090AD">
            <w:pPr>
              <w:snapToGrid w:val="0"/>
              <w:spacing w:line="380" w:lineRule="exact"/>
              <w:jc w:val="center"/>
              <w:rPr>
                <w:rFonts w:hint="eastAsia" w:ascii="宋体" w:hAnsi="宋体" w:eastAsia="宋体" w:cs="宋体"/>
                <w:kern w:val="0"/>
                <w:sz w:val="24"/>
                <w:highlight w:val="none"/>
              </w:rPr>
            </w:pPr>
          </w:p>
        </w:tc>
      </w:tr>
      <w:tr w14:paraId="71E9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2F471FBA">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3300447D">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9151D33">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9938083">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3EFD8A6C">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17632497">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6B2CC9A7">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3060517E">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4C184D3">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B042F4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581618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BE76F80">
            <w:pPr>
              <w:snapToGrid w:val="0"/>
              <w:spacing w:line="380" w:lineRule="exact"/>
              <w:jc w:val="center"/>
              <w:rPr>
                <w:rFonts w:hint="eastAsia" w:ascii="宋体" w:hAnsi="宋体" w:eastAsia="宋体" w:cs="宋体"/>
                <w:kern w:val="0"/>
                <w:sz w:val="24"/>
                <w:highlight w:val="none"/>
              </w:rPr>
            </w:pPr>
          </w:p>
        </w:tc>
      </w:tr>
      <w:tr w14:paraId="6656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233EA29C">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327F5812">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F60CBCE">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690CEFF4">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437ED101">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1D3CE584">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409E628">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19EBD49">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3DA260F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7CED438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37E4E09">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E527C68">
            <w:pPr>
              <w:snapToGrid w:val="0"/>
              <w:spacing w:line="380" w:lineRule="exact"/>
              <w:jc w:val="center"/>
              <w:rPr>
                <w:rFonts w:hint="eastAsia" w:ascii="宋体" w:hAnsi="宋体" w:eastAsia="宋体" w:cs="宋体"/>
                <w:kern w:val="0"/>
                <w:sz w:val="24"/>
                <w:highlight w:val="none"/>
              </w:rPr>
            </w:pPr>
          </w:p>
        </w:tc>
      </w:tr>
      <w:tr w14:paraId="1EB64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3E2D4E3B">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741FA5BA">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0445EF84">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11DC37D">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4ACAF29B">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00B83AF7">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13341E31">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551F3195">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730F183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105314C">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CB1AA59">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5FC1C535">
            <w:pPr>
              <w:snapToGrid w:val="0"/>
              <w:spacing w:line="380" w:lineRule="exact"/>
              <w:jc w:val="center"/>
              <w:rPr>
                <w:rFonts w:hint="eastAsia" w:ascii="宋体" w:hAnsi="宋体" w:eastAsia="宋体" w:cs="宋体"/>
                <w:kern w:val="0"/>
                <w:sz w:val="24"/>
                <w:highlight w:val="none"/>
              </w:rPr>
            </w:pPr>
          </w:p>
        </w:tc>
      </w:tr>
      <w:tr w14:paraId="43ED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3DFCF141">
            <w:pPr>
              <w:snapToGrid w:val="0"/>
              <w:spacing w:line="380" w:lineRule="exact"/>
              <w:jc w:val="center"/>
              <w:rPr>
                <w:rFonts w:hint="eastAsia" w:ascii="宋体" w:hAnsi="宋体" w:eastAsia="宋体" w:cs="宋体"/>
                <w:kern w:val="0"/>
                <w:sz w:val="24"/>
                <w:highlight w:val="none"/>
              </w:rPr>
            </w:pPr>
          </w:p>
        </w:tc>
        <w:tc>
          <w:tcPr>
            <w:tcW w:w="992" w:type="dxa"/>
            <w:noWrap w:val="0"/>
            <w:vAlign w:val="center"/>
          </w:tcPr>
          <w:p w14:paraId="6AFB851C">
            <w:pPr>
              <w:snapToGrid w:val="0"/>
              <w:spacing w:line="380" w:lineRule="exact"/>
              <w:jc w:val="center"/>
              <w:rPr>
                <w:rFonts w:hint="eastAsia" w:ascii="宋体" w:hAnsi="宋体" w:eastAsia="宋体" w:cs="宋体"/>
                <w:kern w:val="0"/>
                <w:sz w:val="24"/>
                <w:highlight w:val="none"/>
              </w:rPr>
            </w:pPr>
          </w:p>
        </w:tc>
        <w:tc>
          <w:tcPr>
            <w:tcW w:w="1264" w:type="dxa"/>
            <w:noWrap w:val="0"/>
            <w:vAlign w:val="center"/>
          </w:tcPr>
          <w:p w14:paraId="52A89028">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1A2DF60B">
            <w:pPr>
              <w:snapToGrid w:val="0"/>
              <w:spacing w:line="380" w:lineRule="exact"/>
              <w:jc w:val="center"/>
              <w:rPr>
                <w:rFonts w:hint="eastAsia" w:ascii="宋体" w:hAnsi="宋体" w:eastAsia="宋体" w:cs="宋体"/>
                <w:kern w:val="0"/>
                <w:sz w:val="24"/>
                <w:highlight w:val="none"/>
              </w:rPr>
            </w:pPr>
          </w:p>
        </w:tc>
        <w:tc>
          <w:tcPr>
            <w:tcW w:w="1350" w:type="dxa"/>
            <w:noWrap w:val="0"/>
            <w:vAlign w:val="center"/>
          </w:tcPr>
          <w:p w14:paraId="69ED763D">
            <w:pPr>
              <w:snapToGrid w:val="0"/>
              <w:spacing w:line="380" w:lineRule="exact"/>
              <w:jc w:val="center"/>
              <w:rPr>
                <w:rFonts w:hint="eastAsia" w:ascii="宋体" w:hAnsi="宋体" w:eastAsia="宋体" w:cs="宋体"/>
                <w:kern w:val="0"/>
                <w:sz w:val="24"/>
                <w:highlight w:val="none"/>
              </w:rPr>
            </w:pPr>
          </w:p>
        </w:tc>
        <w:tc>
          <w:tcPr>
            <w:tcW w:w="1275" w:type="dxa"/>
            <w:noWrap w:val="0"/>
            <w:vAlign w:val="center"/>
          </w:tcPr>
          <w:p w14:paraId="54F55463">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4597EC10">
            <w:pPr>
              <w:snapToGrid w:val="0"/>
              <w:spacing w:line="380" w:lineRule="exact"/>
              <w:jc w:val="center"/>
              <w:rPr>
                <w:rFonts w:hint="eastAsia" w:ascii="宋体" w:hAnsi="宋体" w:eastAsia="宋体" w:cs="宋体"/>
                <w:kern w:val="0"/>
                <w:sz w:val="24"/>
                <w:highlight w:val="none"/>
              </w:rPr>
            </w:pPr>
          </w:p>
        </w:tc>
        <w:tc>
          <w:tcPr>
            <w:tcW w:w="1276" w:type="dxa"/>
            <w:noWrap w:val="0"/>
            <w:vAlign w:val="center"/>
          </w:tcPr>
          <w:p w14:paraId="7C69FC52">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667A487">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27EA5A5F">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4ADA7D6A">
            <w:pPr>
              <w:snapToGrid w:val="0"/>
              <w:spacing w:line="380" w:lineRule="exact"/>
              <w:jc w:val="center"/>
              <w:rPr>
                <w:rFonts w:hint="eastAsia" w:ascii="宋体" w:hAnsi="宋体" w:eastAsia="宋体" w:cs="宋体"/>
                <w:kern w:val="0"/>
                <w:sz w:val="24"/>
                <w:highlight w:val="none"/>
              </w:rPr>
            </w:pPr>
          </w:p>
        </w:tc>
        <w:tc>
          <w:tcPr>
            <w:tcW w:w="1072" w:type="dxa"/>
            <w:noWrap w:val="0"/>
            <w:vAlign w:val="center"/>
          </w:tcPr>
          <w:p w14:paraId="0D9C3C5D">
            <w:pPr>
              <w:snapToGrid w:val="0"/>
              <w:spacing w:line="380" w:lineRule="exact"/>
              <w:jc w:val="center"/>
              <w:rPr>
                <w:rFonts w:hint="eastAsia" w:ascii="宋体" w:hAnsi="宋体" w:eastAsia="宋体" w:cs="宋体"/>
                <w:kern w:val="0"/>
                <w:sz w:val="24"/>
                <w:highlight w:val="none"/>
              </w:rPr>
            </w:pPr>
          </w:p>
        </w:tc>
      </w:tr>
    </w:tbl>
    <w:p w14:paraId="6517E103">
      <w:pPr>
        <w:snapToGrid w:val="0"/>
        <w:spacing w:line="380" w:lineRule="exact"/>
        <w:rPr>
          <w:rFonts w:hint="eastAsia" w:ascii="宋体" w:hAnsi="宋体" w:eastAsia="宋体" w:cs="宋体"/>
          <w:kern w:val="0"/>
          <w:sz w:val="24"/>
          <w:highlight w:val="none"/>
        </w:rPr>
      </w:pPr>
    </w:p>
    <w:p w14:paraId="1CA6001E">
      <w:pPr>
        <w:widowControl/>
        <w:snapToGrid w:val="0"/>
        <w:spacing w:line="38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备注：数量仅填报雌性蚊虫。</w:t>
      </w:r>
    </w:p>
    <w:p w14:paraId="19E28580">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填表单位： 　　　　　　监测人：     　  　　   　填表人：   　    　   　　填表日期：</w:t>
      </w:r>
    </w:p>
    <w:p w14:paraId="581502C4">
      <w:pPr>
        <w:snapToGrid w:val="0"/>
        <w:spacing w:line="380" w:lineRule="exact"/>
        <w:rPr>
          <w:rFonts w:hint="eastAsia" w:ascii="宋体" w:hAnsi="宋体" w:eastAsia="宋体" w:cs="宋体"/>
          <w:b/>
          <w:sz w:val="36"/>
          <w:szCs w:val="36"/>
          <w:highlight w:val="none"/>
        </w:rPr>
      </w:pPr>
      <w:r>
        <w:rPr>
          <w:rFonts w:hint="eastAsia" w:ascii="宋体" w:hAnsi="宋体" w:eastAsia="宋体" w:cs="宋体"/>
          <w:b/>
          <w:sz w:val="36"/>
          <w:szCs w:val="36"/>
          <w:highlight w:val="none"/>
        </w:rPr>
        <w:t>附表4：</w:t>
      </w:r>
      <w:r>
        <w:rPr>
          <w:rFonts w:hint="eastAsia" w:ascii="宋体" w:hAnsi="宋体" w:eastAsia="宋体" w:cs="宋体"/>
          <w:sz w:val="36"/>
          <w:szCs w:val="36"/>
          <w:highlight w:val="none"/>
        </w:rPr>
        <w:t xml:space="preserve">               </w:t>
      </w:r>
      <w:r>
        <w:rPr>
          <w:rFonts w:hint="eastAsia" w:ascii="宋体" w:hAnsi="宋体" w:eastAsia="宋体" w:cs="宋体"/>
          <w:b/>
          <w:kern w:val="0"/>
          <w:sz w:val="36"/>
          <w:szCs w:val="36"/>
          <w:highlight w:val="none"/>
        </w:rPr>
        <w:t>病媒生物监测（伊蚊）记录表</w:t>
      </w:r>
    </w:p>
    <w:p w14:paraId="4EA5D2E6">
      <w:pPr>
        <w:snapToGrid w:val="0"/>
        <w:spacing w:line="380" w:lineRule="exact"/>
        <w:rPr>
          <w:rFonts w:hint="eastAsia" w:ascii="宋体" w:hAnsi="宋体" w:eastAsia="宋体" w:cs="宋体"/>
          <w:sz w:val="24"/>
          <w:highlight w:val="none"/>
        </w:rPr>
      </w:pPr>
    </w:p>
    <w:p w14:paraId="49B86810">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监测地点：</w:t>
      </w:r>
      <w:r>
        <w:rPr>
          <w:rFonts w:hint="eastAsia" w:ascii="宋体" w:hAnsi="宋体" w:eastAsia="宋体" w:cs="宋体"/>
          <w:kern w:val="0"/>
          <w:sz w:val="24"/>
          <w:highlight w:val="none"/>
        </w:rPr>
        <w:t xml:space="preserve">      </w:t>
      </w:r>
      <w:r>
        <w:rPr>
          <w:rFonts w:hint="eastAsia" w:ascii="宋体" w:hAnsi="宋体" w:eastAsia="宋体" w:cs="宋体"/>
          <w:b/>
          <w:kern w:val="0"/>
          <w:sz w:val="24"/>
          <w:highlight w:val="none"/>
        </w:rPr>
        <w:t>　　</w:t>
      </w:r>
      <w:r>
        <w:rPr>
          <w:rFonts w:hint="eastAsia" w:ascii="宋体" w:hAnsi="宋体" w:eastAsia="宋体" w:cs="宋体"/>
          <w:kern w:val="0"/>
          <w:sz w:val="24"/>
          <w:highlight w:val="none"/>
        </w:rPr>
        <w:t xml:space="preserve">　      </w:t>
      </w:r>
      <w:r>
        <w:rPr>
          <w:rFonts w:hint="eastAsia" w:ascii="宋体" w:hAnsi="宋体" w:eastAsia="宋体" w:cs="宋体"/>
          <w:b/>
          <w:kern w:val="0"/>
          <w:sz w:val="24"/>
          <w:highlight w:val="none"/>
        </w:rPr>
        <w:t>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sz w:val="24"/>
          <w:highlight w:val="none"/>
        </w:rPr>
        <w:t>　　　　　监测日期：　　　　　年 　　　月 　　 日--     月    日</w:t>
      </w:r>
    </w:p>
    <w:p w14:paraId="12B3FBD9">
      <w:pPr>
        <w:snapToGrid w:val="0"/>
        <w:spacing w:line="380" w:lineRule="exact"/>
        <w:rPr>
          <w:rFonts w:hint="eastAsia" w:ascii="宋体" w:hAnsi="宋体" w:eastAsia="宋体" w:cs="宋体"/>
          <w:sz w:val="24"/>
          <w:highlight w:val="none"/>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1"/>
        <w:gridCol w:w="1742"/>
        <w:gridCol w:w="1742"/>
        <w:gridCol w:w="1742"/>
        <w:gridCol w:w="1930"/>
        <w:gridCol w:w="2551"/>
        <w:gridCol w:w="1985"/>
      </w:tblGrid>
      <w:tr w14:paraId="36FDB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center"/>
          </w:tcPr>
          <w:p w14:paraId="4A76B677">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742" w:type="dxa"/>
            <w:noWrap w:val="0"/>
            <w:vAlign w:val="center"/>
          </w:tcPr>
          <w:p w14:paraId="72C7C91F">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监测点</w:t>
            </w:r>
          </w:p>
        </w:tc>
        <w:tc>
          <w:tcPr>
            <w:tcW w:w="1742" w:type="dxa"/>
            <w:noWrap w:val="0"/>
            <w:vAlign w:val="center"/>
          </w:tcPr>
          <w:p w14:paraId="30E40A41">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生境</w:t>
            </w:r>
          </w:p>
        </w:tc>
        <w:tc>
          <w:tcPr>
            <w:tcW w:w="1742" w:type="dxa"/>
            <w:noWrap w:val="0"/>
            <w:vAlign w:val="center"/>
          </w:tcPr>
          <w:p w14:paraId="42990D6A">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布放诱卵器数</w:t>
            </w:r>
          </w:p>
        </w:tc>
        <w:tc>
          <w:tcPr>
            <w:tcW w:w="1930" w:type="dxa"/>
            <w:noWrap w:val="0"/>
            <w:vAlign w:val="center"/>
          </w:tcPr>
          <w:p w14:paraId="799BBC23">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阳性诱卵数</w:t>
            </w:r>
          </w:p>
        </w:tc>
        <w:tc>
          <w:tcPr>
            <w:tcW w:w="2551" w:type="dxa"/>
            <w:noWrap w:val="0"/>
            <w:vAlign w:val="center"/>
          </w:tcPr>
          <w:p w14:paraId="5165F10D">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诱蚊诱卵指数（%）</w:t>
            </w:r>
          </w:p>
        </w:tc>
        <w:tc>
          <w:tcPr>
            <w:tcW w:w="1985" w:type="dxa"/>
            <w:noWrap w:val="0"/>
            <w:vAlign w:val="center"/>
          </w:tcPr>
          <w:p w14:paraId="3E3C6336">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388F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331936F2">
            <w:pPr>
              <w:snapToGrid w:val="0"/>
              <w:spacing w:line="380" w:lineRule="exact"/>
              <w:rPr>
                <w:rFonts w:hint="eastAsia" w:ascii="宋体" w:hAnsi="宋体" w:eastAsia="宋体" w:cs="宋体"/>
                <w:sz w:val="24"/>
                <w:highlight w:val="none"/>
              </w:rPr>
            </w:pPr>
          </w:p>
        </w:tc>
        <w:tc>
          <w:tcPr>
            <w:tcW w:w="1742" w:type="dxa"/>
            <w:noWrap w:val="0"/>
            <w:vAlign w:val="top"/>
          </w:tcPr>
          <w:p w14:paraId="25E7331D">
            <w:pPr>
              <w:snapToGrid w:val="0"/>
              <w:spacing w:line="380" w:lineRule="exact"/>
              <w:rPr>
                <w:rFonts w:hint="eastAsia" w:ascii="宋体" w:hAnsi="宋体" w:eastAsia="宋体" w:cs="宋体"/>
                <w:sz w:val="24"/>
                <w:highlight w:val="none"/>
              </w:rPr>
            </w:pPr>
          </w:p>
        </w:tc>
        <w:tc>
          <w:tcPr>
            <w:tcW w:w="1742" w:type="dxa"/>
            <w:noWrap w:val="0"/>
            <w:vAlign w:val="top"/>
          </w:tcPr>
          <w:p w14:paraId="5EBE6608">
            <w:pPr>
              <w:snapToGrid w:val="0"/>
              <w:spacing w:line="380" w:lineRule="exact"/>
              <w:rPr>
                <w:rFonts w:hint="eastAsia" w:ascii="宋体" w:hAnsi="宋体" w:eastAsia="宋体" w:cs="宋体"/>
                <w:sz w:val="24"/>
                <w:highlight w:val="none"/>
              </w:rPr>
            </w:pPr>
          </w:p>
        </w:tc>
        <w:tc>
          <w:tcPr>
            <w:tcW w:w="1742" w:type="dxa"/>
            <w:noWrap w:val="0"/>
            <w:vAlign w:val="top"/>
          </w:tcPr>
          <w:p w14:paraId="38B92917">
            <w:pPr>
              <w:snapToGrid w:val="0"/>
              <w:spacing w:line="380" w:lineRule="exact"/>
              <w:rPr>
                <w:rFonts w:hint="eastAsia" w:ascii="宋体" w:hAnsi="宋体" w:eastAsia="宋体" w:cs="宋体"/>
                <w:sz w:val="24"/>
                <w:highlight w:val="none"/>
              </w:rPr>
            </w:pPr>
          </w:p>
        </w:tc>
        <w:tc>
          <w:tcPr>
            <w:tcW w:w="1930" w:type="dxa"/>
            <w:noWrap w:val="0"/>
            <w:vAlign w:val="top"/>
          </w:tcPr>
          <w:p w14:paraId="3BC207E4">
            <w:pPr>
              <w:snapToGrid w:val="0"/>
              <w:spacing w:line="380" w:lineRule="exact"/>
              <w:rPr>
                <w:rFonts w:hint="eastAsia" w:ascii="宋体" w:hAnsi="宋体" w:eastAsia="宋体" w:cs="宋体"/>
                <w:sz w:val="24"/>
                <w:highlight w:val="none"/>
              </w:rPr>
            </w:pPr>
          </w:p>
        </w:tc>
        <w:tc>
          <w:tcPr>
            <w:tcW w:w="2551" w:type="dxa"/>
            <w:noWrap w:val="0"/>
            <w:vAlign w:val="top"/>
          </w:tcPr>
          <w:p w14:paraId="48554C88">
            <w:pPr>
              <w:snapToGrid w:val="0"/>
              <w:spacing w:line="380" w:lineRule="exact"/>
              <w:rPr>
                <w:rFonts w:hint="eastAsia" w:ascii="宋体" w:hAnsi="宋体" w:eastAsia="宋体" w:cs="宋体"/>
                <w:sz w:val="24"/>
                <w:highlight w:val="none"/>
              </w:rPr>
            </w:pPr>
          </w:p>
        </w:tc>
        <w:tc>
          <w:tcPr>
            <w:tcW w:w="1985" w:type="dxa"/>
            <w:noWrap w:val="0"/>
            <w:vAlign w:val="top"/>
          </w:tcPr>
          <w:p w14:paraId="5B4830C3">
            <w:pPr>
              <w:snapToGrid w:val="0"/>
              <w:spacing w:line="380" w:lineRule="exact"/>
              <w:rPr>
                <w:rFonts w:hint="eastAsia" w:ascii="宋体" w:hAnsi="宋体" w:eastAsia="宋体" w:cs="宋体"/>
                <w:sz w:val="24"/>
                <w:highlight w:val="none"/>
              </w:rPr>
            </w:pPr>
          </w:p>
        </w:tc>
      </w:tr>
      <w:tr w14:paraId="4D97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1A66DC28">
            <w:pPr>
              <w:snapToGrid w:val="0"/>
              <w:spacing w:line="380" w:lineRule="exact"/>
              <w:rPr>
                <w:rFonts w:hint="eastAsia" w:ascii="宋体" w:hAnsi="宋体" w:eastAsia="宋体" w:cs="宋体"/>
                <w:sz w:val="24"/>
                <w:highlight w:val="none"/>
              </w:rPr>
            </w:pPr>
          </w:p>
        </w:tc>
        <w:tc>
          <w:tcPr>
            <w:tcW w:w="1742" w:type="dxa"/>
            <w:noWrap w:val="0"/>
            <w:vAlign w:val="top"/>
          </w:tcPr>
          <w:p w14:paraId="38521F25">
            <w:pPr>
              <w:snapToGrid w:val="0"/>
              <w:spacing w:line="380" w:lineRule="exact"/>
              <w:rPr>
                <w:rFonts w:hint="eastAsia" w:ascii="宋体" w:hAnsi="宋体" w:eastAsia="宋体" w:cs="宋体"/>
                <w:sz w:val="24"/>
                <w:highlight w:val="none"/>
              </w:rPr>
            </w:pPr>
          </w:p>
        </w:tc>
        <w:tc>
          <w:tcPr>
            <w:tcW w:w="1742" w:type="dxa"/>
            <w:noWrap w:val="0"/>
            <w:vAlign w:val="top"/>
          </w:tcPr>
          <w:p w14:paraId="11B9D2EC">
            <w:pPr>
              <w:snapToGrid w:val="0"/>
              <w:spacing w:line="380" w:lineRule="exact"/>
              <w:rPr>
                <w:rFonts w:hint="eastAsia" w:ascii="宋体" w:hAnsi="宋体" w:eastAsia="宋体" w:cs="宋体"/>
                <w:sz w:val="24"/>
                <w:highlight w:val="none"/>
              </w:rPr>
            </w:pPr>
          </w:p>
        </w:tc>
        <w:tc>
          <w:tcPr>
            <w:tcW w:w="1742" w:type="dxa"/>
            <w:noWrap w:val="0"/>
            <w:vAlign w:val="top"/>
          </w:tcPr>
          <w:p w14:paraId="1DF958FA">
            <w:pPr>
              <w:snapToGrid w:val="0"/>
              <w:spacing w:line="380" w:lineRule="exact"/>
              <w:rPr>
                <w:rFonts w:hint="eastAsia" w:ascii="宋体" w:hAnsi="宋体" w:eastAsia="宋体" w:cs="宋体"/>
                <w:sz w:val="24"/>
                <w:highlight w:val="none"/>
              </w:rPr>
            </w:pPr>
          </w:p>
        </w:tc>
        <w:tc>
          <w:tcPr>
            <w:tcW w:w="1930" w:type="dxa"/>
            <w:noWrap w:val="0"/>
            <w:vAlign w:val="top"/>
          </w:tcPr>
          <w:p w14:paraId="1F706D15">
            <w:pPr>
              <w:snapToGrid w:val="0"/>
              <w:spacing w:line="380" w:lineRule="exact"/>
              <w:rPr>
                <w:rFonts w:hint="eastAsia" w:ascii="宋体" w:hAnsi="宋体" w:eastAsia="宋体" w:cs="宋体"/>
                <w:sz w:val="24"/>
                <w:highlight w:val="none"/>
              </w:rPr>
            </w:pPr>
          </w:p>
        </w:tc>
        <w:tc>
          <w:tcPr>
            <w:tcW w:w="2551" w:type="dxa"/>
            <w:noWrap w:val="0"/>
            <w:vAlign w:val="top"/>
          </w:tcPr>
          <w:p w14:paraId="351DB1FC">
            <w:pPr>
              <w:snapToGrid w:val="0"/>
              <w:spacing w:line="380" w:lineRule="exact"/>
              <w:rPr>
                <w:rFonts w:hint="eastAsia" w:ascii="宋体" w:hAnsi="宋体" w:eastAsia="宋体" w:cs="宋体"/>
                <w:sz w:val="24"/>
                <w:highlight w:val="none"/>
              </w:rPr>
            </w:pPr>
          </w:p>
        </w:tc>
        <w:tc>
          <w:tcPr>
            <w:tcW w:w="1985" w:type="dxa"/>
            <w:noWrap w:val="0"/>
            <w:vAlign w:val="top"/>
          </w:tcPr>
          <w:p w14:paraId="698F1FC9">
            <w:pPr>
              <w:snapToGrid w:val="0"/>
              <w:spacing w:line="380" w:lineRule="exact"/>
              <w:rPr>
                <w:rFonts w:hint="eastAsia" w:ascii="宋体" w:hAnsi="宋体" w:eastAsia="宋体" w:cs="宋体"/>
                <w:sz w:val="24"/>
                <w:highlight w:val="none"/>
              </w:rPr>
            </w:pPr>
          </w:p>
        </w:tc>
      </w:tr>
      <w:tr w14:paraId="52BF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61D86BAB">
            <w:pPr>
              <w:snapToGrid w:val="0"/>
              <w:spacing w:line="380" w:lineRule="exact"/>
              <w:rPr>
                <w:rFonts w:hint="eastAsia" w:ascii="宋体" w:hAnsi="宋体" w:eastAsia="宋体" w:cs="宋体"/>
                <w:sz w:val="24"/>
                <w:highlight w:val="none"/>
              </w:rPr>
            </w:pPr>
          </w:p>
        </w:tc>
        <w:tc>
          <w:tcPr>
            <w:tcW w:w="1742" w:type="dxa"/>
            <w:noWrap w:val="0"/>
            <w:vAlign w:val="top"/>
          </w:tcPr>
          <w:p w14:paraId="5EC4CA75">
            <w:pPr>
              <w:snapToGrid w:val="0"/>
              <w:spacing w:line="380" w:lineRule="exact"/>
              <w:rPr>
                <w:rFonts w:hint="eastAsia" w:ascii="宋体" w:hAnsi="宋体" w:eastAsia="宋体" w:cs="宋体"/>
                <w:sz w:val="24"/>
                <w:highlight w:val="none"/>
              </w:rPr>
            </w:pPr>
          </w:p>
        </w:tc>
        <w:tc>
          <w:tcPr>
            <w:tcW w:w="1742" w:type="dxa"/>
            <w:noWrap w:val="0"/>
            <w:vAlign w:val="top"/>
          </w:tcPr>
          <w:p w14:paraId="4B276C60">
            <w:pPr>
              <w:snapToGrid w:val="0"/>
              <w:spacing w:line="380" w:lineRule="exact"/>
              <w:rPr>
                <w:rFonts w:hint="eastAsia" w:ascii="宋体" w:hAnsi="宋体" w:eastAsia="宋体" w:cs="宋体"/>
                <w:sz w:val="24"/>
                <w:highlight w:val="none"/>
              </w:rPr>
            </w:pPr>
          </w:p>
        </w:tc>
        <w:tc>
          <w:tcPr>
            <w:tcW w:w="1742" w:type="dxa"/>
            <w:noWrap w:val="0"/>
            <w:vAlign w:val="top"/>
          </w:tcPr>
          <w:p w14:paraId="211F28E2">
            <w:pPr>
              <w:snapToGrid w:val="0"/>
              <w:spacing w:line="380" w:lineRule="exact"/>
              <w:rPr>
                <w:rFonts w:hint="eastAsia" w:ascii="宋体" w:hAnsi="宋体" w:eastAsia="宋体" w:cs="宋体"/>
                <w:sz w:val="24"/>
                <w:highlight w:val="none"/>
              </w:rPr>
            </w:pPr>
          </w:p>
        </w:tc>
        <w:tc>
          <w:tcPr>
            <w:tcW w:w="1930" w:type="dxa"/>
            <w:noWrap w:val="0"/>
            <w:vAlign w:val="top"/>
          </w:tcPr>
          <w:p w14:paraId="7527ED0E">
            <w:pPr>
              <w:snapToGrid w:val="0"/>
              <w:spacing w:line="380" w:lineRule="exact"/>
              <w:rPr>
                <w:rFonts w:hint="eastAsia" w:ascii="宋体" w:hAnsi="宋体" w:eastAsia="宋体" w:cs="宋体"/>
                <w:sz w:val="24"/>
                <w:highlight w:val="none"/>
              </w:rPr>
            </w:pPr>
          </w:p>
        </w:tc>
        <w:tc>
          <w:tcPr>
            <w:tcW w:w="2551" w:type="dxa"/>
            <w:noWrap w:val="0"/>
            <w:vAlign w:val="top"/>
          </w:tcPr>
          <w:p w14:paraId="3182AB1B">
            <w:pPr>
              <w:snapToGrid w:val="0"/>
              <w:spacing w:line="380" w:lineRule="exact"/>
              <w:rPr>
                <w:rFonts w:hint="eastAsia" w:ascii="宋体" w:hAnsi="宋体" w:eastAsia="宋体" w:cs="宋体"/>
                <w:sz w:val="24"/>
                <w:highlight w:val="none"/>
              </w:rPr>
            </w:pPr>
          </w:p>
        </w:tc>
        <w:tc>
          <w:tcPr>
            <w:tcW w:w="1985" w:type="dxa"/>
            <w:noWrap w:val="0"/>
            <w:vAlign w:val="top"/>
          </w:tcPr>
          <w:p w14:paraId="2855A645">
            <w:pPr>
              <w:snapToGrid w:val="0"/>
              <w:spacing w:line="380" w:lineRule="exact"/>
              <w:rPr>
                <w:rFonts w:hint="eastAsia" w:ascii="宋体" w:hAnsi="宋体" w:eastAsia="宋体" w:cs="宋体"/>
                <w:sz w:val="24"/>
                <w:highlight w:val="none"/>
              </w:rPr>
            </w:pPr>
          </w:p>
        </w:tc>
      </w:tr>
      <w:tr w14:paraId="22577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50F22BB5">
            <w:pPr>
              <w:snapToGrid w:val="0"/>
              <w:spacing w:line="380" w:lineRule="exact"/>
              <w:rPr>
                <w:rFonts w:hint="eastAsia" w:ascii="宋体" w:hAnsi="宋体" w:eastAsia="宋体" w:cs="宋体"/>
                <w:sz w:val="24"/>
                <w:highlight w:val="none"/>
              </w:rPr>
            </w:pPr>
          </w:p>
        </w:tc>
        <w:tc>
          <w:tcPr>
            <w:tcW w:w="1742" w:type="dxa"/>
            <w:noWrap w:val="0"/>
            <w:vAlign w:val="top"/>
          </w:tcPr>
          <w:p w14:paraId="7AAB003F">
            <w:pPr>
              <w:snapToGrid w:val="0"/>
              <w:spacing w:line="380" w:lineRule="exact"/>
              <w:rPr>
                <w:rFonts w:hint="eastAsia" w:ascii="宋体" w:hAnsi="宋体" w:eastAsia="宋体" w:cs="宋体"/>
                <w:sz w:val="24"/>
                <w:highlight w:val="none"/>
              </w:rPr>
            </w:pPr>
          </w:p>
        </w:tc>
        <w:tc>
          <w:tcPr>
            <w:tcW w:w="1742" w:type="dxa"/>
            <w:noWrap w:val="0"/>
            <w:vAlign w:val="top"/>
          </w:tcPr>
          <w:p w14:paraId="1D7704A3">
            <w:pPr>
              <w:snapToGrid w:val="0"/>
              <w:spacing w:line="380" w:lineRule="exact"/>
              <w:rPr>
                <w:rFonts w:hint="eastAsia" w:ascii="宋体" w:hAnsi="宋体" w:eastAsia="宋体" w:cs="宋体"/>
                <w:sz w:val="24"/>
                <w:highlight w:val="none"/>
              </w:rPr>
            </w:pPr>
          </w:p>
        </w:tc>
        <w:tc>
          <w:tcPr>
            <w:tcW w:w="1742" w:type="dxa"/>
            <w:noWrap w:val="0"/>
            <w:vAlign w:val="top"/>
          </w:tcPr>
          <w:p w14:paraId="78A67287">
            <w:pPr>
              <w:snapToGrid w:val="0"/>
              <w:spacing w:line="380" w:lineRule="exact"/>
              <w:rPr>
                <w:rFonts w:hint="eastAsia" w:ascii="宋体" w:hAnsi="宋体" w:eastAsia="宋体" w:cs="宋体"/>
                <w:sz w:val="24"/>
                <w:highlight w:val="none"/>
              </w:rPr>
            </w:pPr>
          </w:p>
        </w:tc>
        <w:tc>
          <w:tcPr>
            <w:tcW w:w="1930" w:type="dxa"/>
            <w:noWrap w:val="0"/>
            <w:vAlign w:val="top"/>
          </w:tcPr>
          <w:p w14:paraId="2D88014D">
            <w:pPr>
              <w:snapToGrid w:val="0"/>
              <w:spacing w:line="380" w:lineRule="exact"/>
              <w:rPr>
                <w:rFonts w:hint="eastAsia" w:ascii="宋体" w:hAnsi="宋体" w:eastAsia="宋体" w:cs="宋体"/>
                <w:sz w:val="24"/>
                <w:highlight w:val="none"/>
              </w:rPr>
            </w:pPr>
          </w:p>
        </w:tc>
        <w:tc>
          <w:tcPr>
            <w:tcW w:w="2551" w:type="dxa"/>
            <w:noWrap w:val="0"/>
            <w:vAlign w:val="top"/>
          </w:tcPr>
          <w:p w14:paraId="2B1CD3D9">
            <w:pPr>
              <w:snapToGrid w:val="0"/>
              <w:spacing w:line="380" w:lineRule="exact"/>
              <w:rPr>
                <w:rFonts w:hint="eastAsia" w:ascii="宋体" w:hAnsi="宋体" w:eastAsia="宋体" w:cs="宋体"/>
                <w:sz w:val="24"/>
                <w:highlight w:val="none"/>
              </w:rPr>
            </w:pPr>
          </w:p>
        </w:tc>
        <w:tc>
          <w:tcPr>
            <w:tcW w:w="1985" w:type="dxa"/>
            <w:noWrap w:val="0"/>
            <w:vAlign w:val="top"/>
          </w:tcPr>
          <w:p w14:paraId="7320E614">
            <w:pPr>
              <w:snapToGrid w:val="0"/>
              <w:spacing w:line="380" w:lineRule="exact"/>
              <w:rPr>
                <w:rFonts w:hint="eastAsia" w:ascii="宋体" w:hAnsi="宋体" w:eastAsia="宋体" w:cs="宋体"/>
                <w:sz w:val="24"/>
                <w:highlight w:val="none"/>
              </w:rPr>
            </w:pPr>
          </w:p>
        </w:tc>
      </w:tr>
      <w:tr w14:paraId="34561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2D2D294C">
            <w:pPr>
              <w:snapToGrid w:val="0"/>
              <w:spacing w:line="380" w:lineRule="exact"/>
              <w:rPr>
                <w:rFonts w:hint="eastAsia" w:ascii="宋体" w:hAnsi="宋体" w:eastAsia="宋体" w:cs="宋体"/>
                <w:sz w:val="24"/>
                <w:highlight w:val="none"/>
              </w:rPr>
            </w:pPr>
          </w:p>
        </w:tc>
        <w:tc>
          <w:tcPr>
            <w:tcW w:w="1742" w:type="dxa"/>
            <w:noWrap w:val="0"/>
            <w:vAlign w:val="top"/>
          </w:tcPr>
          <w:p w14:paraId="62FFB310">
            <w:pPr>
              <w:snapToGrid w:val="0"/>
              <w:spacing w:line="380" w:lineRule="exact"/>
              <w:rPr>
                <w:rFonts w:hint="eastAsia" w:ascii="宋体" w:hAnsi="宋体" w:eastAsia="宋体" w:cs="宋体"/>
                <w:sz w:val="24"/>
                <w:highlight w:val="none"/>
              </w:rPr>
            </w:pPr>
          </w:p>
        </w:tc>
        <w:tc>
          <w:tcPr>
            <w:tcW w:w="1742" w:type="dxa"/>
            <w:noWrap w:val="0"/>
            <w:vAlign w:val="top"/>
          </w:tcPr>
          <w:p w14:paraId="275FA9AA">
            <w:pPr>
              <w:snapToGrid w:val="0"/>
              <w:spacing w:line="380" w:lineRule="exact"/>
              <w:rPr>
                <w:rFonts w:hint="eastAsia" w:ascii="宋体" w:hAnsi="宋体" w:eastAsia="宋体" w:cs="宋体"/>
                <w:sz w:val="24"/>
                <w:highlight w:val="none"/>
              </w:rPr>
            </w:pPr>
          </w:p>
        </w:tc>
        <w:tc>
          <w:tcPr>
            <w:tcW w:w="1742" w:type="dxa"/>
            <w:noWrap w:val="0"/>
            <w:vAlign w:val="top"/>
          </w:tcPr>
          <w:p w14:paraId="189F749B">
            <w:pPr>
              <w:snapToGrid w:val="0"/>
              <w:spacing w:line="380" w:lineRule="exact"/>
              <w:rPr>
                <w:rFonts w:hint="eastAsia" w:ascii="宋体" w:hAnsi="宋体" w:eastAsia="宋体" w:cs="宋体"/>
                <w:sz w:val="24"/>
                <w:highlight w:val="none"/>
              </w:rPr>
            </w:pPr>
          </w:p>
        </w:tc>
        <w:tc>
          <w:tcPr>
            <w:tcW w:w="1930" w:type="dxa"/>
            <w:noWrap w:val="0"/>
            <w:vAlign w:val="top"/>
          </w:tcPr>
          <w:p w14:paraId="6288A39A">
            <w:pPr>
              <w:snapToGrid w:val="0"/>
              <w:spacing w:line="380" w:lineRule="exact"/>
              <w:rPr>
                <w:rFonts w:hint="eastAsia" w:ascii="宋体" w:hAnsi="宋体" w:eastAsia="宋体" w:cs="宋体"/>
                <w:sz w:val="24"/>
                <w:highlight w:val="none"/>
              </w:rPr>
            </w:pPr>
          </w:p>
        </w:tc>
        <w:tc>
          <w:tcPr>
            <w:tcW w:w="2551" w:type="dxa"/>
            <w:noWrap w:val="0"/>
            <w:vAlign w:val="top"/>
          </w:tcPr>
          <w:p w14:paraId="1B48707C">
            <w:pPr>
              <w:snapToGrid w:val="0"/>
              <w:spacing w:line="380" w:lineRule="exact"/>
              <w:rPr>
                <w:rFonts w:hint="eastAsia" w:ascii="宋体" w:hAnsi="宋体" w:eastAsia="宋体" w:cs="宋体"/>
                <w:sz w:val="24"/>
                <w:highlight w:val="none"/>
              </w:rPr>
            </w:pPr>
          </w:p>
        </w:tc>
        <w:tc>
          <w:tcPr>
            <w:tcW w:w="1985" w:type="dxa"/>
            <w:noWrap w:val="0"/>
            <w:vAlign w:val="top"/>
          </w:tcPr>
          <w:p w14:paraId="6F45BD65">
            <w:pPr>
              <w:snapToGrid w:val="0"/>
              <w:spacing w:line="380" w:lineRule="exact"/>
              <w:rPr>
                <w:rFonts w:hint="eastAsia" w:ascii="宋体" w:hAnsi="宋体" w:eastAsia="宋体" w:cs="宋体"/>
                <w:sz w:val="24"/>
                <w:highlight w:val="none"/>
              </w:rPr>
            </w:pPr>
          </w:p>
        </w:tc>
      </w:tr>
      <w:tr w14:paraId="59C21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59675BCB">
            <w:pPr>
              <w:snapToGrid w:val="0"/>
              <w:spacing w:line="380" w:lineRule="exact"/>
              <w:rPr>
                <w:rFonts w:hint="eastAsia" w:ascii="宋体" w:hAnsi="宋体" w:eastAsia="宋体" w:cs="宋体"/>
                <w:sz w:val="24"/>
                <w:highlight w:val="none"/>
              </w:rPr>
            </w:pPr>
          </w:p>
        </w:tc>
        <w:tc>
          <w:tcPr>
            <w:tcW w:w="1742" w:type="dxa"/>
            <w:noWrap w:val="0"/>
            <w:vAlign w:val="top"/>
          </w:tcPr>
          <w:p w14:paraId="518984E4">
            <w:pPr>
              <w:snapToGrid w:val="0"/>
              <w:spacing w:line="380" w:lineRule="exact"/>
              <w:rPr>
                <w:rFonts w:hint="eastAsia" w:ascii="宋体" w:hAnsi="宋体" w:eastAsia="宋体" w:cs="宋体"/>
                <w:sz w:val="24"/>
                <w:highlight w:val="none"/>
              </w:rPr>
            </w:pPr>
          </w:p>
        </w:tc>
        <w:tc>
          <w:tcPr>
            <w:tcW w:w="1742" w:type="dxa"/>
            <w:noWrap w:val="0"/>
            <w:vAlign w:val="top"/>
          </w:tcPr>
          <w:p w14:paraId="1A95F83C">
            <w:pPr>
              <w:snapToGrid w:val="0"/>
              <w:spacing w:line="380" w:lineRule="exact"/>
              <w:rPr>
                <w:rFonts w:hint="eastAsia" w:ascii="宋体" w:hAnsi="宋体" w:eastAsia="宋体" w:cs="宋体"/>
                <w:sz w:val="24"/>
                <w:highlight w:val="none"/>
              </w:rPr>
            </w:pPr>
          </w:p>
        </w:tc>
        <w:tc>
          <w:tcPr>
            <w:tcW w:w="1742" w:type="dxa"/>
            <w:noWrap w:val="0"/>
            <w:vAlign w:val="top"/>
          </w:tcPr>
          <w:p w14:paraId="751248E3">
            <w:pPr>
              <w:snapToGrid w:val="0"/>
              <w:spacing w:line="380" w:lineRule="exact"/>
              <w:rPr>
                <w:rFonts w:hint="eastAsia" w:ascii="宋体" w:hAnsi="宋体" w:eastAsia="宋体" w:cs="宋体"/>
                <w:sz w:val="24"/>
                <w:highlight w:val="none"/>
              </w:rPr>
            </w:pPr>
          </w:p>
        </w:tc>
        <w:tc>
          <w:tcPr>
            <w:tcW w:w="1930" w:type="dxa"/>
            <w:noWrap w:val="0"/>
            <w:vAlign w:val="top"/>
          </w:tcPr>
          <w:p w14:paraId="2FA5DF32">
            <w:pPr>
              <w:snapToGrid w:val="0"/>
              <w:spacing w:line="380" w:lineRule="exact"/>
              <w:rPr>
                <w:rFonts w:hint="eastAsia" w:ascii="宋体" w:hAnsi="宋体" w:eastAsia="宋体" w:cs="宋体"/>
                <w:sz w:val="24"/>
                <w:highlight w:val="none"/>
              </w:rPr>
            </w:pPr>
          </w:p>
        </w:tc>
        <w:tc>
          <w:tcPr>
            <w:tcW w:w="2551" w:type="dxa"/>
            <w:noWrap w:val="0"/>
            <w:vAlign w:val="top"/>
          </w:tcPr>
          <w:p w14:paraId="46F25358">
            <w:pPr>
              <w:snapToGrid w:val="0"/>
              <w:spacing w:line="380" w:lineRule="exact"/>
              <w:rPr>
                <w:rFonts w:hint="eastAsia" w:ascii="宋体" w:hAnsi="宋体" w:eastAsia="宋体" w:cs="宋体"/>
                <w:sz w:val="24"/>
                <w:highlight w:val="none"/>
              </w:rPr>
            </w:pPr>
          </w:p>
        </w:tc>
        <w:tc>
          <w:tcPr>
            <w:tcW w:w="1985" w:type="dxa"/>
            <w:noWrap w:val="0"/>
            <w:vAlign w:val="top"/>
          </w:tcPr>
          <w:p w14:paraId="42B0118E">
            <w:pPr>
              <w:snapToGrid w:val="0"/>
              <w:spacing w:line="380" w:lineRule="exact"/>
              <w:rPr>
                <w:rFonts w:hint="eastAsia" w:ascii="宋体" w:hAnsi="宋体" w:eastAsia="宋体" w:cs="宋体"/>
                <w:sz w:val="24"/>
                <w:highlight w:val="none"/>
              </w:rPr>
            </w:pPr>
          </w:p>
        </w:tc>
      </w:tr>
      <w:tr w14:paraId="7E7A3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78B2A41E">
            <w:pPr>
              <w:snapToGrid w:val="0"/>
              <w:spacing w:line="380" w:lineRule="exact"/>
              <w:rPr>
                <w:rFonts w:hint="eastAsia" w:ascii="宋体" w:hAnsi="宋体" w:eastAsia="宋体" w:cs="宋体"/>
                <w:sz w:val="24"/>
                <w:highlight w:val="none"/>
              </w:rPr>
            </w:pPr>
          </w:p>
        </w:tc>
        <w:tc>
          <w:tcPr>
            <w:tcW w:w="1742" w:type="dxa"/>
            <w:noWrap w:val="0"/>
            <w:vAlign w:val="top"/>
          </w:tcPr>
          <w:p w14:paraId="169A3D61">
            <w:pPr>
              <w:snapToGrid w:val="0"/>
              <w:spacing w:line="380" w:lineRule="exact"/>
              <w:rPr>
                <w:rFonts w:hint="eastAsia" w:ascii="宋体" w:hAnsi="宋体" w:eastAsia="宋体" w:cs="宋体"/>
                <w:sz w:val="24"/>
                <w:highlight w:val="none"/>
              </w:rPr>
            </w:pPr>
          </w:p>
        </w:tc>
        <w:tc>
          <w:tcPr>
            <w:tcW w:w="1742" w:type="dxa"/>
            <w:noWrap w:val="0"/>
            <w:vAlign w:val="top"/>
          </w:tcPr>
          <w:p w14:paraId="714CFD14">
            <w:pPr>
              <w:snapToGrid w:val="0"/>
              <w:spacing w:line="380" w:lineRule="exact"/>
              <w:rPr>
                <w:rFonts w:hint="eastAsia" w:ascii="宋体" w:hAnsi="宋体" w:eastAsia="宋体" w:cs="宋体"/>
                <w:sz w:val="24"/>
                <w:highlight w:val="none"/>
              </w:rPr>
            </w:pPr>
          </w:p>
        </w:tc>
        <w:tc>
          <w:tcPr>
            <w:tcW w:w="1742" w:type="dxa"/>
            <w:noWrap w:val="0"/>
            <w:vAlign w:val="top"/>
          </w:tcPr>
          <w:p w14:paraId="6D422EA5">
            <w:pPr>
              <w:snapToGrid w:val="0"/>
              <w:spacing w:line="380" w:lineRule="exact"/>
              <w:rPr>
                <w:rFonts w:hint="eastAsia" w:ascii="宋体" w:hAnsi="宋体" w:eastAsia="宋体" w:cs="宋体"/>
                <w:sz w:val="24"/>
                <w:highlight w:val="none"/>
              </w:rPr>
            </w:pPr>
          </w:p>
        </w:tc>
        <w:tc>
          <w:tcPr>
            <w:tcW w:w="1930" w:type="dxa"/>
            <w:noWrap w:val="0"/>
            <w:vAlign w:val="top"/>
          </w:tcPr>
          <w:p w14:paraId="6E5783DD">
            <w:pPr>
              <w:snapToGrid w:val="0"/>
              <w:spacing w:line="380" w:lineRule="exact"/>
              <w:rPr>
                <w:rFonts w:hint="eastAsia" w:ascii="宋体" w:hAnsi="宋体" w:eastAsia="宋体" w:cs="宋体"/>
                <w:sz w:val="24"/>
                <w:highlight w:val="none"/>
              </w:rPr>
            </w:pPr>
          </w:p>
        </w:tc>
        <w:tc>
          <w:tcPr>
            <w:tcW w:w="2551" w:type="dxa"/>
            <w:noWrap w:val="0"/>
            <w:vAlign w:val="top"/>
          </w:tcPr>
          <w:p w14:paraId="78AD9676">
            <w:pPr>
              <w:snapToGrid w:val="0"/>
              <w:spacing w:line="380" w:lineRule="exact"/>
              <w:rPr>
                <w:rFonts w:hint="eastAsia" w:ascii="宋体" w:hAnsi="宋体" w:eastAsia="宋体" w:cs="宋体"/>
                <w:sz w:val="24"/>
                <w:highlight w:val="none"/>
              </w:rPr>
            </w:pPr>
          </w:p>
        </w:tc>
        <w:tc>
          <w:tcPr>
            <w:tcW w:w="1985" w:type="dxa"/>
            <w:noWrap w:val="0"/>
            <w:vAlign w:val="top"/>
          </w:tcPr>
          <w:p w14:paraId="45979876">
            <w:pPr>
              <w:snapToGrid w:val="0"/>
              <w:spacing w:line="380" w:lineRule="exact"/>
              <w:rPr>
                <w:rFonts w:hint="eastAsia" w:ascii="宋体" w:hAnsi="宋体" w:eastAsia="宋体" w:cs="宋体"/>
                <w:sz w:val="24"/>
                <w:highlight w:val="none"/>
              </w:rPr>
            </w:pPr>
          </w:p>
        </w:tc>
      </w:tr>
      <w:tr w14:paraId="2019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1F064D9C">
            <w:pPr>
              <w:snapToGrid w:val="0"/>
              <w:spacing w:line="380" w:lineRule="exact"/>
              <w:rPr>
                <w:rFonts w:hint="eastAsia" w:ascii="宋体" w:hAnsi="宋体" w:eastAsia="宋体" w:cs="宋体"/>
                <w:sz w:val="24"/>
                <w:highlight w:val="none"/>
              </w:rPr>
            </w:pPr>
          </w:p>
        </w:tc>
        <w:tc>
          <w:tcPr>
            <w:tcW w:w="1742" w:type="dxa"/>
            <w:noWrap w:val="0"/>
            <w:vAlign w:val="top"/>
          </w:tcPr>
          <w:p w14:paraId="2DCBA9AB">
            <w:pPr>
              <w:snapToGrid w:val="0"/>
              <w:spacing w:line="380" w:lineRule="exact"/>
              <w:rPr>
                <w:rFonts w:hint="eastAsia" w:ascii="宋体" w:hAnsi="宋体" w:eastAsia="宋体" w:cs="宋体"/>
                <w:sz w:val="24"/>
                <w:highlight w:val="none"/>
              </w:rPr>
            </w:pPr>
          </w:p>
        </w:tc>
        <w:tc>
          <w:tcPr>
            <w:tcW w:w="1742" w:type="dxa"/>
            <w:noWrap w:val="0"/>
            <w:vAlign w:val="top"/>
          </w:tcPr>
          <w:p w14:paraId="4B56282C">
            <w:pPr>
              <w:snapToGrid w:val="0"/>
              <w:spacing w:line="380" w:lineRule="exact"/>
              <w:rPr>
                <w:rFonts w:hint="eastAsia" w:ascii="宋体" w:hAnsi="宋体" w:eastAsia="宋体" w:cs="宋体"/>
                <w:sz w:val="24"/>
                <w:highlight w:val="none"/>
              </w:rPr>
            </w:pPr>
          </w:p>
        </w:tc>
        <w:tc>
          <w:tcPr>
            <w:tcW w:w="1742" w:type="dxa"/>
            <w:noWrap w:val="0"/>
            <w:vAlign w:val="top"/>
          </w:tcPr>
          <w:p w14:paraId="648C4C7F">
            <w:pPr>
              <w:snapToGrid w:val="0"/>
              <w:spacing w:line="380" w:lineRule="exact"/>
              <w:rPr>
                <w:rFonts w:hint="eastAsia" w:ascii="宋体" w:hAnsi="宋体" w:eastAsia="宋体" w:cs="宋体"/>
                <w:sz w:val="24"/>
                <w:highlight w:val="none"/>
              </w:rPr>
            </w:pPr>
          </w:p>
        </w:tc>
        <w:tc>
          <w:tcPr>
            <w:tcW w:w="1930" w:type="dxa"/>
            <w:noWrap w:val="0"/>
            <w:vAlign w:val="top"/>
          </w:tcPr>
          <w:p w14:paraId="181FAE74">
            <w:pPr>
              <w:snapToGrid w:val="0"/>
              <w:spacing w:line="380" w:lineRule="exact"/>
              <w:rPr>
                <w:rFonts w:hint="eastAsia" w:ascii="宋体" w:hAnsi="宋体" w:eastAsia="宋体" w:cs="宋体"/>
                <w:sz w:val="24"/>
                <w:highlight w:val="none"/>
              </w:rPr>
            </w:pPr>
          </w:p>
        </w:tc>
        <w:tc>
          <w:tcPr>
            <w:tcW w:w="2551" w:type="dxa"/>
            <w:noWrap w:val="0"/>
            <w:vAlign w:val="top"/>
          </w:tcPr>
          <w:p w14:paraId="2233DB3E">
            <w:pPr>
              <w:snapToGrid w:val="0"/>
              <w:spacing w:line="380" w:lineRule="exact"/>
              <w:rPr>
                <w:rFonts w:hint="eastAsia" w:ascii="宋体" w:hAnsi="宋体" w:eastAsia="宋体" w:cs="宋体"/>
                <w:sz w:val="24"/>
                <w:highlight w:val="none"/>
              </w:rPr>
            </w:pPr>
          </w:p>
        </w:tc>
        <w:tc>
          <w:tcPr>
            <w:tcW w:w="1985" w:type="dxa"/>
            <w:noWrap w:val="0"/>
            <w:vAlign w:val="top"/>
          </w:tcPr>
          <w:p w14:paraId="002E1BDC">
            <w:pPr>
              <w:snapToGrid w:val="0"/>
              <w:spacing w:line="380" w:lineRule="exact"/>
              <w:rPr>
                <w:rFonts w:hint="eastAsia" w:ascii="宋体" w:hAnsi="宋体" w:eastAsia="宋体" w:cs="宋体"/>
                <w:sz w:val="24"/>
                <w:highlight w:val="none"/>
              </w:rPr>
            </w:pPr>
          </w:p>
        </w:tc>
      </w:tr>
      <w:tr w14:paraId="5D8A7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000A43B9">
            <w:pPr>
              <w:snapToGrid w:val="0"/>
              <w:spacing w:line="380" w:lineRule="exact"/>
              <w:rPr>
                <w:rFonts w:hint="eastAsia" w:ascii="宋体" w:hAnsi="宋体" w:eastAsia="宋体" w:cs="宋体"/>
                <w:sz w:val="24"/>
                <w:highlight w:val="none"/>
              </w:rPr>
            </w:pPr>
          </w:p>
        </w:tc>
        <w:tc>
          <w:tcPr>
            <w:tcW w:w="1742" w:type="dxa"/>
            <w:noWrap w:val="0"/>
            <w:vAlign w:val="top"/>
          </w:tcPr>
          <w:p w14:paraId="16A8666F">
            <w:pPr>
              <w:snapToGrid w:val="0"/>
              <w:spacing w:line="380" w:lineRule="exact"/>
              <w:rPr>
                <w:rFonts w:hint="eastAsia" w:ascii="宋体" w:hAnsi="宋体" w:eastAsia="宋体" w:cs="宋体"/>
                <w:sz w:val="24"/>
                <w:highlight w:val="none"/>
              </w:rPr>
            </w:pPr>
          </w:p>
        </w:tc>
        <w:tc>
          <w:tcPr>
            <w:tcW w:w="1742" w:type="dxa"/>
            <w:noWrap w:val="0"/>
            <w:vAlign w:val="top"/>
          </w:tcPr>
          <w:p w14:paraId="732557DE">
            <w:pPr>
              <w:snapToGrid w:val="0"/>
              <w:spacing w:line="380" w:lineRule="exact"/>
              <w:rPr>
                <w:rFonts w:hint="eastAsia" w:ascii="宋体" w:hAnsi="宋体" w:eastAsia="宋体" w:cs="宋体"/>
                <w:sz w:val="24"/>
                <w:highlight w:val="none"/>
              </w:rPr>
            </w:pPr>
          </w:p>
        </w:tc>
        <w:tc>
          <w:tcPr>
            <w:tcW w:w="1742" w:type="dxa"/>
            <w:noWrap w:val="0"/>
            <w:vAlign w:val="top"/>
          </w:tcPr>
          <w:p w14:paraId="7CFAF704">
            <w:pPr>
              <w:snapToGrid w:val="0"/>
              <w:spacing w:line="380" w:lineRule="exact"/>
              <w:rPr>
                <w:rFonts w:hint="eastAsia" w:ascii="宋体" w:hAnsi="宋体" w:eastAsia="宋体" w:cs="宋体"/>
                <w:sz w:val="24"/>
                <w:highlight w:val="none"/>
              </w:rPr>
            </w:pPr>
          </w:p>
        </w:tc>
        <w:tc>
          <w:tcPr>
            <w:tcW w:w="1930" w:type="dxa"/>
            <w:noWrap w:val="0"/>
            <w:vAlign w:val="top"/>
          </w:tcPr>
          <w:p w14:paraId="41FF1754">
            <w:pPr>
              <w:snapToGrid w:val="0"/>
              <w:spacing w:line="380" w:lineRule="exact"/>
              <w:rPr>
                <w:rFonts w:hint="eastAsia" w:ascii="宋体" w:hAnsi="宋体" w:eastAsia="宋体" w:cs="宋体"/>
                <w:sz w:val="24"/>
                <w:highlight w:val="none"/>
              </w:rPr>
            </w:pPr>
          </w:p>
        </w:tc>
        <w:tc>
          <w:tcPr>
            <w:tcW w:w="2551" w:type="dxa"/>
            <w:noWrap w:val="0"/>
            <w:vAlign w:val="top"/>
          </w:tcPr>
          <w:p w14:paraId="60789CAC">
            <w:pPr>
              <w:snapToGrid w:val="0"/>
              <w:spacing w:line="380" w:lineRule="exact"/>
              <w:rPr>
                <w:rFonts w:hint="eastAsia" w:ascii="宋体" w:hAnsi="宋体" w:eastAsia="宋体" w:cs="宋体"/>
                <w:sz w:val="24"/>
                <w:highlight w:val="none"/>
              </w:rPr>
            </w:pPr>
          </w:p>
        </w:tc>
        <w:tc>
          <w:tcPr>
            <w:tcW w:w="1985" w:type="dxa"/>
            <w:noWrap w:val="0"/>
            <w:vAlign w:val="top"/>
          </w:tcPr>
          <w:p w14:paraId="18049B6D">
            <w:pPr>
              <w:snapToGrid w:val="0"/>
              <w:spacing w:line="380" w:lineRule="exact"/>
              <w:rPr>
                <w:rFonts w:hint="eastAsia" w:ascii="宋体" w:hAnsi="宋体" w:eastAsia="宋体" w:cs="宋体"/>
                <w:sz w:val="24"/>
                <w:highlight w:val="none"/>
              </w:rPr>
            </w:pPr>
          </w:p>
        </w:tc>
      </w:tr>
      <w:tr w14:paraId="00E2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06C6340C">
            <w:pPr>
              <w:snapToGrid w:val="0"/>
              <w:spacing w:line="380" w:lineRule="exact"/>
              <w:rPr>
                <w:rFonts w:hint="eastAsia" w:ascii="宋体" w:hAnsi="宋体" w:eastAsia="宋体" w:cs="宋体"/>
                <w:sz w:val="24"/>
                <w:highlight w:val="none"/>
              </w:rPr>
            </w:pPr>
          </w:p>
        </w:tc>
        <w:tc>
          <w:tcPr>
            <w:tcW w:w="1742" w:type="dxa"/>
            <w:noWrap w:val="0"/>
            <w:vAlign w:val="top"/>
          </w:tcPr>
          <w:p w14:paraId="101DF7BE">
            <w:pPr>
              <w:snapToGrid w:val="0"/>
              <w:spacing w:line="380" w:lineRule="exact"/>
              <w:rPr>
                <w:rFonts w:hint="eastAsia" w:ascii="宋体" w:hAnsi="宋体" w:eastAsia="宋体" w:cs="宋体"/>
                <w:sz w:val="24"/>
                <w:highlight w:val="none"/>
              </w:rPr>
            </w:pPr>
          </w:p>
        </w:tc>
        <w:tc>
          <w:tcPr>
            <w:tcW w:w="1742" w:type="dxa"/>
            <w:noWrap w:val="0"/>
            <w:vAlign w:val="top"/>
          </w:tcPr>
          <w:p w14:paraId="4A0386AE">
            <w:pPr>
              <w:snapToGrid w:val="0"/>
              <w:spacing w:line="380" w:lineRule="exact"/>
              <w:rPr>
                <w:rFonts w:hint="eastAsia" w:ascii="宋体" w:hAnsi="宋体" w:eastAsia="宋体" w:cs="宋体"/>
                <w:sz w:val="24"/>
                <w:highlight w:val="none"/>
              </w:rPr>
            </w:pPr>
          </w:p>
        </w:tc>
        <w:tc>
          <w:tcPr>
            <w:tcW w:w="1742" w:type="dxa"/>
            <w:noWrap w:val="0"/>
            <w:vAlign w:val="top"/>
          </w:tcPr>
          <w:p w14:paraId="092C3079">
            <w:pPr>
              <w:snapToGrid w:val="0"/>
              <w:spacing w:line="380" w:lineRule="exact"/>
              <w:rPr>
                <w:rFonts w:hint="eastAsia" w:ascii="宋体" w:hAnsi="宋体" w:eastAsia="宋体" w:cs="宋体"/>
                <w:sz w:val="24"/>
                <w:highlight w:val="none"/>
              </w:rPr>
            </w:pPr>
          </w:p>
        </w:tc>
        <w:tc>
          <w:tcPr>
            <w:tcW w:w="1930" w:type="dxa"/>
            <w:noWrap w:val="0"/>
            <w:vAlign w:val="top"/>
          </w:tcPr>
          <w:p w14:paraId="326BF314">
            <w:pPr>
              <w:snapToGrid w:val="0"/>
              <w:spacing w:line="380" w:lineRule="exact"/>
              <w:rPr>
                <w:rFonts w:hint="eastAsia" w:ascii="宋体" w:hAnsi="宋体" w:eastAsia="宋体" w:cs="宋体"/>
                <w:sz w:val="24"/>
                <w:highlight w:val="none"/>
              </w:rPr>
            </w:pPr>
          </w:p>
        </w:tc>
        <w:tc>
          <w:tcPr>
            <w:tcW w:w="2551" w:type="dxa"/>
            <w:noWrap w:val="0"/>
            <w:vAlign w:val="top"/>
          </w:tcPr>
          <w:p w14:paraId="7CE1AD0C">
            <w:pPr>
              <w:snapToGrid w:val="0"/>
              <w:spacing w:line="380" w:lineRule="exact"/>
              <w:rPr>
                <w:rFonts w:hint="eastAsia" w:ascii="宋体" w:hAnsi="宋体" w:eastAsia="宋体" w:cs="宋体"/>
                <w:sz w:val="24"/>
                <w:highlight w:val="none"/>
              </w:rPr>
            </w:pPr>
          </w:p>
        </w:tc>
        <w:tc>
          <w:tcPr>
            <w:tcW w:w="1985" w:type="dxa"/>
            <w:noWrap w:val="0"/>
            <w:vAlign w:val="top"/>
          </w:tcPr>
          <w:p w14:paraId="20312621">
            <w:pPr>
              <w:snapToGrid w:val="0"/>
              <w:spacing w:line="380" w:lineRule="exact"/>
              <w:rPr>
                <w:rFonts w:hint="eastAsia" w:ascii="宋体" w:hAnsi="宋体" w:eastAsia="宋体" w:cs="宋体"/>
                <w:sz w:val="24"/>
                <w:highlight w:val="none"/>
              </w:rPr>
            </w:pPr>
          </w:p>
        </w:tc>
      </w:tr>
      <w:tr w14:paraId="617A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52DA993F">
            <w:pPr>
              <w:snapToGrid w:val="0"/>
              <w:spacing w:line="380" w:lineRule="exact"/>
              <w:rPr>
                <w:rFonts w:hint="eastAsia" w:ascii="宋体" w:hAnsi="宋体" w:eastAsia="宋体" w:cs="宋体"/>
                <w:sz w:val="24"/>
                <w:highlight w:val="none"/>
              </w:rPr>
            </w:pPr>
          </w:p>
        </w:tc>
        <w:tc>
          <w:tcPr>
            <w:tcW w:w="1742" w:type="dxa"/>
            <w:noWrap w:val="0"/>
            <w:vAlign w:val="top"/>
          </w:tcPr>
          <w:p w14:paraId="577A5DBF">
            <w:pPr>
              <w:snapToGrid w:val="0"/>
              <w:spacing w:line="380" w:lineRule="exact"/>
              <w:rPr>
                <w:rFonts w:hint="eastAsia" w:ascii="宋体" w:hAnsi="宋体" w:eastAsia="宋体" w:cs="宋体"/>
                <w:sz w:val="24"/>
                <w:highlight w:val="none"/>
              </w:rPr>
            </w:pPr>
          </w:p>
        </w:tc>
        <w:tc>
          <w:tcPr>
            <w:tcW w:w="1742" w:type="dxa"/>
            <w:noWrap w:val="0"/>
            <w:vAlign w:val="top"/>
          </w:tcPr>
          <w:p w14:paraId="1181A0EB">
            <w:pPr>
              <w:snapToGrid w:val="0"/>
              <w:spacing w:line="380" w:lineRule="exact"/>
              <w:rPr>
                <w:rFonts w:hint="eastAsia" w:ascii="宋体" w:hAnsi="宋体" w:eastAsia="宋体" w:cs="宋体"/>
                <w:sz w:val="24"/>
                <w:highlight w:val="none"/>
              </w:rPr>
            </w:pPr>
          </w:p>
        </w:tc>
        <w:tc>
          <w:tcPr>
            <w:tcW w:w="1742" w:type="dxa"/>
            <w:noWrap w:val="0"/>
            <w:vAlign w:val="top"/>
          </w:tcPr>
          <w:p w14:paraId="1D8CB3E0">
            <w:pPr>
              <w:snapToGrid w:val="0"/>
              <w:spacing w:line="380" w:lineRule="exact"/>
              <w:rPr>
                <w:rFonts w:hint="eastAsia" w:ascii="宋体" w:hAnsi="宋体" w:eastAsia="宋体" w:cs="宋体"/>
                <w:sz w:val="24"/>
                <w:highlight w:val="none"/>
              </w:rPr>
            </w:pPr>
          </w:p>
        </w:tc>
        <w:tc>
          <w:tcPr>
            <w:tcW w:w="1930" w:type="dxa"/>
            <w:noWrap w:val="0"/>
            <w:vAlign w:val="top"/>
          </w:tcPr>
          <w:p w14:paraId="05B4B0C1">
            <w:pPr>
              <w:snapToGrid w:val="0"/>
              <w:spacing w:line="380" w:lineRule="exact"/>
              <w:rPr>
                <w:rFonts w:hint="eastAsia" w:ascii="宋体" w:hAnsi="宋体" w:eastAsia="宋体" w:cs="宋体"/>
                <w:sz w:val="24"/>
                <w:highlight w:val="none"/>
              </w:rPr>
            </w:pPr>
          </w:p>
        </w:tc>
        <w:tc>
          <w:tcPr>
            <w:tcW w:w="2551" w:type="dxa"/>
            <w:noWrap w:val="0"/>
            <w:vAlign w:val="top"/>
          </w:tcPr>
          <w:p w14:paraId="3B3F71A3">
            <w:pPr>
              <w:snapToGrid w:val="0"/>
              <w:spacing w:line="380" w:lineRule="exact"/>
              <w:rPr>
                <w:rFonts w:hint="eastAsia" w:ascii="宋体" w:hAnsi="宋体" w:eastAsia="宋体" w:cs="宋体"/>
                <w:sz w:val="24"/>
                <w:highlight w:val="none"/>
              </w:rPr>
            </w:pPr>
          </w:p>
        </w:tc>
        <w:tc>
          <w:tcPr>
            <w:tcW w:w="1985" w:type="dxa"/>
            <w:noWrap w:val="0"/>
            <w:vAlign w:val="top"/>
          </w:tcPr>
          <w:p w14:paraId="38244081">
            <w:pPr>
              <w:snapToGrid w:val="0"/>
              <w:spacing w:line="380" w:lineRule="exact"/>
              <w:rPr>
                <w:rFonts w:hint="eastAsia" w:ascii="宋体" w:hAnsi="宋体" w:eastAsia="宋体" w:cs="宋体"/>
                <w:sz w:val="24"/>
                <w:highlight w:val="none"/>
              </w:rPr>
            </w:pPr>
          </w:p>
        </w:tc>
      </w:tr>
      <w:tr w14:paraId="792E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048012B6">
            <w:pPr>
              <w:snapToGrid w:val="0"/>
              <w:spacing w:line="380" w:lineRule="exact"/>
              <w:rPr>
                <w:rFonts w:hint="eastAsia" w:ascii="宋体" w:hAnsi="宋体" w:eastAsia="宋体" w:cs="宋体"/>
                <w:sz w:val="24"/>
                <w:highlight w:val="none"/>
              </w:rPr>
            </w:pPr>
          </w:p>
        </w:tc>
        <w:tc>
          <w:tcPr>
            <w:tcW w:w="1742" w:type="dxa"/>
            <w:noWrap w:val="0"/>
            <w:vAlign w:val="top"/>
          </w:tcPr>
          <w:p w14:paraId="41DB1533">
            <w:pPr>
              <w:snapToGrid w:val="0"/>
              <w:spacing w:line="380" w:lineRule="exact"/>
              <w:rPr>
                <w:rFonts w:hint="eastAsia" w:ascii="宋体" w:hAnsi="宋体" w:eastAsia="宋体" w:cs="宋体"/>
                <w:sz w:val="24"/>
                <w:highlight w:val="none"/>
              </w:rPr>
            </w:pPr>
          </w:p>
        </w:tc>
        <w:tc>
          <w:tcPr>
            <w:tcW w:w="1742" w:type="dxa"/>
            <w:noWrap w:val="0"/>
            <w:vAlign w:val="top"/>
          </w:tcPr>
          <w:p w14:paraId="2068DD2D">
            <w:pPr>
              <w:snapToGrid w:val="0"/>
              <w:spacing w:line="380" w:lineRule="exact"/>
              <w:rPr>
                <w:rFonts w:hint="eastAsia" w:ascii="宋体" w:hAnsi="宋体" w:eastAsia="宋体" w:cs="宋体"/>
                <w:sz w:val="24"/>
                <w:highlight w:val="none"/>
              </w:rPr>
            </w:pPr>
          </w:p>
        </w:tc>
        <w:tc>
          <w:tcPr>
            <w:tcW w:w="1742" w:type="dxa"/>
            <w:noWrap w:val="0"/>
            <w:vAlign w:val="top"/>
          </w:tcPr>
          <w:p w14:paraId="52B5FEB1">
            <w:pPr>
              <w:snapToGrid w:val="0"/>
              <w:spacing w:line="380" w:lineRule="exact"/>
              <w:rPr>
                <w:rFonts w:hint="eastAsia" w:ascii="宋体" w:hAnsi="宋体" w:eastAsia="宋体" w:cs="宋体"/>
                <w:sz w:val="24"/>
                <w:highlight w:val="none"/>
              </w:rPr>
            </w:pPr>
          </w:p>
        </w:tc>
        <w:tc>
          <w:tcPr>
            <w:tcW w:w="1930" w:type="dxa"/>
            <w:noWrap w:val="0"/>
            <w:vAlign w:val="top"/>
          </w:tcPr>
          <w:p w14:paraId="2C22BA8A">
            <w:pPr>
              <w:snapToGrid w:val="0"/>
              <w:spacing w:line="380" w:lineRule="exact"/>
              <w:rPr>
                <w:rFonts w:hint="eastAsia" w:ascii="宋体" w:hAnsi="宋体" w:eastAsia="宋体" w:cs="宋体"/>
                <w:sz w:val="24"/>
                <w:highlight w:val="none"/>
              </w:rPr>
            </w:pPr>
          </w:p>
        </w:tc>
        <w:tc>
          <w:tcPr>
            <w:tcW w:w="2551" w:type="dxa"/>
            <w:noWrap w:val="0"/>
            <w:vAlign w:val="top"/>
          </w:tcPr>
          <w:p w14:paraId="137921CE">
            <w:pPr>
              <w:snapToGrid w:val="0"/>
              <w:spacing w:line="380" w:lineRule="exact"/>
              <w:rPr>
                <w:rFonts w:hint="eastAsia" w:ascii="宋体" w:hAnsi="宋体" w:eastAsia="宋体" w:cs="宋体"/>
                <w:sz w:val="24"/>
                <w:highlight w:val="none"/>
              </w:rPr>
            </w:pPr>
          </w:p>
        </w:tc>
        <w:tc>
          <w:tcPr>
            <w:tcW w:w="1985" w:type="dxa"/>
            <w:noWrap w:val="0"/>
            <w:vAlign w:val="top"/>
          </w:tcPr>
          <w:p w14:paraId="496CFD79">
            <w:pPr>
              <w:snapToGrid w:val="0"/>
              <w:spacing w:line="380" w:lineRule="exact"/>
              <w:rPr>
                <w:rFonts w:hint="eastAsia" w:ascii="宋体" w:hAnsi="宋体" w:eastAsia="宋体" w:cs="宋体"/>
                <w:sz w:val="24"/>
                <w:highlight w:val="none"/>
              </w:rPr>
            </w:pPr>
          </w:p>
        </w:tc>
      </w:tr>
      <w:tr w14:paraId="78B1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445C744E">
            <w:pPr>
              <w:snapToGrid w:val="0"/>
              <w:spacing w:line="380" w:lineRule="exact"/>
              <w:rPr>
                <w:rFonts w:hint="eastAsia" w:ascii="宋体" w:hAnsi="宋体" w:eastAsia="宋体" w:cs="宋体"/>
                <w:sz w:val="24"/>
                <w:highlight w:val="none"/>
              </w:rPr>
            </w:pPr>
          </w:p>
        </w:tc>
        <w:tc>
          <w:tcPr>
            <w:tcW w:w="1742" w:type="dxa"/>
            <w:noWrap w:val="0"/>
            <w:vAlign w:val="top"/>
          </w:tcPr>
          <w:p w14:paraId="5132AD34">
            <w:pPr>
              <w:snapToGrid w:val="0"/>
              <w:spacing w:line="380" w:lineRule="exact"/>
              <w:rPr>
                <w:rFonts w:hint="eastAsia" w:ascii="宋体" w:hAnsi="宋体" w:eastAsia="宋体" w:cs="宋体"/>
                <w:sz w:val="24"/>
                <w:highlight w:val="none"/>
              </w:rPr>
            </w:pPr>
          </w:p>
        </w:tc>
        <w:tc>
          <w:tcPr>
            <w:tcW w:w="1742" w:type="dxa"/>
            <w:noWrap w:val="0"/>
            <w:vAlign w:val="top"/>
          </w:tcPr>
          <w:p w14:paraId="1C8FCCBF">
            <w:pPr>
              <w:snapToGrid w:val="0"/>
              <w:spacing w:line="380" w:lineRule="exact"/>
              <w:rPr>
                <w:rFonts w:hint="eastAsia" w:ascii="宋体" w:hAnsi="宋体" w:eastAsia="宋体" w:cs="宋体"/>
                <w:sz w:val="24"/>
                <w:highlight w:val="none"/>
              </w:rPr>
            </w:pPr>
          </w:p>
        </w:tc>
        <w:tc>
          <w:tcPr>
            <w:tcW w:w="1742" w:type="dxa"/>
            <w:noWrap w:val="0"/>
            <w:vAlign w:val="top"/>
          </w:tcPr>
          <w:p w14:paraId="242C7669">
            <w:pPr>
              <w:snapToGrid w:val="0"/>
              <w:spacing w:line="380" w:lineRule="exact"/>
              <w:rPr>
                <w:rFonts w:hint="eastAsia" w:ascii="宋体" w:hAnsi="宋体" w:eastAsia="宋体" w:cs="宋体"/>
                <w:sz w:val="24"/>
                <w:highlight w:val="none"/>
              </w:rPr>
            </w:pPr>
          </w:p>
        </w:tc>
        <w:tc>
          <w:tcPr>
            <w:tcW w:w="1930" w:type="dxa"/>
            <w:noWrap w:val="0"/>
            <w:vAlign w:val="top"/>
          </w:tcPr>
          <w:p w14:paraId="6D54F6CE">
            <w:pPr>
              <w:snapToGrid w:val="0"/>
              <w:spacing w:line="380" w:lineRule="exact"/>
              <w:rPr>
                <w:rFonts w:hint="eastAsia" w:ascii="宋体" w:hAnsi="宋体" w:eastAsia="宋体" w:cs="宋体"/>
                <w:sz w:val="24"/>
                <w:highlight w:val="none"/>
              </w:rPr>
            </w:pPr>
          </w:p>
        </w:tc>
        <w:tc>
          <w:tcPr>
            <w:tcW w:w="2551" w:type="dxa"/>
            <w:noWrap w:val="0"/>
            <w:vAlign w:val="top"/>
          </w:tcPr>
          <w:p w14:paraId="1C51AFF7">
            <w:pPr>
              <w:snapToGrid w:val="0"/>
              <w:spacing w:line="380" w:lineRule="exact"/>
              <w:rPr>
                <w:rFonts w:hint="eastAsia" w:ascii="宋体" w:hAnsi="宋体" w:eastAsia="宋体" w:cs="宋体"/>
                <w:sz w:val="24"/>
                <w:highlight w:val="none"/>
              </w:rPr>
            </w:pPr>
          </w:p>
        </w:tc>
        <w:tc>
          <w:tcPr>
            <w:tcW w:w="1985" w:type="dxa"/>
            <w:noWrap w:val="0"/>
            <w:vAlign w:val="top"/>
          </w:tcPr>
          <w:p w14:paraId="61053E21">
            <w:pPr>
              <w:snapToGrid w:val="0"/>
              <w:spacing w:line="380" w:lineRule="exact"/>
              <w:rPr>
                <w:rFonts w:hint="eastAsia" w:ascii="宋体" w:hAnsi="宋体" w:eastAsia="宋体" w:cs="宋体"/>
                <w:sz w:val="24"/>
                <w:highlight w:val="none"/>
              </w:rPr>
            </w:pPr>
          </w:p>
        </w:tc>
      </w:tr>
      <w:tr w14:paraId="0ACC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1" w:type="dxa"/>
            <w:noWrap w:val="0"/>
            <w:vAlign w:val="top"/>
          </w:tcPr>
          <w:p w14:paraId="458A39F9">
            <w:pPr>
              <w:snapToGrid w:val="0"/>
              <w:spacing w:line="380" w:lineRule="exact"/>
              <w:rPr>
                <w:rFonts w:hint="eastAsia" w:ascii="宋体" w:hAnsi="宋体" w:eastAsia="宋体" w:cs="宋体"/>
                <w:sz w:val="24"/>
                <w:highlight w:val="none"/>
              </w:rPr>
            </w:pPr>
          </w:p>
        </w:tc>
        <w:tc>
          <w:tcPr>
            <w:tcW w:w="1742" w:type="dxa"/>
            <w:noWrap w:val="0"/>
            <w:vAlign w:val="top"/>
          </w:tcPr>
          <w:p w14:paraId="63639331">
            <w:pPr>
              <w:snapToGrid w:val="0"/>
              <w:spacing w:line="380" w:lineRule="exact"/>
              <w:rPr>
                <w:rFonts w:hint="eastAsia" w:ascii="宋体" w:hAnsi="宋体" w:eastAsia="宋体" w:cs="宋体"/>
                <w:sz w:val="24"/>
                <w:highlight w:val="none"/>
              </w:rPr>
            </w:pPr>
          </w:p>
        </w:tc>
        <w:tc>
          <w:tcPr>
            <w:tcW w:w="1742" w:type="dxa"/>
            <w:noWrap w:val="0"/>
            <w:vAlign w:val="top"/>
          </w:tcPr>
          <w:p w14:paraId="25E0F51D">
            <w:pPr>
              <w:snapToGrid w:val="0"/>
              <w:spacing w:line="380" w:lineRule="exact"/>
              <w:rPr>
                <w:rFonts w:hint="eastAsia" w:ascii="宋体" w:hAnsi="宋体" w:eastAsia="宋体" w:cs="宋体"/>
                <w:sz w:val="24"/>
                <w:highlight w:val="none"/>
              </w:rPr>
            </w:pPr>
          </w:p>
        </w:tc>
        <w:tc>
          <w:tcPr>
            <w:tcW w:w="1742" w:type="dxa"/>
            <w:noWrap w:val="0"/>
            <w:vAlign w:val="top"/>
          </w:tcPr>
          <w:p w14:paraId="553D933D">
            <w:pPr>
              <w:snapToGrid w:val="0"/>
              <w:spacing w:line="380" w:lineRule="exact"/>
              <w:rPr>
                <w:rFonts w:hint="eastAsia" w:ascii="宋体" w:hAnsi="宋体" w:eastAsia="宋体" w:cs="宋体"/>
                <w:sz w:val="24"/>
                <w:highlight w:val="none"/>
              </w:rPr>
            </w:pPr>
          </w:p>
        </w:tc>
        <w:tc>
          <w:tcPr>
            <w:tcW w:w="1930" w:type="dxa"/>
            <w:noWrap w:val="0"/>
            <w:vAlign w:val="top"/>
          </w:tcPr>
          <w:p w14:paraId="3EBB0963">
            <w:pPr>
              <w:snapToGrid w:val="0"/>
              <w:spacing w:line="380" w:lineRule="exact"/>
              <w:rPr>
                <w:rFonts w:hint="eastAsia" w:ascii="宋体" w:hAnsi="宋体" w:eastAsia="宋体" w:cs="宋体"/>
                <w:sz w:val="24"/>
                <w:highlight w:val="none"/>
              </w:rPr>
            </w:pPr>
          </w:p>
        </w:tc>
        <w:tc>
          <w:tcPr>
            <w:tcW w:w="2551" w:type="dxa"/>
            <w:noWrap w:val="0"/>
            <w:vAlign w:val="top"/>
          </w:tcPr>
          <w:p w14:paraId="5102FAB4">
            <w:pPr>
              <w:snapToGrid w:val="0"/>
              <w:spacing w:line="380" w:lineRule="exact"/>
              <w:rPr>
                <w:rFonts w:hint="eastAsia" w:ascii="宋体" w:hAnsi="宋体" w:eastAsia="宋体" w:cs="宋体"/>
                <w:sz w:val="24"/>
                <w:highlight w:val="none"/>
              </w:rPr>
            </w:pPr>
          </w:p>
        </w:tc>
        <w:tc>
          <w:tcPr>
            <w:tcW w:w="1985" w:type="dxa"/>
            <w:noWrap w:val="0"/>
            <w:vAlign w:val="top"/>
          </w:tcPr>
          <w:p w14:paraId="054E6527">
            <w:pPr>
              <w:snapToGrid w:val="0"/>
              <w:spacing w:line="380" w:lineRule="exact"/>
              <w:rPr>
                <w:rFonts w:hint="eastAsia" w:ascii="宋体" w:hAnsi="宋体" w:eastAsia="宋体" w:cs="宋体"/>
                <w:sz w:val="24"/>
                <w:highlight w:val="none"/>
              </w:rPr>
            </w:pPr>
          </w:p>
        </w:tc>
      </w:tr>
    </w:tbl>
    <w:p w14:paraId="5245502C">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 xml:space="preserve">注：诱蚊诱卵指数［%］＝（阳性诱卵器数/布放诱卵器总数）×100%   </w:t>
      </w:r>
    </w:p>
    <w:p w14:paraId="20965F10">
      <w:pPr>
        <w:snapToGrid w:val="0"/>
        <w:spacing w:line="3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填表单位： 　　　　　　监测人：     　  　　   　填表人：   　    　   　填表日期：</w:t>
      </w:r>
    </w:p>
    <w:p w14:paraId="75D88598">
      <w:pPr>
        <w:snapToGrid w:val="0"/>
        <w:spacing w:line="380" w:lineRule="exact"/>
        <w:rPr>
          <w:rFonts w:hint="eastAsia" w:ascii="宋体" w:hAnsi="宋体" w:eastAsia="宋体" w:cs="宋体"/>
          <w:sz w:val="24"/>
          <w:highlight w:val="none"/>
        </w:rPr>
      </w:pPr>
    </w:p>
    <w:p w14:paraId="12350E2E">
      <w:pPr>
        <w:snapToGrid w:val="0"/>
        <w:spacing w:line="380" w:lineRule="exact"/>
        <w:rPr>
          <w:rFonts w:hint="eastAsia" w:ascii="宋体" w:hAnsi="宋体" w:eastAsia="宋体" w:cs="宋体"/>
          <w:b/>
          <w:sz w:val="36"/>
          <w:szCs w:val="36"/>
          <w:highlight w:val="none"/>
        </w:rPr>
      </w:pPr>
      <w:r>
        <w:rPr>
          <w:rFonts w:hint="eastAsia" w:ascii="宋体" w:hAnsi="宋体" w:eastAsia="宋体" w:cs="宋体"/>
          <w:b/>
          <w:sz w:val="36"/>
          <w:szCs w:val="36"/>
          <w:highlight w:val="none"/>
        </w:rPr>
        <w:t>附表5：               病媒生物监测（蝇类）记录表</w:t>
      </w:r>
    </w:p>
    <w:p w14:paraId="4174A252">
      <w:pPr>
        <w:snapToGrid w:val="0"/>
        <w:spacing w:line="380" w:lineRule="exact"/>
        <w:rPr>
          <w:rFonts w:hint="eastAsia" w:ascii="宋体" w:hAnsi="宋体" w:eastAsia="宋体" w:cs="宋体"/>
          <w:sz w:val="24"/>
          <w:highlight w:val="none"/>
        </w:rPr>
      </w:pPr>
    </w:p>
    <w:p w14:paraId="543BEC6D">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 xml:space="preserve">监测地点：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监测时间：　　　　　年 　　　月 　　 日          </w:t>
      </w:r>
    </w:p>
    <w:p w14:paraId="273952DE">
      <w:pPr>
        <w:snapToGrid w:val="0"/>
        <w:spacing w:line="380" w:lineRule="exact"/>
        <w:rPr>
          <w:rFonts w:hint="eastAsia" w:ascii="宋体" w:hAnsi="宋体" w:eastAsia="宋体" w:cs="宋体"/>
          <w:sz w:val="24"/>
          <w:highlight w:val="none"/>
        </w:rPr>
      </w:pPr>
      <w:r>
        <w:rPr>
          <w:rFonts w:hint="eastAsia" w:ascii="宋体" w:hAnsi="宋体" w:eastAsia="宋体" w:cs="宋体"/>
          <w:sz w:val="24"/>
          <w:highlight w:val="none"/>
        </w:rPr>
        <w:t>温度：      　　（℃）；湿度：   　   　（%）；风速：   　  　 （m/s）；天气：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951"/>
        <w:gridCol w:w="980"/>
        <w:gridCol w:w="567"/>
        <w:gridCol w:w="567"/>
        <w:gridCol w:w="709"/>
        <w:gridCol w:w="724"/>
        <w:gridCol w:w="728"/>
        <w:gridCol w:w="728"/>
        <w:gridCol w:w="728"/>
        <w:gridCol w:w="728"/>
        <w:gridCol w:w="728"/>
        <w:gridCol w:w="728"/>
        <w:gridCol w:w="728"/>
        <w:gridCol w:w="728"/>
        <w:gridCol w:w="728"/>
        <w:gridCol w:w="662"/>
        <w:gridCol w:w="1275"/>
      </w:tblGrid>
      <w:tr w14:paraId="1447D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vMerge w:val="restart"/>
            <w:noWrap w:val="0"/>
            <w:vAlign w:val="center"/>
          </w:tcPr>
          <w:p w14:paraId="56605360">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951" w:type="dxa"/>
            <w:vMerge w:val="restart"/>
            <w:noWrap w:val="0"/>
            <w:vAlign w:val="center"/>
          </w:tcPr>
          <w:p w14:paraId="30164867">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监测点</w:t>
            </w:r>
          </w:p>
        </w:tc>
        <w:tc>
          <w:tcPr>
            <w:tcW w:w="980" w:type="dxa"/>
            <w:vMerge w:val="restart"/>
            <w:noWrap w:val="0"/>
            <w:vAlign w:val="center"/>
          </w:tcPr>
          <w:p w14:paraId="4D09EE71">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生境</w:t>
            </w:r>
          </w:p>
        </w:tc>
        <w:tc>
          <w:tcPr>
            <w:tcW w:w="567" w:type="dxa"/>
            <w:vMerge w:val="restart"/>
            <w:noWrap w:val="0"/>
            <w:vAlign w:val="center"/>
          </w:tcPr>
          <w:p w14:paraId="749D6B43">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笼数</w:t>
            </w:r>
          </w:p>
        </w:tc>
        <w:tc>
          <w:tcPr>
            <w:tcW w:w="567" w:type="dxa"/>
            <w:vMerge w:val="restart"/>
            <w:noWrap w:val="0"/>
            <w:vAlign w:val="center"/>
          </w:tcPr>
          <w:p w14:paraId="14C217EA">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诱饵</w:t>
            </w:r>
          </w:p>
        </w:tc>
        <w:tc>
          <w:tcPr>
            <w:tcW w:w="709" w:type="dxa"/>
            <w:vMerge w:val="restart"/>
            <w:noWrap w:val="0"/>
            <w:vAlign w:val="center"/>
          </w:tcPr>
          <w:p w14:paraId="1E2CFF31">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捕蝇总数</w:t>
            </w:r>
          </w:p>
        </w:tc>
        <w:tc>
          <w:tcPr>
            <w:tcW w:w="7938" w:type="dxa"/>
            <w:gridSpan w:val="11"/>
            <w:noWrap w:val="0"/>
            <w:vAlign w:val="center"/>
          </w:tcPr>
          <w:p w14:paraId="2C582E08">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蝇种（只）</w:t>
            </w:r>
          </w:p>
        </w:tc>
        <w:tc>
          <w:tcPr>
            <w:tcW w:w="1275" w:type="dxa"/>
            <w:vMerge w:val="restart"/>
            <w:noWrap w:val="0"/>
            <w:vAlign w:val="center"/>
          </w:tcPr>
          <w:p w14:paraId="4628BD2F">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平均密度</w:t>
            </w:r>
          </w:p>
          <w:p w14:paraId="298F4310">
            <w:pPr>
              <w:snapToGrid w:val="0"/>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只/（笼•日）</w:t>
            </w:r>
          </w:p>
        </w:tc>
      </w:tr>
      <w:tr w14:paraId="5FCD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vMerge w:val="continue"/>
            <w:noWrap w:val="0"/>
            <w:vAlign w:val="center"/>
          </w:tcPr>
          <w:p w14:paraId="1052C7A1">
            <w:pPr>
              <w:widowControl/>
              <w:snapToGrid w:val="0"/>
              <w:spacing w:line="380" w:lineRule="exact"/>
              <w:jc w:val="center"/>
              <w:rPr>
                <w:rFonts w:hint="eastAsia" w:ascii="宋体" w:hAnsi="宋体" w:eastAsia="宋体" w:cs="宋体"/>
                <w:sz w:val="24"/>
                <w:highlight w:val="none"/>
              </w:rPr>
            </w:pPr>
          </w:p>
        </w:tc>
        <w:tc>
          <w:tcPr>
            <w:tcW w:w="951" w:type="dxa"/>
            <w:vMerge w:val="continue"/>
            <w:noWrap w:val="0"/>
            <w:vAlign w:val="center"/>
          </w:tcPr>
          <w:p w14:paraId="444996DB">
            <w:pPr>
              <w:widowControl/>
              <w:snapToGrid w:val="0"/>
              <w:spacing w:line="380" w:lineRule="exact"/>
              <w:jc w:val="center"/>
              <w:rPr>
                <w:rFonts w:hint="eastAsia" w:ascii="宋体" w:hAnsi="宋体" w:eastAsia="宋体" w:cs="宋体"/>
                <w:sz w:val="24"/>
                <w:highlight w:val="none"/>
              </w:rPr>
            </w:pPr>
          </w:p>
        </w:tc>
        <w:tc>
          <w:tcPr>
            <w:tcW w:w="980" w:type="dxa"/>
            <w:vMerge w:val="continue"/>
            <w:noWrap w:val="0"/>
            <w:vAlign w:val="top"/>
          </w:tcPr>
          <w:p w14:paraId="53F0AB52">
            <w:pPr>
              <w:widowControl/>
              <w:snapToGrid w:val="0"/>
              <w:spacing w:line="380" w:lineRule="exact"/>
              <w:jc w:val="center"/>
              <w:rPr>
                <w:rFonts w:hint="eastAsia" w:ascii="宋体" w:hAnsi="宋体" w:eastAsia="宋体" w:cs="宋体"/>
                <w:sz w:val="24"/>
                <w:highlight w:val="none"/>
              </w:rPr>
            </w:pPr>
          </w:p>
        </w:tc>
        <w:tc>
          <w:tcPr>
            <w:tcW w:w="567" w:type="dxa"/>
            <w:vMerge w:val="continue"/>
            <w:noWrap w:val="0"/>
            <w:vAlign w:val="center"/>
          </w:tcPr>
          <w:p w14:paraId="1D0432D1">
            <w:pPr>
              <w:widowControl/>
              <w:snapToGrid w:val="0"/>
              <w:spacing w:line="380" w:lineRule="exact"/>
              <w:jc w:val="center"/>
              <w:rPr>
                <w:rFonts w:hint="eastAsia" w:ascii="宋体" w:hAnsi="宋体" w:eastAsia="宋体" w:cs="宋体"/>
                <w:sz w:val="24"/>
                <w:highlight w:val="none"/>
              </w:rPr>
            </w:pPr>
          </w:p>
        </w:tc>
        <w:tc>
          <w:tcPr>
            <w:tcW w:w="567" w:type="dxa"/>
            <w:vMerge w:val="continue"/>
            <w:noWrap w:val="0"/>
            <w:vAlign w:val="center"/>
          </w:tcPr>
          <w:p w14:paraId="64CAFD4C">
            <w:pPr>
              <w:snapToGrid w:val="0"/>
              <w:spacing w:line="380" w:lineRule="exact"/>
              <w:jc w:val="center"/>
              <w:rPr>
                <w:rFonts w:hint="eastAsia" w:ascii="宋体" w:hAnsi="宋体" w:eastAsia="宋体" w:cs="宋体"/>
                <w:sz w:val="24"/>
                <w:highlight w:val="none"/>
              </w:rPr>
            </w:pPr>
          </w:p>
        </w:tc>
        <w:tc>
          <w:tcPr>
            <w:tcW w:w="709" w:type="dxa"/>
            <w:vMerge w:val="continue"/>
            <w:noWrap w:val="0"/>
            <w:vAlign w:val="center"/>
          </w:tcPr>
          <w:p w14:paraId="05133EAC">
            <w:pPr>
              <w:widowControl/>
              <w:snapToGrid w:val="0"/>
              <w:spacing w:line="380" w:lineRule="exact"/>
              <w:jc w:val="center"/>
              <w:rPr>
                <w:rFonts w:hint="eastAsia" w:ascii="宋体" w:hAnsi="宋体" w:eastAsia="宋体" w:cs="宋体"/>
                <w:sz w:val="24"/>
                <w:highlight w:val="none"/>
              </w:rPr>
            </w:pPr>
          </w:p>
        </w:tc>
        <w:tc>
          <w:tcPr>
            <w:tcW w:w="724" w:type="dxa"/>
            <w:noWrap w:val="0"/>
            <w:vAlign w:val="center"/>
          </w:tcPr>
          <w:p w14:paraId="5E43F077">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家</w:t>
            </w:r>
          </w:p>
          <w:p w14:paraId="6E2EF7B3">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313AF883">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市</w:t>
            </w:r>
          </w:p>
          <w:p w14:paraId="03338A4D">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6C5673D8">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丝</w:t>
            </w:r>
          </w:p>
          <w:p w14:paraId="29CACCC2">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光</w:t>
            </w:r>
          </w:p>
          <w:p w14:paraId="6BC95564">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绿</w:t>
            </w:r>
          </w:p>
          <w:p w14:paraId="6F278632">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56FE54DC">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铜</w:t>
            </w:r>
          </w:p>
          <w:p w14:paraId="102009C3">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绿</w:t>
            </w:r>
          </w:p>
          <w:p w14:paraId="56DBE162">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0336FBFA">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亮</w:t>
            </w:r>
          </w:p>
          <w:p w14:paraId="75F987E7">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绿</w:t>
            </w:r>
          </w:p>
          <w:p w14:paraId="0879C4A9">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573CC504">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厩</w:t>
            </w:r>
          </w:p>
          <w:p w14:paraId="465B5F43">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腐</w:t>
            </w:r>
          </w:p>
          <w:p w14:paraId="59229A47">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62867771">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棕</w:t>
            </w:r>
          </w:p>
          <w:p w14:paraId="4CE62EED">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尾</w:t>
            </w:r>
          </w:p>
          <w:p w14:paraId="0B067B59">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别</w:t>
            </w:r>
          </w:p>
          <w:p w14:paraId="0F442D8D">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麻</w:t>
            </w:r>
          </w:p>
          <w:p w14:paraId="6B3882D8">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15798EA0">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夏</w:t>
            </w:r>
          </w:p>
          <w:p w14:paraId="66657C88">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厕</w:t>
            </w:r>
          </w:p>
          <w:p w14:paraId="4A715724">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358AB4BA">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大</w:t>
            </w:r>
          </w:p>
          <w:p w14:paraId="401EA69C">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头</w:t>
            </w:r>
          </w:p>
          <w:p w14:paraId="70C224D6">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金</w:t>
            </w:r>
          </w:p>
          <w:p w14:paraId="2E950FA2">
            <w:pPr>
              <w:snapToGrid w:val="0"/>
              <w:spacing w:line="380" w:lineRule="exact"/>
              <w:jc w:val="center"/>
              <w:rPr>
                <w:rFonts w:hint="eastAsia" w:ascii="宋体" w:hAnsi="宋体" w:eastAsia="宋体" w:cs="宋体"/>
                <w:position w:val="-2"/>
                <w:sz w:val="24"/>
                <w:highlight w:val="none"/>
              </w:rPr>
            </w:pPr>
            <w:r>
              <w:rPr>
                <w:rFonts w:hint="eastAsia" w:ascii="宋体" w:hAnsi="宋体" w:eastAsia="宋体" w:cs="宋体"/>
                <w:position w:val="-2"/>
                <w:sz w:val="24"/>
                <w:highlight w:val="none"/>
              </w:rPr>
              <w:t>蝇</w:t>
            </w:r>
          </w:p>
        </w:tc>
        <w:tc>
          <w:tcPr>
            <w:tcW w:w="728" w:type="dxa"/>
            <w:noWrap w:val="0"/>
            <w:vAlign w:val="center"/>
          </w:tcPr>
          <w:p w14:paraId="0159FBB1">
            <w:pPr>
              <w:snapToGrid w:val="0"/>
              <w:spacing w:line="380" w:lineRule="exact"/>
              <w:jc w:val="center"/>
              <w:rPr>
                <w:rFonts w:hint="eastAsia" w:ascii="宋体" w:hAnsi="宋体" w:eastAsia="宋体" w:cs="宋体"/>
                <w:position w:val="-2"/>
                <w:sz w:val="24"/>
                <w:highlight w:val="none"/>
              </w:rPr>
            </w:pPr>
          </w:p>
        </w:tc>
        <w:tc>
          <w:tcPr>
            <w:tcW w:w="662" w:type="dxa"/>
            <w:noWrap w:val="0"/>
            <w:vAlign w:val="center"/>
          </w:tcPr>
          <w:p w14:paraId="456BFA77">
            <w:pPr>
              <w:snapToGrid w:val="0"/>
              <w:spacing w:line="380" w:lineRule="exact"/>
              <w:jc w:val="center"/>
              <w:rPr>
                <w:rFonts w:hint="eastAsia" w:ascii="宋体" w:hAnsi="宋体" w:eastAsia="宋体" w:cs="宋体"/>
                <w:position w:val="-2"/>
                <w:sz w:val="24"/>
                <w:highlight w:val="none"/>
              </w:rPr>
            </w:pPr>
          </w:p>
        </w:tc>
        <w:tc>
          <w:tcPr>
            <w:tcW w:w="1275" w:type="dxa"/>
            <w:vMerge w:val="continue"/>
            <w:noWrap w:val="0"/>
            <w:vAlign w:val="center"/>
          </w:tcPr>
          <w:p w14:paraId="278910B2">
            <w:pPr>
              <w:snapToGrid w:val="0"/>
              <w:spacing w:line="380" w:lineRule="exact"/>
              <w:jc w:val="center"/>
              <w:rPr>
                <w:rFonts w:hint="eastAsia" w:ascii="宋体" w:hAnsi="宋体" w:eastAsia="宋体" w:cs="宋体"/>
                <w:sz w:val="24"/>
                <w:highlight w:val="none"/>
              </w:rPr>
            </w:pPr>
          </w:p>
        </w:tc>
      </w:tr>
      <w:tr w14:paraId="282B7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50D64386">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0617AD94">
            <w:pPr>
              <w:snapToGrid w:val="0"/>
              <w:spacing w:line="380" w:lineRule="exact"/>
              <w:jc w:val="center"/>
              <w:rPr>
                <w:rFonts w:hint="eastAsia" w:ascii="宋体" w:hAnsi="宋体" w:eastAsia="宋体" w:cs="宋体"/>
                <w:sz w:val="24"/>
                <w:highlight w:val="none"/>
              </w:rPr>
            </w:pPr>
          </w:p>
        </w:tc>
        <w:tc>
          <w:tcPr>
            <w:tcW w:w="980" w:type="dxa"/>
            <w:noWrap w:val="0"/>
            <w:vAlign w:val="top"/>
          </w:tcPr>
          <w:p w14:paraId="23B6DC48">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0488F355">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713DE21B">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391CF32C">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7177FAF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6F90A9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9FF7267">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D1EE95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211017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5AB8B2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605ABC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C7F9262">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BEBF30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AF87F49">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324C2661">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0FC9D997">
            <w:pPr>
              <w:snapToGrid w:val="0"/>
              <w:spacing w:line="380" w:lineRule="exact"/>
              <w:jc w:val="center"/>
              <w:rPr>
                <w:rFonts w:hint="eastAsia" w:ascii="宋体" w:hAnsi="宋体" w:eastAsia="宋体" w:cs="宋体"/>
                <w:sz w:val="24"/>
                <w:highlight w:val="none"/>
              </w:rPr>
            </w:pPr>
          </w:p>
        </w:tc>
      </w:tr>
      <w:tr w14:paraId="47A0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290F1AF0">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3681E918">
            <w:pPr>
              <w:snapToGrid w:val="0"/>
              <w:spacing w:line="380" w:lineRule="exact"/>
              <w:jc w:val="center"/>
              <w:rPr>
                <w:rFonts w:hint="eastAsia" w:ascii="宋体" w:hAnsi="宋体" w:eastAsia="宋体" w:cs="宋体"/>
                <w:sz w:val="24"/>
                <w:highlight w:val="none"/>
              </w:rPr>
            </w:pPr>
          </w:p>
        </w:tc>
        <w:tc>
          <w:tcPr>
            <w:tcW w:w="980" w:type="dxa"/>
            <w:noWrap w:val="0"/>
            <w:vAlign w:val="top"/>
          </w:tcPr>
          <w:p w14:paraId="0C16DEFA">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569445C7">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430C8494">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55CD67EF">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305E7F0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D1C6DB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98F905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69D86F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51D19D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5EFED8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0A40566">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B41DFB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44729C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BEE3116">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649A9E66">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53E656D6">
            <w:pPr>
              <w:snapToGrid w:val="0"/>
              <w:spacing w:line="380" w:lineRule="exact"/>
              <w:jc w:val="center"/>
              <w:rPr>
                <w:rFonts w:hint="eastAsia" w:ascii="宋体" w:hAnsi="宋体" w:eastAsia="宋体" w:cs="宋体"/>
                <w:sz w:val="24"/>
                <w:highlight w:val="none"/>
              </w:rPr>
            </w:pPr>
          </w:p>
        </w:tc>
      </w:tr>
      <w:tr w14:paraId="019B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68193625">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35F366E">
            <w:pPr>
              <w:snapToGrid w:val="0"/>
              <w:spacing w:line="380" w:lineRule="exact"/>
              <w:jc w:val="center"/>
              <w:rPr>
                <w:rFonts w:hint="eastAsia" w:ascii="宋体" w:hAnsi="宋体" w:eastAsia="宋体" w:cs="宋体"/>
                <w:sz w:val="24"/>
                <w:highlight w:val="none"/>
              </w:rPr>
            </w:pPr>
          </w:p>
        </w:tc>
        <w:tc>
          <w:tcPr>
            <w:tcW w:w="980" w:type="dxa"/>
            <w:noWrap w:val="0"/>
            <w:vAlign w:val="top"/>
          </w:tcPr>
          <w:p w14:paraId="63D128D8">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57CEF81D">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1C865631">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3E67F2C5">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44C56D2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168E84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9DDC0F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7C5B267">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6CD9C7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76EF31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1629FE2">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11A71C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DE3A2E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1678012">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060F01AB">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672C34BC">
            <w:pPr>
              <w:snapToGrid w:val="0"/>
              <w:spacing w:line="380" w:lineRule="exact"/>
              <w:jc w:val="center"/>
              <w:rPr>
                <w:rFonts w:hint="eastAsia" w:ascii="宋体" w:hAnsi="宋体" w:eastAsia="宋体" w:cs="宋体"/>
                <w:sz w:val="24"/>
                <w:highlight w:val="none"/>
              </w:rPr>
            </w:pPr>
          </w:p>
        </w:tc>
      </w:tr>
      <w:tr w14:paraId="359ED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484D1034">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5F643A6">
            <w:pPr>
              <w:snapToGrid w:val="0"/>
              <w:spacing w:line="380" w:lineRule="exact"/>
              <w:jc w:val="center"/>
              <w:rPr>
                <w:rFonts w:hint="eastAsia" w:ascii="宋体" w:hAnsi="宋体" w:eastAsia="宋体" w:cs="宋体"/>
                <w:sz w:val="24"/>
                <w:highlight w:val="none"/>
              </w:rPr>
            </w:pPr>
          </w:p>
        </w:tc>
        <w:tc>
          <w:tcPr>
            <w:tcW w:w="980" w:type="dxa"/>
            <w:noWrap w:val="0"/>
            <w:vAlign w:val="top"/>
          </w:tcPr>
          <w:p w14:paraId="7CB55FC0">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011E8760">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77123C21">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1027F24A">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0A95134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84417A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66ADC0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F45FF1E">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232459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FEAC2D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F436F0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419057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D99F55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E1C7EDD">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468B2E3F">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77AD5B11">
            <w:pPr>
              <w:snapToGrid w:val="0"/>
              <w:spacing w:line="380" w:lineRule="exact"/>
              <w:jc w:val="center"/>
              <w:rPr>
                <w:rFonts w:hint="eastAsia" w:ascii="宋体" w:hAnsi="宋体" w:eastAsia="宋体" w:cs="宋体"/>
                <w:sz w:val="24"/>
                <w:highlight w:val="none"/>
              </w:rPr>
            </w:pPr>
          </w:p>
        </w:tc>
      </w:tr>
      <w:tr w14:paraId="5B1A3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6506702C">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DAC787C">
            <w:pPr>
              <w:snapToGrid w:val="0"/>
              <w:spacing w:line="380" w:lineRule="exact"/>
              <w:jc w:val="center"/>
              <w:rPr>
                <w:rFonts w:hint="eastAsia" w:ascii="宋体" w:hAnsi="宋体" w:eastAsia="宋体" w:cs="宋体"/>
                <w:sz w:val="24"/>
                <w:highlight w:val="none"/>
              </w:rPr>
            </w:pPr>
          </w:p>
        </w:tc>
        <w:tc>
          <w:tcPr>
            <w:tcW w:w="980" w:type="dxa"/>
            <w:noWrap w:val="0"/>
            <w:vAlign w:val="top"/>
          </w:tcPr>
          <w:p w14:paraId="3FFA2C3F">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32ADCF6B">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7F6F05A0">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12468A20">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4E763AB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ECE3FE2">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A32C57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8A0EE4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B320AA6">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C51BAF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42907B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412AEF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05C54C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29F74F6">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4982141A">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214A816D">
            <w:pPr>
              <w:snapToGrid w:val="0"/>
              <w:spacing w:line="380" w:lineRule="exact"/>
              <w:jc w:val="center"/>
              <w:rPr>
                <w:rFonts w:hint="eastAsia" w:ascii="宋体" w:hAnsi="宋体" w:eastAsia="宋体" w:cs="宋体"/>
                <w:sz w:val="24"/>
                <w:highlight w:val="none"/>
              </w:rPr>
            </w:pPr>
          </w:p>
        </w:tc>
      </w:tr>
      <w:tr w14:paraId="6AE0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57739A7E">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048C2B68">
            <w:pPr>
              <w:snapToGrid w:val="0"/>
              <w:spacing w:line="380" w:lineRule="exact"/>
              <w:jc w:val="center"/>
              <w:rPr>
                <w:rFonts w:hint="eastAsia" w:ascii="宋体" w:hAnsi="宋体" w:eastAsia="宋体" w:cs="宋体"/>
                <w:sz w:val="24"/>
                <w:highlight w:val="none"/>
              </w:rPr>
            </w:pPr>
          </w:p>
        </w:tc>
        <w:tc>
          <w:tcPr>
            <w:tcW w:w="980" w:type="dxa"/>
            <w:noWrap w:val="0"/>
            <w:vAlign w:val="top"/>
          </w:tcPr>
          <w:p w14:paraId="4CBD6177">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33BCDDC5">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63483088">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33C7ED20">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20C6686E">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82CB4A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C77D52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75430F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2A286F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D1DE58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4723DD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853452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0F1DD0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9231944">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79B34D89">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1537A671">
            <w:pPr>
              <w:snapToGrid w:val="0"/>
              <w:spacing w:line="380" w:lineRule="exact"/>
              <w:jc w:val="center"/>
              <w:rPr>
                <w:rFonts w:hint="eastAsia" w:ascii="宋体" w:hAnsi="宋体" w:eastAsia="宋体" w:cs="宋体"/>
                <w:sz w:val="24"/>
                <w:highlight w:val="none"/>
              </w:rPr>
            </w:pPr>
          </w:p>
        </w:tc>
      </w:tr>
      <w:tr w14:paraId="3506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1C1433BD">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3362A966">
            <w:pPr>
              <w:snapToGrid w:val="0"/>
              <w:spacing w:line="380" w:lineRule="exact"/>
              <w:jc w:val="center"/>
              <w:rPr>
                <w:rFonts w:hint="eastAsia" w:ascii="宋体" w:hAnsi="宋体" w:eastAsia="宋体" w:cs="宋体"/>
                <w:sz w:val="24"/>
                <w:highlight w:val="none"/>
              </w:rPr>
            </w:pPr>
          </w:p>
        </w:tc>
        <w:tc>
          <w:tcPr>
            <w:tcW w:w="980" w:type="dxa"/>
            <w:noWrap w:val="0"/>
            <w:vAlign w:val="top"/>
          </w:tcPr>
          <w:p w14:paraId="07135025">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6DE34BB1">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069F4DB0">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0E6AE3FC">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31DD5E97">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AA27A46">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2359046">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AD0AB7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3C7F79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162CC7E">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C43D2A2">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CAF701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CB28993">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700678F3">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2038CD07">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2F6DFEA0">
            <w:pPr>
              <w:snapToGrid w:val="0"/>
              <w:spacing w:line="380" w:lineRule="exact"/>
              <w:jc w:val="center"/>
              <w:rPr>
                <w:rFonts w:hint="eastAsia" w:ascii="宋体" w:hAnsi="宋体" w:eastAsia="宋体" w:cs="宋体"/>
                <w:sz w:val="24"/>
                <w:highlight w:val="none"/>
              </w:rPr>
            </w:pPr>
          </w:p>
        </w:tc>
      </w:tr>
      <w:tr w14:paraId="0E83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70428709">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724F812B">
            <w:pPr>
              <w:snapToGrid w:val="0"/>
              <w:spacing w:line="380" w:lineRule="exact"/>
              <w:jc w:val="center"/>
              <w:rPr>
                <w:rFonts w:hint="eastAsia" w:ascii="宋体" w:hAnsi="宋体" w:eastAsia="宋体" w:cs="宋体"/>
                <w:sz w:val="24"/>
                <w:highlight w:val="none"/>
              </w:rPr>
            </w:pPr>
          </w:p>
        </w:tc>
        <w:tc>
          <w:tcPr>
            <w:tcW w:w="980" w:type="dxa"/>
            <w:noWrap w:val="0"/>
            <w:vAlign w:val="top"/>
          </w:tcPr>
          <w:p w14:paraId="5A3D5E92">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36685613">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0AF0622B">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6894A828">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6722BBB0">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6340B6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AB27B8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699498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FF81BE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18106A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1966BDF">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FD425B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B587D8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9A49D7B">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17FBBE8B">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0751EEA5">
            <w:pPr>
              <w:snapToGrid w:val="0"/>
              <w:spacing w:line="380" w:lineRule="exact"/>
              <w:jc w:val="center"/>
              <w:rPr>
                <w:rFonts w:hint="eastAsia" w:ascii="宋体" w:hAnsi="宋体" w:eastAsia="宋体" w:cs="宋体"/>
                <w:sz w:val="24"/>
                <w:highlight w:val="none"/>
              </w:rPr>
            </w:pPr>
          </w:p>
        </w:tc>
      </w:tr>
      <w:tr w14:paraId="414C4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26EEE717">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7CBB991">
            <w:pPr>
              <w:snapToGrid w:val="0"/>
              <w:spacing w:line="380" w:lineRule="exact"/>
              <w:jc w:val="center"/>
              <w:rPr>
                <w:rFonts w:hint="eastAsia" w:ascii="宋体" w:hAnsi="宋体" w:eastAsia="宋体" w:cs="宋体"/>
                <w:sz w:val="24"/>
                <w:highlight w:val="none"/>
              </w:rPr>
            </w:pPr>
          </w:p>
        </w:tc>
        <w:tc>
          <w:tcPr>
            <w:tcW w:w="980" w:type="dxa"/>
            <w:noWrap w:val="0"/>
            <w:vAlign w:val="top"/>
          </w:tcPr>
          <w:p w14:paraId="20517F7A">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7EA5E60C">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4A04381B">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4DFBAD87">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344F704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B61D57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7DF656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2A01F1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0707D1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565288A">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CBC04C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CC653A9">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F734305">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C2074FE">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3C6DF35E">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30BC38F9">
            <w:pPr>
              <w:snapToGrid w:val="0"/>
              <w:spacing w:line="380" w:lineRule="exact"/>
              <w:jc w:val="center"/>
              <w:rPr>
                <w:rFonts w:hint="eastAsia" w:ascii="宋体" w:hAnsi="宋体" w:eastAsia="宋体" w:cs="宋体"/>
                <w:sz w:val="24"/>
                <w:highlight w:val="none"/>
              </w:rPr>
            </w:pPr>
          </w:p>
        </w:tc>
      </w:tr>
      <w:tr w14:paraId="09845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9" w:type="dxa"/>
            <w:noWrap w:val="0"/>
            <w:vAlign w:val="center"/>
          </w:tcPr>
          <w:p w14:paraId="7A069798">
            <w:pPr>
              <w:snapToGrid w:val="0"/>
              <w:spacing w:line="380" w:lineRule="exact"/>
              <w:jc w:val="center"/>
              <w:rPr>
                <w:rFonts w:hint="eastAsia" w:ascii="宋体" w:hAnsi="宋体" w:eastAsia="宋体" w:cs="宋体"/>
                <w:sz w:val="24"/>
                <w:highlight w:val="none"/>
              </w:rPr>
            </w:pPr>
          </w:p>
        </w:tc>
        <w:tc>
          <w:tcPr>
            <w:tcW w:w="951" w:type="dxa"/>
            <w:noWrap w:val="0"/>
            <w:vAlign w:val="center"/>
          </w:tcPr>
          <w:p w14:paraId="2B216E46">
            <w:pPr>
              <w:snapToGrid w:val="0"/>
              <w:spacing w:line="380" w:lineRule="exact"/>
              <w:jc w:val="center"/>
              <w:rPr>
                <w:rFonts w:hint="eastAsia" w:ascii="宋体" w:hAnsi="宋体" w:eastAsia="宋体" w:cs="宋体"/>
                <w:sz w:val="24"/>
                <w:highlight w:val="none"/>
              </w:rPr>
            </w:pPr>
          </w:p>
        </w:tc>
        <w:tc>
          <w:tcPr>
            <w:tcW w:w="980" w:type="dxa"/>
            <w:noWrap w:val="0"/>
            <w:vAlign w:val="top"/>
          </w:tcPr>
          <w:p w14:paraId="301F9AFF">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57E425EF">
            <w:pPr>
              <w:snapToGrid w:val="0"/>
              <w:spacing w:line="380" w:lineRule="exact"/>
              <w:jc w:val="center"/>
              <w:rPr>
                <w:rFonts w:hint="eastAsia" w:ascii="宋体" w:hAnsi="宋体" w:eastAsia="宋体" w:cs="宋体"/>
                <w:sz w:val="24"/>
                <w:highlight w:val="none"/>
              </w:rPr>
            </w:pPr>
          </w:p>
        </w:tc>
        <w:tc>
          <w:tcPr>
            <w:tcW w:w="567" w:type="dxa"/>
            <w:noWrap w:val="0"/>
            <w:vAlign w:val="center"/>
          </w:tcPr>
          <w:p w14:paraId="3A8351BF">
            <w:pPr>
              <w:snapToGrid w:val="0"/>
              <w:spacing w:line="380" w:lineRule="exact"/>
              <w:jc w:val="center"/>
              <w:rPr>
                <w:rFonts w:hint="eastAsia" w:ascii="宋体" w:hAnsi="宋体" w:eastAsia="宋体" w:cs="宋体"/>
                <w:sz w:val="24"/>
                <w:highlight w:val="none"/>
              </w:rPr>
            </w:pPr>
          </w:p>
        </w:tc>
        <w:tc>
          <w:tcPr>
            <w:tcW w:w="709" w:type="dxa"/>
            <w:noWrap w:val="0"/>
            <w:vAlign w:val="center"/>
          </w:tcPr>
          <w:p w14:paraId="00BEE5DF">
            <w:pPr>
              <w:snapToGrid w:val="0"/>
              <w:spacing w:line="380" w:lineRule="exact"/>
              <w:jc w:val="center"/>
              <w:rPr>
                <w:rFonts w:hint="eastAsia" w:ascii="宋体" w:hAnsi="宋体" w:eastAsia="宋体" w:cs="宋体"/>
                <w:sz w:val="24"/>
                <w:highlight w:val="none"/>
              </w:rPr>
            </w:pPr>
          </w:p>
        </w:tc>
        <w:tc>
          <w:tcPr>
            <w:tcW w:w="724" w:type="dxa"/>
            <w:noWrap w:val="0"/>
            <w:vAlign w:val="center"/>
          </w:tcPr>
          <w:p w14:paraId="3DE0784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48A3028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F852EAD">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FDC254B">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3B0CA184">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58A2824C">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0E536AD8">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254C5E51">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6052AA1E">
            <w:pPr>
              <w:snapToGrid w:val="0"/>
              <w:spacing w:line="380" w:lineRule="exact"/>
              <w:jc w:val="center"/>
              <w:rPr>
                <w:rFonts w:hint="eastAsia" w:ascii="宋体" w:hAnsi="宋体" w:eastAsia="宋体" w:cs="宋体"/>
                <w:sz w:val="24"/>
                <w:highlight w:val="none"/>
              </w:rPr>
            </w:pPr>
          </w:p>
        </w:tc>
        <w:tc>
          <w:tcPr>
            <w:tcW w:w="728" w:type="dxa"/>
            <w:noWrap w:val="0"/>
            <w:vAlign w:val="center"/>
          </w:tcPr>
          <w:p w14:paraId="108521CE">
            <w:pPr>
              <w:snapToGrid w:val="0"/>
              <w:spacing w:line="380" w:lineRule="exact"/>
              <w:jc w:val="center"/>
              <w:rPr>
                <w:rFonts w:hint="eastAsia" w:ascii="宋体" w:hAnsi="宋体" w:eastAsia="宋体" w:cs="宋体"/>
                <w:sz w:val="24"/>
                <w:highlight w:val="none"/>
              </w:rPr>
            </w:pPr>
          </w:p>
        </w:tc>
        <w:tc>
          <w:tcPr>
            <w:tcW w:w="662" w:type="dxa"/>
            <w:noWrap w:val="0"/>
            <w:vAlign w:val="center"/>
          </w:tcPr>
          <w:p w14:paraId="717D44C6">
            <w:pPr>
              <w:snapToGrid w:val="0"/>
              <w:spacing w:line="380" w:lineRule="exact"/>
              <w:jc w:val="center"/>
              <w:rPr>
                <w:rFonts w:hint="eastAsia" w:ascii="宋体" w:hAnsi="宋体" w:eastAsia="宋体" w:cs="宋体"/>
                <w:sz w:val="24"/>
                <w:highlight w:val="none"/>
              </w:rPr>
            </w:pPr>
          </w:p>
        </w:tc>
        <w:tc>
          <w:tcPr>
            <w:tcW w:w="1275" w:type="dxa"/>
            <w:noWrap w:val="0"/>
            <w:vAlign w:val="center"/>
          </w:tcPr>
          <w:p w14:paraId="231F027C">
            <w:pPr>
              <w:snapToGrid w:val="0"/>
              <w:spacing w:line="380" w:lineRule="exact"/>
              <w:jc w:val="center"/>
              <w:rPr>
                <w:rFonts w:hint="eastAsia" w:ascii="宋体" w:hAnsi="宋体" w:eastAsia="宋体" w:cs="宋体"/>
                <w:sz w:val="24"/>
                <w:highlight w:val="none"/>
              </w:rPr>
            </w:pPr>
          </w:p>
        </w:tc>
      </w:tr>
    </w:tbl>
    <w:p w14:paraId="704F7E08">
      <w:pPr>
        <w:snapToGrid w:val="0"/>
        <w:spacing w:line="380" w:lineRule="exact"/>
        <w:rPr>
          <w:rFonts w:hint="eastAsia" w:ascii="宋体" w:hAnsi="宋体" w:eastAsia="宋体" w:cs="宋体"/>
          <w:sz w:val="24"/>
          <w:highlight w:val="none"/>
        </w:rPr>
        <w:sectPr>
          <w:pgSz w:w="16838" w:h="11906" w:orient="landscape"/>
          <w:pgMar w:top="1588" w:right="1418" w:bottom="1588" w:left="1418" w:header="851" w:footer="992" w:gutter="0"/>
          <w:cols w:space="720" w:num="1"/>
          <w:docGrid w:linePitch="312" w:charSpace="0"/>
        </w:sectPr>
      </w:pPr>
      <w:r>
        <w:rPr>
          <w:rFonts w:hint="eastAsia" w:ascii="宋体" w:hAnsi="宋体" w:eastAsia="宋体" w:cs="宋体"/>
          <w:sz w:val="24"/>
          <w:highlight w:val="none"/>
        </w:rPr>
        <w:t>填表单位：        监测人：     　  　　   　填表人：   　    　   　填表日期：</w:t>
      </w:r>
    </w:p>
    <w:p w14:paraId="6596D62A">
      <w:pPr>
        <w:pStyle w:val="20"/>
        <w:rPr>
          <w:rFonts w:hint="eastAsia" w:asciiTheme="minorEastAsia" w:hAnsiTheme="minorEastAsia" w:eastAsiaTheme="minorEastAsia"/>
          <w:b w:val="0"/>
          <w:bCs w:val="0"/>
          <w:lang w:val="zh-TW" w:eastAsia="zh-TW"/>
        </w:rPr>
      </w:pPr>
      <w:r>
        <w:rPr>
          <w:rFonts w:hint="eastAsia" w:asciiTheme="minorEastAsia" w:hAnsiTheme="minorEastAsia" w:eastAsiaTheme="minorEastAsia"/>
          <w:b w:val="0"/>
          <w:bCs w:val="0"/>
          <w:lang w:val="zh-TW" w:eastAsia="zh-TW"/>
        </w:rPr>
        <w:t>第四章  评标方法与评标标准</w:t>
      </w:r>
    </w:p>
    <w:p w14:paraId="1848CA44">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1.投标人法定代表人或法定代表人授权委托人在投标截止时间前到招标文件指定地点递交投标文件、投标保证金，参加本项目的投标报价。</w:t>
      </w:r>
      <w:r>
        <w:rPr>
          <w:rFonts w:hint="eastAsia" w:ascii="宋体" w:hAnsi="宋体" w:eastAsia="宋体" w:cs="宋体"/>
          <w:b/>
          <w:bCs/>
          <w:kern w:val="2"/>
          <w:lang w:eastAsia="zh-CN"/>
        </w:rPr>
        <w:t>投标人一旦签到并递交投标文件，中途不得退出，否则视为不诚信行为，采购人及区交易中心有权对其处以：</w:t>
      </w:r>
      <w:r>
        <w:rPr>
          <w:rFonts w:hint="eastAsia" w:ascii="宋体" w:hAnsi="宋体" w:eastAsia="宋体" w:cs="宋体"/>
          <w:b/>
          <w:bCs/>
          <w:kern w:val="2"/>
          <w:lang w:eastAsia="zh-CN"/>
        </w:rPr>
        <w:fldChar w:fldCharType="begin"/>
      </w:r>
      <w:r>
        <w:rPr>
          <w:rFonts w:hint="eastAsia" w:ascii="宋体" w:hAnsi="宋体" w:eastAsia="宋体" w:cs="宋体"/>
          <w:b/>
          <w:bCs/>
          <w:kern w:val="2"/>
          <w:lang w:eastAsia="zh-CN"/>
        </w:rPr>
        <w:instrText xml:space="preserve"> EQ \o\ac(○,</w:instrText>
      </w:r>
      <w:r>
        <w:rPr>
          <w:rFonts w:hint="eastAsia" w:ascii="宋体" w:hAnsi="宋体" w:eastAsia="宋体" w:cs="宋体"/>
          <w:b/>
          <w:bCs/>
          <w:kern w:val="2"/>
          <w:position w:val="3"/>
          <w:sz w:val="16"/>
          <w:lang w:eastAsia="zh-CN"/>
        </w:rPr>
        <w:instrText xml:space="preserve">1</w:instrText>
      </w:r>
      <w:r>
        <w:rPr>
          <w:rFonts w:hint="eastAsia" w:ascii="宋体" w:hAnsi="宋体" w:eastAsia="宋体" w:cs="宋体"/>
          <w:b/>
          <w:bCs/>
          <w:kern w:val="2"/>
          <w:lang w:eastAsia="zh-CN"/>
        </w:rPr>
        <w:instrText xml:space="preserve">)</w:instrText>
      </w:r>
      <w:r>
        <w:rPr>
          <w:rFonts w:hint="eastAsia" w:ascii="宋体" w:hAnsi="宋体" w:eastAsia="宋体" w:cs="宋体"/>
          <w:b/>
          <w:bCs/>
          <w:kern w:val="2"/>
          <w:lang w:eastAsia="zh-CN"/>
        </w:rPr>
        <w:fldChar w:fldCharType="end"/>
      </w:r>
      <w:r>
        <w:rPr>
          <w:rFonts w:hint="eastAsia" w:ascii="宋体" w:hAnsi="宋体" w:eastAsia="宋体" w:cs="宋体"/>
          <w:b/>
          <w:bCs/>
          <w:kern w:val="2"/>
          <w:lang w:eastAsia="zh-CN"/>
        </w:rPr>
        <w:t>没收投标保证金</w:t>
      </w:r>
      <w:r>
        <w:rPr>
          <w:rFonts w:hint="eastAsia" w:ascii="宋体" w:hAnsi="宋体" w:eastAsia="宋体" w:cs="宋体"/>
          <w:b/>
          <w:bCs/>
          <w:kern w:val="2"/>
          <w:lang w:eastAsia="zh-CN"/>
        </w:rPr>
        <w:fldChar w:fldCharType="begin"/>
      </w:r>
      <w:r>
        <w:rPr>
          <w:rFonts w:hint="eastAsia" w:ascii="宋体" w:hAnsi="宋体" w:eastAsia="宋体" w:cs="宋体"/>
          <w:b/>
          <w:bCs/>
          <w:kern w:val="2"/>
          <w:lang w:eastAsia="zh-CN"/>
        </w:rPr>
        <w:instrText xml:space="preserve"> EQ \o\ac(○,</w:instrText>
      </w:r>
      <w:r>
        <w:rPr>
          <w:rFonts w:hint="eastAsia" w:ascii="宋体" w:hAnsi="宋体" w:eastAsia="宋体" w:cs="宋体"/>
          <w:b/>
          <w:bCs/>
          <w:kern w:val="2"/>
          <w:position w:val="3"/>
          <w:sz w:val="16"/>
          <w:lang w:eastAsia="zh-CN"/>
        </w:rPr>
        <w:instrText xml:space="preserve">2</w:instrText>
      </w:r>
      <w:r>
        <w:rPr>
          <w:rFonts w:hint="eastAsia" w:ascii="宋体" w:hAnsi="宋体" w:eastAsia="宋体" w:cs="宋体"/>
          <w:b/>
          <w:bCs/>
          <w:kern w:val="2"/>
          <w:lang w:eastAsia="zh-CN"/>
        </w:rPr>
        <w:instrText xml:space="preserve">)</w:instrText>
      </w:r>
      <w:r>
        <w:rPr>
          <w:rFonts w:hint="eastAsia" w:ascii="宋体" w:hAnsi="宋体" w:eastAsia="宋体" w:cs="宋体"/>
          <w:b/>
          <w:bCs/>
          <w:kern w:val="2"/>
          <w:lang w:eastAsia="zh-CN"/>
        </w:rPr>
        <w:fldChar w:fldCharType="end"/>
      </w:r>
      <w:r>
        <w:rPr>
          <w:rFonts w:hint="eastAsia" w:ascii="宋体" w:hAnsi="宋体" w:eastAsia="宋体" w:cs="宋体"/>
          <w:b/>
          <w:bCs/>
          <w:kern w:val="2"/>
          <w:lang w:eastAsia="zh-CN"/>
        </w:rPr>
        <w:t>警告，警告3次以上的列入洋口港经济开发区非诚信企业黑名单的处罚。</w:t>
      </w:r>
    </w:p>
    <w:p w14:paraId="3B844DBF">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2.评标委员会根据招标文件要求对投标人进行资格性审查，审查主要内容包括：</w:t>
      </w:r>
    </w:p>
    <w:p w14:paraId="5DA77752">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（1）投标文件数量及密封、标记情况；</w:t>
      </w:r>
    </w:p>
    <w:p w14:paraId="7C9963F2">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（2）投标保证金缴纳情况；</w:t>
      </w:r>
    </w:p>
    <w:p w14:paraId="239C2EFB">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（3）投标人及有关证明资料的完整性、真实性。资格性审查未通过的投标人作无效投标处理。</w:t>
      </w:r>
    </w:p>
    <w:p w14:paraId="39C31499">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3.评标委员会对投标人进行符合性审查，审查主要内容包括：</w:t>
      </w:r>
    </w:p>
    <w:p w14:paraId="0BF9FB04">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（1）投标文件的有效性和完整性；</w:t>
      </w:r>
    </w:p>
    <w:p w14:paraId="101F7C3B">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（2）投标人和投标文件是否对招标文件作出实质性响应。符合性审查未通过的投标人作无效投标处理。</w:t>
      </w:r>
    </w:p>
    <w:p w14:paraId="22EDAA9E">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4.评标委员会宣布合格投标人名单。合格投标人对投标项目作出的报价为有效投标报价。</w:t>
      </w:r>
    </w:p>
    <w:p w14:paraId="7ECC41E2">
      <w:pPr>
        <w:widowControl w:val="0"/>
        <w:spacing w:line="400" w:lineRule="exact"/>
        <w:ind w:firstLine="482" w:firstLineChars="200"/>
        <w:jc w:val="both"/>
        <w:rPr>
          <w:rFonts w:hint="eastAsia" w:ascii="宋体" w:hAnsi="宋体" w:eastAsia="宋体" w:cs="宋体"/>
          <w:b/>
          <w:kern w:val="2"/>
          <w:highlight w:val="none"/>
          <w:lang w:eastAsia="zh-CN"/>
        </w:rPr>
      </w:pPr>
      <w:r>
        <w:rPr>
          <w:rFonts w:hint="eastAsia" w:ascii="宋体" w:hAnsi="宋体" w:eastAsia="宋体" w:cs="宋体"/>
          <w:b/>
          <w:kern w:val="2"/>
          <w:lang w:eastAsia="zh-CN"/>
        </w:rPr>
        <w:t>5.评标办法：综合评</w:t>
      </w:r>
      <w:r>
        <w:rPr>
          <w:rFonts w:hint="eastAsia" w:ascii="宋体" w:hAnsi="宋体" w:eastAsia="宋体" w:cs="宋体"/>
          <w:b/>
          <w:kern w:val="2"/>
          <w:highlight w:val="none"/>
          <w:lang w:eastAsia="zh-CN"/>
        </w:rPr>
        <w:t>分法</w:t>
      </w:r>
    </w:p>
    <w:p w14:paraId="7D088318">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highlight w:val="none"/>
          <w:lang w:eastAsia="zh-CN"/>
        </w:rPr>
        <w:t>本项目招标控制价为</w:t>
      </w:r>
      <w:r>
        <w:rPr>
          <w:rFonts w:hint="eastAsia" w:ascii="宋体" w:hAnsi="宋体" w:eastAsia="宋体" w:cs="宋体"/>
          <w:b/>
          <w:bCs/>
          <w:kern w:val="2"/>
          <w:highlight w:val="none"/>
          <w:u w:val="single"/>
          <w:lang w:val="en-US" w:eastAsia="zh-CN"/>
        </w:rPr>
        <w:t>7</w:t>
      </w:r>
      <w:r>
        <w:rPr>
          <w:rFonts w:hint="eastAsia" w:ascii="宋体" w:hAnsi="宋体" w:eastAsia="宋体" w:cs="宋体"/>
          <w:b/>
          <w:bCs/>
          <w:kern w:val="2"/>
          <w:highlight w:val="none"/>
          <w:u w:val="single"/>
          <w:lang w:eastAsia="zh-CN"/>
        </w:rPr>
        <w:t>万元</w:t>
      </w:r>
      <w:r>
        <w:rPr>
          <w:rFonts w:hint="eastAsia" w:ascii="宋体" w:hAnsi="宋体" w:eastAsia="宋体" w:cs="宋体"/>
          <w:b/>
          <w:bCs/>
          <w:kern w:val="2"/>
          <w:highlight w:val="none"/>
          <w:u w:val="single"/>
          <w:lang w:val="en-US" w:eastAsia="zh-CN"/>
        </w:rPr>
        <w:t>/年（两年共14万元）</w:t>
      </w:r>
      <w:r>
        <w:rPr>
          <w:rFonts w:hint="eastAsia" w:ascii="宋体" w:hAnsi="宋体" w:eastAsia="宋体" w:cs="宋体"/>
          <w:b/>
          <w:bCs/>
          <w:kern w:val="2"/>
          <w:lang w:eastAsia="zh-CN"/>
        </w:rPr>
        <w:t>，各投标单位的投标报价不得高于本项目招标控制价，否则作废标处理。</w:t>
      </w:r>
    </w:p>
    <w:p w14:paraId="4A9A23A2">
      <w:pPr>
        <w:tabs>
          <w:tab w:val="left" w:pos="1601"/>
        </w:tabs>
        <w:spacing w:line="400" w:lineRule="exact"/>
        <w:ind w:firstLine="468" w:firstLineChars="200"/>
        <w:rPr>
          <w:rFonts w:ascii="Calibri" w:hAnsi="Calibri" w:eastAsia="宋体"/>
          <w:lang w:eastAsia="zh-CN" w:bidi="en-US"/>
        </w:rPr>
      </w:pPr>
      <w:r>
        <w:rPr>
          <w:rFonts w:hint="eastAsia" w:ascii="Calibri" w:hAnsi="Calibri" w:eastAsia="宋体"/>
          <w:spacing w:val="-3"/>
          <w:lang w:eastAsia="zh-CN" w:bidi="en-US"/>
        </w:rPr>
        <w:t>（1）</w:t>
      </w:r>
      <w:r>
        <w:rPr>
          <w:rFonts w:ascii="Calibri" w:hAnsi="Calibri" w:eastAsia="宋体"/>
          <w:spacing w:val="-3"/>
          <w:lang w:eastAsia="zh-CN" w:bidi="en-US"/>
        </w:rPr>
        <w:t>本项目采用综合因素评标办法，投标文件应对招标文件提出的所有实质性要求和</w:t>
      </w:r>
      <w:r>
        <w:rPr>
          <w:rFonts w:ascii="Calibri" w:hAnsi="Calibri" w:eastAsia="宋体"/>
          <w:spacing w:val="-5"/>
          <w:lang w:eastAsia="zh-CN" w:bidi="en-US"/>
        </w:rPr>
        <w:t>条件作出实质性响应。</w:t>
      </w:r>
    </w:p>
    <w:p w14:paraId="1655D7B2">
      <w:pPr>
        <w:tabs>
          <w:tab w:val="left" w:pos="1601"/>
        </w:tabs>
        <w:spacing w:line="400" w:lineRule="exact"/>
        <w:ind w:firstLine="468" w:firstLineChars="200"/>
        <w:rPr>
          <w:rFonts w:ascii="Calibri" w:hAnsi="Calibri" w:eastAsia="宋体"/>
          <w:lang w:eastAsia="zh-CN" w:bidi="en-US"/>
        </w:rPr>
      </w:pPr>
      <w:r>
        <w:rPr>
          <w:rFonts w:hint="eastAsia" w:ascii="Calibri" w:hAnsi="Calibri" w:eastAsia="宋体"/>
          <w:spacing w:val="-3"/>
          <w:lang w:eastAsia="zh-CN" w:bidi="en-US"/>
        </w:rPr>
        <w:t>（2）</w:t>
      </w:r>
      <w:r>
        <w:rPr>
          <w:rFonts w:ascii="Calibri" w:hAnsi="Calibri" w:eastAsia="宋体"/>
          <w:spacing w:val="-3"/>
          <w:lang w:eastAsia="zh-CN" w:bidi="en-US"/>
        </w:rPr>
        <w:t>评分采用百分制，从</w:t>
      </w:r>
      <w:r>
        <w:rPr>
          <w:rFonts w:ascii="Calibri" w:hAnsi="Calibri" w:eastAsia="宋体"/>
          <w:b/>
          <w:spacing w:val="-4"/>
          <w:lang w:eastAsia="zh-CN" w:bidi="en-US"/>
        </w:rPr>
        <w:t>技术标、价格标两</w:t>
      </w:r>
      <w:r>
        <w:rPr>
          <w:rFonts w:ascii="Calibri" w:hAnsi="Calibri" w:eastAsia="宋体"/>
          <w:spacing w:val="-3"/>
          <w:lang w:eastAsia="zh-CN" w:bidi="en-US"/>
        </w:rPr>
        <w:t>方面进行评分，由评委根据各投标文件独立</w:t>
      </w:r>
      <w:r>
        <w:rPr>
          <w:rFonts w:ascii="Calibri" w:hAnsi="Calibri" w:eastAsia="宋体"/>
          <w:spacing w:val="-9"/>
          <w:lang w:eastAsia="zh-CN" w:bidi="en-US"/>
        </w:rPr>
        <w:t>打分，取评委打分的平均值作为分项打分的最终得分，</w:t>
      </w:r>
      <w:r>
        <w:rPr>
          <w:rFonts w:ascii="Calibri" w:hAnsi="Calibri" w:eastAsia="宋体"/>
          <w:b/>
          <w:lang w:eastAsia="zh-CN" w:bidi="en-US"/>
        </w:rPr>
        <w:t>分项得分和综合得分均保留两位小数</w:t>
      </w:r>
      <w:r>
        <w:rPr>
          <w:rFonts w:ascii="Calibri" w:hAnsi="Calibri" w:eastAsia="宋体"/>
          <w:spacing w:val="-16"/>
          <w:lang w:eastAsia="zh-CN" w:bidi="en-US"/>
        </w:rPr>
        <w:t>。</w:t>
      </w:r>
    </w:p>
    <w:p w14:paraId="764072F8">
      <w:pPr>
        <w:tabs>
          <w:tab w:val="left" w:pos="1601"/>
        </w:tabs>
        <w:spacing w:line="400" w:lineRule="exact"/>
        <w:ind w:firstLine="480" w:firstLineChars="200"/>
        <w:rPr>
          <w:rFonts w:ascii="Calibri" w:hAnsi="Calibri" w:eastAsia="宋体"/>
          <w:lang w:eastAsia="zh-CN" w:bidi="en-US"/>
        </w:rPr>
      </w:pPr>
      <w:r>
        <w:rPr>
          <w:rFonts w:hint="eastAsia" w:ascii="Calibri" w:hAnsi="Calibri" w:eastAsia="宋体"/>
          <w:lang w:eastAsia="zh-CN" w:bidi="en-US"/>
        </w:rPr>
        <w:t>（3）</w:t>
      </w:r>
      <w:r>
        <w:rPr>
          <w:rFonts w:ascii="Calibri" w:hAnsi="Calibri" w:eastAsia="宋体"/>
          <w:lang w:eastAsia="zh-CN" w:bidi="en-US"/>
        </w:rPr>
        <w:t>开标时</w:t>
      </w:r>
      <w:r>
        <w:rPr>
          <w:rFonts w:ascii="Calibri" w:hAnsi="Calibri" w:eastAsia="宋体"/>
          <w:b/>
          <w:spacing w:val="-7"/>
          <w:lang w:eastAsia="zh-CN" w:bidi="en-US"/>
        </w:rPr>
        <w:t>，</w:t>
      </w:r>
      <w:r>
        <w:rPr>
          <w:rFonts w:hint="eastAsia" w:ascii="Calibri" w:hAnsi="Calibri" w:eastAsia="宋体"/>
          <w:b/>
          <w:spacing w:val="-7"/>
          <w:lang w:eastAsia="zh-CN" w:bidi="en-US"/>
        </w:rPr>
        <w:t>投标人不必抵达开标现场，仅需在任意地点通过“如东县区镇限额电子招投标平台-项目投标方”参加开标会议（不见面开标的系统网址见</w:t>
      </w:r>
      <w:r>
        <w:rPr>
          <w:rFonts w:hint="eastAsia" w:ascii="Calibri" w:hAnsi="Calibri" w:eastAsia="宋体"/>
          <w:b/>
          <w:spacing w:val="-7"/>
          <w:lang w:val="en-US" w:eastAsia="zh-CN" w:bidi="en-US"/>
        </w:rPr>
        <w:t>公告</w:t>
      </w:r>
      <w:r>
        <w:rPr>
          <w:rFonts w:hint="eastAsia" w:ascii="Calibri" w:hAnsi="Calibri" w:eastAsia="宋体"/>
          <w:b/>
          <w:spacing w:val="-7"/>
          <w:lang w:eastAsia="zh-CN" w:bidi="en-US"/>
        </w:rPr>
        <w:t>）并在投标截止时间后需要进行投标文件的解密，并根据需要使用聊天室与现场招标人进行互动交流、澄清、提疑以及文件传送等活动。具体操作流程可参见《操作手册》。投标人须在投标截止前按照招标文件要求将投标文件上传至系统内相应位置。</w:t>
      </w:r>
    </w:p>
    <w:p w14:paraId="218793D9">
      <w:pPr>
        <w:tabs>
          <w:tab w:val="left" w:pos="1601"/>
        </w:tabs>
        <w:spacing w:line="400" w:lineRule="exact"/>
        <w:ind w:firstLine="444" w:firstLineChars="200"/>
        <w:rPr>
          <w:rFonts w:ascii="Calibri" w:hAnsi="Calibri" w:eastAsia="宋体"/>
          <w:lang w:eastAsia="zh-CN" w:bidi="en-US"/>
        </w:rPr>
      </w:pPr>
      <w:r>
        <w:rPr>
          <w:rFonts w:hint="eastAsia" w:ascii="Calibri" w:hAnsi="Calibri" w:eastAsia="宋体"/>
          <w:spacing w:val="-9"/>
          <w:lang w:eastAsia="zh-CN" w:bidi="en-US"/>
        </w:rPr>
        <w:t>（4）</w:t>
      </w:r>
      <w:r>
        <w:rPr>
          <w:rFonts w:ascii="Calibri" w:hAnsi="Calibri" w:eastAsia="宋体"/>
          <w:spacing w:val="-9"/>
          <w:lang w:eastAsia="zh-CN" w:bidi="en-US"/>
        </w:rPr>
        <w:t>评标时如遇特殊情况，经评标委员会研究决定或处理，处理结果概不向投标人解释。</w:t>
      </w:r>
    </w:p>
    <w:p w14:paraId="693FBA21">
      <w:pPr>
        <w:tabs>
          <w:tab w:val="left" w:pos="1601"/>
        </w:tabs>
        <w:spacing w:line="400" w:lineRule="exact"/>
        <w:ind w:firstLine="480" w:firstLineChars="200"/>
        <w:rPr>
          <w:rFonts w:ascii="Calibri" w:hAnsi="Calibri" w:eastAsia="宋体"/>
          <w:lang w:eastAsia="zh-CN" w:bidi="en-US"/>
        </w:rPr>
      </w:pPr>
      <w:r>
        <w:rPr>
          <w:rFonts w:hint="eastAsia" w:ascii="Calibri" w:hAnsi="Calibri" w:eastAsia="宋体"/>
          <w:lang w:eastAsia="zh-CN" w:bidi="en-US"/>
        </w:rPr>
        <w:t>（5）</w:t>
      </w:r>
      <w:r>
        <w:rPr>
          <w:rFonts w:ascii="Calibri" w:hAnsi="Calibri" w:eastAsia="宋体"/>
          <w:lang w:eastAsia="zh-CN" w:bidi="en-US"/>
        </w:rPr>
        <w:t>本评标办法的解释权属招标人和评标委员会。</w:t>
      </w:r>
    </w:p>
    <w:p w14:paraId="3DE4C7BE">
      <w:pPr>
        <w:tabs>
          <w:tab w:val="left" w:pos="1601"/>
        </w:tabs>
        <w:spacing w:line="400" w:lineRule="exact"/>
        <w:ind w:firstLine="480" w:firstLineChars="200"/>
        <w:rPr>
          <w:rFonts w:ascii="Calibri" w:hAnsi="Calibri" w:eastAsia="宋体"/>
          <w:lang w:eastAsia="zh-CN" w:bidi="en-US"/>
        </w:rPr>
      </w:pPr>
      <w:r>
        <w:rPr>
          <w:rFonts w:hint="eastAsia" w:ascii="Calibri" w:hAnsi="Calibri" w:eastAsia="宋体"/>
          <w:lang w:eastAsia="zh-CN" w:bidi="en-US"/>
        </w:rPr>
        <w:t>（6）评分标准</w:t>
      </w:r>
    </w:p>
    <w:p w14:paraId="186EA442">
      <w:pPr>
        <w:widowControl w:val="0"/>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（一）资格审查</w:t>
      </w:r>
    </w:p>
    <w:p w14:paraId="67A04141">
      <w:pPr>
        <w:widowControl w:val="0"/>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所有的合格投标人全部进入资格审查，由本项目评标委员会根据参加资格审查的投标人递交的资格审查文件，并按照本项目招标文件要求对投标人的资格进行审查，资格审查不合格的投标文件不进入下一轮评审。</w:t>
      </w:r>
    </w:p>
    <w:p w14:paraId="16685CC2">
      <w:pPr>
        <w:widowControl w:val="0"/>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（二）技术标（满分</w:t>
      </w:r>
      <w:r>
        <w:rPr>
          <w:rFonts w:hint="eastAsia" w:ascii="宋体" w:hAnsi="宋体" w:eastAsia="宋体" w:cs="宋体"/>
          <w:lang w:val="en-US" w:eastAsia="zh-CN"/>
        </w:rPr>
        <w:t>60</w:t>
      </w:r>
      <w:r>
        <w:rPr>
          <w:rFonts w:hint="eastAsia" w:ascii="宋体" w:hAnsi="宋体" w:eastAsia="宋体" w:cs="宋体"/>
          <w:lang w:eastAsia="zh-CN"/>
        </w:rPr>
        <w:t>分）</w:t>
      </w:r>
    </w:p>
    <w:tbl>
      <w:tblPr>
        <w:tblStyle w:val="12"/>
        <w:tblW w:w="9905"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313"/>
        <w:gridCol w:w="1570"/>
        <w:gridCol w:w="720"/>
        <w:gridCol w:w="6302"/>
      </w:tblGrid>
      <w:tr w14:paraId="21C4E1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2883" w:type="dxa"/>
            <w:gridSpan w:val="2"/>
            <w:tcBorders>
              <w:top w:val="single" w:color="auto" w:sz="6" w:space="0"/>
              <w:left w:val="single" w:color="auto" w:sz="6" w:space="0"/>
              <w:bottom w:val="single" w:color="auto" w:sz="6" w:space="0"/>
              <w:right w:val="single" w:color="auto" w:sz="6" w:space="0"/>
            </w:tcBorders>
            <w:noWrap w:val="0"/>
            <w:vAlign w:val="center"/>
          </w:tcPr>
          <w:p w14:paraId="444DFD4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198EAEA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分值</w:t>
            </w:r>
          </w:p>
        </w:tc>
        <w:tc>
          <w:tcPr>
            <w:tcW w:w="6302" w:type="dxa"/>
            <w:tcBorders>
              <w:top w:val="single" w:color="auto" w:sz="6" w:space="0"/>
              <w:left w:val="single" w:color="auto" w:sz="6" w:space="0"/>
              <w:bottom w:val="single" w:color="auto" w:sz="6" w:space="0"/>
              <w:right w:val="single" w:color="auto" w:sz="6" w:space="0"/>
            </w:tcBorders>
            <w:noWrap w:val="0"/>
            <w:vAlign w:val="center"/>
          </w:tcPr>
          <w:p w14:paraId="16598EF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F83779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313" w:type="dxa"/>
            <w:vMerge w:val="restart"/>
            <w:tcBorders>
              <w:top w:val="single" w:color="auto" w:sz="6" w:space="0"/>
              <w:left w:val="single" w:color="auto" w:sz="6" w:space="0"/>
              <w:right w:val="single" w:color="auto" w:sz="6" w:space="0"/>
            </w:tcBorders>
            <w:noWrap w:val="0"/>
            <w:vAlign w:val="center"/>
          </w:tcPr>
          <w:p w14:paraId="799A0881">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tc>
        <w:tc>
          <w:tcPr>
            <w:tcW w:w="1570" w:type="dxa"/>
            <w:tcBorders>
              <w:top w:val="single" w:color="auto" w:sz="6" w:space="0"/>
              <w:left w:val="single" w:color="auto" w:sz="6" w:space="0"/>
              <w:bottom w:val="single" w:color="auto" w:sz="6" w:space="0"/>
              <w:right w:val="single" w:color="auto" w:sz="6" w:space="0"/>
            </w:tcBorders>
            <w:noWrap w:val="0"/>
            <w:vAlign w:val="center"/>
          </w:tcPr>
          <w:p w14:paraId="05F1FFFF">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12AD4193">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center"/>
          </w:tcPr>
          <w:p w14:paraId="7195A6A6">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1.供应商自2020年1月1日以来（以合同签订日期或中标通知书发放日期为准），</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过开放口岸类病媒生物监测项目业绩，</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有1个得2分，最多得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2172B8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8FF16A8">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（1）须提供中标通知书（或服务合同）</w:t>
            </w:r>
            <w:r>
              <w:rPr>
                <w:rFonts w:hint="eastAsia" w:ascii="宋体" w:hAnsi="宋体" w:eastAsia="宋体" w:cs="宋体"/>
                <w:color w:val="auto"/>
                <w:sz w:val="21"/>
                <w:szCs w:val="21"/>
                <w:highlight w:val="none"/>
                <w:lang w:eastAsia="zh-CN"/>
              </w:rPr>
              <w:t>；</w:t>
            </w:r>
          </w:p>
          <w:p w14:paraId="5AB52CD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服务合同内容需</w:t>
            </w:r>
            <w:r>
              <w:rPr>
                <w:rFonts w:hint="eastAsia" w:ascii="宋体" w:hAnsi="宋体" w:eastAsia="宋体" w:cs="宋体"/>
                <w:color w:val="auto"/>
                <w:sz w:val="21"/>
                <w:szCs w:val="21"/>
                <w:highlight w:val="none"/>
                <w:lang w:val="en-US" w:eastAsia="zh-CN"/>
              </w:rPr>
              <w:t>体现</w:t>
            </w:r>
            <w:r>
              <w:rPr>
                <w:rFonts w:hint="eastAsia" w:ascii="宋体" w:hAnsi="宋体" w:eastAsia="宋体" w:cs="宋体"/>
                <w:color w:val="auto"/>
                <w:sz w:val="21"/>
                <w:szCs w:val="21"/>
                <w:highlight w:val="none"/>
              </w:rPr>
              <w:t>开放口岸病媒生物监测服务</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tc>
      </w:tr>
      <w:tr w14:paraId="4B0CC3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313" w:type="dxa"/>
            <w:vMerge w:val="continue"/>
            <w:tcBorders>
              <w:top w:val="single" w:color="auto" w:sz="6" w:space="0"/>
              <w:left w:val="single" w:color="auto" w:sz="6" w:space="0"/>
              <w:right w:val="single" w:color="auto" w:sz="6" w:space="0"/>
            </w:tcBorders>
            <w:noWrap w:val="0"/>
            <w:vAlign w:val="center"/>
          </w:tcPr>
          <w:p w14:paraId="5690149A">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7A6A86E2">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综合实力</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0FA2488B">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center"/>
          </w:tcPr>
          <w:p w14:paraId="3B3E4BEF">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1.具备病原体检测资质实验室，自有或委托实验室得4分。</w:t>
            </w:r>
          </w:p>
          <w:p w14:paraId="155D133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注：自建实验室需提供资质证明，委托实验室需提供租赁或委托协议书。</w:t>
            </w:r>
          </w:p>
          <w:p w14:paraId="1E1DBF4C">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2.具备《中华人民共和国南京海关进出境动植物检疫除害处理单位核准证书》，具有A类的得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分，B类的得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F13E934">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注：提供相关核准证书。</w:t>
            </w:r>
          </w:p>
          <w:p w14:paraId="28D59FC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中国卫生有害生物防制协会有害生物防制服务机构服务能力证书A级或江苏省有害生物防制协会有害生物防制服务机构服务能力证书A级/甲级的得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分；B级/乙级得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分；C级/丙级得2分。</w:t>
            </w:r>
          </w:p>
          <w:p w14:paraId="07B0C6C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注：提供相关核准证书、资质证书。</w:t>
            </w:r>
          </w:p>
        </w:tc>
      </w:tr>
      <w:tr w14:paraId="1CDAD3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1313" w:type="dxa"/>
            <w:vMerge w:val="continue"/>
            <w:tcBorders>
              <w:top w:val="single" w:color="auto" w:sz="6" w:space="0"/>
              <w:left w:val="single" w:color="auto" w:sz="6" w:space="0"/>
              <w:bottom w:val="single" w:color="auto" w:sz="6" w:space="0"/>
              <w:right w:val="single" w:color="auto" w:sz="6" w:space="0"/>
            </w:tcBorders>
            <w:noWrap w:val="0"/>
            <w:vAlign w:val="center"/>
          </w:tcPr>
          <w:p w14:paraId="0A21530C">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6326C452">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项目组成员实力</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196FE16E">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302" w:type="dxa"/>
            <w:tcBorders>
              <w:top w:val="single" w:color="auto" w:sz="6" w:space="0"/>
              <w:left w:val="single" w:color="auto" w:sz="6" w:space="0"/>
              <w:bottom w:val="single" w:color="auto" w:sz="6" w:space="0"/>
              <w:right w:val="single" w:color="auto" w:sz="6" w:space="0"/>
            </w:tcBorders>
            <w:noWrap w:val="0"/>
            <w:vAlign w:val="center"/>
          </w:tcPr>
          <w:p w14:paraId="5DEAFB86">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本项目拟派的</w:t>
            </w:r>
            <w:r>
              <w:rPr>
                <w:rFonts w:hint="eastAsia" w:ascii="宋体" w:hAnsi="宋体" w:eastAsia="宋体" w:cs="宋体"/>
                <w:color w:val="auto"/>
                <w:sz w:val="21"/>
                <w:szCs w:val="21"/>
                <w:highlight w:val="none"/>
                <w:lang w:val="en-US" w:eastAsia="zh-CN"/>
              </w:rPr>
              <w:t>项目组成员</w:t>
            </w:r>
            <w:r>
              <w:rPr>
                <w:rFonts w:hint="eastAsia" w:ascii="宋体" w:hAnsi="宋体" w:eastAsia="宋体" w:cs="宋体"/>
                <w:color w:val="auto"/>
                <w:sz w:val="21"/>
                <w:szCs w:val="21"/>
                <w:highlight w:val="none"/>
              </w:rPr>
              <w:t>（含项目负责人）</w:t>
            </w:r>
          </w:p>
          <w:p w14:paraId="4309B64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1.具有国家高级（三级）有害生物防</w:t>
            </w:r>
            <w:r>
              <w:rPr>
                <w:rFonts w:hint="eastAsia" w:ascii="宋体" w:hAnsi="宋体" w:eastAsia="宋体" w:cs="宋体"/>
                <w:color w:val="auto"/>
                <w:sz w:val="21"/>
                <w:szCs w:val="21"/>
                <w:highlight w:val="none"/>
                <w:lang w:val="en-US" w:eastAsia="zh-CN"/>
              </w:rPr>
              <w:t>制</w:t>
            </w:r>
            <w:r>
              <w:rPr>
                <w:rFonts w:hint="eastAsia" w:ascii="宋体" w:hAnsi="宋体" w:eastAsia="宋体" w:cs="宋体"/>
                <w:color w:val="auto"/>
                <w:sz w:val="21"/>
                <w:szCs w:val="21"/>
                <w:highlight w:val="none"/>
              </w:rPr>
              <w:t>员资格的，每人得3分；</w:t>
            </w:r>
          </w:p>
          <w:p w14:paraId="7579211D">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2.具有国家中级（四级）有害生物防</w:t>
            </w:r>
            <w:r>
              <w:rPr>
                <w:rFonts w:hint="eastAsia" w:ascii="宋体" w:hAnsi="宋体" w:eastAsia="宋体" w:cs="宋体"/>
                <w:color w:val="auto"/>
                <w:sz w:val="21"/>
                <w:szCs w:val="21"/>
                <w:highlight w:val="none"/>
                <w:lang w:val="en-US" w:eastAsia="zh-CN"/>
              </w:rPr>
              <w:t>制</w:t>
            </w:r>
            <w:r>
              <w:rPr>
                <w:rFonts w:hint="eastAsia" w:ascii="宋体" w:hAnsi="宋体" w:eastAsia="宋体" w:cs="宋体"/>
                <w:color w:val="auto"/>
                <w:sz w:val="21"/>
                <w:szCs w:val="21"/>
                <w:highlight w:val="none"/>
              </w:rPr>
              <w:t>员资格的，每人得2分；</w:t>
            </w:r>
          </w:p>
          <w:p w14:paraId="6A6E1E45">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3.具有国家初级（五级）有害生物防</w:t>
            </w:r>
            <w:r>
              <w:rPr>
                <w:rFonts w:hint="eastAsia" w:ascii="宋体" w:hAnsi="宋体" w:eastAsia="宋体" w:cs="宋体"/>
                <w:color w:val="auto"/>
                <w:sz w:val="21"/>
                <w:szCs w:val="21"/>
                <w:highlight w:val="none"/>
                <w:lang w:val="en-US" w:eastAsia="zh-CN"/>
              </w:rPr>
              <w:t>制</w:t>
            </w:r>
            <w:r>
              <w:rPr>
                <w:rFonts w:hint="eastAsia" w:ascii="宋体" w:hAnsi="宋体" w:eastAsia="宋体" w:cs="宋体"/>
                <w:color w:val="auto"/>
                <w:sz w:val="21"/>
                <w:szCs w:val="21"/>
                <w:highlight w:val="none"/>
              </w:rPr>
              <w:t>员资格的，每人得1分。</w:t>
            </w:r>
          </w:p>
          <w:p w14:paraId="115E4417">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B145DCB">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须提供服务团队人员清单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、资格证书及供应商所在地社保机构出具的由供应商为本项目拟派的</w:t>
            </w:r>
            <w:r>
              <w:rPr>
                <w:rFonts w:hint="eastAsia" w:ascii="宋体" w:hAnsi="宋体" w:eastAsia="宋体" w:cs="宋体"/>
                <w:color w:val="auto"/>
                <w:sz w:val="21"/>
                <w:szCs w:val="21"/>
                <w:highlight w:val="none"/>
                <w:lang w:val="en-US" w:eastAsia="zh-CN"/>
              </w:rPr>
              <w:t>项目组成员</w:t>
            </w:r>
            <w:r>
              <w:rPr>
                <w:rFonts w:hint="eastAsia" w:ascii="宋体" w:hAnsi="宋体" w:eastAsia="宋体" w:cs="宋体"/>
                <w:color w:val="auto"/>
                <w:sz w:val="21"/>
                <w:szCs w:val="21"/>
                <w:highlight w:val="none"/>
              </w:rPr>
              <w:t>缴纳的</w:t>
            </w:r>
            <w:r>
              <w:rPr>
                <w:rFonts w:hint="eastAsia" w:ascii="宋体" w:hAnsi="宋体" w:eastAsia="宋体" w:cs="宋体"/>
                <w:color w:val="auto"/>
                <w:sz w:val="21"/>
                <w:szCs w:val="21"/>
                <w:highlight w:val="none"/>
                <w:lang w:val="en-US" w:eastAsia="zh-CN"/>
              </w:rPr>
              <w:t>2026年4月至2026年6月三个月内任意一个月的社保</w:t>
            </w:r>
            <w:r>
              <w:rPr>
                <w:rFonts w:hint="eastAsia" w:ascii="宋体" w:hAnsi="宋体" w:eastAsia="宋体" w:cs="宋体"/>
                <w:color w:val="auto"/>
                <w:sz w:val="21"/>
                <w:szCs w:val="21"/>
                <w:highlight w:val="none"/>
              </w:rPr>
              <w:t>缴费证明</w:t>
            </w:r>
            <w:r>
              <w:rPr>
                <w:rFonts w:hint="eastAsia" w:ascii="宋体" w:hAnsi="宋体" w:eastAsia="宋体" w:cs="宋体"/>
                <w:color w:val="auto"/>
                <w:sz w:val="21"/>
                <w:szCs w:val="21"/>
                <w:highlight w:val="none"/>
                <w:lang w:eastAsia="zh-CN"/>
              </w:rPr>
              <w:t>；</w:t>
            </w:r>
          </w:p>
          <w:p w14:paraId="1EC7D61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同一人员不重复计分，以高证为准。</w:t>
            </w:r>
            <w:r>
              <w:rPr>
                <w:rFonts w:hint="eastAsia" w:ascii="宋体" w:hAnsi="宋体" w:eastAsia="宋体" w:cs="宋体"/>
                <w:color w:val="auto"/>
                <w:sz w:val="21"/>
                <w:szCs w:val="21"/>
                <w:highlight w:val="none"/>
                <w:lang w:val="en-US" w:eastAsia="zh-CN"/>
              </w:rPr>
              <w:t>本项满分为10分。</w:t>
            </w:r>
          </w:p>
        </w:tc>
      </w:tr>
      <w:tr w14:paraId="27D64C8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1313" w:type="dxa"/>
            <w:vMerge w:val="restart"/>
            <w:tcBorders>
              <w:top w:val="single" w:color="auto" w:sz="6" w:space="0"/>
              <w:left w:val="single" w:color="auto" w:sz="6" w:space="0"/>
              <w:bottom w:val="single" w:color="auto" w:sz="6" w:space="0"/>
              <w:right w:val="single" w:color="auto" w:sz="6" w:space="0"/>
            </w:tcBorders>
            <w:noWrap w:val="0"/>
            <w:vAlign w:val="center"/>
          </w:tcPr>
          <w:p w14:paraId="711BDC4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p>
        </w:tc>
        <w:tc>
          <w:tcPr>
            <w:tcW w:w="1570" w:type="dxa"/>
            <w:tcBorders>
              <w:top w:val="single" w:color="auto" w:sz="6" w:space="0"/>
              <w:left w:val="single" w:color="auto" w:sz="6" w:space="0"/>
              <w:bottom w:val="single" w:color="auto" w:sz="6" w:space="0"/>
              <w:right w:val="single" w:color="auto" w:sz="6" w:space="0"/>
            </w:tcBorders>
            <w:noWrap w:val="0"/>
            <w:vAlign w:val="center"/>
          </w:tcPr>
          <w:p w14:paraId="216FD256">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除四害技术方案</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02CFE6E5">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top"/>
          </w:tcPr>
          <w:p w14:paraId="21F80AE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根据各供应商针对本项目作出的除四害技术方案是否具有针对性、可行性、科学性等进行综合评审: </w:t>
            </w:r>
          </w:p>
          <w:p w14:paraId="75CA2C08">
            <w:pPr>
              <w:keepNext w:val="0"/>
              <w:keepLines w:val="0"/>
              <w:pageBreakBefore w:val="0"/>
              <w:widowControl/>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除四害技术方案科学，现场调查资料详细，依据充分，措施明确、合理，施工组织严密，运作流程清晰的，得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p>
          <w:p w14:paraId="1B0625A8">
            <w:pPr>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除四害技术方案较符合虫控原理，现场调查情况一般，依据一般，措施基本合理，有施工组织，运作流程一般清晰的，得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p>
          <w:p w14:paraId="158FE206">
            <w:pPr>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除四害技术方案不够科学、现场情况不明，依据不足，未有具体的措施，施工组织设计不明确，流程不够清晰的，得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14:paraId="1B9E887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未提供方案得0分。</w:t>
            </w:r>
          </w:p>
        </w:tc>
      </w:tr>
      <w:tr w14:paraId="058E52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5" w:hRule="atLeast"/>
          <w:jc w:val="center"/>
        </w:trPr>
        <w:tc>
          <w:tcPr>
            <w:tcW w:w="1313" w:type="dxa"/>
            <w:vMerge w:val="continue"/>
            <w:tcBorders>
              <w:top w:val="single" w:color="auto" w:sz="6" w:space="0"/>
              <w:left w:val="single" w:color="auto" w:sz="6" w:space="0"/>
              <w:bottom w:val="single" w:color="auto" w:sz="6" w:space="0"/>
              <w:right w:val="single" w:color="auto" w:sz="6" w:space="0"/>
            </w:tcBorders>
            <w:noWrap w:val="0"/>
            <w:vAlign w:val="center"/>
          </w:tcPr>
          <w:p w14:paraId="2BCF7DD5">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4C6A8D11">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用药方案</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2123DCE1">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top"/>
          </w:tcPr>
          <w:p w14:paraId="39D2AA9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根据供应商提供的用药方案进行评审：</w:t>
            </w:r>
          </w:p>
          <w:p w14:paraId="15A9D24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用药方案全面、具体，不同环境的用药及方法针对性和可操作性强，有利于提高服务质量的，得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2257D56">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用药方案较全面、较具体，不同环境的用药及方法针对性和可操作性基本可行，可保障基本的服务质量的，得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05DEC9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用药方案较一般、较笼统，不同环境的用药及方法针对性和可操作性较差，对服务质量的保障不足的，得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20B981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未提供用药方案的得0分。</w:t>
            </w:r>
          </w:p>
        </w:tc>
      </w:tr>
      <w:tr w14:paraId="3BDD540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1313" w:type="dxa"/>
            <w:vMerge w:val="continue"/>
            <w:tcBorders>
              <w:top w:val="single" w:color="auto" w:sz="6" w:space="0"/>
              <w:left w:val="single" w:color="auto" w:sz="6" w:space="0"/>
              <w:bottom w:val="single" w:color="auto" w:sz="6" w:space="0"/>
              <w:right w:val="single" w:color="auto" w:sz="6" w:space="0"/>
            </w:tcBorders>
            <w:noWrap w:val="0"/>
            <w:vAlign w:val="center"/>
          </w:tcPr>
          <w:p w14:paraId="52001C08">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751104D9">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服务质量保证目标及分期目标</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0404EF1D">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top"/>
          </w:tcPr>
          <w:p w14:paraId="70F8ABC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根据供应商是否能根据本项目要求提供详细的服务质量保证目标及分期目标，并提供具体可行、详细的保证措施等进行综合评审：</w:t>
            </w:r>
          </w:p>
          <w:p w14:paraId="06548BC2">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质量保证措施方案科学完整，可行性强，得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DA61F80">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质量保证措施方案基本完整，可行性一般，得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D95934B">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质量保证措施方案较笼统，可行性较差，得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527AF65">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未提供对应方案得0分。</w:t>
            </w:r>
          </w:p>
        </w:tc>
      </w:tr>
      <w:tr w14:paraId="62A2A27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34" w:hRule="atLeast"/>
          <w:jc w:val="center"/>
        </w:trPr>
        <w:tc>
          <w:tcPr>
            <w:tcW w:w="1313" w:type="dxa"/>
            <w:vMerge w:val="continue"/>
            <w:tcBorders>
              <w:top w:val="single" w:color="auto" w:sz="6" w:space="0"/>
              <w:left w:val="single" w:color="auto" w:sz="6" w:space="0"/>
              <w:bottom w:val="single" w:color="auto" w:sz="6" w:space="0"/>
              <w:right w:val="single" w:color="auto" w:sz="6" w:space="0"/>
            </w:tcBorders>
            <w:noWrap w:val="0"/>
            <w:vAlign w:val="center"/>
          </w:tcPr>
          <w:p w14:paraId="7D1A7047">
            <w:pPr>
              <w:spacing w:line="400" w:lineRule="exact"/>
              <w:jc w:val="center"/>
              <w:rPr>
                <w:rFonts w:hint="eastAsia" w:ascii="宋体" w:hAnsi="宋体" w:eastAsia="宋体" w:cs="宋体"/>
                <w:color w:val="auto"/>
                <w:sz w:val="21"/>
                <w:szCs w:val="21"/>
                <w:highlight w:val="none"/>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14:paraId="0843557D">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应急处置方案</w:t>
            </w:r>
          </w:p>
        </w:tc>
        <w:tc>
          <w:tcPr>
            <w:tcW w:w="720" w:type="dxa"/>
            <w:tcBorders>
              <w:top w:val="single" w:color="auto" w:sz="6" w:space="0"/>
              <w:left w:val="single" w:color="auto" w:sz="6" w:space="0"/>
              <w:bottom w:val="single" w:color="auto" w:sz="6" w:space="0"/>
              <w:right w:val="single" w:color="auto" w:sz="6" w:space="0"/>
            </w:tcBorders>
            <w:noWrap w:val="0"/>
            <w:vAlign w:val="center"/>
          </w:tcPr>
          <w:p w14:paraId="6D037CC5">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302" w:type="dxa"/>
            <w:tcBorders>
              <w:top w:val="single" w:color="auto" w:sz="6" w:space="0"/>
              <w:left w:val="single" w:color="auto" w:sz="6" w:space="0"/>
              <w:bottom w:val="single" w:color="auto" w:sz="6" w:space="0"/>
              <w:right w:val="single" w:color="auto" w:sz="6" w:space="0"/>
            </w:tcBorders>
            <w:noWrap w:val="0"/>
            <w:vAlign w:val="top"/>
          </w:tcPr>
          <w:p w14:paraId="740C8E31">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针对自然灾害天气影响，重大接待任务，重大节假日或活动，虫媒疫情等特殊情况制定应急处置方案。 </w:t>
            </w:r>
          </w:p>
          <w:p w14:paraId="18C7E876">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应急方案中应急人数多、接受专业培训程度强、药品和设备调配合理、责任分工明确的，得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D08CD5D">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应急方案中应急人数次多、接受专业培训程度较强、药品和设备调配一般合理、责任分工一般明确的，得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86EF1A5">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应急方案中应急人数最少、接受专业培训程度最弱、药品和设备调配不合理、责任分工不明确的，得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B4E3743">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未提供应急方案，得0分。</w:t>
            </w:r>
          </w:p>
        </w:tc>
      </w:tr>
      <w:tr w14:paraId="75346B4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905" w:type="dxa"/>
            <w:gridSpan w:val="4"/>
            <w:tcBorders>
              <w:top w:val="single" w:color="auto" w:sz="6" w:space="0"/>
              <w:left w:val="single" w:color="auto" w:sz="6" w:space="0"/>
              <w:bottom w:val="single" w:color="auto" w:sz="6" w:space="0"/>
              <w:right w:val="single" w:color="auto" w:sz="6" w:space="0"/>
            </w:tcBorders>
            <w:noWrap w:val="0"/>
            <w:vAlign w:val="center"/>
          </w:tcPr>
          <w:p w14:paraId="39CADF76">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1CE41084">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1、汇总各评委打分，当技术标评委人数在5人以上时（不含5人），去掉一个最高分，去掉一个最低分，取平均值；当技术标评委人数少于或等于5人时，取各评委的算术平均值，作为此项最终得分。</w:t>
            </w:r>
          </w:p>
          <w:p w14:paraId="3A892FFF">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2、技术标证明材料均需加盖投标人</w:t>
            </w:r>
            <w:r>
              <w:rPr>
                <w:rFonts w:hint="eastAsia" w:ascii="宋体" w:hAnsi="宋体" w:eastAsia="宋体" w:cs="宋体"/>
                <w:b w:val="0"/>
                <w:bCs w:val="0"/>
                <w:color w:val="auto"/>
                <w:sz w:val="21"/>
                <w:szCs w:val="21"/>
                <w:highlight w:val="none"/>
                <w:lang w:val="en-US" w:eastAsia="zh-CN"/>
              </w:rPr>
              <w:t>红色实体</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或电子章</w:t>
            </w:r>
            <w:r>
              <w:rPr>
                <w:rFonts w:hint="eastAsia" w:ascii="宋体" w:hAnsi="宋体" w:eastAsia="宋体" w:cs="宋体"/>
                <w:b w:val="0"/>
                <w:bCs w:val="0"/>
                <w:color w:val="auto"/>
                <w:sz w:val="21"/>
                <w:szCs w:val="21"/>
                <w:highlight w:val="none"/>
              </w:rPr>
              <w:t>。</w:t>
            </w:r>
          </w:p>
          <w:p w14:paraId="51844BBA">
            <w:pPr>
              <w:spacing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社保缴费记录证明材料可为（满足下列条件之一即可）①社保缴费记录原件（原件须加盖社保部门红色实物公章；②带社保部门电子专用章及二维码或带社保查询网址及验证码的社保交费记录【带二维码的社保缴费记录若评标时扫描失败（无信息显示或与提供的记录不一致）或带社保查询网址及验证码的查询失败（无信息显示或与提供的记录不一致），则不得分】；③带社保部门红色电子专用章的社保缴费记录（社保网证明材料）彩色打印件原件。</w:t>
            </w:r>
          </w:p>
          <w:p w14:paraId="1E855ECC">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请各供应商按照招标文件的要求格式、内容，顺序制作投标文件，并请编制目录及页码，以最大限度的避免造成评委误判或漏判；投标文件未提供评分标准中涉及的资料复印件加盖投标人公章的，相应条款不得分</w:t>
            </w:r>
            <w:r>
              <w:rPr>
                <w:rFonts w:hint="eastAsia" w:ascii="宋体" w:hAnsi="宋体" w:eastAsia="宋体" w:cs="宋体"/>
                <w:b w:val="0"/>
                <w:bCs w:val="0"/>
                <w:color w:val="auto"/>
                <w:sz w:val="21"/>
                <w:szCs w:val="21"/>
                <w:highlight w:val="none"/>
                <w:lang w:eastAsia="zh-CN"/>
              </w:rPr>
              <w:t>。</w:t>
            </w:r>
          </w:p>
        </w:tc>
      </w:tr>
    </w:tbl>
    <w:p w14:paraId="658B4785">
      <w:pPr>
        <w:widowControl w:val="0"/>
        <w:spacing w:line="400" w:lineRule="exact"/>
        <w:ind w:firstLine="480" w:firstLineChars="200"/>
        <w:rPr>
          <w:rFonts w:hint="eastAsia" w:ascii="宋体" w:hAnsi="宋体" w:eastAsia="宋体" w:cs="宋体"/>
          <w:lang w:eastAsia="zh-CN"/>
        </w:rPr>
      </w:pPr>
    </w:p>
    <w:p w14:paraId="0D68AB98">
      <w:pPr>
        <w:widowControl w:val="0"/>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（三）价格标（满分</w:t>
      </w:r>
      <w:r>
        <w:rPr>
          <w:rFonts w:hint="eastAsia" w:ascii="宋体" w:hAnsi="宋体" w:eastAsia="宋体" w:cs="宋体"/>
          <w:lang w:val="en-US" w:eastAsia="zh-CN"/>
        </w:rPr>
        <w:t>40</w:t>
      </w:r>
      <w:r>
        <w:rPr>
          <w:rFonts w:hint="eastAsia" w:ascii="宋体" w:hAnsi="宋体" w:eastAsia="宋体" w:cs="宋体"/>
          <w:lang w:eastAsia="zh-CN"/>
        </w:rPr>
        <w:t>分）</w:t>
      </w:r>
    </w:p>
    <w:tbl>
      <w:tblPr>
        <w:tblStyle w:val="12"/>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1216"/>
        <w:gridCol w:w="4386"/>
        <w:gridCol w:w="1559"/>
        <w:gridCol w:w="1559"/>
      </w:tblGrid>
      <w:tr w14:paraId="0B89E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914" w:type="dxa"/>
            <w:vAlign w:val="center"/>
          </w:tcPr>
          <w:p w14:paraId="7721112D">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序号</w:t>
            </w:r>
          </w:p>
        </w:tc>
        <w:tc>
          <w:tcPr>
            <w:tcW w:w="1216" w:type="dxa"/>
            <w:vAlign w:val="center"/>
          </w:tcPr>
          <w:p w14:paraId="70CD845B">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评分项</w:t>
            </w:r>
          </w:p>
        </w:tc>
        <w:tc>
          <w:tcPr>
            <w:tcW w:w="4386" w:type="dxa"/>
            <w:vAlign w:val="center"/>
          </w:tcPr>
          <w:p w14:paraId="14290287">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计分方式</w:t>
            </w:r>
          </w:p>
        </w:tc>
        <w:tc>
          <w:tcPr>
            <w:tcW w:w="1559" w:type="dxa"/>
            <w:vAlign w:val="center"/>
          </w:tcPr>
          <w:p w14:paraId="70E302E7">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满分</w:t>
            </w:r>
          </w:p>
        </w:tc>
        <w:tc>
          <w:tcPr>
            <w:tcW w:w="1559" w:type="dxa"/>
            <w:vAlign w:val="center"/>
          </w:tcPr>
          <w:p w14:paraId="39948487">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kern w:val="2"/>
                <w:sz w:val="21"/>
                <w:szCs w:val="21"/>
                <w:lang w:val="zh-CN" w:eastAsia="zh-CN" w:bidi="zh-CN"/>
              </w:rPr>
              <w:t>控制价</w:t>
            </w:r>
          </w:p>
        </w:tc>
      </w:tr>
      <w:tr w14:paraId="532E2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jc w:val="center"/>
        </w:trPr>
        <w:tc>
          <w:tcPr>
            <w:tcW w:w="914" w:type="dxa"/>
            <w:vAlign w:val="center"/>
          </w:tcPr>
          <w:p w14:paraId="36DEFCA2">
            <w:pPr>
              <w:widowControl w:val="0"/>
              <w:jc w:val="center"/>
              <w:rPr>
                <w:rFonts w:hint="eastAsia" w:ascii="宋体" w:hAnsi="宋体" w:eastAsia="宋体" w:cs="宋体"/>
                <w:b/>
                <w:kern w:val="2"/>
                <w:sz w:val="21"/>
                <w:szCs w:val="21"/>
                <w:lang w:val="zh-CN" w:eastAsia="zh-CN" w:bidi="zh-CN"/>
              </w:rPr>
            </w:pPr>
            <w:r>
              <w:rPr>
                <w:rFonts w:hint="eastAsia" w:ascii="宋体" w:hAnsi="宋体" w:eastAsia="宋体" w:cs="宋体"/>
                <w:b/>
                <w:w w:val="99"/>
                <w:kern w:val="2"/>
                <w:sz w:val="21"/>
                <w:szCs w:val="21"/>
                <w:lang w:val="zh-CN" w:eastAsia="zh-CN" w:bidi="zh-CN"/>
              </w:rPr>
              <w:t>1</w:t>
            </w:r>
          </w:p>
        </w:tc>
        <w:tc>
          <w:tcPr>
            <w:tcW w:w="1216" w:type="dxa"/>
            <w:vAlign w:val="center"/>
          </w:tcPr>
          <w:p w14:paraId="2EB685E1">
            <w:pPr>
              <w:widowControl w:val="0"/>
              <w:jc w:val="center"/>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报价价格</w:t>
            </w:r>
          </w:p>
        </w:tc>
        <w:tc>
          <w:tcPr>
            <w:tcW w:w="4386" w:type="dxa"/>
          </w:tcPr>
          <w:p w14:paraId="31C4962C">
            <w:pPr>
              <w:widowControl w:val="0"/>
              <w:spacing w:line="240" w:lineRule="auto"/>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有效投标报价</w:t>
            </w:r>
            <w:r>
              <w:rPr>
                <w:rFonts w:hint="eastAsia" w:ascii="宋体" w:hAnsi="宋体" w:eastAsia="宋体" w:cs="宋体"/>
                <w:kern w:val="2"/>
                <w:sz w:val="21"/>
                <w:szCs w:val="21"/>
                <w:lang w:val="en-US" w:eastAsia="zh-CN" w:bidi="zh-CN"/>
              </w:rPr>
              <w:t>的最低价</w:t>
            </w:r>
            <w:r>
              <w:rPr>
                <w:rFonts w:hint="eastAsia" w:ascii="宋体" w:hAnsi="宋体" w:eastAsia="宋体" w:cs="宋体"/>
                <w:kern w:val="2"/>
                <w:sz w:val="21"/>
                <w:szCs w:val="21"/>
                <w:lang w:val="zh-CN" w:eastAsia="zh-CN" w:bidi="zh-CN"/>
              </w:rPr>
              <w:t>为本项</w:t>
            </w:r>
            <w:r>
              <w:rPr>
                <w:rFonts w:hint="eastAsia" w:ascii="宋体" w:hAnsi="宋体" w:eastAsia="宋体" w:cs="宋体"/>
                <w:kern w:val="2"/>
                <w:sz w:val="21"/>
                <w:szCs w:val="21"/>
                <w:lang w:val="en-US" w:eastAsia="zh-CN" w:bidi="zh-CN"/>
              </w:rPr>
              <w:t>目</w:t>
            </w:r>
            <w:r>
              <w:rPr>
                <w:rFonts w:hint="eastAsia" w:ascii="宋体" w:hAnsi="宋体" w:eastAsia="宋体" w:cs="宋体"/>
                <w:kern w:val="2"/>
                <w:sz w:val="21"/>
                <w:szCs w:val="21"/>
                <w:lang w:val="zh-CN" w:eastAsia="zh-CN" w:bidi="zh-CN"/>
              </w:rPr>
              <w:t>的评标基准价，其他投标单位的本项得分统一按照以下公式计算：</w:t>
            </w:r>
          </w:p>
          <w:p w14:paraId="1CA239BB">
            <w:pPr>
              <w:widowControl w:val="0"/>
              <w:spacing w:line="240" w:lineRule="auto"/>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本项投标报价得分=（评标基准价/该</w:t>
            </w:r>
            <w:r>
              <w:rPr>
                <w:rFonts w:hint="eastAsia" w:ascii="宋体" w:hAnsi="宋体" w:eastAsia="宋体" w:cs="宋体"/>
                <w:kern w:val="2"/>
                <w:sz w:val="21"/>
                <w:szCs w:val="21"/>
                <w:lang w:val="en-US" w:eastAsia="zh-CN" w:bidi="zh-CN"/>
              </w:rPr>
              <w:t>投标人</w:t>
            </w:r>
            <w:r>
              <w:rPr>
                <w:rFonts w:hint="eastAsia" w:ascii="宋体" w:hAnsi="宋体" w:eastAsia="宋体" w:cs="宋体"/>
                <w:kern w:val="2"/>
                <w:sz w:val="21"/>
                <w:szCs w:val="21"/>
                <w:lang w:val="zh-CN" w:eastAsia="zh-CN" w:bidi="zh-CN"/>
              </w:rPr>
              <w:t>的投标报价）×</w:t>
            </w:r>
            <w:r>
              <w:rPr>
                <w:rFonts w:hint="eastAsia" w:ascii="宋体" w:hAnsi="宋体" w:eastAsia="宋体" w:cs="宋体"/>
                <w:kern w:val="2"/>
                <w:sz w:val="21"/>
                <w:szCs w:val="21"/>
                <w:lang w:val="en-US" w:eastAsia="zh-CN" w:bidi="zh-CN"/>
              </w:rPr>
              <w:t>40</w:t>
            </w:r>
            <w:r>
              <w:rPr>
                <w:rFonts w:hint="eastAsia" w:ascii="宋体" w:hAnsi="宋体" w:eastAsia="宋体" w:cs="宋体"/>
                <w:kern w:val="2"/>
                <w:sz w:val="21"/>
                <w:szCs w:val="21"/>
                <w:lang w:val="zh-CN" w:eastAsia="zh-CN" w:bidi="zh-CN"/>
              </w:rPr>
              <w:t>分。</w:t>
            </w:r>
          </w:p>
          <w:p w14:paraId="6E1DD6AF">
            <w:pPr>
              <w:widowControl w:val="0"/>
              <w:spacing w:line="240" w:lineRule="auto"/>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小数点保留 2 位。</w:t>
            </w:r>
          </w:p>
        </w:tc>
        <w:tc>
          <w:tcPr>
            <w:tcW w:w="1559" w:type="dxa"/>
            <w:vAlign w:val="center"/>
          </w:tcPr>
          <w:p w14:paraId="6FEEFA2E">
            <w:pPr>
              <w:widowControl w:val="0"/>
              <w:jc w:val="center"/>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40</w:t>
            </w:r>
            <w:r>
              <w:rPr>
                <w:rFonts w:hint="eastAsia" w:ascii="宋体" w:hAnsi="宋体" w:eastAsia="宋体" w:cs="宋体"/>
                <w:kern w:val="2"/>
                <w:sz w:val="21"/>
                <w:szCs w:val="21"/>
                <w:lang w:val="zh-CN" w:eastAsia="zh-CN" w:bidi="zh-CN"/>
              </w:rPr>
              <w:t>分</w:t>
            </w:r>
          </w:p>
        </w:tc>
        <w:tc>
          <w:tcPr>
            <w:tcW w:w="1559" w:type="dxa"/>
            <w:vAlign w:val="center"/>
          </w:tcPr>
          <w:p w14:paraId="288975DE">
            <w:pPr>
              <w:widowControl w:val="0"/>
              <w:jc w:val="center"/>
              <w:rPr>
                <w:rFonts w:hint="default" w:ascii="宋体" w:hAnsi="宋体" w:eastAsia="宋体" w:cs="宋体"/>
                <w:kern w:val="2"/>
                <w:sz w:val="21"/>
                <w:szCs w:val="21"/>
                <w:lang w:val="en-US" w:eastAsia="zh-CN" w:bidi="zh-CN"/>
              </w:rPr>
            </w:pPr>
            <w:r>
              <w:rPr>
                <w:rFonts w:hint="eastAsia" w:ascii="宋体" w:hAnsi="宋体" w:eastAsia="宋体" w:cs="宋体"/>
                <w:kern w:val="2"/>
                <w:sz w:val="21"/>
                <w:szCs w:val="21"/>
                <w:highlight w:val="none"/>
                <w:lang w:val="en-US" w:eastAsia="zh-CN" w:bidi="zh-CN"/>
              </w:rPr>
              <w:t>7</w:t>
            </w:r>
            <w:r>
              <w:rPr>
                <w:rFonts w:hint="eastAsia" w:ascii="宋体" w:hAnsi="宋体" w:eastAsia="宋体" w:cs="宋体"/>
                <w:kern w:val="2"/>
                <w:sz w:val="21"/>
                <w:szCs w:val="21"/>
                <w:highlight w:val="none"/>
                <w:lang w:eastAsia="zh-CN" w:bidi="zh-CN"/>
              </w:rPr>
              <w:t>万</w:t>
            </w:r>
            <w:r>
              <w:rPr>
                <w:rFonts w:hint="eastAsia" w:ascii="宋体" w:hAnsi="宋体" w:eastAsia="宋体" w:cs="宋体"/>
                <w:kern w:val="2"/>
                <w:sz w:val="21"/>
                <w:szCs w:val="21"/>
                <w:lang w:eastAsia="zh-CN" w:bidi="zh-CN"/>
              </w:rPr>
              <w:t>元</w:t>
            </w:r>
            <w:r>
              <w:rPr>
                <w:rFonts w:hint="eastAsia" w:ascii="宋体" w:hAnsi="宋体" w:eastAsia="宋体" w:cs="宋体"/>
                <w:kern w:val="2"/>
                <w:sz w:val="21"/>
                <w:szCs w:val="21"/>
                <w:lang w:val="en-US" w:eastAsia="zh-CN" w:bidi="zh-CN"/>
              </w:rPr>
              <w:t>/年（两年共14万元）</w:t>
            </w:r>
          </w:p>
        </w:tc>
      </w:tr>
    </w:tbl>
    <w:p w14:paraId="7F1045C1">
      <w:pPr>
        <w:widowControl w:val="0"/>
        <w:numPr>
          <w:ilvl w:val="0"/>
          <w:numId w:val="1"/>
        </w:numPr>
        <w:spacing w:line="400" w:lineRule="exact"/>
        <w:ind w:firstLine="480" w:firstLineChars="200"/>
        <w:jc w:val="both"/>
        <w:rPr>
          <w:rFonts w:hint="eastAsia" w:ascii="宋体" w:hAnsi="宋体" w:eastAsia="宋体" w:cs="宋体"/>
          <w:kern w:val="2"/>
          <w:szCs w:val="21"/>
          <w:lang w:eastAsia="zh-CN"/>
        </w:rPr>
      </w:pPr>
      <w:r>
        <w:rPr>
          <w:rFonts w:hint="eastAsia" w:ascii="宋体" w:hAnsi="宋体" w:eastAsia="宋体" w:cs="宋体"/>
          <w:kern w:val="2"/>
          <w:szCs w:val="21"/>
          <w:lang w:eastAsia="zh-CN"/>
        </w:rPr>
        <w:t>将技术标和价格标的得分相加，得出每个投标人的综合得分。评标委员会按照综合得分由高到低的顺序，排出第一、第二、第三中标候选人。</w:t>
      </w:r>
    </w:p>
    <w:p w14:paraId="2E50EC9C">
      <w:pPr>
        <w:widowControl w:val="0"/>
        <w:spacing w:line="400" w:lineRule="exact"/>
        <w:ind w:firstLine="480" w:firstLineChars="200"/>
        <w:jc w:val="both"/>
        <w:rPr>
          <w:rFonts w:hint="eastAsia" w:ascii="宋体" w:hAnsi="宋体" w:eastAsia="宋体" w:cs="宋体"/>
          <w:kern w:val="2"/>
          <w:szCs w:val="21"/>
          <w:lang w:eastAsia="zh-CN"/>
        </w:rPr>
      </w:pPr>
      <w:r>
        <w:rPr>
          <w:rFonts w:hint="eastAsia" w:ascii="宋体" w:hAnsi="宋体" w:eastAsia="宋体" w:cs="宋体"/>
          <w:kern w:val="2"/>
          <w:szCs w:val="21"/>
          <w:lang w:eastAsia="zh-CN"/>
        </w:rPr>
        <w:t>招标人确定第一中标候选人为中标人。若第一中标候选人放弃中标、因不可抗力提出不能履行合同、采购文件规定应当提交履约保证金而在规定的期限内未提交的，或者存在违法行为被有关部门依法查处，且其违法行为影响中标结果的，招标人可以确定第二中标候选人为中标人，如第二中标候选人也发生上述问题，依次可确定第三中标候选人为中标人或者重新组织招标。</w:t>
      </w:r>
    </w:p>
    <w:p w14:paraId="7191DAEF">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注:①.有效投标文件是指未被评标委员会判定为无效标的投标文件。</w:t>
      </w:r>
    </w:p>
    <w:p w14:paraId="038900DC">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②.如果以文字表示的数据与数字表示的有差别，以文字为准修正数字。如果大小写金额不一致的，以大写金额为准。</w:t>
      </w:r>
    </w:p>
    <w:p w14:paraId="39F2991E">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③.如果单价乘以数量不等于总价，以单价为准修正总价，但修正后的汇总价格不得高于投标报价；若以单价为准修正总价后的汇总价格高于投标报价的，则以总价为准修正单价，投标报价保持不变。</w:t>
      </w:r>
    </w:p>
    <w:p w14:paraId="2AE8D949">
      <w:pPr>
        <w:widowControl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注：</w:t>
      </w:r>
      <w:r>
        <w:rPr>
          <w:rFonts w:hint="eastAsia" w:ascii="宋体" w:hAnsi="宋体" w:eastAsia="宋体" w:cs="宋体"/>
          <w:kern w:val="2"/>
          <w:lang w:eastAsia="zh-CN"/>
        </w:rPr>
        <w:t>评委会将按上述修正错误的方法调整投标文件中的投标报价，调整后的价格对投标人具有约束力。</w:t>
      </w:r>
      <w:r>
        <w:rPr>
          <w:rFonts w:hint="eastAsia" w:ascii="宋体" w:hAnsi="宋体" w:eastAsia="宋体" w:cs="宋体"/>
          <w:b/>
          <w:bCs/>
          <w:kern w:val="2"/>
          <w:lang w:eastAsia="zh-CN"/>
        </w:rPr>
        <w:t>如果投标人不接受修正后的价格，则其投标将被拒绝，其投标保证金将被没收。</w:t>
      </w:r>
    </w:p>
    <w:p w14:paraId="41E480A3">
      <w:pPr>
        <w:widowControl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6.中标人经公示无异议后，采购人及区公共资源交易中心向中标人联合签发《中标通知书》。</w:t>
      </w:r>
    </w:p>
    <w:p w14:paraId="7627D31D">
      <w:pPr>
        <w:widowControl w:val="0"/>
        <w:spacing w:line="400" w:lineRule="exact"/>
        <w:ind w:firstLine="480" w:firstLineChars="200"/>
        <w:jc w:val="both"/>
        <w:rPr>
          <w:rFonts w:hint="eastAsia" w:ascii="宋体" w:hAnsi="宋体" w:eastAsia="宋体" w:cs="宋体"/>
          <w:kern w:val="2"/>
          <w:sz w:val="28"/>
          <w:szCs w:val="28"/>
          <w:lang w:eastAsia="zh-CN"/>
        </w:rPr>
      </w:pPr>
      <w:r>
        <w:rPr>
          <w:rFonts w:hint="eastAsia" w:ascii="宋体" w:hAnsi="宋体" w:eastAsia="宋体" w:cs="宋体"/>
          <w:kern w:val="2"/>
          <w:lang w:eastAsia="zh-CN"/>
        </w:rPr>
        <w:t>7.中标人按照《中标通知书》的规定与采购人签订采购合同，采购合同报如东洋口港经济开发区公共资源交易中心见证备案后生效。</w:t>
      </w:r>
    </w:p>
    <w:p w14:paraId="7B6A965D">
      <w:pPr>
        <w:rPr>
          <w:rFonts w:hint="eastAsia" w:cs="Arial Unicode MS" w:asciiTheme="minorEastAsia" w:hAnsiTheme="minorEastAsia" w:eastAsiaTheme="minorEastAsia"/>
          <w:color w:val="000000"/>
          <w:kern w:val="2"/>
          <w:u w:color="000000"/>
          <w:lang w:val="zh-TW" w:eastAsia="zh-CN"/>
        </w:rPr>
      </w:pPr>
      <w:r>
        <w:rPr>
          <w:rFonts w:hint="eastAsia" w:ascii="宋体" w:hAnsi="宋体" w:eastAsia="宋体" w:cs="宋体"/>
          <w:kern w:val="2"/>
          <w:sz w:val="21"/>
          <w:szCs w:val="21"/>
          <w:lang w:eastAsia="zh-CN"/>
        </w:rPr>
        <w:br w:type="page"/>
      </w:r>
    </w:p>
    <w:p w14:paraId="5570467E">
      <w:pPr>
        <w:pStyle w:val="20"/>
        <w:rPr>
          <w:rFonts w:hint="eastAsia" w:cs="SimSong Bold" w:asciiTheme="minorEastAsia" w:hAnsiTheme="minorEastAsia" w:eastAsiaTheme="minorEastAsia"/>
          <w:b w:val="0"/>
          <w:bCs w:val="0"/>
          <w:sz w:val="72"/>
          <w:szCs w:val="72"/>
          <w:lang w:val="zh-TW" w:eastAsia="zh-TW"/>
        </w:rPr>
      </w:pPr>
      <w:r>
        <w:rPr>
          <w:rFonts w:hint="eastAsia" w:asciiTheme="minorEastAsia" w:hAnsiTheme="minorEastAsia" w:eastAsiaTheme="minorEastAsia"/>
          <w:b w:val="0"/>
          <w:bCs w:val="0"/>
          <w:lang w:val="zh-TW" w:eastAsia="zh-TW"/>
        </w:rPr>
        <w:t>第五章  投标文件格式</w:t>
      </w:r>
    </w:p>
    <w:p w14:paraId="6030A776">
      <w:pPr>
        <w:pStyle w:val="18"/>
        <w:spacing w:line="400" w:lineRule="exact"/>
        <w:rPr>
          <w:rFonts w:hint="eastAsia" w:cs="SimSong Bold" w:asciiTheme="minorEastAsia" w:hAnsiTheme="minorEastAsia" w:eastAsiaTheme="minorEastAsia"/>
          <w:sz w:val="24"/>
          <w:szCs w:val="24"/>
          <w:lang w:val="zh-TW" w:eastAsia="zh-TW"/>
        </w:rPr>
      </w:pPr>
      <w:r>
        <w:rPr>
          <w:rFonts w:hint="eastAsia" w:asciiTheme="minorEastAsia" w:hAnsiTheme="minorEastAsia" w:eastAsiaTheme="minorEastAsia"/>
          <w:kern w:val="0"/>
          <w:sz w:val="24"/>
          <w:szCs w:val="24"/>
          <w:lang w:val="zh-TW" w:eastAsia="zh-TW"/>
        </w:rPr>
        <w:t>一</w:t>
      </w:r>
      <w:r>
        <w:rPr>
          <w:rFonts w:hint="eastAsia" w:asciiTheme="minorEastAsia" w:hAnsiTheme="minorEastAsia" w:eastAsiaTheme="minorEastAsia"/>
          <w:sz w:val="24"/>
          <w:szCs w:val="24"/>
          <w:lang w:val="zh-TW" w:eastAsia="zh-TW"/>
        </w:rPr>
        <w:t>、投标文件的数量、制作及密封</w:t>
      </w:r>
    </w:p>
    <w:p w14:paraId="45954756">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投标文件分为资审文件、技术标文件和经济标文件三个部分。</w:t>
      </w:r>
    </w:p>
    <w:p w14:paraId="0ADE968C">
      <w:pPr>
        <w:pStyle w:val="18"/>
        <w:spacing w:line="400" w:lineRule="exact"/>
        <w:ind w:firstLine="480"/>
        <w:rPr>
          <w:rFonts w:hint="eastAsia" w:cs="宋体"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各投标单位须按招标文件要求将加盖投标单位红色实物公章或电子签章</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内，将按招标文件要求加盖投标单位红色实物公章或电子签章的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内</w:t>
      </w:r>
      <w:r>
        <w:rPr>
          <w:rFonts w:hint="eastAsia" w:asciiTheme="minorEastAsia" w:hAnsiTheme="minorEastAsia" w:eastAsiaTheme="minorEastAsia"/>
          <w:sz w:val="24"/>
          <w:szCs w:val="24"/>
          <w:lang w:val="zh-TW" w:eastAsia="zh-TW"/>
        </w:rPr>
        <w:t>，按招标文件要求加盖投标单位红色实物公章或电子签章的</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的组成文件上传至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w:t>
      </w:r>
    </w:p>
    <w:p w14:paraId="18422658">
      <w:pPr>
        <w:pStyle w:val="18"/>
        <w:spacing w:line="400" w:lineRule="exact"/>
        <w:ind w:firstLine="480"/>
        <w:rPr>
          <w:rFonts w:hint="eastAsia" w:cs="SimSong Bold"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二、投标文件内容</w:t>
      </w:r>
    </w:p>
    <w:p w14:paraId="3CC5BB43">
      <w:pPr>
        <w:pStyle w:val="18"/>
        <w:spacing w:line="400" w:lineRule="exact"/>
        <w:ind w:firstLine="48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投标文件（</w:t>
      </w:r>
      <w:r>
        <w:rPr>
          <w:rFonts w:asciiTheme="minorEastAsia" w:hAnsiTheme="minorEastAsia" w:eastAsiaTheme="minorEastAsia"/>
          <w:sz w:val="24"/>
          <w:szCs w:val="24"/>
        </w:rPr>
        <w:t>A</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B</w:t>
      </w:r>
      <w:r>
        <w:rPr>
          <w:rFonts w:hint="eastAsia" w:asciiTheme="minorEastAsia" w:hAnsiTheme="minorEastAsia" w:eastAsiaTheme="minorEastAsia"/>
          <w:sz w:val="24"/>
          <w:szCs w:val="24"/>
          <w:lang w:val="zh-TW" w:eastAsia="zh-TW"/>
        </w:rPr>
        <w:t>技术标文件和</w:t>
      </w:r>
      <w:r>
        <w:rPr>
          <w:rFonts w:asciiTheme="minorEastAsia" w:hAnsiTheme="minorEastAsia" w:eastAsiaTheme="minorEastAsia"/>
          <w:sz w:val="24"/>
          <w:szCs w:val="24"/>
        </w:rPr>
        <w:t>C</w:t>
      </w:r>
      <w:r>
        <w:rPr>
          <w:rFonts w:hint="eastAsia" w:asciiTheme="minorEastAsia" w:hAnsiTheme="minorEastAsia" w:eastAsiaTheme="minorEastAsia"/>
          <w:sz w:val="24"/>
          <w:szCs w:val="24"/>
          <w:lang w:val="zh-TW" w:eastAsia="zh-TW"/>
        </w:rPr>
        <w:t>经济标文件）必须按照以下格式制作，以下带</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内容必须全部提供，并加盖投标人红色实物公章或电子签章（</w:t>
      </w:r>
      <w:r>
        <w:rPr>
          <w:rFonts w:hint="eastAsia" w:asciiTheme="minorEastAsia" w:hAnsiTheme="minorEastAsia" w:eastAsiaTheme="minorEastAsia"/>
          <w:color w:val="FF0000"/>
          <w:sz w:val="24"/>
          <w:szCs w:val="24"/>
          <w:u w:val="single" w:color="FF0000"/>
          <w:lang w:val="zh-TW" w:eastAsia="zh-TW"/>
        </w:rPr>
        <w:t>电子签章文件上传之后必须预览，确认正常打开</w:t>
      </w:r>
      <w:r>
        <w:rPr>
          <w:rFonts w:hint="eastAsia" w:asciiTheme="minorEastAsia" w:hAnsiTheme="minorEastAsia" w:eastAsiaTheme="minorEastAsia"/>
          <w:sz w:val="24"/>
          <w:szCs w:val="24"/>
          <w:lang w:val="zh-TW" w:eastAsia="zh-TW"/>
        </w:rPr>
        <w:t>）。投标人公章仅指与当事人名称全称相一致的标准公章，不得使用</w:t>
      </w:r>
      <w:r>
        <w:rPr>
          <w:rFonts w:hint="eastAsia" w:asciiTheme="minorEastAsia" w:hAnsiTheme="minorEastAsia" w:eastAsiaTheme="minorEastAsia"/>
          <w:sz w:val="24"/>
          <w:szCs w:val="24"/>
          <w:lang w:val="zh-TW" w:eastAsia="zh-CN"/>
        </w:rPr>
        <w:t>其他形式</w:t>
      </w:r>
      <w:r>
        <w:rPr>
          <w:rFonts w:hint="eastAsia" w:asciiTheme="minorEastAsia" w:hAnsiTheme="minorEastAsia" w:eastAsiaTheme="minorEastAsia"/>
          <w:sz w:val="24"/>
          <w:szCs w:val="24"/>
          <w:lang w:val="zh-TW" w:eastAsia="zh-TW"/>
        </w:rPr>
        <w:t>（如带有</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专用章</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等字样的印章）。不符合本条规定的投标，评标委员有权拒绝或做无效投标处理。</w:t>
      </w:r>
    </w:p>
    <w:p w14:paraId="08ADC326">
      <w:pPr>
        <w:pStyle w:val="18"/>
        <w:spacing w:line="400" w:lineRule="exact"/>
        <w:ind w:firstLine="480"/>
        <w:rPr>
          <w:rFonts w:hint="eastAsia" w:cs="SimSong Bold" w:asciiTheme="minorEastAsia" w:hAnsiTheme="minorEastAsia" w:eastAsiaTheme="minorEastAsia"/>
          <w:b/>
          <w:bCs/>
          <w:sz w:val="24"/>
          <w:szCs w:val="24"/>
        </w:rPr>
      </w:pPr>
      <w:r>
        <w:rPr>
          <w:rFonts w:asciiTheme="minorEastAsia" w:hAnsiTheme="minorEastAsia" w:eastAsiaTheme="minorEastAsia"/>
          <w:b/>
          <w:bCs/>
          <w:sz w:val="24"/>
          <w:szCs w:val="24"/>
        </w:rPr>
        <w:t>A</w:t>
      </w:r>
      <w:r>
        <w:rPr>
          <w:rFonts w:hint="eastAsia" w:asciiTheme="minorEastAsia" w:hAnsiTheme="minorEastAsia" w:eastAsiaTheme="minorEastAsia"/>
          <w:b/>
          <w:bCs/>
          <w:sz w:val="24"/>
          <w:szCs w:val="24"/>
          <w:lang w:val="zh-TW" w:eastAsia="zh-TW"/>
        </w:rPr>
        <w:t>、资格审查标部分：</w:t>
      </w:r>
    </w:p>
    <w:p w14:paraId="2A2A8F92">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w:t>
      </w:r>
      <w:r>
        <w:rPr>
          <w:rFonts w:hint="eastAsia" w:ascii="宋体" w:hAnsi="宋体" w:eastAsia="宋体" w:cs="宋体"/>
          <w:bCs/>
          <w:kern w:val="2"/>
          <w:lang w:eastAsia="zh-CN"/>
        </w:rPr>
        <w:t>资审文件</w:t>
      </w:r>
      <w:r>
        <w:rPr>
          <w:rFonts w:hint="eastAsia" w:ascii="宋体" w:hAnsi="宋体" w:eastAsia="宋体" w:cs="宋体"/>
          <w:kern w:val="2"/>
          <w:lang w:eastAsia="zh-CN"/>
        </w:rPr>
        <w:t>封面格式（见附件一）</w:t>
      </w:r>
    </w:p>
    <w:p w14:paraId="3DD29F58">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*2.法定代表人身份证明书（格式见附件二）、法定代表人身份证复印件（复印件加盖公章）；</w:t>
      </w:r>
    </w:p>
    <w:p w14:paraId="5437BB80">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*3.法定代表人授权委托书（格式见附件三）、授权委托人（即代理人）身份证复印件（加盖公章）</w:t>
      </w:r>
      <w:r>
        <w:rPr>
          <w:rFonts w:hint="eastAsia" w:ascii="宋体" w:hAnsi="宋体" w:eastAsia="宋体" w:cs="宋体"/>
          <w:kern w:val="2"/>
          <w:szCs w:val="21"/>
          <w:lang w:eastAsia="zh-CN"/>
        </w:rPr>
        <w:t>（法定代表人本人来投标的不需要提供）</w:t>
      </w:r>
      <w:r>
        <w:rPr>
          <w:rFonts w:hint="eastAsia" w:ascii="宋体" w:hAnsi="宋体" w:eastAsia="宋体" w:cs="宋体"/>
          <w:kern w:val="2"/>
          <w:lang w:eastAsia="zh-CN"/>
        </w:rPr>
        <w:t>；</w:t>
      </w:r>
    </w:p>
    <w:p w14:paraId="7920F0BE">
      <w:pPr>
        <w:widowControl w:val="0"/>
        <w:snapToGrid w:val="0"/>
        <w:spacing w:line="400" w:lineRule="exact"/>
        <w:ind w:firstLine="482" w:firstLineChars="200"/>
        <w:jc w:val="both"/>
        <w:rPr>
          <w:rFonts w:hint="eastAsia" w:ascii="宋体" w:hAnsi="宋体" w:eastAsia="宋体" w:cs="宋体"/>
          <w:b/>
          <w:bCs/>
          <w:kern w:val="2"/>
          <w:lang w:eastAsia="zh-CN"/>
        </w:rPr>
      </w:pPr>
      <w:r>
        <w:rPr>
          <w:rFonts w:hint="eastAsia" w:ascii="宋体" w:hAnsi="宋体" w:eastAsia="宋体" w:cs="宋体"/>
          <w:b/>
          <w:bCs/>
          <w:kern w:val="2"/>
          <w:lang w:eastAsia="zh-CN"/>
        </w:rPr>
        <w:t>*4.有效的企业法人营业执照副本原件扫描件；</w:t>
      </w:r>
    </w:p>
    <w:p w14:paraId="7FC0A1A8">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*5.符合《中华人民共和国政府采购法》第二十二条规定的书面声明（格式见附件四）；</w:t>
      </w:r>
    </w:p>
    <w:p w14:paraId="1C0694F5">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*6.</w:t>
      </w:r>
      <w:r>
        <w:rPr>
          <w:rFonts w:hint="eastAsia" w:ascii="宋体" w:hAnsi="宋体" w:eastAsia="宋体" w:cs="宋体"/>
          <w:kern w:val="2"/>
          <w:szCs w:val="21"/>
          <w:lang w:eastAsia="zh-CN"/>
        </w:rPr>
        <w:t>投标承诺书、</w:t>
      </w:r>
      <w:r>
        <w:rPr>
          <w:rFonts w:hint="eastAsia" w:ascii="宋体" w:hAnsi="宋体" w:eastAsia="宋体" w:cs="宋体"/>
          <w:bCs/>
          <w:szCs w:val="21"/>
          <w:lang w:eastAsia="zh-CN"/>
        </w:rPr>
        <w:t>投标人诚信承诺书</w:t>
      </w:r>
      <w:r>
        <w:rPr>
          <w:rFonts w:hint="eastAsia" w:ascii="宋体" w:hAnsi="宋体" w:eastAsia="宋体" w:cs="宋体"/>
          <w:kern w:val="2"/>
          <w:lang w:eastAsia="zh-CN"/>
        </w:rPr>
        <w:t>（格式见附件五）；</w:t>
      </w:r>
    </w:p>
    <w:p w14:paraId="438D3646">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*7.公共资源交易投标信用承诺书（格式见附件六）；</w:t>
      </w:r>
    </w:p>
    <w:p w14:paraId="1B67E8E8">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val="en-US" w:eastAsia="zh-CN"/>
        </w:rPr>
        <w:t>8</w:t>
      </w:r>
      <w:r>
        <w:rPr>
          <w:rFonts w:hint="eastAsia" w:ascii="宋体" w:hAnsi="宋体" w:eastAsia="宋体" w:cs="宋体"/>
          <w:kern w:val="2"/>
          <w:lang w:eastAsia="zh-CN"/>
        </w:rPr>
        <w:t>.投标供应商认为有必要提供的其他资料。</w:t>
      </w:r>
    </w:p>
    <w:p w14:paraId="52D8691A">
      <w:pPr>
        <w:pStyle w:val="18"/>
        <w:spacing w:line="400" w:lineRule="exact"/>
        <w:ind w:firstLine="480"/>
        <w:rPr>
          <w:rFonts w:hint="eastAsia" w:cs="SimSong Bold"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val="zh-TW" w:eastAsia="zh-TW"/>
        </w:rPr>
        <w:t>注：</w:t>
      </w:r>
    </w:p>
    <w:p w14:paraId="5344F943">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zh-TW" w:eastAsia="zh-TW"/>
        </w:rPr>
        <w:t>）资审文件部分必须按以上第</w:t>
      </w: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val="zh-TW" w:eastAsia="zh-TW"/>
        </w:rPr>
        <w:t>项的顺序以</w:t>
      </w:r>
      <w:r>
        <w:rPr>
          <w:rFonts w:asciiTheme="minorEastAsia" w:hAnsiTheme="minorEastAsia" w:eastAsiaTheme="minorEastAsia"/>
          <w:sz w:val="24"/>
          <w:szCs w:val="24"/>
        </w:rPr>
        <w:t xml:space="preserve">PDF </w:t>
      </w:r>
      <w:r>
        <w:rPr>
          <w:rFonts w:hint="eastAsia" w:asciiTheme="minorEastAsia" w:hAnsiTheme="minorEastAsia" w:eastAsiaTheme="minorEastAsia"/>
          <w:sz w:val="24"/>
          <w:szCs w:val="24"/>
          <w:lang w:val="zh-TW" w:eastAsia="zh-TW"/>
        </w:rPr>
        <w:t>格式上传至系统内相应位置：</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资审文件部分</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上传至</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内。资审文件部分不合格的投标供应商，其</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技术标</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经济标部分</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不参加评审，具体操作流程详见《操作手册》，请投标人登录</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公共资源交易平台</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TW" w:eastAsia="zh-TW"/>
        </w:rPr>
        <w:t>的登录页面下载《操作手册》。</w:t>
      </w:r>
    </w:p>
    <w:p w14:paraId="181B71FC">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w:t>
      </w:r>
      <w:r>
        <w:rPr>
          <w:rFonts w:asciiTheme="minorEastAsia" w:hAnsiTheme="minorEastAsia" w:eastAsiaTheme="minorEastAsia"/>
          <w:sz w:val="24"/>
          <w:szCs w:val="24"/>
        </w:rPr>
        <w:t>2</w:t>
      </w:r>
      <w:r>
        <w:rPr>
          <w:rFonts w:hint="eastAsia" w:asciiTheme="minorEastAsia" w:hAnsiTheme="minorEastAsia" w:eastAsiaTheme="minorEastAsia"/>
          <w:sz w:val="24"/>
          <w:szCs w:val="24"/>
          <w:lang w:val="zh-TW" w:eastAsia="zh-TW"/>
        </w:rPr>
        <w:t>）各投标单位上传的投标文件提交前，请认真复查自己的投标文件制作的清晰情况，如投标文件不清晰，影响评标结果的，一律由投标人自行承担。</w:t>
      </w:r>
    </w:p>
    <w:p w14:paraId="0B53BEB9">
      <w:pPr>
        <w:widowControl w:val="0"/>
        <w:spacing w:line="400" w:lineRule="exact"/>
        <w:ind w:firstLine="482" w:firstLineChars="200"/>
        <w:jc w:val="both"/>
        <w:rPr>
          <w:rFonts w:hint="eastAsia" w:ascii="宋体" w:hAnsi="宋体" w:eastAsia="宋体" w:cs="宋体"/>
          <w:b/>
          <w:lang w:eastAsia="zh-CN"/>
        </w:rPr>
      </w:pPr>
    </w:p>
    <w:p w14:paraId="3BFFE561">
      <w:pPr>
        <w:widowControl w:val="0"/>
        <w:spacing w:line="400" w:lineRule="exact"/>
        <w:ind w:firstLine="482" w:firstLineChars="200"/>
        <w:jc w:val="both"/>
        <w:rPr>
          <w:rFonts w:hint="eastAsia" w:ascii="宋体" w:hAnsi="宋体" w:eastAsia="宋体" w:cs="宋体"/>
          <w:b/>
          <w:lang w:eastAsia="zh-CN"/>
        </w:rPr>
      </w:pPr>
      <w:r>
        <w:rPr>
          <w:rFonts w:hint="eastAsia" w:ascii="宋体" w:hAnsi="宋体" w:eastAsia="宋体" w:cs="宋体"/>
          <w:b/>
          <w:lang w:eastAsia="zh-CN"/>
        </w:rPr>
        <w:t>B、技术标部分：按技术标评分标准所要求提供的材料按顺序进行编制。</w:t>
      </w:r>
    </w:p>
    <w:p w14:paraId="630F8FEB">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*1.技术标封面格式（格式见附件七）；</w:t>
      </w:r>
    </w:p>
    <w:p w14:paraId="14092FB6">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.技术标中要求提供的材料；</w:t>
      </w:r>
    </w:p>
    <w:p w14:paraId="0D924B4C">
      <w:pPr>
        <w:widowControl w:val="0"/>
        <w:spacing w:line="40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3.评分办法中未涉及，投标人认为有必要提供的材料。</w:t>
      </w:r>
    </w:p>
    <w:p w14:paraId="3F7827CB">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注：</w:t>
      </w:r>
    </w:p>
    <w:p w14:paraId="7F9B65F1">
      <w:pPr>
        <w:widowControl w:val="0"/>
        <w:snapToGrid w:val="0"/>
        <w:spacing w:line="40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（1）技术标文件部分必须以PDF 格式上传至系统内相应位置：“技术标文件部分”上传至“技术标文件”内。具体操作流程详见《操作手册》，请投标人登录“如东县限额交易网-办事指南”下载《操作手册》。</w:t>
      </w:r>
    </w:p>
    <w:p w14:paraId="07A2CE88">
      <w:pPr>
        <w:widowControl w:val="0"/>
        <w:spacing w:line="400" w:lineRule="exact"/>
        <w:ind w:firstLine="480" w:firstLineChars="200"/>
        <w:jc w:val="both"/>
        <w:rPr>
          <w:rFonts w:hint="eastAsia" w:ascii="宋体" w:hAnsi="宋体" w:eastAsia="宋体" w:cs="宋体"/>
          <w:lang w:eastAsia="zh-CN"/>
        </w:rPr>
      </w:pPr>
      <w:r>
        <w:rPr>
          <w:rFonts w:hint="eastAsia" w:ascii="宋体" w:hAnsi="宋体" w:eastAsia="宋体" w:cs="宋体"/>
          <w:lang w:eastAsia="zh-CN"/>
        </w:rPr>
        <w:t>（2）各投标单位上传的投标文件提交前，请认真复查自己的投标文件制作的清晰情况，如投标文件不清晰，影响评标结果的，一律由投标人自行承担。</w:t>
      </w:r>
    </w:p>
    <w:p w14:paraId="59B6FEB1">
      <w:pPr>
        <w:widowControl w:val="0"/>
        <w:spacing w:line="400" w:lineRule="exact"/>
        <w:ind w:firstLine="482" w:firstLineChars="200"/>
        <w:jc w:val="both"/>
        <w:rPr>
          <w:rFonts w:hint="eastAsia" w:ascii="宋体" w:hAnsi="宋体" w:eastAsia="宋体" w:cs="宋体"/>
          <w:b/>
          <w:bCs/>
          <w:lang w:eastAsia="zh-CN"/>
        </w:rPr>
      </w:pPr>
      <w:r>
        <w:rPr>
          <w:rFonts w:hint="eastAsia" w:ascii="宋体" w:hAnsi="宋体" w:eastAsia="宋体" w:cs="宋体"/>
          <w:b/>
          <w:bCs/>
          <w:lang w:eastAsia="zh-CN"/>
        </w:rPr>
        <w:t>（3）各投标人请将技术标中的</w:t>
      </w:r>
      <w:r>
        <w:rPr>
          <w:rFonts w:hint="eastAsia" w:ascii="宋体" w:hAnsi="宋体" w:eastAsia="宋体" w:cs="宋体"/>
          <w:b/>
          <w:bCs/>
          <w:lang w:val="en-US" w:eastAsia="zh-CN"/>
        </w:rPr>
        <w:t>商务部分</w:t>
      </w:r>
      <w:r>
        <w:rPr>
          <w:rFonts w:hint="eastAsia" w:ascii="宋体" w:hAnsi="宋体" w:eastAsia="宋体" w:cs="宋体"/>
          <w:b/>
          <w:bCs/>
          <w:lang w:eastAsia="zh-CN"/>
        </w:rPr>
        <w:t>上传系统“资信业绩”中，技术标中的技术部分上传系统“设计方案”中。</w:t>
      </w:r>
    </w:p>
    <w:p w14:paraId="71BF5282">
      <w:pPr>
        <w:pStyle w:val="18"/>
        <w:spacing w:line="400" w:lineRule="exact"/>
        <w:ind w:firstLine="480"/>
        <w:rPr>
          <w:rFonts w:hint="eastAsia" w:asciiTheme="minorEastAsia" w:hAnsiTheme="minorEastAsia" w:eastAsiaTheme="minorEastAsia"/>
          <w:b/>
          <w:bCs/>
          <w:sz w:val="24"/>
          <w:szCs w:val="24"/>
          <w:lang w:val="zh-TW"/>
        </w:rPr>
      </w:pPr>
    </w:p>
    <w:p w14:paraId="428C0CA1">
      <w:pPr>
        <w:pStyle w:val="18"/>
        <w:spacing w:line="400" w:lineRule="exact"/>
        <w:ind w:firstLine="480"/>
        <w:rPr>
          <w:rFonts w:hint="eastAsia" w:asciiTheme="minorEastAsia" w:hAnsiTheme="minorEastAsia" w:eastAsiaTheme="minorEastAsia"/>
          <w:b/>
          <w:bCs/>
          <w:sz w:val="24"/>
          <w:szCs w:val="24"/>
          <w:lang w:val="zh-TW" w:eastAsia="zh-TW"/>
        </w:rPr>
      </w:pPr>
      <w:r>
        <w:rPr>
          <w:rFonts w:hint="eastAsia" w:asciiTheme="minorEastAsia" w:hAnsiTheme="minorEastAsia" w:eastAsiaTheme="minorEastAsia"/>
          <w:b/>
          <w:bCs/>
          <w:sz w:val="24"/>
          <w:szCs w:val="24"/>
          <w:lang w:val="zh-TW"/>
        </w:rPr>
        <w:t>C</w:t>
      </w:r>
      <w:r>
        <w:rPr>
          <w:rFonts w:hint="eastAsia" w:asciiTheme="minorEastAsia" w:hAnsiTheme="minorEastAsia" w:eastAsiaTheme="minorEastAsia"/>
          <w:b/>
          <w:bCs/>
          <w:sz w:val="24"/>
          <w:szCs w:val="24"/>
          <w:lang w:val="zh-TW" w:eastAsia="zh-TW"/>
        </w:rPr>
        <w:t>、价格标部分：</w:t>
      </w:r>
    </w:p>
    <w:p w14:paraId="11CD57C1">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lang w:val="zh-TW" w:eastAsia="zh-TW"/>
        </w:rPr>
        <w:t>*1.</w:t>
      </w:r>
      <w:r>
        <w:rPr>
          <w:rFonts w:hint="eastAsia" w:asciiTheme="minorEastAsia" w:hAnsiTheme="minorEastAsia" w:eastAsiaTheme="minorEastAsia"/>
          <w:sz w:val="24"/>
          <w:szCs w:val="24"/>
          <w:lang w:val="zh-TW" w:eastAsia="zh-TW"/>
        </w:rPr>
        <w:t>价格标封面格式（格式见附件</w:t>
      </w:r>
      <w:r>
        <w:rPr>
          <w:rFonts w:hint="eastAsia" w:asciiTheme="minorEastAsia" w:hAnsiTheme="minorEastAsia" w:eastAsiaTheme="minorEastAsia"/>
          <w:sz w:val="24"/>
          <w:szCs w:val="24"/>
          <w:lang w:val="en-US" w:eastAsia="zh-CN"/>
        </w:rPr>
        <w:t>八</w:t>
      </w:r>
      <w:r>
        <w:rPr>
          <w:rFonts w:hint="eastAsia" w:asciiTheme="minorEastAsia" w:hAnsiTheme="minorEastAsia" w:eastAsiaTheme="minorEastAsia"/>
          <w:sz w:val="24"/>
          <w:szCs w:val="24"/>
          <w:lang w:val="zh-TW" w:eastAsia="zh-TW"/>
        </w:rPr>
        <w:t>；（上传至投标函中）</w:t>
      </w:r>
    </w:p>
    <w:p w14:paraId="0DAC43BC">
      <w:pPr>
        <w:pStyle w:val="18"/>
        <w:spacing w:line="400" w:lineRule="exact"/>
        <w:ind w:firstLine="480"/>
        <w:rPr>
          <w:rFonts w:hint="eastAsia" w:asciiTheme="minorEastAsia" w:hAnsiTheme="minorEastAsia" w:eastAsiaTheme="minorEastAsia"/>
          <w:sz w:val="24"/>
          <w:szCs w:val="24"/>
          <w:lang w:val="zh-TW" w:eastAsia="zh-TW"/>
        </w:rPr>
      </w:pPr>
      <w:r>
        <w:rPr>
          <w:rFonts w:asciiTheme="minorEastAsia" w:hAnsiTheme="minorEastAsia" w:eastAsiaTheme="minorEastAsia"/>
          <w:sz w:val="24"/>
          <w:szCs w:val="24"/>
          <w:lang w:val="zh-TW" w:eastAsia="zh-TW"/>
        </w:rPr>
        <w:t>*2.</w:t>
      </w:r>
      <w:r>
        <w:rPr>
          <w:rFonts w:hint="eastAsia" w:asciiTheme="minorEastAsia" w:hAnsiTheme="minorEastAsia" w:eastAsiaTheme="minorEastAsia"/>
          <w:sz w:val="24"/>
          <w:szCs w:val="24"/>
          <w:lang w:val="zh-TW" w:eastAsia="zh-TW"/>
        </w:rPr>
        <w:t>投标函（格式见附件</w:t>
      </w:r>
      <w:r>
        <w:rPr>
          <w:rFonts w:hint="eastAsia" w:asciiTheme="minorEastAsia" w:hAnsiTheme="minorEastAsia" w:eastAsiaTheme="minorEastAsia"/>
          <w:sz w:val="24"/>
          <w:szCs w:val="24"/>
          <w:lang w:val="en-US" w:eastAsia="zh-CN"/>
        </w:rPr>
        <w:t>九</w:t>
      </w:r>
      <w:r>
        <w:rPr>
          <w:rFonts w:hint="eastAsia" w:asciiTheme="minorEastAsia" w:hAnsiTheme="minorEastAsia" w:eastAsiaTheme="minorEastAsia"/>
          <w:sz w:val="24"/>
          <w:szCs w:val="24"/>
          <w:lang w:val="zh-TW" w:eastAsia="zh-TW"/>
        </w:rPr>
        <w:t>）； （上传至投标函中）</w:t>
      </w:r>
    </w:p>
    <w:p w14:paraId="4FF7F738">
      <w:pPr>
        <w:pStyle w:val="18"/>
        <w:spacing w:line="400" w:lineRule="exact"/>
        <w:ind w:firstLine="480"/>
        <w:rPr>
          <w:rFonts w:hint="eastAsia" w:asciiTheme="minorEastAsia" w:hAnsiTheme="minorEastAsia" w:eastAsiaTheme="minorEastAsia"/>
          <w:sz w:val="24"/>
          <w:szCs w:val="24"/>
          <w:lang w:val="zh-TW" w:eastAsia="zh-TW"/>
        </w:rPr>
      </w:pPr>
      <w:r>
        <w:rPr>
          <w:rFonts w:hint="eastAsia" w:ascii="宋体" w:hAnsi="宋体" w:eastAsia="宋体" w:cs="宋体"/>
          <w:b/>
          <w:bCs/>
          <w:sz w:val="24"/>
          <w:szCs w:val="24"/>
          <w:highlight w:val="none"/>
          <w:lang w:val="en-US" w:eastAsia="zh-CN"/>
        </w:rPr>
        <w:t>*3.费用组成明细</w:t>
      </w:r>
      <w:r>
        <w:rPr>
          <w:rFonts w:hint="eastAsia" w:ascii="宋体" w:hAnsi="宋体" w:eastAsia="宋体" w:cs="宋体"/>
          <w:b/>
          <w:bCs/>
          <w:sz w:val="24"/>
          <w:szCs w:val="24"/>
          <w:highlight w:val="none"/>
        </w:rPr>
        <w:t>（格式</w:t>
      </w:r>
      <w:r>
        <w:rPr>
          <w:rFonts w:hint="eastAsia" w:ascii="宋体" w:hAnsi="宋体" w:eastAsia="宋体" w:cs="宋体"/>
          <w:b/>
          <w:bCs/>
          <w:sz w:val="24"/>
          <w:szCs w:val="24"/>
          <w:highlight w:val="none"/>
          <w:lang w:val="en-US" w:eastAsia="zh-CN"/>
        </w:rPr>
        <w:t>自拟</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w:t>
      </w:r>
      <w:r>
        <w:rPr>
          <w:rFonts w:hint="eastAsia" w:asciiTheme="minorEastAsia" w:hAnsiTheme="minorEastAsia" w:eastAsiaTheme="minorEastAsia"/>
          <w:sz w:val="24"/>
          <w:szCs w:val="24"/>
          <w:lang w:val="zh-TW" w:eastAsia="zh-TW"/>
        </w:rPr>
        <w:t>（上传至投标函中）</w:t>
      </w:r>
    </w:p>
    <w:p w14:paraId="70877F17">
      <w:pPr>
        <w:pStyle w:val="18"/>
        <w:spacing w:line="400" w:lineRule="exact"/>
        <w:ind w:firstLine="480"/>
        <w:rPr>
          <w:rFonts w:hint="eastAsia" w:cs="SimSong Bold" w:asciiTheme="minorEastAsia" w:hAnsiTheme="minorEastAsia" w:eastAsiaTheme="minorEastAsia"/>
          <w:sz w:val="24"/>
          <w:szCs w:val="24"/>
        </w:rPr>
      </w:pPr>
      <w:r>
        <w:rPr>
          <w:rFonts w:hint="eastAsia" w:asciiTheme="minorEastAsia" w:hAnsiTheme="minorEastAsia" w:eastAsiaTheme="minorEastAsia"/>
          <w:sz w:val="24"/>
          <w:szCs w:val="24"/>
          <w:lang w:val="zh-TW" w:eastAsia="zh-TW"/>
        </w:rPr>
        <w:t>注：</w:t>
      </w:r>
      <w:r>
        <w:rPr>
          <w:rFonts w:hint="eastAsia" w:asciiTheme="minorEastAsia" w:hAnsiTheme="minorEastAsia" w:eastAsiaTheme="minorEastAsia"/>
          <w:sz w:val="24"/>
          <w:szCs w:val="24"/>
          <w:lang w:val="zh-TW"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val="zh-TW" w:eastAsia="zh-CN"/>
        </w:rPr>
        <w:t>）</w:t>
      </w:r>
      <w:r>
        <w:rPr>
          <w:rFonts w:hint="eastAsia" w:asciiTheme="minorEastAsia" w:hAnsiTheme="minorEastAsia" w:eastAsiaTheme="minorEastAsia"/>
          <w:sz w:val="24"/>
          <w:szCs w:val="24"/>
          <w:lang w:val="zh-TW" w:eastAsia="zh-TW"/>
        </w:rPr>
        <w:t xml:space="preserve">完整的一套经济标部分必须以 </w:t>
      </w:r>
      <w:r>
        <w:rPr>
          <w:rFonts w:asciiTheme="minorEastAsia" w:hAnsiTheme="minorEastAsia" w:eastAsiaTheme="minorEastAsia"/>
          <w:sz w:val="24"/>
          <w:szCs w:val="24"/>
          <w:lang w:val="zh-TW" w:eastAsia="zh-TW"/>
        </w:rPr>
        <w:t xml:space="preserve">PDF </w:t>
      </w:r>
      <w:r>
        <w:rPr>
          <w:rFonts w:hint="eastAsia" w:asciiTheme="minorEastAsia" w:hAnsiTheme="minorEastAsia" w:eastAsiaTheme="minorEastAsia"/>
          <w:sz w:val="24"/>
          <w:szCs w:val="24"/>
          <w:lang w:val="zh-TW" w:eastAsia="zh-TW"/>
        </w:rPr>
        <w:t>格式上传至系统内相应位置：</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经济标部分</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按要求上传至</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经济标文件</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里的投标函内。具体操作流程详见《操作手册》，请投标人登录</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公共资源交易平台</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项目投标方</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zh-TW" w:eastAsia="zh-TW"/>
        </w:rPr>
        <w:t>的登录页面下载《操作手册》。</w:t>
      </w:r>
    </w:p>
    <w:p w14:paraId="1923914A">
      <w:pPr>
        <w:pStyle w:val="23"/>
        <w:spacing w:line="400" w:lineRule="exact"/>
        <w:ind w:firstLine="480"/>
        <w:rPr>
          <w:rFonts w:hint="eastAsia" w:asciiTheme="minorEastAsia" w:hAnsiTheme="minorEastAsia" w:eastAsiaTheme="minorEastAsia"/>
          <w:sz w:val="24"/>
          <w:szCs w:val="24"/>
          <w:lang w:val="zh-TW" w:eastAsia="zh-TW"/>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zh-TW" w:eastAsia="zh-TW"/>
        </w:rPr>
        <w:t>开标过程中，如投标单位提供的相关证件（身份证、营业执照等等）为虚假或伪造，一经发现则取消投标或中标资格，并将其记入不良行为记录，并视情节轻重取消在洋口港经济开发区（含区镇、集团公司）1-3年所有项目的投标资格；如开标现场发现投标单位持证（身份证）人与提供身份证不符的，则视为弄虚作假行为，并将其记入不良行为记录，并视情节轻重取消在洋口港经济开发区（含区镇、集团公司）1-3年所有项目的投标资格。</w:t>
      </w:r>
    </w:p>
    <w:p w14:paraId="6FD64566">
      <w:pPr>
        <w:ind w:firstLine="480"/>
        <w:rPr>
          <w:rFonts w:hint="eastAsia" w:cs="Arial Unicode MS" w:asciiTheme="minorEastAsia" w:hAnsiTheme="minorEastAsia" w:eastAsiaTheme="minorEastAsia"/>
          <w:color w:val="000000"/>
          <w:u w:color="000000"/>
          <w:lang w:val="zh-TW" w:eastAsia="zh-TW"/>
        </w:rPr>
      </w:pPr>
      <w:r>
        <w:rPr>
          <w:rFonts w:hint="eastAsia" w:asciiTheme="minorEastAsia" w:hAnsiTheme="minorEastAsia" w:eastAsiaTheme="minorEastAsia"/>
          <w:lang w:val="zh-TW" w:eastAsia="zh-TW"/>
        </w:rPr>
        <w:br w:type="page"/>
      </w:r>
    </w:p>
    <w:p w14:paraId="35A1D25B">
      <w:pPr>
        <w:widowControl w:val="0"/>
        <w:spacing w:line="360" w:lineRule="auto"/>
        <w:ind w:firstLine="481" w:firstLineChars="171"/>
        <w:jc w:val="both"/>
        <w:rPr>
          <w:rFonts w:hint="eastAsia" w:ascii="宋体" w:hAnsi="宋体" w:eastAsia="宋体" w:cs="宋体"/>
          <w:b/>
          <w:bCs/>
          <w:sz w:val="32"/>
          <w:szCs w:val="32"/>
          <w:lang w:eastAsia="zh-CN"/>
        </w:rPr>
      </w:pPr>
      <w:r>
        <w:rPr>
          <w:rFonts w:hint="eastAsia" w:ascii="宋体" w:hAnsi="宋体" w:eastAsia="宋体" w:cs="宋体"/>
          <w:b/>
          <w:bCs/>
          <w:sz w:val="28"/>
          <w:szCs w:val="28"/>
          <w:lang w:eastAsia="zh-CN"/>
        </w:rPr>
        <w:t>附件一：</w:t>
      </w:r>
    </w:p>
    <w:p w14:paraId="1C0FC973">
      <w:pPr>
        <w:widowControl w:val="0"/>
        <w:spacing w:line="360" w:lineRule="auto"/>
        <w:ind w:firstLine="6274" w:firstLineChars="1953"/>
        <w:jc w:val="both"/>
        <w:rPr>
          <w:rFonts w:hint="eastAsia" w:ascii="宋体" w:hAnsi="宋体" w:eastAsia="宋体" w:cs="宋体"/>
          <w:b/>
          <w:bCs/>
          <w:sz w:val="28"/>
          <w:szCs w:val="28"/>
          <w:lang w:eastAsia="zh-CN"/>
        </w:rPr>
      </w:pPr>
      <w:r>
        <w:rPr>
          <w:rFonts w:hint="eastAsia" w:ascii="宋体" w:hAnsi="宋体" w:eastAsia="宋体" w:cs="宋体"/>
          <w:b/>
          <w:bCs/>
          <w:sz w:val="32"/>
          <w:szCs w:val="32"/>
          <w:lang w:eastAsia="zh-CN"/>
        </w:rPr>
        <w:t>（正本/副本）</w:t>
      </w:r>
    </w:p>
    <w:p w14:paraId="24AFF2D5">
      <w:pPr>
        <w:widowControl w:val="0"/>
        <w:spacing w:line="360" w:lineRule="auto"/>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p>
    <w:p w14:paraId="0D0395BF">
      <w:pPr>
        <w:widowControl w:val="0"/>
        <w:adjustRightInd w:val="0"/>
        <w:spacing w:line="360" w:lineRule="auto"/>
        <w:ind w:firstLine="482"/>
        <w:jc w:val="center"/>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 xml:space="preserve">如东洋口港经济开发区金牛码头病媒生物监测与防治项目    </w:t>
      </w:r>
    </w:p>
    <w:p w14:paraId="5D9474FC">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2358D505">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21F0E2C1">
      <w:pPr>
        <w:widowControl w:val="0"/>
        <w:jc w:val="both"/>
        <w:rPr>
          <w:rFonts w:hint="eastAsia" w:ascii="宋体" w:hAnsi="宋体" w:eastAsia="宋体" w:cs="宋体"/>
          <w:sz w:val="20"/>
          <w:szCs w:val="21"/>
          <w:lang w:eastAsia="zh-CN"/>
        </w:rPr>
      </w:pPr>
    </w:p>
    <w:p w14:paraId="3137D9F6">
      <w:pPr>
        <w:widowControl w:val="0"/>
        <w:jc w:val="both"/>
        <w:rPr>
          <w:rFonts w:hint="eastAsia" w:ascii="宋体" w:hAnsi="宋体" w:eastAsia="宋体" w:cs="宋体"/>
          <w:sz w:val="20"/>
          <w:szCs w:val="21"/>
          <w:lang w:eastAsia="zh-CN"/>
        </w:rPr>
      </w:pPr>
    </w:p>
    <w:p w14:paraId="46B16FA9">
      <w:pPr>
        <w:widowControl w:val="0"/>
        <w:adjustRightInd w:val="0"/>
        <w:spacing w:line="360" w:lineRule="auto"/>
        <w:ind w:firstLine="482"/>
        <w:jc w:val="center"/>
        <w:textAlignment w:val="baseline"/>
        <w:rPr>
          <w:rFonts w:hint="eastAsia" w:ascii="宋体" w:hAnsi="宋体" w:eastAsia="宋体" w:cs="宋体"/>
          <w:b/>
          <w:bCs/>
          <w:spacing w:val="60"/>
          <w:sz w:val="48"/>
          <w:szCs w:val="48"/>
          <w:lang w:eastAsia="zh-CN"/>
        </w:rPr>
      </w:pPr>
      <w:r>
        <w:rPr>
          <w:rFonts w:hint="eastAsia" w:ascii="宋体" w:hAnsi="宋体" w:eastAsia="宋体" w:cs="宋体"/>
          <w:b/>
          <w:bCs/>
          <w:spacing w:val="60"/>
          <w:sz w:val="48"/>
          <w:szCs w:val="48"/>
          <w:lang w:eastAsia="zh-CN"/>
        </w:rPr>
        <w:t>资格审查标</w:t>
      </w:r>
    </w:p>
    <w:p w14:paraId="20157034">
      <w:pPr>
        <w:widowControl w:val="0"/>
        <w:adjustRightInd w:val="0"/>
        <w:spacing w:line="360" w:lineRule="auto"/>
        <w:ind w:firstLine="482"/>
        <w:jc w:val="center"/>
        <w:textAlignment w:val="baseline"/>
        <w:rPr>
          <w:rFonts w:hint="eastAsia" w:ascii="宋体" w:hAnsi="宋体" w:eastAsia="宋体" w:cs="宋体"/>
          <w:sz w:val="32"/>
          <w:szCs w:val="32"/>
          <w:lang w:eastAsia="zh-CN"/>
        </w:rPr>
      </w:pPr>
    </w:p>
    <w:p w14:paraId="717E2B24">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104A0362">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02709176">
      <w:pPr>
        <w:widowControl w:val="0"/>
        <w:adjustRightInd w:val="0"/>
        <w:spacing w:line="360" w:lineRule="auto"/>
        <w:jc w:val="both"/>
        <w:textAlignment w:val="baseline"/>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投标人(盖章)：</w:t>
      </w:r>
      <w:r>
        <w:rPr>
          <w:rFonts w:hint="eastAsia" w:ascii="宋体" w:hAnsi="宋体" w:eastAsia="宋体" w:cs="宋体"/>
          <w:sz w:val="28"/>
          <w:szCs w:val="28"/>
          <w:u w:val="single"/>
          <w:lang w:eastAsia="zh-CN"/>
        </w:rPr>
        <w:t xml:space="preserve">                                 </w:t>
      </w:r>
    </w:p>
    <w:p w14:paraId="3388FA97">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29023878">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 (签字或盖章)：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553D1442">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233EF874">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日   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41CE30C3">
      <w:pPr>
        <w:spacing w:before="100" w:beforeAutospacing="1" w:after="100" w:afterAutospacing="1"/>
        <w:rPr>
          <w:rFonts w:hint="eastAsia" w:ascii="宋体" w:hAnsi="宋体" w:eastAsia="宋体" w:cs="宋体"/>
          <w:b/>
          <w:kern w:val="2"/>
          <w:sz w:val="28"/>
          <w:szCs w:val="28"/>
          <w:lang w:eastAsia="zh-CN"/>
        </w:rPr>
      </w:pPr>
    </w:p>
    <w:p w14:paraId="1E3192A4">
      <w:pPr>
        <w:spacing w:before="100" w:beforeAutospacing="1" w:after="100" w:afterAutospacing="1"/>
        <w:rPr>
          <w:rFonts w:hint="eastAsia" w:ascii="宋体" w:hAnsi="宋体" w:eastAsia="宋体" w:cs="宋体"/>
          <w:b/>
          <w:kern w:val="2"/>
          <w:sz w:val="28"/>
          <w:szCs w:val="28"/>
          <w:lang w:eastAsia="zh-CN"/>
        </w:rPr>
      </w:pPr>
    </w:p>
    <w:p w14:paraId="6ED36355">
      <w:pPr>
        <w:spacing w:before="100" w:beforeAutospacing="1" w:after="100" w:afterAutospacing="1"/>
        <w:rPr>
          <w:rFonts w:hint="eastAsia" w:ascii="宋体" w:hAnsi="宋体" w:eastAsia="宋体" w:cs="宋体"/>
          <w:b/>
          <w:kern w:val="2"/>
          <w:sz w:val="28"/>
          <w:szCs w:val="28"/>
          <w:lang w:eastAsia="zh-CN"/>
        </w:rPr>
      </w:pPr>
    </w:p>
    <w:p w14:paraId="3E96B834">
      <w:pPr>
        <w:spacing w:before="100" w:beforeAutospacing="1" w:after="100" w:afterAutospacing="1"/>
        <w:rPr>
          <w:rFonts w:hint="eastAsia" w:ascii="宋体" w:hAnsi="宋体" w:eastAsia="宋体" w:cs="宋体"/>
          <w:b/>
          <w:kern w:val="2"/>
          <w:sz w:val="28"/>
          <w:szCs w:val="28"/>
          <w:lang w:eastAsia="zh-CN"/>
        </w:rPr>
      </w:pPr>
      <w:r>
        <w:rPr>
          <w:rFonts w:hint="eastAsia" w:ascii="宋体" w:hAnsi="宋体" w:eastAsia="宋体" w:cs="宋体"/>
          <w:b/>
          <w:kern w:val="2"/>
          <w:sz w:val="28"/>
          <w:szCs w:val="28"/>
          <w:lang w:eastAsia="zh-CN"/>
        </w:rPr>
        <w:br w:type="page"/>
      </w:r>
      <w:r>
        <w:rPr>
          <w:rFonts w:hint="eastAsia" w:ascii="宋体" w:hAnsi="宋体" w:eastAsia="宋体" w:cs="宋体"/>
          <w:b/>
          <w:kern w:val="2"/>
          <w:sz w:val="28"/>
          <w:szCs w:val="28"/>
          <w:lang w:eastAsia="zh-CN"/>
        </w:rPr>
        <w:t xml:space="preserve">附件二：            </w:t>
      </w:r>
    </w:p>
    <w:p w14:paraId="37257457">
      <w:pPr>
        <w:widowControl w:val="0"/>
        <w:adjustRightInd w:val="0"/>
        <w:spacing w:line="420" w:lineRule="atLeas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32ECF217">
      <w:pPr>
        <w:widowControl w:val="0"/>
        <w:spacing w:line="420" w:lineRule="atLeast"/>
        <w:jc w:val="center"/>
        <w:rPr>
          <w:rFonts w:hint="eastAsia" w:ascii="宋体" w:hAnsi="宋体" w:eastAsia="宋体" w:cs="宋体"/>
          <w:sz w:val="28"/>
          <w:szCs w:val="28"/>
          <w:lang w:eastAsia="zh-CN"/>
        </w:rPr>
      </w:pPr>
    </w:p>
    <w:p w14:paraId="471036F2">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单位名称：</w:t>
      </w:r>
      <w:r>
        <w:rPr>
          <w:rFonts w:hint="eastAsia" w:ascii="宋体" w:hAnsi="宋体" w:eastAsia="宋体" w:cs="宋体"/>
          <w:u w:val="single"/>
          <w:lang w:eastAsia="zh-CN"/>
        </w:rPr>
        <w:t xml:space="preserve">                                 </w:t>
      </w:r>
    </w:p>
    <w:p w14:paraId="5418AC8B">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单位性质：</w:t>
      </w:r>
      <w:r>
        <w:rPr>
          <w:rFonts w:hint="eastAsia" w:ascii="宋体" w:hAnsi="宋体" w:eastAsia="宋体" w:cs="宋体"/>
          <w:u w:val="single"/>
          <w:lang w:eastAsia="zh-CN"/>
        </w:rPr>
        <w:t xml:space="preserve">                                 </w:t>
      </w:r>
    </w:p>
    <w:p w14:paraId="51A0270A">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地    址：</w:t>
      </w:r>
      <w:r>
        <w:rPr>
          <w:rFonts w:hint="eastAsia" w:ascii="宋体" w:hAnsi="宋体" w:eastAsia="宋体" w:cs="宋体"/>
          <w:u w:val="single"/>
          <w:lang w:eastAsia="zh-CN"/>
        </w:rPr>
        <w:t xml:space="preserve">                                 </w:t>
      </w:r>
    </w:p>
    <w:p w14:paraId="08067C9C">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成立时间：</w:t>
      </w:r>
      <w:r>
        <w:rPr>
          <w:rFonts w:hint="eastAsia" w:ascii="宋体" w:hAnsi="宋体" w:eastAsia="宋体" w:cs="宋体"/>
          <w:u w:val="single"/>
          <w:lang w:eastAsia="zh-CN"/>
        </w:rPr>
        <w:t xml:space="preserve">            </w:t>
      </w:r>
      <w:r>
        <w:rPr>
          <w:rFonts w:hint="eastAsia" w:ascii="宋体" w:hAnsi="宋体" w:eastAsia="宋体" w:cs="宋体"/>
          <w:lang w:eastAsia="zh-CN"/>
        </w:rPr>
        <w:t>年</w:t>
      </w:r>
      <w:r>
        <w:rPr>
          <w:rFonts w:hint="eastAsia" w:ascii="宋体" w:hAnsi="宋体" w:eastAsia="宋体" w:cs="宋体"/>
          <w:u w:val="single"/>
          <w:lang w:eastAsia="zh-CN"/>
        </w:rPr>
        <w:t xml:space="preserve">        </w:t>
      </w:r>
      <w:r>
        <w:rPr>
          <w:rFonts w:hint="eastAsia" w:ascii="宋体" w:hAnsi="宋体" w:eastAsia="宋体" w:cs="宋体"/>
          <w:lang w:eastAsia="zh-CN"/>
        </w:rPr>
        <w:t>月</w:t>
      </w:r>
      <w:r>
        <w:rPr>
          <w:rFonts w:hint="eastAsia" w:ascii="宋体" w:hAnsi="宋体" w:eastAsia="宋体" w:cs="宋体"/>
          <w:u w:val="single"/>
          <w:lang w:eastAsia="zh-CN"/>
        </w:rPr>
        <w:t xml:space="preserve">         </w:t>
      </w:r>
      <w:r>
        <w:rPr>
          <w:rFonts w:hint="eastAsia" w:ascii="宋体" w:hAnsi="宋体" w:eastAsia="宋体" w:cs="宋体"/>
          <w:lang w:eastAsia="zh-CN"/>
        </w:rPr>
        <w:t>日</w:t>
      </w:r>
    </w:p>
    <w:p w14:paraId="7BE71534">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经营期限：</w:t>
      </w:r>
      <w:r>
        <w:rPr>
          <w:rFonts w:hint="eastAsia" w:ascii="宋体" w:hAnsi="宋体" w:eastAsia="宋体" w:cs="宋体"/>
          <w:u w:val="single"/>
          <w:lang w:eastAsia="zh-CN"/>
        </w:rPr>
        <w:t xml:space="preserve">                                  </w:t>
      </w:r>
    </w:p>
    <w:p w14:paraId="6B25765B">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姓    名：</w:t>
      </w:r>
      <w:r>
        <w:rPr>
          <w:rFonts w:hint="eastAsia" w:ascii="宋体" w:hAnsi="宋体" w:eastAsia="宋体" w:cs="宋体"/>
          <w:u w:val="single"/>
          <w:lang w:eastAsia="zh-CN"/>
        </w:rPr>
        <w:t xml:space="preserve">             </w:t>
      </w:r>
      <w:r>
        <w:rPr>
          <w:rFonts w:hint="eastAsia" w:ascii="宋体" w:hAnsi="宋体" w:eastAsia="宋体" w:cs="宋体"/>
          <w:lang w:eastAsia="zh-CN"/>
        </w:rPr>
        <w:t>性别：</w:t>
      </w:r>
      <w:r>
        <w:rPr>
          <w:rFonts w:hint="eastAsia" w:ascii="宋体" w:hAnsi="宋体" w:eastAsia="宋体" w:cs="宋体"/>
          <w:u w:val="single"/>
          <w:lang w:eastAsia="zh-CN"/>
        </w:rPr>
        <w:t xml:space="preserve">          </w:t>
      </w:r>
      <w:r>
        <w:rPr>
          <w:rFonts w:hint="eastAsia" w:ascii="宋体" w:hAnsi="宋体" w:eastAsia="宋体" w:cs="宋体"/>
          <w:lang w:eastAsia="zh-CN"/>
        </w:rPr>
        <w:t>年龄：</w:t>
      </w:r>
      <w:r>
        <w:rPr>
          <w:rFonts w:hint="eastAsia" w:ascii="宋体" w:hAnsi="宋体" w:eastAsia="宋体" w:cs="宋体"/>
          <w:u w:val="single"/>
          <w:lang w:eastAsia="zh-CN"/>
        </w:rPr>
        <w:t xml:space="preserve">           </w:t>
      </w:r>
    </w:p>
    <w:p w14:paraId="173A74AD">
      <w:pPr>
        <w:widowControl w:val="0"/>
        <w:spacing w:line="480" w:lineRule="auto"/>
        <w:ind w:firstLine="480" w:firstLineChars="200"/>
        <w:jc w:val="both"/>
        <w:rPr>
          <w:rFonts w:hint="eastAsia" w:ascii="宋体" w:hAnsi="宋体" w:eastAsia="宋体" w:cs="宋体"/>
          <w:u w:val="single"/>
          <w:lang w:eastAsia="zh-CN"/>
        </w:rPr>
      </w:pPr>
      <w:r>
        <w:rPr>
          <w:rFonts w:hint="eastAsia" w:ascii="宋体" w:hAnsi="宋体" w:eastAsia="宋体" w:cs="宋体"/>
          <w:lang w:eastAsia="zh-CN"/>
        </w:rPr>
        <w:t>职务：</w:t>
      </w:r>
      <w:r>
        <w:rPr>
          <w:rFonts w:hint="eastAsia" w:ascii="宋体" w:hAnsi="宋体" w:eastAsia="宋体" w:cs="宋体"/>
          <w:u w:val="single"/>
          <w:lang w:eastAsia="zh-CN"/>
        </w:rPr>
        <w:t xml:space="preserve">               </w:t>
      </w:r>
      <w:r>
        <w:rPr>
          <w:rFonts w:hint="eastAsia" w:ascii="宋体" w:hAnsi="宋体" w:eastAsia="宋体" w:cs="宋体"/>
          <w:lang w:eastAsia="zh-CN"/>
        </w:rPr>
        <w:t>系：</w:t>
      </w:r>
      <w:r>
        <w:rPr>
          <w:rFonts w:hint="eastAsia" w:ascii="宋体" w:hAnsi="宋体" w:eastAsia="宋体" w:cs="宋体"/>
          <w:u w:val="single"/>
          <w:lang w:eastAsia="zh-CN"/>
        </w:rPr>
        <w:t xml:space="preserve">     (投标单位名称)           </w:t>
      </w:r>
    </w:p>
    <w:p w14:paraId="389ACED0">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u w:val="single"/>
          <w:lang w:eastAsia="zh-CN"/>
        </w:rPr>
        <w:t xml:space="preserve">                                   </w:t>
      </w:r>
      <w:r>
        <w:rPr>
          <w:rFonts w:hint="eastAsia" w:ascii="宋体" w:hAnsi="宋体" w:eastAsia="宋体" w:cs="宋体"/>
          <w:lang w:eastAsia="zh-CN"/>
        </w:rPr>
        <w:t>的法定代表人。</w:t>
      </w:r>
    </w:p>
    <w:p w14:paraId="25FCE3B8">
      <w:pPr>
        <w:widowControl w:val="0"/>
        <w:spacing w:line="480" w:lineRule="auto"/>
        <w:ind w:firstLine="480" w:firstLineChars="200"/>
        <w:jc w:val="both"/>
        <w:rPr>
          <w:rFonts w:hint="eastAsia" w:ascii="宋体" w:hAnsi="宋体" w:eastAsia="宋体" w:cs="宋体"/>
          <w:lang w:eastAsia="zh-CN"/>
        </w:rPr>
      </w:pPr>
    </w:p>
    <w:p w14:paraId="71B8E1BB">
      <w:pPr>
        <w:widowControl w:val="0"/>
        <w:spacing w:line="480" w:lineRule="auto"/>
        <w:ind w:firstLine="480" w:firstLineChars="200"/>
        <w:jc w:val="both"/>
        <w:rPr>
          <w:rFonts w:hint="eastAsia" w:ascii="宋体" w:hAnsi="宋体" w:eastAsia="宋体" w:cs="宋体"/>
          <w:lang w:eastAsia="zh-CN"/>
        </w:rPr>
      </w:pPr>
      <w:r>
        <w:rPr>
          <w:rFonts w:hint="eastAsia" w:ascii="宋体" w:hAnsi="宋体" w:eastAsia="宋体" w:cs="宋体"/>
          <w:lang w:eastAsia="zh-CN"/>
        </w:rPr>
        <w:t>特此证明</w:t>
      </w:r>
    </w:p>
    <w:p w14:paraId="5CB8C59B">
      <w:pPr>
        <w:widowControl w:val="0"/>
        <w:spacing w:line="480" w:lineRule="auto"/>
        <w:ind w:firstLine="3840" w:firstLineChars="1600"/>
        <w:jc w:val="both"/>
        <w:rPr>
          <w:rFonts w:hint="eastAsia" w:ascii="宋体" w:hAnsi="宋体" w:eastAsia="宋体" w:cs="宋体"/>
          <w:lang w:eastAsia="zh-CN"/>
        </w:rPr>
      </w:pPr>
      <w:r>
        <w:rPr>
          <w:rFonts w:hint="eastAsia" w:ascii="宋体" w:hAnsi="宋体" w:eastAsia="宋体" w:cs="宋体"/>
          <w:lang w:eastAsia="zh-CN"/>
        </w:rPr>
        <w:t>投标单位(加盖公章)：</w:t>
      </w:r>
      <w:r>
        <w:rPr>
          <w:rFonts w:hint="eastAsia" w:ascii="宋体" w:hAnsi="宋体" w:eastAsia="宋体" w:cs="宋体"/>
          <w:u w:val="single"/>
          <w:lang w:eastAsia="zh-CN"/>
        </w:rPr>
        <w:t xml:space="preserve">                </w:t>
      </w:r>
    </w:p>
    <w:p w14:paraId="3781C31F">
      <w:pPr>
        <w:widowControl w:val="0"/>
        <w:spacing w:line="480" w:lineRule="auto"/>
        <w:ind w:firstLine="3840" w:firstLineChars="1600"/>
        <w:jc w:val="both"/>
        <w:rPr>
          <w:rFonts w:hint="eastAsia" w:ascii="宋体" w:hAnsi="宋体" w:eastAsia="宋体" w:cs="宋体"/>
          <w:lang w:eastAsia="zh-CN"/>
        </w:rPr>
      </w:pPr>
    </w:p>
    <w:p w14:paraId="082740C0">
      <w:pPr>
        <w:widowControl w:val="0"/>
        <w:spacing w:line="480" w:lineRule="auto"/>
        <w:ind w:firstLine="3840" w:firstLineChars="1600"/>
        <w:jc w:val="both"/>
        <w:rPr>
          <w:rFonts w:hint="eastAsia" w:ascii="宋体" w:hAnsi="宋体" w:eastAsia="宋体" w:cs="宋体"/>
          <w:b/>
          <w:bCs/>
          <w:lang w:eastAsia="zh-CN"/>
        </w:rPr>
      </w:pPr>
      <w:r>
        <w:rPr>
          <w:rFonts w:hint="eastAsia" w:ascii="宋体" w:hAnsi="宋体" w:eastAsia="宋体" w:cs="宋体"/>
          <w:lang w:eastAsia="zh-CN"/>
        </w:rPr>
        <w:t>日 期：</w:t>
      </w:r>
      <w:r>
        <w:rPr>
          <w:rFonts w:hint="eastAsia" w:ascii="宋体" w:hAnsi="宋体" w:eastAsia="宋体" w:cs="宋体"/>
          <w:u w:val="single"/>
          <w:lang w:eastAsia="zh-CN"/>
        </w:rPr>
        <w:t xml:space="preserve">     </w:t>
      </w:r>
      <w:r>
        <w:rPr>
          <w:rFonts w:hint="eastAsia" w:ascii="宋体" w:hAnsi="宋体" w:eastAsia="宋体" w:cs="宋体"/>
          <w:lang w:eastAsia="zh-CN"/>
        </w:rPr>
        <w:t>年</w:t>
      </w:r>
      <w:r>
        <w:rPr>
          <w:rFonts w:hint="eastAsia" w:ascii="宋体" w:hAnsi="宋体" w:eastAsia="宋体" w:cs="宋体"/>
          <w:u w:val="single"/>
          <w:lang w:eastAsia="zh-CN"/>
        </w:rPr>
        <w:t xml:space="preserve">   </w:t>
      </w:r>
      <w:r>
        <w:rPr>
          <w:rFonts w:hint="eastAsia" w:ascii="宋体" w:hAnsi="宋体" w:eastAsia="宋体" w:cs="宋体"/>
          <w:lang w:eastAsia="zh-CN"/>
        </w:rPr>
        <w:t>月</w:t>
      </w:r>
      <w:r>
        <w:rPr>
          <w:rFonts w:hint="eastAsia" w:ascii="宋体" w:hAnsi="宋体" w:eastAsia="宋体" w:cs="宋体"/>
          <w:u w:val="single"/>
          <w:lang w:eastAsia="zh-CN"/>
        </w:rPr>
        <w:t xml:space="preserve">   </w:t>
      </w:r>
      <w:r>
        <w:rPr>
          <w:rFonts w:hint="eastAsia" w:ascii="宋体" w:hAnsi="宋体" w:eastAsia="宋体" w:cs="宋体"/>
          <w:lang w:eastAsia="zh-CN"/>
        </w:rPr>
        <w:t>日</w:t>
      </w:r>
    </w:p>
    <w:p w14:paraId="64EBB9F9">
      <w:pPr>
        <w:spacing w:before="100" w:beforeAutospacing="1" w:after="100" w:afterAutospacing="1" w:line="225" w:lineRule="atLeast"/>
        <w:jc w:val="both"/>
        <w:rPr>
          <w:rFonts w:hint="eastAsia" w:ascii="宋体" w:hAnsi="宋体" w:eastAsia="宋体" w:cs="宋体"/>
          <w:b/>
          <w:bCs/>
          <w:lang w:eastAsia="zh-CN"/>
        </w:rPr>
      </w:pPr>
      <w:r>
        <w:rPr>
          <w:rFonts w:hint="eastAsia" w:ascii="宋体" w:hAnsi="宋体" w:eastAsia="宋体" w:cs="宋体"/>
          <w:b/>
          <w:bCs/>
          <w:lang w:eastAsia="zh-CN"/>
        </w:rPr>
        <w:t>附法定代表人身份证复印件（加盖公章）：</w:t>
      </w:r>
    </w:p>
    <w:p w14:paraId="424A7673">
      <w:pPr>
        <w:spacing w:before="100" w:beforeAutospacing="1" w:after="100" w:afterAutospacing="1" w:line="225" w:lineRule="atLeast"/>
        <w:jc w:val="both"/>
        <w:rPr>
          <w:rFonts w:hint="eastAsia" w:ascii="宋体" w:hAnsi="宋体" w:eastAsia="宋体" w:cs="宋体"/>
          <w:b/>
          <w:bCs/>
          <w:sz w:val="28"/>
          <w:szCs w:val="28"/>
          <w:lang w:eastAsia="zh-CN"/>
        </w:rPr>
      </w:pPr>
    </w:p>
    <w:p w14:paraId="3DAEF052">
      <w:pPr>
        <w:spacing w:before="100" w:beforeAutospacing="1" w:after="100" w:afterAutospacing="1" w:line="225" w:lineRule="atLeast"/>
        <w:jc w:val="both"/>
        <w:rPr>
          <w:rFonts w:hint="eastAsia" w:ascii="宋体" w:hAnsi="宋体" w:eastAsia="宋体" w:cs="宋体"/>
          <w:b/>
          <w:bCs/>
          <w:sz w:val="28"/>
          <w:szCs w:val="28"/>
          <w:lang w:eastAsia="zh-CN"/>
        </w:rPr>
      </w:pPr>
    </w:p>
    <w:p w14:paraId="7B464BC2">
      <w:pPr>
        <w:spacing w:before="100" w:beforeAutospacing="1" w:after="100" w:afterAutospacing="1" w:line="225" w:lineRule="atLeast"/>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r>
        <w:rPr>
          <w:rFonts w:hint="eastAsia" w:ascii="宋体" w:hAnsi="宋体" w:eastAsia="宋体" w:cs="宋体"/>
          <w:b/>
          <w:bCs/>
          <w:sz w:val="28"/>
          <w:szCs w:val="28"/>
          <w:lang w:eastAsia="zh-CN"/>
        </w:rPr>
        <w:t>附件三：</w:t>
      </w:r>
    </w:p>
    <w:p w14:paraId="52D546BD">
      <w:pPr>
        <w:widowControl w:val="0"/>
        <w:spacing w:line="500" w:lineRule="exact"/>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lang w:eastAsia="zh-CN"/>
        </w:rPr>
        <w:t>法 定 代 表 人 授 权 委 托 书</w:t>
      </w:r>
    </w:p>
    <w:p w14:paraId="5B07A4D7">
      <w:pPr>
        <w:widowControl w:val="0"/>
        <w:spacing w:line="500" w:lineRule="exact"/>
        <w:ind w:firstLine="560" w:firstLineChars="200"/>
        <w:jc w:val="both"/>
        <w:rPr>
          <w:rFonts w:hint="eastAsia" w:ascii="宋体" w:hAnsi="宋体" w:eastAsia="宋体" w:cs="宋体"/>
          <w:kern w:val="2"/>
          <w:sz w:val="28"/>
          <w:szCs w:val="28"/>
          <w:lang w:eastAsia="zh-CN"/>
        </w:rPr>
      </w:pPr>
    </w:p>
    <w:p w14:paraId="4F4BA053">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u w:val="single"/>
          <w:lang w:eastAsia="zh-CN"/>
        </w:rPr>
        <w:t>江苏洋口港港务有限公司</w:t>
      </w:r>
      <w:r>
        <w:rPr>
          <w:rFonts w:hint="eastAsia" w:ascii="宋体" w:hAnsi="宋体" w:eastAsia="宋体" w:cs="宋体"/>
          <w:kern w:val="2"/>
          <w:u w:val="single"/>
          <w:lang w:val="en-US" w:eastAsia="zh-CN"/>
        </w:rPr>
        <w:t>、江苏洋口宁港码头物流有限公司</w:t>
      </w:r>
      <w:r>
        <w:rPr>
          <w:rFonts w:hint="eastAsia" w:ascii="宋体" w:hAnsi="宋体" w:eastAsia="宋体" w:cs="宋体"/>
          <w:kern w:val="2"/>
          <w:lang w:eastAsia="zh-CN"/>
        </w:rPr>
        <w:t>：</w:t>
      </w:r>
    </w:p>
    <w:p w14:paraId="2352704A">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 xml:space="preserve">    本授权书声明：</w:t>
      </w:r>
    </w:p>
    <w:p w14:paraId="2CAA7C15">
      <w:pPr>
        <w:widowControl w:val="0"/>
        <w:spacing w:line="400" w:lineRule="exact"/>
        <w:jc w:val="both"/>
        <w:rPr>
          <w:rFonts w:hint="eastAsia" w:ascii="宋体" w:hAnsi="宋体" w:eastAsia="宋体" w:cs="宋体"/>
          <w:b/>
          <w:spacing w:val="20"/>
          <w:kern w:val="2"/>
          <w:lang w:eastAsia="zh-CN"/>
        </w:rPr>
      </w:pPr>
      <w:r>
        <w:rPr>
          <w:rFonts w:hint="eastAsia" w:ascii="宋体" w:hAnsi="宋体" w:eastAsia="宋体" w:cs="宋体"/>
          <w:kern w:val="2"/>
          <w:lang w:eastAsia="zh-CN"/>
        </w:rPr>
        <w:t>我</w:t>
      </w:r>
      <w:r>
        <w:rPr>
          <w:rFonts w:hint="eastAsia" w:ascii="宋体" w:hAnsi="宋体" w:eastAsia="宋体" w:cs="宋体"/>
          <w:kern w:val="2"/>
          <w:u w:val="single"/>
          <w:lang w:eastAsia="zh-CN"/>
        </w:rPr>
        <w:t xml:space="preserve">（姓名）             </w:t>
      </w:r>
      <w:r>
        <w:rPr>
          <w:rFonts w:hint="eastAsia" w:ascii="宋体" w:hAnsi="宋体" w:eastAsia="宋体" w:cs="宋体"/>
          <w:kern w:val="2"/>
          <w:lang w:eastAsia="zh-CN"/>
        </w:rPr>
        <w:t>，系</w:t>
      </w:r>
      <w:r>
        <w:rPr>
          <w:rFonts w:hint="eastAsia" w:ascii="宋体" w:hAnsi="宋体" w:eastAsia="宋体" w:cs="宋体"/>
          <w:kern w:val="2"/>
          <w:u w:val="single"/>
          <w:lang w:eastAsia="zh-CN"/>
        </w:rPr>
        <w:t xml:space="preserve">（投标人全称）                       </w:t>
      </w:r>
      <w:r>
        <w:rPr>
          <w:rFonts w:hint="eastAsia" w:ascii="宋体" w:hAnsi="宋体" w:eastAsia="宋体" w:cs="宋体"/>
          <w:kern w:val="2"/>
          <w:lang w:eastAsia="zh-CN"/>
        </w:rPr>
        <w:t>的法定代表人，现授权</w:t>
      </w:r>
      <w:r>
        <w:rPr>
          <w:rFonts w:hint="eastAsia" w:ascii="宋体" w:hAnsi="宋体" w:eastAsia="宋体" w:cs="宋体"/>
          <w:kern w:val="2"/>
          <w:u w:val="single"/>
          <w:lang w:eastAsia="zh-CN"/>
        </w:rPr>
        <w:t xml:space="preserve">（姓名）             </w:t>
      </w:r>
      <w:r>
        <w:rPr>
          <w:rFonts w:hint="eastAsia" w:ascii="宋体" w:hAnsi="宋体" w:eastAsia="宋体" w:cs="宋体"/>
          <w:kern w:val="2"/>
          <w:lang w:eastAsia="zh-CN"/>
        </w:rPr>
        <w:t>为我公司的授权委托人，以我公司的名义参加</w:t>
      </w:r>
      <w:r>
        <w:rPr>
          <w:rFonts w:hint="eastAsia" w:ascii="宋体" w:hAnsi="宋体" w:eastAsia="宋体" w:cs="宋体"/>
          <w:kern w:val="2"/>
          <w:u w:val="single"/>
          <w:lang w:eastAsia="zh-CN"/>
        </w:rPr>
        <w:t>如东洋口港经济开发区金牛码头病媒生物监测与防治项目</w:t>
      </w:r>
      <w:r>
        <w:rPr>
          <w:rFonts w:hint="eastAsia" w:ascii="宋体" w:hAnsi="宋体" w:eastAsia="宋体" w:cs="宋体"/>
          <w:bCs/>
          <w:kern w:val="2"/>
          <w:lang w:eastAsia="zh-CN"/>
        </w:rPr>
        <w:t>的</w:t>
      </w:r>
      <w:r>
        <w:rPr>
          <w:rFonts w:hint="eastAsia" w:ascii="宋体" w:hAnsi="宋体" w:eastAsia="宋体" w:cs="宋体"/>
          <w:kern w:val="2"/>
          <w:lang w:eastAsia="zh-CN"/>
        </w:rPr>
        <w:t>投标，全权代表我单位处理本次招投标的一切事宜。</w:t>
      </w:r>
    </w:p>
    <w:p w14:paraId="23670A1F">
      <w:pPr>
        <w:widowControl w:val="0"/>
        <w:spacing w:line="540" w:lineRule="exact"/>
        <w:ind w:firstLine="480" w:firstLineChars="200"/>
        <w:rPr>
          <w:rFonts w:hint="eastAsia" w:ascii="宋体" w:hAnsi="宋体" w:eastAsia="宋体" w:cs="宋体"/>
          <w:kern w:val="2"/>
          <w:lang w:eastAsia="zh-CN"/>
        </w:rPr>
      </w:pPr>
      <w:r>
        <w:rPr>
          <w:rFonts w:hint="eastAsia" w:ascii="宋体" w:hAnsi="宋体" w:eastAsia="宋体" w:cs="宋体"/>
          <w:kern w:val="2"/>
          <w:lang w:eastAsia="zh-CN"/>
        </w:rPr>
        <w:t>授权委托人在本项目采购过程中所签署的一切文件、承诺和处理与之有关的一切事务，我均予以承认。</w:t>
      </w:r>
    </w:p>
    <w:p w14:paraId="42FC0E98">
      <w:pPr>
        <w:widowControl w:val="0"/>
        <w:spacing w:line="540" w:lineRule="exact"/>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授权委托人无转委权。</w:t>
      </w:r>
    </w:p>
    <w:p w14:paraId="5AC8B40F">
      <w:pPr>
        <w:widowControl w:val="0"/>
        <w:spacing w:line="540" w:lineRule="exact"/>
        <w:jc w:val="both"/>
        <w:rPr>
          <w:rFonts w:hint="eastAsia" w:ascii="宋体" w:hAnsi="宋体" w:eastAsia="宋体" w:cs="宋体"/>
          <w:kern w:val="2"/>
          <w:lang w:eastAsia="zh-CN"/>
        </w:rPr>
      </w:pPr>
    </w:p>
    <w:p w14:paraId="60B0914B">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授权委托人情况：</w:t>
      </w:r>
    </w:p>
    <w:p w14:paraId="70C2CF06">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姓名：                             职务：</w:t>
      </w:r>
    </w:p>
    <w:p w14:paraId="7C8CFEC7">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身份证号码：</w:t>
      </w:r>
    </w:p>
    <w:p w14:paraId="4817242F">
      <w:pPr>
        <w:widowControl w:val="0"/>
        <w:spacing w:line="540" w:lineRule="exact"/>
        <w:jc w:val="both"/>
        <w:rPr>
          <w:rFonts w:hint="eastAsia" w:ascii="宋体" w:hAnsi="宋体" w:eastAsia="宋体" w:cs="宋体"/>
          <w:kern w:val="2"/>
          <w:lang w:eastAsia="zh-CN"/>
        </w:rPr>
      </w:pPr>
      <w:r>
        <w:rPr>
          <w:rFonts w:hint="eastAsia" w:ascii="宋体" w:hAnsi="宋体" w:eastAsia="宋体" w:cs="宋体"/>
          <w:kern w:val="2"/>
          <w:lang w:eastAsia="zh-CN"/>
        </w:rPr>
        <w:t>联系电话：                         传真：</w:t>
      </w:r>
    </w:p>
    <w:p w14:paraId="3AD3FDB6">
      <w:pPr>
        <w:widowControl w:val="0"/>
        <w:spacing w:line="600" w:lineRule="exact"/>
        <w:jc w:val="both"/>
        <w:rPr>
          <w:rFonts w:hint="eastAsia" w:ascii="宋体" w:hAnsi="宋体" w:eastAsia="宋体" w:cs="宋体"/>
          <w:kern w:val="2"/>
          <w:lang w:eastAsia="zh-CN"/>
        </w:rPr>
      </w:pPr>
    </w:p>
    <w:p w14:paraId="71B8F266">
      <w:pPr>
        <w:widowControl w:val="0"/>
        <w:spacing w:line="600" w:lineRule="exact"/>
        <w:jc w:val="both"/>
        <w:rPr>
          <w:rFonts w:hint="eastAsia" w:ascii="宋体" w:hAnsi="宋体" w:eastAsia="宋体" w:cs="宋体"/>
          <w:kern w:val="2"/>
          <w:lang w:eastAsia="zh-CN"/>
        </w:rPr>
      </w:pPr>
    </w:p>
    <w:p w14:paraId="5F38379A">
      <w:pPr>
        <w:widowControl w:val="0"/>
        <w:spacing w:line="600" w:lineRule="exact"/>
        <w:jc w:val="both"/>
        <w:rPr>
          <w:rFonts w:hint="eastAsia" w:ascii="宋体" w:hAnsi="宋体" w:eastAsia="宋体" w:cs="宋体"/>
          <w:kern w:val="2"/>
          <w:u w:val="single"/>
          <w:lang w:eastAsia="zh-CN"/>
        </w:rPr>
      </w:pPr>
      <w:r>
        <w:rPr>
          <w:rFonts w:hint="eastAsia" w:ascii="宋体" w:hAnsi="宋体" w:eastAsia="宋体" w:cs="宋体"/>
          <w:kern w:val="2"/>
          <w:lang w:eastAsia="zh-CN"/>
        </w:rPr>
        <w:t>单位名称（加盖公章）：</w:t>
      </w:r>
      <w:r>
        <w:rPr>
          <w:rFonts w:hint="eastAsia" w:ascii="宋体" w:hAnsi="宋体" w:eastAsia="宋体" w:cs="宋体"/>
          <w:kern w:val="2"/>
          <w:u w:val="single"/>
          <w:lang w:eastAsia="zh-CN"/>
        </w:rPr>
        <w:t xml:space="preserve">                             </w:t>
      </w:r>
    </w:p>
    <w:p w14:paraId="0AB9F53A">
      <w:pPr>
        <w:widowControl w:val="0"/>
        <w:spacing w:line="600" w:lineRule="exact"/>
        <w:jc w:val="both"/>
        <w:rPr>
          <w:rFonts w:hint="eastAsia" w:ascii="宋体" w:hAnsi="宋体" w:eastAsia="宋体" w:cs="宋体"/>
          <w:kern w:val="2"/>
          <w:u w:val="single"/>
          <w:lang w:eastAsia="zh-CN"/>
        </w:rPr>
      </w:pPr>
      <w:r>
        <w:rPr>
          <w:rFonts w:hint="eastAsia" w:ascii="宋体" w:hAnsi="宋体" w:eastAsia="宋体" w:cs="宋体"/>
          <w:kern w:val="2"/>
          <w:lang w:eastAsia="zh-CN"/>
        </w:rPr>
        <w:t>法定代表人（签字或盖章）：</w:t>
      </w:r>
      <w:r>
        <w:rPr>
          <w:rFonts w:hint="eastAsia" w:ascii="宋体" w:hAnsi="宋体" w:eastAsia="宋体" w:cs="宋体"/>
          <w:kern w:val="2"/>
          <w:u w:val="single"/>
          <w:lang w:eastAsia="zh-CN"/>
        </w:rPr>
        <w:t xml:space="preserve">                         </w:t>
      </w:r>
    </w:p>
    <w:p w14:paraId="1B01633A">
      <w:pPr>
        <w:widowControl w:val="0"/>
        <w:spacing w:line="600" w:lineRule="exact"/>
        <w:jc w:val="both"/>
        <w:rPr>
          <w:rFonts w:hint="eastAsia" w:ascii="宋体" w:hAnsi="宋体" w:eastAsia="宋体" w:cs="宋体"/>
          <w:kern w:val="2"/>
          <w:lang w:eastAsia="zh-CN"/>
        </w:rPr>
      </w:pPr>
      <w:r>
        <w:rPr>
          <w:rFonts w:hint="eastAsia" w:ascii="宋体" w:hAnsi="宋体" w:eastAsia="宋体" w:cs="宋体"/>
          <w:kern w:val="2"/>
          <w:lang w:eastAsia="zh-CN"/>
        </w:rPr>
        <w:t xml:space="preserve">   日期：        年   月   日</w:t>
      </w:r>
    </w:p>
    <w:p w14:paraId="1F48618B">
      <w:pPr>
        <w:widowControl w:val="0"/>
        <w:jc w:val="both"/>
        <w:rPr>
          <w:rFonts w:hint="eastAsia" w:ascii="宋体" w:hAnsi="宋体" w:eastAsia="宋体" w:cs="宋体"/>
          <w:b/>
          <w:kern w:val="2"/>
          <w:lang w:eastAsia="zh-CN"/>
        </w:rPr>
      </w:pPr>
    </w:p>
    <w:p w14:paraId="36D2D130">
      <w:pPr>
        <w:widowControl w:val="0"/>
        <w:jc w:val="both"/>
        <w:rPr>
          <w:rFonts w:hint="eastAsia" w:ascii="宋体" w:hAnsi="宋体" w:eastAsia="宋体" w:cs="宋体"/>
          <w:b/>
          <w:kern w:val="2"/>
          <w:lang w:eastAsia="zh-CN"/>
        </w:rPr>
      </w:pPr>
      <w:r>
        <w:rPr>
          <w:rFonts w:hint="eastAsia" w:ascii="宋体" w:hAnsi="宋体" w:eastAsia="宋体" w:cs="宋体"/>
          <w:b/>
          <w:kern w:val="2"/>
          <w:lang w:eastAsia="zh-CN"/>
        </w:rPr>
        <w:t>附授权委托人（即代理人）身份证复印件（加盖公章）</w:t>
      </w:r>
    </w:p>
    <w:p w14:paraId="50AFE10C">
      <w:pPr>
        <w:spacing w:before="100" w:beforeAutospacing="1" w:after="100" w:afterAutospacing="1" w:line="225" w:lineRule="atLeast"/>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r>
        <w:rPr>
          <w:rFonts w:hint="eastAsia" w:ascii="宋体" w:hAnsi="宋体" w:eastAsia="宋体" w:cs="宋体"/>
          <w:b/>
          <w:bCs/>
          <w:sz w:val="28"/>
          <w:szCs w:val="28"/>
          <w:lang w:eastAsia="zh-CN"/>
        </w:rPr>
        <w:t>附件四：</w:t>
      </w:r>
    </w:p>
    <w:p w14:paraId="0E95D0D1">
      <w:pPr>
        <w:widowControl w:val="0"/>
        <w:snapToGrid w:val="0"/>
        <w:spacing w:line="360" w:lineRule="auto"/>
        <w:ind w:firstLine="562" w:firstLineChars="200"/>
        <w:contextualSpacing/>
        <w:jc w:val="center"/>
        <w:rPr>
          <w:rFonts w:hint="eastAsia" w:ascii="宋体" w:hAnsi="宋体" w:eastAsia="宋体" w:cs="宋体"/>
          <w:sz w:val="28"/>
          <w:szCs w:val="28"/>
          <w:lang w:eastAsia="zh-CN"/>
        </w:rPr>
      </w:pPr>
      <w:r>
        <w:rPr>
          <w:rFonts w:hint="eastAsia" w:ascii="宋体" w:hAnsi="宋体" w:eastAsia="宋体" w:cs="宋体"/>
          <w:b/>
          <w:bCs/>
          <w:sz w:val="28"/>
          <w:szCs w:val="28"/>
          <w:lang w:eastAsia="zh-CN"/>
        </w:rPr>
        <w:t>符合政府采购法二十二条的书面声明</w:t>
      </w:r>
    </w:p>
    <w:p w14:paraId="24789E8B">
      <w:pPr>
        <w:widowControl w:val="0"/>
        <w:snapToGrid w:val="0"/>
        <w:spacing w:line="360" w:lineRule="auto"/>
        <w:contextualSpacing/>
        <w:jc w:val="both"/>
        <w:rPr>
          <w:rFonts w:hint="eastAsia" w:ascii="宋体" w:hAnsi="宋体" w:eastAsia="宋体" w:cs="宋体"/>
          <w:lang w:eastAsia="zh-CN"/>
        </w:rPr>
      </w:pPr>
      <w:r>
        <w:rPr>
          <w:rFonts w:hint="eastAsia" w:ascii="宋体" w:hAnsi="宋体" w:eastAsia="宋体" w:cs="宋体"/>
          <w:u w:val="single"/>
          <w:lang w:eastAsia="zh-CN"/>
        </w:rPr>
        <w:t>江苏洋口港港务有限公司</w:t>
      </w:r>
      <w:r>
        <w:rPr>
          <w:rFonts w:hint="eastAsia" w:asciiTheme="minorEastAsia" w:hAnsiTheme="minorEastAsia" w:eastAsiaTheme="minorEastAsia"/>
          <w:sz w:val="24"/>
          <w:szCs w:val="24"/>
          <w:u w:val="single"/>
          <w:lang w:val="en-US" w:eastAsia="zh-CN"/>
        </w:rPr>
        <w:t>、江苏洋口宁港码头物流有限公司</w:t>
      </w:r>
      <w:r>
        <w:rPr>
          <w:rFonts w:hint="eastAsia" w:ascii="宋体" w:hAnsi="宋体" w:eastAsia="宋体" w:cs="宋体"/>
          <w:lang w:eastAsia="zh-CN"/>
        </w:rPr>
        <w:t>：</w:t>
      </w:r>
    </w:p>
    <w:p w14:paraId="42671250">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我单位</w:t>
      </w:r>
      <w:r>
        <w:rPr>
          <w:rFonts w:hint="eastAsia" w:ascii="宋体" w:hAnsi="宋体" w:eastAsia="宋体" w:cs="宋体"/>
          <w:u w:val="single"/>
          <w:lang w:eastAsia="zh-CN"/>
        </w:rPr>
        <w:t xml:space="preserve">           （投标单位名称）</w:t>
      </w:r>
      <w:r>
        <w:rPr>
          <w:rFonts w:hint="eastAsia" w:ascii="宋体" w:hAnsi="宋体" w:eastAsia="宋体" w:cs="宋体"/>
          <w:lang w:eastAsia="zh-CN"/>
        </w:rPr>
        <w:t>郑重承诺：</w:t>
      </w:r>
    </w:p>
    <w:p w14:paraId="07365C69">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4B83D759">
      <w:pPr>
        <w:widowControl w:val="0"/>
        <w:snapToGrid w:val="0"/>
        <w:spacing w:line="360" w:lineRule="auto"/>
        <w:ind w:firstLine="480" w:firstLineChars="200"/>
        <w:contextualSpacing/>
        <w:jc w:val="both"/>
        <w:rPr>
          <w:rFonts w:hint="eastAsia" w:ascii="宋体" w:hAnsi="宋体" w:eastAsia="宋体" w:cs="宋体"/>
          <w:lang w:eastAsia="zh-CN"/>
        </w:rPr>
      </w:pPr>
    </w:p>
    <w:p w14:paraId="1BE95BCF">
      <w:pPr>
        <w:widowControl w:val="0"/>
        <w:snapToGrid w:val="0"/>
        <w:spacing w:line="360" w:lineRule="auto"/>
        <w:ind w:firstLine="480" w:firstLineChars="200"/>
        <w:contextualSpacing/>
        <w:jc w:val="both"/>
        <w:rPr>
          <w:rFonts w:hint="eastAsia" w:ascii="宋体" w:hAnsi="宋体" w:eastAsia="宋体" w:cs="宋体"/>
          <w:lang w:eastAsia="zh-CN"/>
        </w:rPr>
      </w:pPr>
    </w:p>
    <w:p w14:paraId="6273CBF2">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 xml:space="preserve">供应商（盖章）：（单位全称） </w:t>
      </w:r>
    </w:p>
    <w:p w14:paraId="0F63E227">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法定代表人或授权委托人：（签字或盖章）</w:t>
      </w:r>
    </w:p>
    <w:p w14:paraId="05E7A07A">
      <w:pPr>
        <w:widowControl w:val="0"/>
        <w:snapToGrid w:val="0"/>
        <w:spacing w:line="360" w:lineRule="auto"/>
        <w:ind w:firstLine="480" w:firstLineChars="200"/>
        <w:contextualSpacing/>
        <w:jc w:val="both"/>
        <w:rPr>
          <w:rFonts w:hint="eastAsia" w:ascii="宋体" w:hAnsi="宋体" w:eastAsia="宋体" w:cs="宋体"/>
          <w:lang w:eastAsia="zh-CN"/>
        </w:rPr>
      </w:pPr>
      <w:r>
        <w:rPr>
          <w:rFonts w:hint="eastAsia" w:ascii="宋体" w:hAnsi="宋体" w:eastAsia="宋体" w:cs="宋体"/>
          <w:lang w:eastAsia="zh-CN"/>
        </w:rPr>
        <w:t>日期：  年  月  日</w:t>
      </w:r>
    </w:p>
    <w:p w14:paraId="42B89759">
      <w:pPr>
        <w:spacing w:before="100" w:beforeAutospacing="1" w:after="100" w:afterAutospacing="1" w:line="225" w:lineRule="atLeast"/>
        <w:jc w:val="both"/>
        <w:rPr>
          <w:rFonts w:hint="eastAsia" w:ascii="宋体" w:hAnsi="宋体" w:eastAsia="宋体" w:cs="宋体"/>
          <w:b/>
          <w:bCs/>
          <w:sz w:val="28"/>
          <w:szCs w:val="28"/>
          <w:lang w:eastAsia="zh-CN"/>
        </w:rPr>
      </w:pPr>
      <w:r>
        <w:rPr>
          <w:rFonts w:hint="eastAsia" w:eastAsia="宋体"/>
          <w:b/>
          <w:bCs/>
          <w:kern w:val="2"/>
          <w:sz w:val="28"/>
          <w:szCs w:val="28"/>
          <w:lang w:eastAsia="zh-CN"/>
        </w:rPr>
        <w:br w:type="page"/>
      </w:r>
      <w:r>
        <w:rPr>
          <w:rFonts w:hint="eastAsia" w:ascii="宋体" w:hAnsi="宋体" w:eastAsia="宋体" w:cs="宋体"/>
          <w:b/>
          <w:bCs/>
          <w:sz w:val="28"/>
          <w:szCs w:val="28"/>
          <w:lang w:eastAsia="zh-CN"/>
        </w:rPr>
        <w:t>附件五：</w:t>
      </w:r>
    </w:p>
    <w:p w14:paraId="3E930F5E">
      <w:pPr>
        <w:spacing w:before="100" w:beforeAutospacing="1" w:after="100" w:afterAutospacing="1" w:line="400" w:lineRule="exact"/>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投标承诺书</w:t>
      </w:r>
    </w:p>
    <w:p w14:paraId="2AC1616A">
      <w:pPr>
        <w:shd w:val="clear" w:color="auto" w:fill="FFFFFF"/>
        <w:spacing w:line="500" w:lineRule="exact"/>
        <w:rPr>
          <w:rFonts w:hint="eastAsia" w:ascii="宋体" w:hAnsi="宋体" w:eastAsia="宋体" w:cs="宋体"/>
          <w:lang w:eastAsia="zh-CN"/>
        </w:rPr>
      </w:pPr>
      <w:r>
        <w:rPr>
          <w:rFonts w:hint="eastAsia" w:ascii="宋体" w:hAnsi="宋体" w:eastAsia="宋体" w:cs="宋体"/>
          <w:u w:val="single"/>
          <w:shd w:val="clear" w:color="auto" w:fill="FFFFFF"/>
          <w:lang w:eastAsia="zh-CN"/>
        </w:rPr>
        <w:t>江苏洋口港港务有限公司</w:t>
      </w:r>
      <w:r>
        <w:rPr>
          <w:rFonts w:hint="eastAsia" w:ascii="宋体" w:hAnsi="宋体" w:eastAsia="宋体" w:cs="宋体"/>
          <w:u w:val="single"/>
          <w:shd w:val="clear" w:color="auto" w:fill="FFFFFF"/>
          <w:lang w:val="en-US" w:eastAsia="zh-CN"/>
        </w:rPr>
        <w:t>、江苏洋口宁港码头物流有限公司</w:t>
      </w:r>
      <w:r>
        <w:rPr>
          <w:rFonts w:hint="eastAsia" w:ascii="宋体" w:hAnsi="宋体" w:eastAsia="宋体" w:cs="宋体"/>
          <w:shd w:val="clear" w:color="auto" w:fill="FFFFFF"/>
          <w:lang w:eastAsia="zh-CN"/>
        </w:rPr>
        <w:t>：</w:t>
      </w:r>
    </w:p>
    <w:p w14:paraId="57C2F84C">
      <w:pPr>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1.根据你方</w:t>
      </w:r>
      <w:r>
        <w:rPr>
          <w:rFonts w:hint="eastAsia" w:ascii="宋体" w:hAnsi="宋体" w:eastAsia="宋体" w:cs="宋体"/>
          <w:u w:val="single"/>
          <w:lang w:eastAsia="zh-CN"/>
        </w:rPr>
        <w:t>如东洋口港经济开发区金牛码头病媒生物监测与防治项目</w:t>
      </w:r>
      <w:r>
        <w:rPr>
          <w:rFonts w:hint="eastAsia" w:ascii="宋体" w:hAnsi="宋体" w:eastAsia="宋体" w:cs="宋体"/>
          <w:u w:val="single"/>
          <w:shd w:val="clear" w:color="auto" w:fill="FFFFFF"/>
          <w:lang w:eastAsia="zh-CN" w:bidi="ar"/>
        </w:rPr>
        <w:t xml:space="preserve"> </w:t>
      </w:r>
      <w:r>
        <w:rPr>
          <w:rFonts w:hint="eastAsia" w:ascii="宋体" w:hAnsi="宋体" w:eastAsia="宋体" w:cs="宋体"/>
          <w:lang w:eastAsia="zh-CN"/>
        </w:rPr>
        <w:t>的招标文件、遵照《中华人民共和国招标投标法》等有关规定，经研究上述招标文件的投标须知、合同条款、招标项目要求及其他有关文件后，我方愿以按上述的条件要求承包上述项目。</w:t>
      </w:r>
      <w:r>
        <w:rPr>
          <w:rFonts w:hint="eastAsia" w:ascii="宋体" w:hAnsi="宋体" w:eastAsia="宋体" w:cs="宋体"/>
          <w:lang w:eastAsia="zh-CN"/>
        </w:rPr>
        <w:br w:type="textWrapping"/>
      </w:r>
      <w:r>
        <w:rPr>
          <w:rFonts w:hint="eastAsia" w:ascii="宋体" w:hAnsi="宋体" w:eastAsia="宋体" w:cs="宋体"/>
          <w:lang w:eastAsia="zh-CN"/>
        </w:rPr>
        <w:t xml:space="preserve">    2.如我方中标，我方保证在招标文件规定的期限内提交最终评估报告。</w:t>
      </w:r>
    </w:p>
    <w:p w14:paraId="6DBC5ED0">
      <w:pPr>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3.我方已详细审核全部招标文件，包括修改文件、答疑（如有时）及有关附件，我方完全响应并认可上述文件的所有条款。</w:t>
      </w:r>
      <w:r>
        <w:rPr>
          <w:rFonts w:hint="eastAsia" w:ascii="宋体" w:hAnsi="宋体" w:eastAsia="宋体" w:cs="宋体"/>
          <w:lang w:eastAsia="zh-CN"/>
        </w:rPr>
        <w:br w:type="textWrapping"/>
      </w:r>
      <w:r>
        <w:rPr>
          <w:rFonts w:hint="eastAsia" w:ascii="宋体" w:hAnsi="宋体" w:eastAsia="宋体" w:cs="宋体"/>
          <w:lang w:eastAsia="zh-CN"/>
        </w:rPr>
        <w:t xml:space="preserve">    4.我方承认投标函附件是我方投标函的组成部分。</w:t>
      </w:r>
      <w:r>
        <w:rPr>
          <w:rFonts w:hint="eastAsia" w:ascii="宋体" w:hAnsi="宋体" w:eastAsia="宋体" w:cs="宋体"/>
          <w:lang w:eastAsia="zh-CN"/>
        </w:rPr>
        <w:br w:type="textWrapping"/>
      </w:r>
      <w:r>
        <w:rPr>
          <w:rFonts w:hint="eastAsia" w:ascii="宋体" w:hAnsi="宋体" w:eastAsia="宋体" w:cs="宋体"/>
          <w:lang w:eastAsia="zh-CN"/>
        </w:rPr>
        <w:t xml:space="preserve">    5.一旦我方中标，我方保证在你方招标文件中规定的供货期内完成供货及维修服务，质量：合格。</w:t>
      </w:r>
    </w:p>
    <w:p w14:paraId="6E8E3E48">
      <w:pPr>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6.中标后在签订合同前，我方愿缴纳中标价的3%元作为履约保证金。</w:t>
      </w:r>
      <w:r>
        <w:rPr>
          <w:rFonts w:hint="eastAsia" w:ascii="宋体" w:hAnsi="宋体" w:eastAsia="宋体" w:cs="宋体"/>
          <w:lang w:eastAsia="zh-CN"/>
        </w:rPr>
        <w:br w:type="textWrapping"/>
      </w:r>
      <w:r>
        <w:rPr>
          <w:rFonts w:hint="eastAsia" w:ascii="宋体" w:hAnsi="宋体" w:eastAsia="宋体" w:cs="宋体"/>
          <w:lang w:eastAsia="zh-CN"/>
        </w:rPr>
        <w:t xml:space="preserve">    7我方同意所提交的投标文件在“招标文件投标须知”中规定的投标有效期内有效，在此期间内如果中标，我方将受此约束。</w:t>
      </w:r>
      <w:r>
        <w:rPr>
          <w:rFonts w:hint="eastAsia" w:ascii="宋体" w:hAnsi="宋体" w:eastAsia="宋体" w:cs="宋体"/>
          <w:lang w:eastAsia="zh-CN"/>
        </w:rPr>
        <w:br w:type="textWrapping"/>
      </w:r>
      <w:r>
        <w:rPr>
          <w:rFonts w:hint="eastAsia" w:ascii="宋体" w:hAnsi="宋体" w:eastAsia="宋体" w:cs="宋体"/>
          <w:lang w:eastAsia="zh-CN"/>
        </w:rPr>
        <w:t xml:space="preserve">    8.除非另外达成协议生效，你方的中标通知书和本投标文件将成为约束双方的合同文件的组成部分。</w:t>
      </w:r>
      <w:r>
        <w:rPr>
          <w:rFonts w:hint="eastAsia" w:ascii="宋体" w:hAnsi="宋体" w:eastAsia="宋体" w:cs="宋体"/>
          <w:lang w:eastAsia="zh-CN"/>
        </w:rPr>
        <w:br w:type="textWrapping"/>
      </w:r>
      <w:r>
        <w:rPr>
          <w:rFonts w:hint="eastAsia" w:ascii="宋体" w:hAnsi="宋体" w:eastAsia="宋体" w:cs="宋体"/>
          <w:lang w:eastAsia="zh-CN"/>
        </w:rPr>
        <w:t xml:space="preserve">    9.我方按照招标文件的要求，提供的所有投标资料都是真实的，如我方提供的资料不真实，我方将放弃中标的权利，并承担由此产生的责任。</w:t>
      </w:r>
    </w:p>
    <w:p w14:paraId="61F83F93">
      <w:pPr>
        <w:spacing w:line="400" w:lineRule="exact"/>
        <w:ind w:firstLine="480" w:firstLineChars="200"/>
        <w:rPr>
          <w:rFonts w:hint="eastAsia" w:ascii="宋体" w:hAnsi="宋体" w:eastAsia="宋体" w:cs="宋体"/>
          <w:lang w:eastAsia="zh-CN"/>
        </w:rPr>
      </w:pPr>
      <w:r>
        <w:rPr>
          <w:rFonts w:hint="eastAsia" w:ascii="宋体" w:hAnsi="宋体" w:eastAsia="宋体" w:cs="宋体"/>
          <w:lang w:eastAsia="zh-CN"/>
        </w:rPr>
        <w:t>10.我方在实施本项目时做到安全第一、质量第一。如涉及到安全或质量问题由我方负责。</w:t>
      </w:r>
    </w:p>
    <w:p w14:paraId="0BABC824">
      <w:pPr>
        <w:widowControl w:val="0"/>
        <w:spacing w:line="420" w:lineRule="exact"/>
        <w:rPr>
          <w:rFonts w:hint="eastAsia" w:ascii="宋体" w:hAnsi="宋体" w:eastAsia="宋体" w:cs="宋体"/>
          <w:kern w:val="2"/>
          <w:lang w:eastAsia="zh-CN"/>
        </w:rPr>
      </w:pPr>
    </w:p>
    <w:p w14:paraId="5829C978">
      <w:pPr>
        <w:widowControl w:val="0"/>
        <w:spacing w:line="420" w:lineRule="exact"/>
        <w:rPr>
          <w:rFonts w:hint="eastAsia" w:ascii="宋体" w:hAnsi="宋体" w:eastAsia="宋体" w:cs="宋体"/>
          <w:kern w:val="2"/>
          <w:u w:val="single"/>
          <w:lang w:eastAsia="zh-CN"/>
        </w:rPr>
      </w:pPr>
      <w:r>
        <w:rPr>
          <w:rFonts w:hint="eastAsia" w:ascii="宋体" w:hAnsi="宋体" w:eastAsia="宋体" w:cs="宋体"/>
          <w:kern w:val="2"/>
          <w:lang w:eastAsia="zh-CN"/>
        </w:rPr>
        <w:t>投标人：</w:t>
      </w:r>
      <w:r>
        <w:rPr>
          <w:rFonts w:hint="eastAsia" w:ascii="宋体" w:hAnsi="宋体" w:eastAsia="宋体" w:cs="宋体"/>
          <w:kern w:val="2"/>
          <w:u w:val="single"/>
          <w:lang w:eastAsia="zh-CN"/>
        </w:rPr>
        <w:t xml:space="preserve">　　　　  　（盖章）                   </w:t>
      </w:r>
      <w:r>
        <w:rPr>
          <w:rFonts w:hint="eastAsia" w:ascii="宋体" w:hAnsi="宋体" w:eastAsia="宋体" w:cs="宋体"/>
          <w:kern w:val="2"/>
          <w:u w:val="single"/>
          <w:lang w:eastAsia="zh-CN"/>
        </w:rPr>
        <w:br w:type="textWrapping"/>
      </w:r>
      <w:r>
        <w:rPr>
          <w:rFonts w:hint="eastAsia" w:ascii="宋体" w:hAnsi="宋体" w:eastAsia="宋体" w:cs="宋体"/>
          <w:kern w:val="2"/>
          <w:lang w:eastAsia="zh-CN"/>
        </w:rPr>
        <w:t>单位地址：</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w:t>
      </w:r>
      <w:r>
        <w:rPr>
          <w:rFonts w:hint="eastAsia" w:ascii="宋体" w:hAnsi="宋体" w:eastAsia="宋体" w:cs="宋体"/>
          <w:kern w:val="2"/>
          <w:lang w:eastAsia="zh-CN"/>
        </w:rPr>
        <w:br w:type="textWrapping"/>
      </w:r>
      <w:r>
        <w:rPr>
          <w:rFonts w:hint="eastAsia" w:ascii="宋体" w:hAnsi="宋体" w:eastAsia="宋体" w:cs="宋体"/>
          <w:kern w:val="2"/>
          <w:lang w:eastAsia="zh-CN"/>
        </w:rPr>
        <w:t>法定代表人：</w:t>
      </w:r>
      <w:r>
        <w:rPr>
          <w:rFonts w:hint="eastAsia" w:ascii="宋体" w:hAnsi="宋体" w:eastAsia="宋体" w:cs="宋体"/>
          <w:kern w:val="2"/>
          <w:u w:val="single"/>
          <w:lang w:eastAsia="zh-CN"/>
        </w:rPr>
        <w:t xml:space="preserve">　　      （签字或盖章）            </w:t>
      </w:r>
    </w:p>
    <w:p w14:paraId="5622E9DE">
      <w:pPr>
        <w:widowControl w:val="0"/>
        <w:spacing w:line="420" w:lineRule="exact"/>
        <w:ind w:left="1440" w:hanging="1440" w:hangingChars="600"/>
        <w:rPr>
          <w:rFonts w:hint="eastAsia" w:ascii="宋体" w:hAnsi="宋体" w:eastAsia="宋体" w:cs="宋体"/>
          <w:kern w:val="2"/>
          <w:lang w:eastAsia="zh-CN"/>
        </w:rPr>
      </w:pPr>
      <w:r>
        <w:rPr>
          <w:rFonts w:hint="eastAsia" w:ascii="宋体" w:hAnsi="宋体" w:eastAsia="宋体" w:cs="宋体"/>
          <w:kern w:val="2"/>
          <w:lang w:eastAsia="zh-CN"/>
        </w:rPr>
        <w:t>邮政编码：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电话：</w:t>
      </w:r>
      <w:r>
        <w:rPr>
          <w:rFonts w:hint="eastAsia" w:ascii="宋体" w:hAnsi="宋体" w:eastAsia="宋体" w:cs="宋体"/>
          <w:kern w:val="2"/>
          <w:u w:val="single"/>
          <w:lang w:eastAsia="zh-CN"/>
        </w:rPr>
        <w:t>　　　  　</w:t>
      </w:r>
      <w:r>
        <w:rPr>
          <w:rFonts w:hint="eastAsia" w:ascii="宋体" w:hAnsi="宋体" w:eastAsia="宋体" w:cs="宋体"/>
          <w:kern w:val="2"/>
          <w:lang w:eastAsia="zh-CN"/>
        </w:rPr>
        <w:t>传真：</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　　　　　</w:t>
      </w:r>
    </w:p>
    <w:p w14:paraId="1472CB5C">
      <w:pPr>
        <w:widowControl w:val="0"/>
        <w:spacing w:line="420" w:lineRule="exact"/>
        <w:ind w:left="1440" w:hanging="1440" w:hangingChars="600"/>
        <w:rPr>
          <w:rFonts w:hint="eastAsia" w:ascii="宋体" w:hAnsi="宋体" w:eastAsia="宋体" w:cs="宋体"/>
          <w:kern w:val="2"/>
          <w:lang w:eastAsia="zh-CN"/>
        </w:rPr>
      </w:pPr>
      <w:r>
        <w:rPr>
          <w:rFonts w:hint="eastAsia" w:ascii="宋体" w:hAnsi="宋体" w:eastAsia="宋体" w:cs="宋体"/>
          <w:kern w:val="2"/>
          <w:lang w:eastAsia="zh-CN"/>
        </w:rPr>
        <w:t>日期：　　 　年　　  月　   日</w:t>
      </w:r>
    </w:p>
    <w:p w14:paraId="12F03681">
      <w:pPr>
        <w:widowControl w:val="0"/>
        <w:spacing w:line="400" w:lineRule="exact"/>
        <w:ind w:left="1440" w:hanging="1440" w:hangingChars="600"/>
        <w:rPr>
          <w:rFonts w:hint="eastAsia" w:ascii="宋体" w:hAnsi="宋体" w:eastAsia="宋体" w:cs="宋体"/>
          <w:kern w:val="2"/>
          <w:lang w:eastAsia="zh-CN"/>
        </w:rPr>
      </w:pPr>
      <w:r>
        <w:rPr>
          <w:rFonts w:hint="eastAsia" w:ascii="宋体" w:hAnsi="宋体" w:eastAsia="宋体" w:cs="宋体"/>
          <w:kern w:val="2"/>
          <w:lang w:eastAsia="zh-CN"/>
        </w:rPr>
        <w:t>　</w:t>
      </w:r>
    </w:p>
    <w:p w14:paraId="2467C18A">
      <w:pPr>
        <w:widowControl w:val="0"/>
        <w:spacing w:line="400" w:lineRule="exact"/>
        <w:ind w:left="1440" w:hanging="1440" w:hangingChars="600"/>
        <w:rPr>
          <w:rFonts w:hint="eastAsia" w:ascii="宋体" w:hAnsi="宋体" w:eastAsia="宋体" w:cs="宋体"/>
          <w:kern w:val="2"/>
          <w:lang w:eastAsia="zh-CN"/>
        </w:rPr>
      </w:pPr>
    </w:p>
    <w:p w14:paraId="3B789A55">
      <w:pPr>
        <w:spacing w:before="100" w:beforeAutospacing="1" w:after="100" w:afterAutospacing="1" w:line="400" w:lineRule="exact"/>
        <w:jc w:val="center"/>
        <w:rPr>
          <w:rFonts w:hint="eastAsia" w:ascii="宋体" w:hAnsi="宋体" w:eastAsia="宋体" w:cs="宋体"/>
          <w:b/>
          <w:bCs/>
          <w:sz w:val="28"/>
          <w:szCs w:val="28"/>
          <w:lang w:eastAsia="zh-CN"/>
        </w:rPr>
      </w:pPr>
      <w:r>
        <w:rPr>
          <w:rFonts w:hint="eastAsia" w:ascii="宋体" w:hAnsi="宋体" w:eastAsia="宋体" w:cs="宋体"/>
          <w:b/>
          <w:bCs/>
          <w:sz w:val="32"/>
          <w:szCs w:val="32"/>
          <w:lang w:eastAsia="zh-CN"/>
        </w:rPr>
        <w:br w:type="page"/>
      </w:r>
      <w:r>
        <w:rPr>
          <w:rFonts w:hint="eastAsia" w:ascii="宋体" w:hAnsi="宋体" w:eastAsia="宋体" w:cs="宋体"/>
          <w:b/>
          <w:bCs/>
          <w:sz w:val="32"/>
          <w:szCs w:val="32"/>
          <w:lang w:eastAsia="zh-CN"/>
        </w:rPr>
        <w:t>投标人诚信承诺书</w:t>
      </w:r>
    </w:p>
    <w:p w14:paraId="1CC5887F">
      <w:pPr>
        <w:widowControl w:val="0"/>
        <w:spacing w:line="400" w:lineRule="exact"/>
        <w:jc w:val="both"/>
        <w:rPr>
          <w:rFonts w:hint="eastAsia" w:ascii="宋体" w:hAnsi="宋体" w:eastAsia="宋体" w:cs="宋体"/>
          <w:bCs/>
          <w:kern w:val="2"/>
          <w:lang w:eastAsia="zh-CN"/>
        </w:rPr>
      </w:pPr>
      <w:r>
        <w:rPr>
          <w:rFonts w:hint="eastAsia" w:ascii="宋体" w:hAnsi="宋体" w:eastAsia="宋体" w:cs="宋体"/>
          <w:bCs/>
          <w:kern w:val="2"/>
          <w:lang w:eastAsia="zh-CN"/>
        </w:rPr>
        <w:t>致</w:t>
      </w:r>
      <w:r>
        <w:rPr>
          <w:rFonts w:hint="eastAsia" w:ascii="宋体" w:hAnsi="宋体" w:eastAsia="宋体" w:cs="宋体"/>
          <w:bCs/>
          <w:kern w:val="2"/>
          <w:u w:val="single"/>
          <w:lang w:eastAsia="zh-CN"/>
        </w:rPr>
        <w:t xml:space="preserve"> 江苏洋口港港务有限公司</w:t>
      </w:r>
      <w:r>
        <w:rPr>
          <w:rFonts w:hint="eastAsia" w:ascii="宋体" w:hAnsi="宋体" w:eastAsia="宋体" w:cs="宋体"/>
          <w:bCs/>
          <w:kern w:val="2"/>
          <w:u w:val="single"/>
          <w:lang w:val="en-US" w:eastAsia="zh-CN"/>
        </w:rPr>
        <w:t>、江苏洋口宁港码头物流有限公司</w:t>
      </w:r>
      <w:r>
        <w:rPr>
          <w:rFonts w:hint="eastAsia" w:ascii="宋体" w:hAnsi="宋体" w:eastAsia="宋体" w:cs="宋体"/>
          <w:bCs/>
          <w:kern w:val="2"/>
          <w:u w:val="single"/>
          <w:lang w:eastAsia="zh-CN"/>
        </w:rPr>
        <w:t xml:space="preserve"> </w:t>
      </w:r>
      <w:r>
        <w:rPr>
          <w:rFonts w:hint="eastAsia" w:ascii="宋体" w:hAnsi="宋体" w:eastAsia="宋体" w:cs="宋体"/>
          <w:bCs/>
          <w:kern w:val="2"/>
          <w:lang w:eastAsia="zh-CN"/>
        </w:rPr>
        <w:t>（招标人）：</w:t>
      </w:r>
    </w:p>
    <w:p w14:paraId="61122CE7">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我单位在参加贵单位组织的</w:t>
      </w:r>
      <w:r>
        <w:rPr>
          <w:rFonts w:hint="eastAsia" w:ascii="宋体" w:hAnsi="宋体" w:eastAsia="宋体" w:cs="宋体"/>
          <w:bCs/>
          <w:kern w:val="2"/>
          <w:u w:val="single"/>
          <w:lang w:eastAsia="zh-CN"/>
        </w:rPr>
        <w:t>如东洋口港经济开发区金牛码头病媒生物监测与防治项目</w:t>
      </w:r>
      <w:r>
        <w:rPr>
          <w:rFonts w:hint="eastAsia" w:ascii="宋体" w:hAnsi="宋体" w:eastAsia="宋体" w:cs="宋体"/>
          <w:bCs/>
          <w:kern w:val="2"/>
          <w:lang w:eastAsia="zh-CN"/>
        </w:rPr>
        <w:t>的招投标活动中，郑重承诺如下：</w:t>
      </w:r>
    </w:p>
    <w:p w14:paraId="11517FAC">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1、 我方申报的所有资料都是真实、准确、完整的;</w:t>
      </w:r>
    </w:p>
    <w:p w14:paraId="7E9BB695">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2、 我方无资质挂靠或参与串标、围标、及抬标情形;</w:t>
      </w:r>
    </w:p>
    <w:p w14:paraId="36B86ECF">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3、 我方没有被各级行政主管部门做出停止市场行为的处罚;</w:t>
      </w:r>
    </w:p>
    <w:p w14:paraId="5C7FDEA1">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4、 若我方中标，将严格按照规定及时与招标单位签订合同;</w:t>
      </w:r>
    </w:p>
    <w:p w14:paraId="308CA1C1">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5、 若我方中标，将严格按照投标文件所承诺的报价、质量、供货期等内容组织实施;</w:t>
      </w:r>
    </w:p>
    <w:p w14:paraId="1E2625BC">
      <w:pPr>
        <w:widowControl w:val="0"/>
        <w:spacing w:line="400" w:lineRule="exact"/>
        <w:ind w:firstLine="480" w:firstLineChars="200"/>
        <w:jc w:val="both"/>
        <w:rPr>
          <w:rFonts w:hint="eastAsia" w:ascii="宋体" w:hAnsi="宋体" w:eastAsia="宋体" w:cs="宋体"/>
          <w:bCs/>
          <w:kern w:val="2"/>
          <w:lang w:eastAsia="zh-CN"/>
        </w:rPr>
      </w:pPr>
      <w:r>
        <w:rPr>
          <w:rFonts w:hint="eastAsia" w:ascii="宋体" w:hAnsi="宋体" w:eastAsia="宋体" w:cs="宋体"/>
          <w:bCs/>
          <w:kern w:val="2"/>
          <w:lang w:eastAsia="zh-CN"/>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14:paraId="38824EC0">
      <w:pPr>
        <w:widowControl w:val="0"/>
        <w:spacing w:line="400" w:lineRule="exact"/>
        <w:jc w:val="both"/>
        <w:rPr>
          <w:rFonts w:hint="eastAsia" w:ascii="宋体" w:hAnsi="宋体" w:eastAsia="宋体" w:cs="宋体"/>
          <w:bCs/>
          <w:kern w:val="2"/>
          <w:lang w:eastAsia="zh-CN"/>
        </w:rPr>
      </w:pPr>
    </w:p>
    <w:p w14:paraId="7A13F117">
      <w:pPr>
        <w:widowControl w:val="0"/>
        <w:spacing w:line="400" w:lineRule="exact"/>
        <w:jc w:val="both"/>
        <w:rPr>
          <w:rFonts w:hint="eastAsia" w:ascii="宋体" w:hAnsi="宋体" w:eastAsia="宋体" w:cs="宋体"/>
          <w:bCs/>
          <w:kern w:val="2"/>
          <w:lang w:eastAsia="zh-CN"/>
        </w:rPr>
      </w:pPr>
      <w:r>
        <w:rPr>
          <w:rFonts w:hint="eastAsia" w:ascii="宋体" w:hAnsi="宋体" w:eastAsia="宋体" w:cs="宋体"/>
          <w:bCs/>
          <w:kern w:val="2"/>
          <w:lang w:eastAsia="zh-CN"/>
        </w:rPr>
        <w:t>投标人(盖公章)：</w:t>
      </w:r>
      <w:r>
        <w:rPr>
          <w:rFonts w:hint="eastAsia" w:ascii="宋体" w:hAnsi="宋体" w:eastAsia="宋体" w:cs="宋体"/>
          <w:bCs/>
          <w:kern w:val="2"/>
          <w:u w:val="single"/>
          <w:lang w:eastAsia="zh-CN"/>
        </w:rPr>
        <w:t xml:space="preserve">                              </w:t>
      </w:r>
    </w:p>
    <w:p w14:paraId="6A14FB49">
      <w:pPr>
        <w:widowControl w:val="0"/>
        <w:spacing w:line="400" w:lineRule="exact"/>
        <w:jc w:val="both"/>
        <w:rPr>
          <w:rFonts w:hint="eastAsia" w:ascii="宋体" w:hAnsi="宋体" w:eastAsia="宋体" w:cs="宋体"/>
          <w:bCs/>
          <w:kern w:val="2"/>
          <w:lang w:eastAsia="zh-CN"/>
        </w:rPr>
      </w:pPr>
    </w:p>
    <w:p w14:paraId="41F90A25">
      <w:pPr>
        <w:widowControl w:val="0"/>
        <w:spacing w:line="400" w:lineRule="exact"/>
        <w:jc w:val="both"/>
        <w:rPr>
          <w:rFonts w:hint="eastAsia" w:ascii="宋体" w:hAnsi="宋体" w:eastAsia="宋体" w:cs="宋体"/>
          <w:bCs/>
          <w:kern w:val="2"/>
          <w:lang w:eastAsia="zh-CN"/>
        </w:rPr>
      </w:pPr>
      <w:r>
        <w:rPr>
          <w:rFonts w:hint="eastAsia" w:ascii="宋体" w:hAnsi="宋体" w:eastAsia="宋体" w:cs="宋体"/>
          <w:bCs/>
          <w:kern w:val="2"/>
          <w:lang w:eastAsia="zh-CN"/>
        </w:rPr>
        <w:t>法定代表人(签字或盖章)：</w:t>
      </w:r>
      <w:r>
        <w:rPr>
          <w:rFonts w:hint="eastAsia" w:ascii="宋体" w:hAnsi="宋体" w:eastAsia="宋体" w:cs="宋体"/>
          <w:bCs/>
          <w:kern w:val="2"/>
          <w:u w:val="single"/>
          <w:lang w:eastAsia="zh-CN"/>
        </w:rPr>
        <w:t xml:space="preserve">                      </w:t>
      </w:r>
    </w:p>
    <w:p w14:paraId="0A06F321">
      <w:pPr>
        <w:widowControl w:val="0"/>
        <w:spacing w:line="400" w:lineRule="exact"/>
        <w:jc w:val="right"/>
        <w:rPr>
          <w:rFonts w:hint="eastAsia" w:ascii="宋体" w:hAnsi="宋体" w:eastAsia="宋体" w:cs="宋体"/>
          <w:kern w:val="2"/>
          <w:lang w:eastAsia="zh-CN"/>
        </w:rPr>
      </w:pPr>
    </w:p>
    <w:p w14:paraId="47A9E99E">
      <w:pPr>
        <w:widowControl w:val="0"/>
        <w:spacing w:line="400" w:lineRule="exact"/>
        <w:jc w:val="right"/>
        <w:rPr>
          <w:rFonts w:hint="eastAsia" w:ascii="宋体" w:hAnsi="宋体" w:eastAsia="宋体" w:cs="宋体"/>
          <w:kern w:val="2"/>
          <w:lang w:eastAsia="zh-CN"/>
        </w:rPr>
      </w:pPr>
      <w:r>
        <w:rPr>
          <w:rFonts w:hint="eastAsia" w:ascii="宋体" w:hAnsi="宋体" w:eastAsia="宋体" w:cs="宋体"/>
          <w:kern w:val="2"/>
          <w:lang w:eastAsia="zh-CN"/>
        </w:rPr>
        <w:t>年     月     日</w:t>
      </w:r>
    </w:p>
    <w:p w14:paraId="5C7427D1">
      <w:pPr>
        <w:widowControl w:val="0"/>
        <w:spacing w:line="480" w:lineRule="exact"/>
        <w:jc w:val="both"/>
        <w:rPr>
          <w:rFonts w:hint="eastAsia" w:ascii="宋体" w:hAnsi="宋体" w:eastAsia="宋体" w:cs="宋体"/>
          <w:b/>
          <w:bCs/>
          <w:sz w:val="28"/>
          <w:szCs w:val="28"/>
          <w:lang w:eastAsia="zh-CN"/>
        </w:rPr>
      </w:pPr>
      <w:r>
        <w:rPr>
          <w:rFonts w:hint="eastAsia" w:ascii="宋体" w:hAnsi="宋体" w:eastAsia="宋体" w:cs="宋体"/>
          <w:lang w:eastAsia="zh-CN"/>
        </w:rPr>
        <w:br w:type="page"/>
      </w:r>
      <w:r>
        <w:rPr>
          <w:rFonts w:hint="eastAsia" w:ascii="宋体" w:hAnsi="宋体" w:eastAsia="宋体" w:cs="宋体"/>
          <w:b/>
          <w:bCs/>
          <w:sz w:val="28"/>
          <w:szCs w:val="28"/>
          <w:lang w:eastAsia="zh-CN"/>
        </w:rPr>
        <w:t>附件六：</w:t>
      </w:r>
    </w:p>
    <w:p w14:paraId="6F285976">
      <w:pPr>
        <w:keepNext w:val="0"/>
        <w:keepLines w:val="0"/>
        <w:pageBreakBefore w:val="0"/>
        <w:widowControl w:val="0"/>
        <w:kinsoku/>
        <w:wordWrap/>
        <w:overflowPunct/>
        <w:topLinePunct w:val="0"/>
        <w:autoSpaceDE/>
        <w:autoSpaceDN/>
        <w:bidi w:val="0"/>
        <w:adjustRightInd/>
        <w:snapToGrid/>
        <w:spacing w:after="164" w:afterLines="50" w:line="560" w:lineRule="exact"/>
        <w:jc w:val="center"/>
        <w:textAlignment w:val="auto"/>
        <w:rPr>
          <w:rFonts w:hint="eastAsia" w:ascii="宋体" w:hAnsi="宋体" w:eastAsia="宋体" w:cs="宋体"/>
          <w:kern w:val="2"/>
          <w:sz w:val="32"/>
          <w:szCs w:val="32"/>
          <w:lang w:eastAsia="zh-CN"/>
        </w:rPr>
      </w:pPr>
      <w:r>
        <w:rPr>
          <w:rFonts w:hint="eastAsia" w:ascii="宋体" w:hAnsi="宋体" w:eastAsia="宋体" w:cs="宋体"/>
          <w:b/>
          <w:bCs/>
          <w:color w:val="000000"/>
          <w:kern w:val="2"/>
          <w:sz w:val="32"/>
          <w:szCs w:val="32"/>
          <w:lang w:eastAsia="zh-CN"/>
        </w:rPr>
        <w:t>公共资源交易投标信用承诺书</w:t>
      </w:r>
    </w:p>
    <w:p w14:paraId="79FCEA37">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为营造公开、公平、公正的公共资源交易环境，树立诚信守法的投标人形象,本人代表本单位作出以下承诺：</w:t>
      </w:r>
    </w:p>
    <w:p w14:paraId="76B244FA">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一、本单位对所提交的单位基本信息、单位负责人、项目负责人、技术负责人、从业资质和资格、业绩、财务状况、信誉等所有资料,均合法、真实、准确、有效,无任何伪造、修改、虚假成分；</w:t>
      </w:r>
    </w:p>
    <w:p w14:paraId="300D148C">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二、严格依照国家和省、市、县关于招标投标等方面的法律、法规、规章、规范性文件,参加公共资源交易招标投标活动；积极履行社会责任,促进廉政建设；</w:t>
      </w:r>
    </w:p>
    <w:p w14:paraId="00D9FDBA">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三、严格遵守即时信息公示规定,及时更新公共资源交易中心主体信息库中信息；</w:t>
      </w:r>
    </w:p>
    <w:p w14:paraId="45E78B42">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四、自我约束、自我管理,守合同、重信用,不参与围标串标、弄虚作假、骗取中标、干扰评标、违约毁约、恶意投诉等行为,主动维护公共资源交易招标投标的良好秩序；</w:t>
      </w:r>
    </w:p>
    <w:p w14:paraId="5ED62FC7">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59F3D190">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六、自觉接受政府部门、行业组织、社会公众、新闻舆论等监督；</w:t>
      </w:r>
    </w:p>
    <w:p w14:paraId="79BB6D35">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七、上述承诺已向本单位员工作了宣传教育；</w:t>
      </w:r>
    </w:p>
    <w:p w14:paraId="265979AD">
      <w:pPr>
        <w:widowControl w:val="0"/>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eastAsia="zh-CN"/>
        </w:rPr>
        <w:t>本单位同意将以上承诺事项上网公示。</w:t>
      </w:r>
    </w:p>
    <w:p w14:paraId="519D9938">
      <w:pPr>
        <w:widowControl w:val="0"/>
        <w:spacing w:line="360" w:lineRule="auto"/>
        <w:jc w:val="both"/>
        <w:rPr>
          <w:rFonts w:hint="eastAsia" w:ascii="宋体" w:hAnsi="宋体" w:eastAsia="宋体" w:cs="宋体"/>
          <w:kern w:val="2"/>
          <w:lang w:eastAsia="zh-CN"/>
        </w:rPr>
      </w:pPr>
      <w:r>
        <w:rPr>
          <w:rFonts w:hint="eastAsia" w:ascii="宋体" w:hAnsi="宋体" w:eastAsia="宋体" w:cs="宋体"/>
          <w:kern w:val="2"/>
          <w:lang w:eastAsia="zh-CN"/>
        </w:rPr>
        <w:t>企业名称（盖章）                  法定代表人（签名或盖章）：</w:t>
      </w:r>
    </w:p>
    <w:p w14:paraId="260BDC1A">
      <w:pPr>
        <w:widowControl w:val="0"/>
        <w:spacing w:line="360" w:lineRule="auto"/>
        <w:ind w:firstLine="4080" w:firstLineChars="1700"/>
        <w:jc w:val="both"/>
        <w:rPr>
          <w:rFonts w:hint="eastAsia" w:ascii="宋体" w:hAnsi="宋体" w:eastAsia="宋体" w:cs="宋体"/>
          <w:kern w:val="2"/>
          <w:lang w:eastAsia="zh-CN"/>
        </w:rPr>
      </w:pPr>
      <w:r>
        <w:rPr>
          <w:rFonts w:hint="eastAsia" w:ascii="宋体" w:hAnsi="宋体" w:eastAsia="宋体" w:cs="宋体"/>
          <w:kern w:val="2"/>
          <w:lang w:eastAsia="zh-CN"/>
        </w:rPr>
        <w:t>时间：  年   月  日</w:t>
      </w:r>
    </w:p>
    <w:p w14:paraId="3007945C">
      <w:pPr>
        <w:spacing w:before="100" w:beforeAutospacing="1" w:after="100" w:afterAutospacing="1"/>
        <w:ind w:firstLine="2160" w:firstLineChars="900"/>
        <w:rPr>
          <w:rFonts w:hint="eastAsia" w:ascii="宋体" w:hAnsi="宋体" w:eastAsia="宋体" w:cs="宋体"/>
          <w:lang w:eastAsia="zh-CN"/>
        </w:rPr>
      </w:pPr>
    </w:p>
    <w:p w14:paraId="185CB987">
      <w:pPr>
        <w:rPr>
          <w:rFonts w:hint="eastAsia" w:ascii="宋体" w:hAnsi="宋体" w:eastAsia="宋体" w:cs="宋体"/>
          <w:lang w:eastAsia="zh-CN"/>
        </w:rPr>
      </w:pPr>
      <w:r>
        <w:rPr>
          <w:rFonts w:hint="eastAsia" w:ascii="宋体" w:hAnsi="宋体" w:eastAsia="宋体" w:cs="宋体"/>
          <w:lang w:eastAsia="zh-CN"/>
        </w:rPr>
        <w:br w:type="page"/>
      </w:r>
    </w:p>
    <w:p w14:paraId="38464191">
      <w:pPr>
        <w:spacing w:line="400" w:lineRule="exact"/>
        <w:jc w:val="both"/>
        <w:rPr>
          <w:rFonts w:hint="eastAsia" w:ascii="宋体" w:hAnsi="宋体" w:eastAsia="宋体" w:cs="宋体"/>
          <w:b/>
          <w:bCs/>
          <w:sz w:val="30"/>
          <w:szCs w:val="30"/>
          <w:lang w:eastAsia="zh-CN"/>
        </w:rPr>
      </w:pPr>
      <w:r>
        <w:rPr>
          <w:rFonts w:hint="eastAsia" w:ascii="宋体" w:hAnsi="宋体" w:eastAsia="宋体" w:cs="宋体"/>
          <w:b/>
          <w:bCs/>
          <w:sz w:val="28"/>
          <w:szCs w:val="28"/>
          <w:lang w:eastAsia="zh-CN"/>
        </w:rPr>
        <w:t>附件七：</w:t>
      </w:r>
    </w:p>
    <w:p w14:paraId="7A4E2320">
      <w:pPr>
        <w:widowControl w:val="0"/>
        <w:spacing w:line="360" w:lineRule="auto"/>
        <w:ind w:firstLine="6274" w:firstLineChars="1953"/>
        <w:jc w:val="both"/>
        <w:rPr>
          <w:rFonts w:hint="eastAsia" w:ascii="宋体" w:hAnsi="宋体" w:eastAsia="宋体" w:cs="宋体"/>
          <w:b/>
          <w:bCs/>
          <w:sz w:val="28"/>
          <w:szCs w:val="28"/>
          <w:lang w:eastAsia="zh-CN"/>
        </w:rPr>
      </w:pPr>
      <w:r>
        <w:rPr>
          <w:rFonts w:hint="eastAsia" w:ascii="宋体" w:hAnsi="宋体" w:eastAsia="宋体" w:cs="宋体"/>
          <w:b/>
          <w:bCs/>
          <w:sz w:val="32"/>
          <w:szCs w:val="32"/>
          <w:lang w:eastAsia="zh-CN"/>
        </w:rPr>
        <w:t>（正本/副本）</w:t>
      </w:r>
    </w:p>
    <w:p w14:paraId="22A67F75">
      <w:pPr>
        <w:widowControl w:val="0"/>
        <w:spacing w:line="360" w:lineRule="auto"/>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p>
    <w:p w14:paraId="687476A8">
      <w:pPr>
        <w:widowControl w:val="0"/>
        <w:adjustRightInd w:val="0"/>
        <w:spacing w:line="360" w:lineRule="auto"/>
        <w:ind w:firstLine="482"/>
        <w:jc w:val="center"/>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 xml:space="preserve">如东洋口港经济开发区金牛码头病媒生物监测与防治项目    </w:t>
      </w:r>
    </w:p>
    <w:p w14:paraId="56F8EBFD">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26822466">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69BB2E93">
      <w:pPr>
        <w:widowControl w:val="0"/>
        <w:jc w:val="both"/>
        <w:rPr>
          <w:rFonts w:hint="eastAsia" w:ascii="宋体" w:hAnsi="宋体" w:eastAsia="宋体" w:cs="宋体"/>
          <w:sz w:val="20"/>
          <w:szCs w:val="21"/>
          <w:lang w:eastAsia="zh-CN"/>
        </w:rPr>
      </w:pPr>
    </w:p>
    <w:p w14:paraId="4CF6AF38">
      <w:pPr>
        <w:widowControl w:val="0"/>
        <w:jc w:val="both"/>
        <w:rPr>
          <w:rFonts w:hint="eastAsia" w:ascii="宋体" w:hAnsi="宋体" w:eastAsia="宋体" w:cs="宋体"/>
          <w:sz w:val="20"/>
          <w:szCs w:val="21"/>
          <w:lang w:eastAsia="zh-CN"/>
        </w:rPr>
      </w:pPr>
    </w:p>
    <w:p w14:paraId="2EACCDD0">
      <w:pPr>
        <w:widowControl w:val="0"/>
        <w:adjustRightInd w:val="0"/>
        <w:spacing w:line="360" w:lineRule="auto"/>
        <w:ind w:firstLine="482"/>
        <w:jc w:val="center"/>
        <w:textAlignment w:val="baseline"/>
        <w:rPr>
          <w:rFonts w:hint="eastAsia" w:ascii="宋体" w:hAnsi="宋体" w:eastAsia="宋体" w:cs="宋体"/>
          <w:b/>
          <w:bCs/>
          <w:spacing w:val="60"/>
          <w:sz w:val="48"/>
          <w:szCs w:val="48"/>
          <w:lang w:eastAsia="zh-CN"/>
        </w:rPr>
      </w:pPr>
      <w:r>
        <w:rPr>
          <w:rFonts w:hint="eastAsia" w:ascii="宋体" w:hAnsi="宋体" w:eastAsia="宋体" w:cs="宋体"/>
          <w:b/>
          <w:bCs/>
          <w:spacing w:val="60"/>
          <w:sz w:val="48"/>
          <w:szCs w:val="48"/>
          <w:lang w:eastAsia="zh-CN"/>
        </w:rPr>
        <w:t>技术标</w:t>
      </w:r>
    </w:p>
    <w:p w14:paraId="36606F91">
      <w:pPr>
        <w:widowControl w:val="0"/>
        <w:adjustRightInd w:val="0"/>
        <w:spacing w:line="360" w:lineRule="auto"/>
        <w:ind w:firstLine="482"/>
        <w:jc w:val="center"/>
        <w:textAlignment w:val="baseline"/>
        <w:rPr>
          <w:rFonts w:hint="eastAsia" w:ascii="宋体" w:hAnsi="宋体" w:eastAsia="宋体" w:cs="宋体"/>
          <w:sz w:val="32"/>
          <w:szCs w:val="32"/>
          <w:lang w:eastAsia="zh-CN"/>
        </w:rPr>
      </w:pPr>
    </w:p>
    <w:p w14:paraId="2CA4E0B3">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4C4CF065">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3EAF2377">
      <w:pPr>
        <w:widowControl w:val="0"/>
        <w:adjustRightInd w:val="0"/>
        <w:spacing w:line="360" w:lineRule="auto"/>
        <w:jc w:val="both"/>
        <w:textAlignment w:val="baseline"/>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投标人(盖章)：</w:t>
      </w:r>
      <w:r>
        <w:rPr>
          <w:rFonts w:hint="eastAsia" w:ascii="宋体" w:hAnsi="宋体" w:eastAsia="宋体" w:cs="宋体"/>
          <w:sz w:val="28"/>
          <w:szCs w:val="28"/>
          <w:u w:val="single"/>
          <w:lang w:eastAsia="zh-CN"/>
        </w:rPr>
        <w:t xml:space="preserve">                                 </w:t>
      </w:r>
    </w:p>
    <w:p w14:paraId="5FF05EBA">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236EDEE3">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 (签字或盖章)：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6F6971B8">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3B3C9615">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日   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06995F42">
      <w:pPr>
        <w:spacing w:before="100" w:beforeAutospacing="1" w:after="100" w:afterAutospacing="1"/>
        <w:ind w:firstLine="2160" w:firstLineChars="900"/>
        <w:rPr>
          <w:rFonts w:hint="eastAsia" w:ascii="宋体" w:hAnsi="宋体" w:eastAsia="宋体" w:cs="宋体"/>
          <w:lang w:eastAsia="zh-CN"/>
        </w:rPr>
      </w:pPr>
    </w:p>
    <w:p w14:paraId="2F9D7A12">
      <w:pPr>
        <w:rPr>
          <w:rFonts w:hint="eastAsia" w:ascii="宋体" w:hAnsi="宋体" w:eastAsia="宋体" w:cs="宋体"/>
          <w:lang w:eastAsia="zh-CN"/>
        </w:rPr>
      </w:pPr>
      <w:r>
        <w:rPr>
          <w:rFonts w:hint="eastAsia" w:ascii="宋体" w:hAnsi="宋体" w:eastAsia="宋体" w:cs="宋体"/>
          <w:lang w:eastAsia="zh-CN"/>
        </w:rPr>
        <w:br w:type="page"/>
      </w:r>
    </w:p>
    <w:p w14:paraId="7E9A827C">
      <w:pPr>
        <w:spacing w:line="400" w:lineRule="exact"/>
        <w:jc w:val="both"/>
        <w:rPr>
          <w:rFonts w:hint="eastAsia" w:ascii="宋体" w:hAnsi="宋体" w:eastAsia="宋体" w:cs="宋体"/>
          <w:b/>
          <w:bCs/>
          <w:sz w:val="30"/>
          <w:szCs w:val="30"/>
          <w:lang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八</w:t>
      </w:r>
      <w:r>
        <w:rPr>
          <w:rFonts w:hint="eastAsia" w:ascii="宋体" w:hAnsi="宋体" w:eastAsia="宋体" w:cs="宋体"/>
          <w:b/>
          <w:bCs/>
          <w:sz w:val="28"/>
          <w:szCs w:val="28"/>
          <w:lang w:eastAsia="zh-CN"/>
        </w:rPr>
        <w:t>：</w:t>
      </w:r>
    </w:p>
    <w:p w14:paraId="088CBFD1">
      <w:pPr>
        <w:widowControl w:val="0"/>
        <w:spacing w:line="360" w:lineRule="auto"/>
        <w:ind w:firstLine="6274" w:firstLineChars="1953"/>
        <w:jc w:val="both"/>
        <w:rPr>
          <w:rFonts w:hint="eastAsia" w:ascii="宋体" w:hAnsi="宋体" w:eastAsia="宋体" w:cs="宋体"/>
          <w:b/>
          <w:bCs/>
          <w:sz w:val="28"/>
          <w:szCs w:val="28"/>
          <w:lang w:eastAsia="zh-CN"/>
        </w:rPr>
      </w:pPr>
      <w:r>
        <w:rPr>
          <w:rFonts w:hint="eastAsia" w:ascii="宋体" w:hAnsi="宋体" w:eastAsia="宋体" w:cs="宋体"/>
          <w:b/>
          <w:bCs/>
          <w:sz w:val="32"/>
          <w:szCs w:val="32"/>
          <w:lang w:eastAsia="zh-CN"/>
        </w:rPr>
        <w:t>（正本/副本）</w:t>
      </w:r>
    </w:p>
    <w:p w14:paraId="1AA776A4">
      <w:pPr>
        <w:widowControl w:val="0"/>
        <w:spacing w:line="360" w:lineRule="auto"/>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p>
    <w:p w14:paraId="257F3085">
      <w:pPr>
        <w:widowControl w:val="0"/>
        <w:adjustRightInd w:val="0"/>
        <w:spacing w:line="360" w:lineRule="auto"/>
        <w:ind w:firstLine="482"/>
        <w:jc w:val="center"/>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 xml:space="preserve">如东洋口港经济开发区金牛码头病媒生物监测与防治项目    </w:t>
      </w:r>
    </w:p>
    <w:p w14:paraId="1B7527F9">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788B4422">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11C1D3E6">
      <w:pPr>
        <w:widowControl w:val="0"/>
        <w:jc w:val="both"/>
        <w:rPr>
          <w:rFonts w:hint="eastAsia" w:ascii="宋体" w:hAnsi="宋体" w:eastAsia="宋体" w:cs="宋体"/>
          <w:sz w:val="20"/>
          <w:szCs w:val="21"/>
          <w:lang w:eastAsia="zh-CN"/>
        </w:rPr>
      </w:pPr>
    </w:p>
    <w:p w14:paraId="53EAE8A8">
      <w:pPr>
        <w:widowControl w:val="0"/>
        <w:jc w:val="both"/>
        <w:rPr>
          <w:rFonts w:hint="eastAsia" w:ascii="宋体" w:hAnsi="宋体" w:eastAsia="宋体" w:cs="宋体"/>
          <w:sz w:val="20"/>
          <w:szCs w:val="21"/>
          <w:lang w:eastAsia="zh-CN"/>
        </w:rPr>
      </w:pPr>
    </w:p>
    <w:p w14:paraId="75EC6785">
      <w:pPr>
        <w:widowControl w:val="0"/>
        <w:adjustRightInd w:val="0"/>
        <w:spacing w:line="360" w:lineRule="auto"/>
        <w:ind w:firstLine="482"/>
        <w:jc w:val="center"/>
        <w:textAlignment w:val="baseline"/>
        <w:rPr>
          <w:rFonts w:hint="eastAsia" w:ascii="宋体" w:hAnsi="宋体" w:eastAsia="宋体" w:cs="宋体"/>
          <w:b/>
          <w:bCs/>
          <w:spacing w:val="60"/>
          <w:sz w:val="48"/>
          <w:szCs w:val="48"/>
          <w:lang w:eastAsia="zh-CN"/>
        </w:rPr>
      </w:pPr>
      <w:r>
        <w:rPr>
          <w:rFonts w:hint="eastAsia" w:ascii="宋体" w:hAnsi="宋体" w:eastAsia="宋体" w:cs="宋体"/>
          <w:b/>
          <w:bCs/>
          <w:spacing w:val="60"/>
          <w:sz w:val="48"/>
          <w:szCs w:val="48"/>
          <w:lang w:eastAsia="zh-CN"/>
        </w:rPr>
        <w:t>价格标</w:t>
      </w:r>
    </w:p>
    <w:p w14:paraId="094C4824">
      <w:pPr>
        <w:widowControl w:val="0"/>
        <w:adjustRightInd w:val="0"/>
        <w:spacing w:line="360" w:lineRule="auto"/>
        <w:ind w:firstLine="482"/>
        <w:jc w:val="center"/>
        <w:textAlignment w:val="baseline"/>
        <w:rPr>
          <w:rFonts w:hint="eastAsia" w:ascii="宋体" w:hAnsi="宋体" w:eastAsia="宋体" w:cs="宋体"/>
          <w:sz w:val="32"/>
          <w:szCs w:val="32"/>
          <w:lang w:eastAsia="zh-CN"/>
        </w:rPr>
      </w:pPr>
    </w:p>
    <w:p w14:paraId="4E783311">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744BF089">
      <w:pPr>
        <w:widowControl w:val="0"/>
        <w:adjustRightInd w:val="0"/>
        <w:spacing w:line="360" w:lineRule="auto"/>
        <w:ind w:firstLine="482"/>
        <w:jc w:val="center"/>
        <w:textAlignment w:val="baseline"/>
        <w:rPr>
          <w:rFonts w:hint="eastAsia" w:ascii="宋体" w:hAnsi="宋体" w:eastAsia="宋体" w:cs="宋体"/>
          <w:sz w:val="28"/>
          <w:szCs w:val="28"/>
          <w:lang w:eastAsia="zh-CN"/>
        </w:rPr>
      </w:pPr>
    </w:p>
    <w:p w14:paraId="20579E0D">
      <w:pPr>
        <w:widowControl w:val="0"/>
        <w:adjustRightInd w:val="0"/>
        <w:spacing w:line="360" w:lineRule="auto"/>
        <w:jc w:val="both"/>
        <w:textAlignment w:val="baseline"/>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投标人(盖章)：</w:t>
      </w:r>
      <w:r>
        <w:rPr>
          <w:rFonts w:hint="eastAsia" w:ascii="宋体" w:hAnsi="宋体" w:eastAsia="宋体" w:cs="宋体"/>
          <w:sz w:val="28"/>
          <w:szCs w:val="28"/>
          <w:u w:val="single"/>
          <w:lang w:eastAsia="zh-CN"/>
        </w:rPr>
        <w:t xml:space="preserve">                                 </w:t>
      </w:r>
    </w:p>
    <w:p w14:paraId="5C5709F3">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12259615">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 (签字或盖章)：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46FB5F32">
      <w:pPr>
        <w:widowControl w:val="0"/>
        <w:adjustRightInd w:val="0"/>
        <w:spacing w:line="360" w:lineRule="auto"/>
        <w:ind w:firstLine="448" w:firstLineChars="160"/>
        <w:jc w:val="both"/>
        <w:textAlignment w:val="baseline"/>
        <w:rPr>
          <w:rFonts w:hint="eastAsia" w:ascii="宋体" w:hAnsi="宋体" w:eastAsia="宋体" w:cs="宋体"/>
          <w:sz w:val="28"/>
          <w:szCs w:val="28"/>
          <w:lang w:eastAsia="zh-CN"/>
        </w:rPr>
      </w:pPr>
    </w:p>
    <w:p w14:paraId="347FEA84">
      <w:pPr>
        <w:widowControl w:val="0"/>
        <w:adjustRightInd w:val="0"/>
        <w:spacing w:line="360" w:lineRule="auto"/>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日   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A548C44">
      <w:pPr>
        <w:widowControl w:val="0"/>
        <w:jc w:val="both"/>
        <w:rPr>
          <w:rFonts w:hint="eastAsia" w:ascii="宋体" w:hAnsi="宋体" w:eastAsia="宋体" w:cs="宋体"/>
          <w:sz w:val="20"/>
          <w:szCs w:val="21"/>
          <w:lang w:eastAsia="zh-CN"/>
        </w:rPr>
      </w:pPr>
    </w:p>
    <w:p w14:paraId="0895DD08">
      <w:pPr>
        <w:widowControl w:val="0"/>
        <w:jc w:val="both"/>
        <w:rPr>
          <w:rFonts w:hint="eastAsia" w:ascii="宋体" w:hAnsi="宋体" w:eastAsia="宋体" w:cs="宋体"/>
          <w:b/>
          <w:sz w:val="20"/>
          <w:szCs w:val="21"/>
          <w:lang w:eastAsia="zh-CN"/>
        </w:rPr>
      </w:pPr>
      <w:r>
        <w:rPr>
          <w:rFonts w:hint="eastAsia" w:ascii="宋体" w:hAnsi="宋体" w:eastAsia="宋体" w:cs="宋体"/>
          <w:b/>
          <w:sz w:val="20"/>
          <w:szCs w:val="21"/>
          <w:lang w:eastAsia="zh-CN"/>
        </w:rPr>
        <w:br w:type="page"/>
      </w:r>
      <w:r>
        <w:rPr>
          <w:rFonts w:hint="eastAsia" w:ascii="宋体" w:hAnsi="宋体" w:eastAsia="宋体" w:cs="宋体"/>
          <w:b/>
          <w:sz w:val="28"/>
          <w:szCs w:val="28"/>
          <w:lang w:eastAsia="zh-CN"/>
        </w:rPr>
        <w:t>附件</w:t>
      </w:r>
      <w:r>
        <w:rPr>
          <w:rFonts w:hint="eastAsia" w:ascii="宋体" w:hAnsi="宋体" w:eastAsia="宋体" w:cs="宋体"/>
          <w:b/>
          <w:sz w:val="28"/>
          <w:szCs w:val="28"/>
          <w:lang w:val="en-US" w:eastAsia="zh-CN"/>
        </w:rPr>
        <w:t>九</w:t>
      </w:r>
      <w:r>
        <w:rPr>
          <w:rFonts w:hint="eastAsia" w:ascii="宋体" w:hAnsi="宋体" w:eastAsia="宋体" w:cs="宋体"/>
          <w:b/>
          <w:sz w:val="28"/>
          <w:szCs w:val="28"/>
          <w:lang w:eastAsia="zh-CN"/>
        </w:rPr>
        <w:t>：</w:t>
      </w:r>
    </w:p>
    <w:p w14:paraId="784D2497">
      <w:pPr>
        <w:widowControl w:val="0"/>
        <w:adjustRightInd w:val="0"/>
        <w:spacing w:line="420" w:lineRule="exact"/>
        <w:jc w:val="center"/>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投标函</w:t>
      </w:r>
    </w:p>
    <w:p w14:paraId="4281A6E6">
      <w:pPr>
        <w:widowControl w:val="0"/>
        <w:adjustRightInd w:val="0"/>
        <w:spacing w:line="400" w:lineRule="exact"/>
        <w:textAlignment w:val="baseline"/>
        <w:rPr>
          <w:rFonts w:hint="eastAsia" w:ascii="宋体" w:hAnsi="宋体" w:eastAsia="宋体" w:cs="宋体"/>
          <w:szCs w:val="21"/>
          <w:lang w:eastAsia="zh-CN"/>
        </w:rPr>
      </w:pPr>
      <w:r>
        <w:rPr>
          <w:rFonts w:hint="eastAsia" w:ascii="宋体" w:hAnsi="宋体" w:eastAsia="宋体" w:cs="宋体"/>
          <w:szCs w:val="21"/>
          <w:lang w:eastAsia="zh-CN"/>
        </w:rPr>
        <w:t>致：</w:t>
      </w:r>
      <w:r>
        <w:rPr>
          <w:rFonts w:hint="eastAsia" w:ascii="宋体" w:hAnsi="宋体" w:eastAsia="宋体" w:cs="宋体"/>
          <w:szCs w:val="21"/>
          <w:u w:val="single"/>
          <w:lang w:eastAsia="zh-CN"/>
        </w:rPr>
        <w:t>江苏洋口港港务有限公司</w:t>
      </w:r>
      <w:r>
        <w:rPr>
          <w:rFonts w:hint="eastAsia" w:ascii="宋体" w:hAnsi="宋体" w:eastAsia="宋体" w:cs="宋体"/>
          <w:szCs w:val="21"/>
          <w:u w:val="single"/>
          <w:lang w:val="en-US" w:eastAsia="zh-CN"/>
        </w:rPr>
        <w:t>、江苏洋口宁港码头物流有限公司</w:t>
      </w:r>
    </w:p>
    <w:p w14:paraId="02EC8AB8">
      <w:pPr>
        <w:widowControl w:val="0"/>
        <w:adjustRightInd w:val="0"/>
        <w:spacing w:line="400" w:lineRule="exact"/>
        <w:ind w:firstLine="480"/>
        <w:textAlignment w:val="baseline"/>
        <w:rPr>
          <w:rFonts w:hint="eastAsia" w:ascii="宋体" w:hAnsi="宋体" w:eastAsia="宋体" w:cs="宋体"/>
          <w:u w:val="single"/>
          <w:lang w:eastAsia="zh-CN"/>
        </w:rPr>
      </w:pPr>
      <w:r>
        <w:rPr>
          <w:rFonts w:hint="eastAsia" w:ascii="宋体" w:hAnsi="宋体" w:eastAsia="宋体" w:cs="宋体"/>
          <w:szCs w:val="21"/>
          <w:lang w:eastAsia="zh-CN"/>
        </w:rPr>
        <w:t xml:space="preserve">根据贵方的 </w:t>
      </w:r>
      <w:r>
        <w:rPr>
          <w:rFonts w:hint="eastAsia" w:ascii="宋体" w:hAnsi="宋体" w:eastAsia="宋体" w:cs="宋体"/>
          <w:szCs w:val="21"/>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zCs w:val="21"/>
          <w:lang w:eastAsia="zh-CN"/>
        </w:rPr>
        <w:t>（项目名称）采购文件，正式授权</w:t>
      </w:r>
      <w:r>
        <w:rPr>
          <w:rFonts w:hint="eastAsia" w:ascii="宋体" w:hAnsi="宋体" w:eastAsia="宋体" w:cs="宋体"/>
          <w:szCs w:val="21"/>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zCs w:val="21"/>
          <w:lang w:eastAsia="zh-CN"/>
        </w:rPr>
        <w:t>(姓名和职务)代表我方</w:t>
      </w:r>
      <w:r>
        <w:rPr>
          <w:rFonts w:hint="eastAsia" w:ascii="宋体" w:hAnsi="宋体" w:eastAsia="宋体" w:cs="宋体"/>
          <w:u w:val="single"/>
          <w:lang w:eastAsia="zh-CN"/>
        </w:rPr>
        <w:t xml:space="preserve"> </w:t>
      </w:r>
      <w:r>
        <w:rPr>
          <w:rFonts w:hint="eastAsia" w:ascii="宋体" w:hAnsi="宋体" w:eastAsia="宋体" w:cs="宋体"/>
          <w:szCs w:val="21"/>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zCs w:val="21"/>
          <w:lang w:eastAsia="zh-CN"/>
        </w:rPr>
        <w:t>（投标供应商的名称），全权处理本次项目投标的有关事宜。我方现就有关事项郑重承诺如下：</w:t>
      </w:r>
    </w:p>
    <w:p w14:paraId="47925B0F">
      <w:pPr>
        <w:widowControl w:val="0"/>
        <w:numPr>
          <w:ilvl w:val="0"/>
          <w:numId w:val="2"/>
        </w:numPr>
        <w:adjustRightInd w:val="0"/>
        <w:spacing w:line="400" w:lineRule="exact"/>
        <w:ind w:firstLine="480"/>
        <w:textAlignment w:val="baseline"/>
        <w:rPr>
          <w:rFonts w:hint="eastAsia" w:ascii="宋体" w:hAnsi="宋体" w:eastAsia="宋体" w:cs="宋体"/>
          <w:b/>
          <w:bCs/>
          <w:szCs w:val="21"/>
          <w:lang w:eastAsia="zh-CN"/>
        </w:rPr>
      </w:pPr>
      <w:r>
        <w:rPr>
          <w:rFonts w:hint="eastAsia" w:ascii="宋体" w:hAnsi="宋体" w:eastAsia="宋体" w:cs="宋体"/>
          <w:szCs w:val="21"/>
          <w:lang w:eastAsia="zh-CN"/>
        </w:rPr>
        <w:t>根据已收到的</w:t>
      </w:r>
      <w:r>
        <w:rPr>
          <w:rFonts w:hint="eastAsia" w:ascii="宋体" w:hAnsi="宋体" w:eastAsia="宋体" w:cs="宋体"/>
          <w:szCs w:val="21"/>
          <w:u w:val="single"/>
          <w:lang w:eastAsia="zh-CN"/>
        </w:rPr>
        <w:t>如东洋口港经济开发区金牛码头病媒生物监测与防治项目</w:t>
      </w:r>
      <w:r>
        <w:rPr>
          <w:rFonts w:hint="eastAsia" w:ascii="宋体" w:hAnsi="宋体" w:eastAsia="宋体" w:cs="宋体"/>
          <w:szCs w:val="21"/>
          <w:lang w:eastAsia="zh-CN"/>
        </w:rPr>
        <w:t>招标文件，我司遵照《中华人民共和国政府采购法》等有关规定，</w:t>
      </w:r>
      <w:r>
        <w:rPr>
          <w:rFonts w:hint="eastAsia" w:ascii="宋体" w:hAnsi="宋体" w:eastAsia="宋体" w:cs="宋体"/>
          <w:b/>
          <w:bCs/>
          <w:szCs w:val="21"/>
          <w:lang w:eastAsia="zh-CN"/>
        </w:rPr>
        <w:t>愿以</w:t>
      </w:r>
      <w:r>
        <w:rPr>
          <w:rFonts w:hint="eastAsia" w:ascii="宋体" w:hAnsi="宋体" w:eastAsia="宋体" w:cs="宋体"/>
          <w:b/>
          <w:bCs/>
          <w:szCs w:val="21"/>
          <w:u w:val="single"/>
          <w:lang w:eastAsia="zh-CN"/>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u w:val="single"/>
          <w:lang w:eastAsia="zh-CN"/>
        </w:rPr>
        <w:t xml:space="preserve"> </w:t>
      </w:r>
      <w:r>
        <w:rPr>
          <w:rFonts w:hint="eastAsia" w:ascii="宋体" w:hAnsi="宋体" w:eastAsia="宋体" w:cs="宋体"/>
          <w:b/>
          <w:bCs/>
          <w:szCs w:val="21"/>
          <w:lang w:eastAsia="zh-CN"/>
        </w:rPr>
        <w:t>元</w:t>
      </w:r>
      <w:r>
        <w:rPr>
          <w:rFonts w:hint="eastAsia" w:ascii="宋体" w:hAnsi="宋体" w:eastAsia="宋体" w:cs="宋体"/>
          <w:b/>
          <w:bCs/>
          <w:szCs w:val="21"/>
          <w:lang w:val="en-US" w:eastAsia="zh-CN"/>
        </w:rPr>
        <w:t>/年（两年共</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lang w:val="en-US" w:eastAsia="zh-CN"/>
        </w:rPr>
        <w:t>元）</w:t>
      </w:r>
      <w:r>
        <w:rPr>
          <w:rFonts w:hint="eastAsia" w:ascii="宋体" w:hAnsi="宋体" w:eastAsia="宋体" w:cs="宋体"/>
          <w:b/>
          <w:bCs/>
          <w:szCs w:val="21"/>
          <w:lang w:eastAsia="zh-CN"/>
        </w:rPr>
        <w:t>的固定总价，按招标文件的要求承包本次招标范围内的全部内容。</w:t>
      </w:r>
    </w:p>
    <w:p w14:paraId="2520614C">
      <w:pPr>
        <w:widowControl w:val="0"/>
        <w:numPr>
          <w:numId w:val="0"/>
        </w:numPr>
        <w:adjustRightInd w:val="0"/>
        <w:spacing w:line="400" w:lineRule="exact"/>
        <w:ind w:firstLine="482" w:firstLineChars="200"/>
        <w:textAlignment w:val="baseline"/>
        <w:rPr>
          <w:rFonts w:hint="default" w:ascii="宋体" w:hAnsi="宋体" w:eastAsia="宋体" w:cs="宋体"/>
          <w:b/>
          <w:bCs/>
          <w:szCs w:val="21"/>
          <w:u w:val="single"/>
          <w:lang w:val="en-US" w:eastAsia="zh-CN"/>
        </w:rPr>
      </w:pPr>
      <w:r>
        <w:rPr>
          <w:rFonts w:hint="eastAsia" w:ascii="宋体" w:hAnsi="宋体" w:eastAsia="宋体" w:cs="宋体"/>
          <w:b/>
          <w:bCs/>
          <w:szCs w:val="21"/>
          <w:u w:val="single"/>
          <w:lang w:val="en-US" w:eastAsia="zh-CN"/>
        </w:rPr>
        <w:t>注：各投标单位输入到系统内的投标报价为两年的总价。</w:t>
      </w:r>
    </w:p>
    <w:p w14:paraId="54BC1A5A">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2.我方完全理解报价最低并非意味着必定获得中标的资格。</w:t>
      </w:r>
    </w:p>
    <w:p w14:paraId="4F4BDF9D">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3.我方已详细审核全部采购文件及其有效补充文件（若有），包括投标文件修改书（如有的话）、参考资料及有关附件，确认无误。</w:t>
      </w:r>
    </w:p>
    <w:p w14:paraId="2CCE599C">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4.我方完全理解全部采购文件内容及相关的补充文件（若有），不存在任何误解之处，同意放弃提出异议和质疑的权利。</w:t>
      </w:r>
    </w:p>
    <w:p w14:paraId="03508BC5">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5.我方同意自开标日期起遵循本投标文件，并在规定的投标有效期期满之前均具有约束力。</w:t>
      </w:r>
    </w:p>
    <w:p w14:paraId="440EACBA">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6.如果在开标后规定的投标有效期内撤回投标或中标后拒绝签订合同，我方的投标保证金可被贵方没收。</w:t>
      </w:r>
    </w:p>
    <w:p w14:paraId="02054334">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7.我方承诺：招标人若需追加采购本项目采购文件所列货物及相关服务的，在不改变合同其他实质性条款的前提下，按相同或更优惠的折扣率保证供货。</w:t>
      </w:r>
    </w:p>
    <w:p w14:paraId="1EEFCE07">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8.同意向贵方提供贵方可能另外要求的与投标有关的任何证据或资料，并保证我方已提供和将要提供的文件是真实的、准确的，绝无任何遗漏、虚假、伪造和夸大的成份，若出现违背诚实信用和无如实告知之处，同意被废除投标资格和相关的处罚。</w:t>
      </w:r>
    </w:p>
    <w:p w14:paraId="70BF957E">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9.一旦我方中标,我方将根据采购文件的规定，按照文件要求提交履约保证金，严格履行合同的责任和义务,并保证在采购文件规定的时间完成项目，交付招标人验收、使用。</w:t>
      </w:r>
    </w:p>
    <w:p w14:paraId="00D70767">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10.遵守采购文件中要求的收费项目和标准且无任何异议。</w:t>
      </w:r>
    </w:p>
    <w:p w14:paraId="54439B03">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如果我方违反上述承诺，或承诺内容不属实，我方愿意承担一切不利的法律后果。</w:t>
      </w:r>
    </w:p>
    <w:p w14:paraId="409E9C74">
      <w:pPr>
        <w:widowControl w:val="0"/>
        <w:adjustRightInd w:val="0"/>
        <w:spacing w:line="400" w:lineRule="exact"/>
        <w:ind w:firstLine="480"/>
        <w:textAlignment w:val="baseline"/>
        <w:rPr>
          <w:rFonts w:hint="eastAsia" w:ascii="宋体" w:hAnsi="宋体" w:eastAsia="宋体" w:cs="宋体"/>
          <w:szCs w:val="21"/>
          <w:lang w:eastAsia="zh-CN"/>
        </w:rPr>
      </w:pPr>
      <w:r>
        <w:rPr>
          <w:rFonts w:hint="eastAsia" w:ascii="宋体" w:hAnsi="宋体" w:eastAsia="宋体" w:cs="宋体"/>
          <w:szCs w:val="21"/>
          <w:lang w:eastAsia="zh-CN"/>
        </w:rPr>
        <w:t>与本投标有关的正式通讯地址为：</w:t>
      </w:r>
    </w:p>
    <w:p w14:paraId="1FE4F5B2">
      <w:pPr>
        <w:spacing w:line="400" w:lineRule="exact"/>
        <w:ind w:left="421"/>
        <w:rPr>
          <w:rFonts w:hint="eastAsia" w:ascii="宋体" w:hAnsi="宋体" w:eastAsia="宋体" w:cs="宋体"/>
          <w:lang w:eastAsia="zh-CN"/>
        </w:rPr>
      </w:pPr>
      <w:r>
        <w:rPr>
          <w:rFonts w:hint="eastAsia" w:ascii="宋体" w:hAnsi="宋体" w:eastAsia="宋体" w:cs="宋体"/>
          <w:lang w:eastAsia="zh-CN"/>
        </w:rPr>
        <w:t>投单位全称（加盖公章）：</w:t>
      </w:r>
    </w:p>
    <w:p w14:paraId="2DB26231">
      <w:pPr>
        <w:spacing w:line="400" w:lineRule="exact"/>
        <w:ind w:left="421"/>
        <w:rPr>
          <w:rFonts w:hint="eastAsia" w:ascii="宋体" w:hAnsi="宋体" w:eastAsia="宋体" w:cs="宋体"/>
          <w:lang w:eastAsia="zh-CN"/>
        </w:rPr>
      </w:pPr>
      <w:r>
        <w:rPr>
          <w:rFonts w:hint="eastAsia" w:ascii="宋体" w:hAnsi="宋体" w:eastAsia="宋体" w:cs="宋体"/>
          <w:lang w:eastAsia="zh-CN"/>
        </w:rPr>
        <w:t xml:space="preserve">          </w:t>
      </w:r>
    </w:p>
    <w:p w14:paraId="2F6DB1F1">
      <w:pPr>
        <w:spacing w:line="400" w:lineRule="exact"/>
        <w:ind w:left="421"/>
        <w:rPr>
          <w:rFonts w:hint="eastAsia" w:ascii="宋体" w:hAnsi="宋体" w:eastAsia="宋体" w:cs="宋体"/>
          <w:lang w:eastAsia="zh-CN"/>
        </w:rPr>
      </w:pPr>
      <w:r>
        <w:rPr>
          <w:rFonts w:hint="eastAsia" w:ascii="宋体" w:hAnsi="宋体" w:eastAsia="宋体" w:cs="宋体"/>
          <w:lang w:eastAsia="zh-CN"/>
        </w:rPr>
        <w:t>法定代表人签字或盖章：</w:t>
      </w:r>
    </w:p>
    <w:p w14:paraId="1E50309C">
      <w:pPr>
        <w:widowControl w:val="0"/>
        <w:spacing w:line="400" w:lineRule="exact"/>
        <w:jc w:val="both"/>
        <w:rPr>
          <w:rFonts w:hint="eastAsia" w:ascii="宋体" w:hAnsi="宋体" w:eastAsia="宋体" w:cs="宋体"/>
          <w:sz w:val="20"/>
          <w:szCs w:val="21"/>
          <w:lang w:eastAsia="zh-CN"/>
        </w:rPr>
      </w:pPr>
    </w:p>
    <w:p w14:paraId="0565A425">
      <w:pPr>
        <w:spacing w:line="400" w:lineRule="exact"/>
        <w:ind w:left="421"/>
        <w:rPr>
          <w:rFonts w:hint="eastAsia" w:ascii="宋体" w:hAnsi="宋体" w:eastAsia="宋体" w:cs="宋体"/>
          <w:lang w:eastAsia="zh-CN"/>
        </w:rPr>
        <w:sectPr>
          <w:pgSz w:w="11900" w:h="16840"/>
          <w:pgMar w:top="1247" w:right="1077" w:bottom="1247" w:left="1077" w:header="567" w:footer="850" w:gutter="0"/>
          <w:cols w:space="720" w:num="1"/>
          <w:titlePg/>
          <w:docGrid w:linePitch="326" w:charSpace="0"/>
        </w:sectPr>
      </w:pPr>
      <w:r>
        <w:rPr>
          <w:rFonts w:hint="eastAsia" w:ascii="宋体" w:hAnsi="宋体" w:eastAsia="宋体" w:cs="宋体"/>
          <w:lang w:eastAsia="zh-CN"/>
        </w:rPr>
        <w:t>联系电话：</w:t>
      </w:r>
    </w:p>
    <w:p w14:paraId="5A6EC57D">
      <w:pPr>
        <w:widowControl w:val="0"/>
        <w:jc w:val="center"/>
        <w:rPr>
          <w:rFonts w:hint="eastAsia" w:ascii="宋体" w:hAnsi="宋体" w:eastAsia="宋体" w:cs="宋体"/>
          <w:sz w:val="20"/>
          <w:szCs w:val="20"/>
          <w:lang w:eastAsia="zh-CN"/>
        </w:rPr>
      </w:pPr>
    </w:p>
    <w:p w14:paraId="52C0836B">
      <w:pPr>
        <w:pStyle w:val="3"/>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jc w:val="right"/>
        <w:textAlignment w:val="auto"/>
        <w:rPr>
          <w:rFonts w:hint="eastAsia"/>
          <w:sz w:val="22"/>
          <w:szCs w:val="24"/>
        </w:rPr>
      </w:pPr>
      <w:r>
        <w:rPr>
          <w:rFonts w:hint="eastAsia" w:eastAsia="宋体"/>
          <w:sz w:val="22"/>
          <w:szCs w:val="24"/>
        </w:rPr>
        <w:t>合同编号：</w:t>
      </w:r>
    </w:p>
    <w:p w14:paraId="52E7B15E">
      <w:pPr>
        <w:keepNext w:val="0"/>
        <w:keepLines w:val="0"/>
        <w:pageBreakBefore w:val="0"/>
        <w:widowControl/>
        <w:kinsoku/>
        <w:wordWrap/>
        <w:overflowPunct/>
        <w:topLinePunct w:val="0"/>
        <w:autoSpaceDE/>
        <w:autoSpaceDN/>
        <w:bidi w:val="0"/>
        <w:adjustRightInd/>
        <w:snapToGrid/>
        <w:spacing w:beforeLines="0" w:afterLines="0" w:line="360" w:lineRule="auto"/>
        <w:ind w:right="-298" w:rightChars="-124" w:firstLine="181" w:firstLineChars="50"/>
        <w:jc w:val="center"/>
        <w:textAlignment w:val="auto"/>
        <w:rPr>
          <w:rFonts w:hint="eastAsia" w:ascii="宋体" w:hAnsi="宋体" w:eastAsia="宋体"/>
          <w:b/>
          <w:color w:val="000000"/>
          <w:sz w:val="36"/>
          <w:szCs w:val="24"/>
        </w:rPr>
      </w:pPr>
      <w:r>
        <w:rPr>
          <w:rFonts w:hint="eastAsia" w:ascii="宋体" w:hAnsi="宋体" w:eastAsia="宋体"/>
          <w:b/>
          <w:color w:val="000000"/>
          <w:sz w:val="36"/>
          <w:szCs w:val="24"/>
          <w:lang w:eastAsia="zh-CN"/>
        </w:rPr>
        <w:t>如东洋口港经济开发区金牛码头病媒生物监测与防治项目</w:t>
      </w:r>
      <w:r>
        <w:rPr>
          <w:rFonts w:hint="eastAsia" w:ascii="宋体" w:hAnsi="宋体" w:eastAsia="宋体"/>
          <w:b/>
          <w:color w:val="000000"/>
          <w:sz w:val="36"/>
          <w:szCs w:val="24"/>
        </w:rPr>
        <w:t>合同</w:t>
      </w:r>
    </w:p>
    <w:p w14:paraId="30690EE8">
      <w:pPr>
        <w:keepNext w:val="0"/>
        <w:keepLines w:val="0"/>
        <w:pageBreakBefore w:val="0"/>
        <w:widowControl/>
        <w:kinsoku/>
        <w:wordWrap/>
        <w:overflowPunct/>
        <w:topLinePunct w:val="0"/>
        <w:autoSpaceDE/>
        <w:autoSpaceDN/>
        <w:bidi w:val="0"/>
        <w:adjustRightInd/>
        <w:snapToGrid/>
        <w:spacing w:beforeLines="0" w:afterLines="0" w:line="312" w:lineRule="auto"/>
        <w:ind w:firstLine="482" w:firstLineChars="200"/>
        <w:textAlignment w:val="auto"/>
        <w:rPr>
          <w:rFonts w:hint="eastAsia" w:ascii="宋体" w:hAnsi="宋体" w:eastAsia="宋体"/>
          <w:b/>
          <w:color w:val="000000"/>
          <w:sz w:val="24"/>
          <w:szCs w:val="24"/>
        </w:rPr>
      </w:pPr>
      <w:r>
        <w:rPr>
          <w:rFonts w:hint="eastAsia" w:ascii="宋体" w:hAnsi="宋体" w:eastAsia="宋体"/>
          <w:b/>
          <w:color w:val="000000"/>
          <w:sz w:val="24"/>
          <w:szCs w:val="24"/>
        </w:rPr>
        <w:t>甲方(需方)：</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住所地： </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w:t>
      </w:r>
    </w:p>
    <w:p w14:paraId="22DB78D3">
      <w:pPr>
        <w:keepNext w:val="0"/>
        <w:keepLines w:val="0"/>
        <w:pageBreakBefore w:val="0"/>
        <w:widowControl/>
        <w:kinsoku/>
        <w:wordWrap/>
        <w:overflowPunct/>
        <w:topLinePunct w:val="0"/>
        <w:autoSpaceDE/>
        <w:autoSpaceDN/>
        <w:bidi w:val="0"/>
        <w:adjustRightInd/>
        <w:snapToGrid/>
        <w:spacing w:beforeLines="0" w:afterLines="0" w:line="312" w:lineRule="auto"/>
        <w:ind w:firstLine="482" w:firstLineChars="200"/>
        <w:textAlignment w:val="auto"/>
        <w:rPr>
          <w:rFonts w:hint="eastAsia" w:ascii="宋体" w:hAnsi="宋体" w:eastAsia="宋体"/>
          <w:b/>
          <w:color w:val="000000"/>
          <w:sz w:val="24"/>
          <w:szCs w:val="24"/>
        </w:rPr>
      </w:pPr>
      <w:r>
        <w:rPr>
          <w:rFonts w:hint="eastAsia" w:ascii="宋体" w:hAnsi="宋体" w:eastAsia="宋体"/>
          <w:b/>
          <w:color w:val="000000"/>
          <w:sz w:val="24"/>
          <w:szCs w:val="24"/>
        </w:rPr>
        <w:t>乙方(供方)：</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住所地： </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w:t>
      </w:r>
    </w:p>
    <w:p w14:paraId="65D906B2">
      <w:pPr>
        <w:pStyle w:val="3"/>
        <w:keepNext w:val="0"/>
        <w:keepLines w:val="0"/>
        <w:pageBreakBefore w:val="0"/>
        <w:widowControl/>
        <w:kinsoku/>
        <w:wordWrap/>
        <w:overflowPunct/>
        <w:topLinePunct w:val="0"/>
        <w:autoSpaceDE/>
        <w:autoSpaceDN/>
        <w:bidi w:val="0"/>
        <w:adjustRightInd/>
        <w:snapToGrid/>
        <w:spacing w:beforeLines="0" w:after="0" w:afterLines="0" w:line="312" w:lineRule="auto"/>
        <w:ind w:firstLine="482" w:firstLineChars="200"/>
        <w:textAlignment w:val="auto"/>
        <w:rPr>
          <w:rFonts w:hint="eastAsia"/>
          <w:color w:val="000000"/>
          <w:sz w:val="28"/>
          <w:szCs w:val="24"/>
          <w:u w:val="single"/>
        </w:rPr>
      </w:pPr>
      <w:r>
        <w:rPr>
          <w:rFonts w:hint="eastAsia" w:ascii="宋体" w:hAnsi="宋体" w:eastAsia="宋体"/>
          <w:b/>
          <w:color w:val="000000"/>
          <w:sz w:val="24"/>
          <w:szCs w:val="24"/>
        </w:rPr>
        <w:t>签订时间：</w:t>
      </w:r>
      <w:r>
        <w:rPr>
          <w:rFonts w:hint="eastAsia" w:ascii="宋体" w:hAnsi="宋体" w:eastAsia="宋体"/>
          <w:b/>
          <w:color w:val="000000"/>
          <w:sz w:val="24"/>
          <w:szCs w:val="24"/>
          <w:u w:val="single"/>
        </w:rPr>
        <w:t xml:space="preserve">                    </w:t>
      </w:r>
      <w:r>
        <w:rPr>
          <w:rFonts w:hint="eastAsia" w:ascii="宋体" w:hAnsi="宋体" w:eastAsia="宋体"/>
          <w:b/>
          <w:color w:val="000000"/>
          <w:sz w:val="24"/>
          <w:szCs w:val="24"/>
        </w:rPr>
        <w:t xml:space="preserve">   签订地点：</w:t>
      </w:r>
      <w:r>
        <w:rPr>
          <w:rFonts w:hint="eastAsia" w:ascii="宋体" w:hAnsi="宋体" w:eastAsia="宋体"/>
          <w:b/>
          <w:color w:val="000000"/>
          <w:sz w:val="24"/>
          <w:szCs w:val="24"/>
          <w:u w:val="single"/>
        </w:rPr>
        <w:t xml:space="preserve">                           </w:t>
      </w:r>
    </w:p>
    <w:p w14:paraId="0B3A48D7">
      <w:pPr>
        <w:keepNext w:val="0"/>
        <w:keepLines w:val="0"/>
        <w:pageBreakBefore w:val="0"/>
        <w:widowControl/>
        <w:kinsoku/>
        <w:wordWrap/>
        <w:overflowPunct/>
        <w:topLinePunct w:val="0"/>
        <w:bidi w:val="0"/>
        <w:snapToGrid/>
        <w:spacing w:beforeLines="0" w:afterLines="0" w:line="312" w:lineRule="auto"/>
        <w:ind w:firstLine="480" w:firstLineChars="200"/>
        <w:textAlignment w:val="auto"/>
        <w:rPr>
          <w:rFonts w:hint="eastAsia" w:ascii="宋体" w:hAnsi="宋体" w:eastAsia="宋体"/>
          <w:color w:val="000000"/>
          <w:sz w:val="24"/>
          <w:szCs w:val="24"/>
        </w:rPr>
      </w:pPr>
      <w:r>
        <w:rPr>
          <w:rFonts w:hint="eastAsia" w:ascii="宋体" w:hAnsi="宋体" w:eastAsia="宋体"/>
          <w:color w:val="000000"/>
          <w:sz w:val="24"/>
          <w:szCs w:val="24"/>
        </w:rPr>
        <w:t>根据</w:t>
      </w:r>
      <w:r>
        <w:rPr>
          <w:rFonts w:hint="eastAsia" w:ascii="宋体" w:hAnsi="宋体" w:eastAsia="宋体"/>
          <w:color w:val="000000"/>
          <w:sz w:val="24"/>
          <w:szCs w:val="24"/>
          <w:u w:val="single"/>
          <w:lang w:eastAsia="zh-CN"/>
        </w:rPr>
        <w:t xml:space="preserve">YKG2026CJB073 </w:t>
      </w:r>
      <w:r>
        <w:rPr>
          <w:rFonts w:hint="eastAsia" w:ascii="宋体" w:hAnsi="宋体" w:eastAsia="宋体"/>
          <w:color w:val="000000"/>
          <w:sz w:val="24"/>
          <w:szCs w:val="24"/>
          <w:u w:val="single"/>
        </w:rPr>
        <w:t>号</w:t>
      </w:r>
      <w:r>
        <w:rPr>
          <w:rFonts w:hint="eastAsia" w:ascii="宋体" w:hAnsi="宋体" w:eastAsia="宋体"/>
          <w:color w:val="000000"/>
          <w:sz w:val="24"/>
          <w:szCs w:val="24"/>
          <w:u w:val="single"/>
          <w:lang w:eastAsia="zh-CN"/>
        </w:rPr>
        <w:t>如东洋口港经济开发区金牛码头病媒生物监测与防治项目</w:t>
      </w:r>
      <w:r>
        <w:rPr>
          <w:rFonts w:hint="eastAsia" w:ascii="宋体" w:hAnsi="宋体" w:eastAsia="宋体"/>
          <w:color w:val="000000"/>
          <w:sz w:val="24"/>
          <w:szCs w:val="24"/>
        </w:rPr>
        <w:t>中标（成交）通知书，供需双方本着公平自愿和诚实信用的原则,依据《中华人民共和国民法典》等法律法规，订立如下供需合同：</w:t>
      </w:r>
    </w:p>
    <w:p w14:paraId="23606723">
      <w:pPr>
        <w:keepNext w:val="0"/>
        <w:keepLines w:val="0"/>
        <w:pageBreakBefore w:val="0"/>
        <w:widowControl/>
        <w:kinsoku/>
        <w:wordWrap/>
        <w:overflowPunct/>
        <w:topLinePunct w:val="0"/>
        <w:bidi w:val="0"/>
        <w:snapToGrid/>
        <w:spacing w:line="312"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一、病媒生物监测</w:t>
      </w:r>
    </w:p>
    <w:p w14:paraId="35BB29DD">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1、四定要求：必须遵循“四定”原则，即“定人员、定时间、定生境和定方法”。</w:t>
      </w:r>
    </w:p>
    <w:p w14:paraId="028ACA3C">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定人员：监测周期内，监测人员没有特殊情况不得随意更换。</w:t>
      </w:r>
    </w:p>
    <w:p w14:paraId="795ACBD1">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定时间：监测周期、频次和器具布放时间，一经确定不得更改，如遇特殊天气可顺延。</w:t>
      </w:r>
    </w:p>
    <w:p w14:paraId="5ACE7920">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定生境：根据</w:t>
      </w:r>
      <w:r>
        <w:rPr>
          <w:rFonts w:hint="eastAsia" w:ascii="宋体" w:hAnsi="宋体" w:eastAsia="宋体" w:cs="宋体"/>
          <w:kern w:val="0"/>
          <w:sz w:val="24"/>
          <w:szCs w:val="24"/>
          <w:highlight w:val="none"/>
          <w:lang w:eastAsia="zh-CN"/>
        </w:rPr>
        <w:t>金牛码头</w:t>
      </w:r>
      <w:r>
        <w:rPr>
          <w:rFonts w:hint="eastAsia" w:ascii="宋体" w:hAnsi="宋体" w:eastAsia="宋体" w:cs="宋体"/>
          <w:kern w:val="0"/>
          <w:sz w:val="24"/>
          <w:szCs w:val="24"/>
          <w:highlight w:val="none"/>
        </w:rPr>
        <w:t>范围和地貌特点，选择具有代表性生态环境为监测点。在监测周期内，不得随意更改生境。</w:t>
      </w:r>
    </w:p>
    <w:p w14:paraId="5963A01A">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定方法：方法经如东海关认可，一旦确定，不得更改。</w:t>
      </w:r>
    </w:p>
    <w:p w14:paraId="022F7E2E">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2、洋口港病媒生物监测对象：</w:t>
      </w:r>
    </w:p>
    <w:p w14:paraId="37B841F1">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鼠类及体表寄生虫（蚤、蜱、螨）；</w:t>
      </w:r>
    </w:p>
    <w:p w14:paraId="65FD37BF">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蚊类（成蚊）；</w:t>
      </w:r>
    </w:p>
    <w:p w14:paraId="7C73BD43">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伊蚊（卵）；</w:t>
      </w:r>
    </w:p>
    <w:p w14:paraId="57967793">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蝇类。</w:t>
      </w:r>
    </w:p>
    <w:p w14:paraId="3A5DA418">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3、监测范围及监测点</w:t>
      </w:r>
    </w:p>
    <w:p w14:paraId="6AEAF86A">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监测范围为如东洋口港经济开发区金牛码头区域，根据生活区、工作区、外环境3个不同生境确定监测点为：</w:t>
      </w:r>
    </w:p>
    <w:p w14:paraId="33159353">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码头及引桥（工作区）</w:t>
      </w:r>
    </w:p>
    <w:p w14:paraId="1D8BB451">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海关监管堆场（外环境）</w:t>
      </w:r>
    </w:p>
    <w:p w14:paraId="021E4D18">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办公区（生活区）</w:t>
      </w:r>
    </w:p>
    <w:p w14:paraId="69110C4E">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4、监测时间</w:t>
      </w:r>
    </w:p>
    <w:p w14:paraId="3907B464">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鼠及体表寄生虫监测：每季度监测1次。每季度的中间月（2、5、8、11月）的10、11、12日为口岸鼠及体表寄生虫监测日。</w:t>
      </w:r>
    </w:p>
    <w:p w14:paraId="243CAF23">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成蚊监测：5-10月每月上下旬各监测一次，每月的6日、26日为口岸成蚊监测日，如遇雨天或风力大于5级以上则向后顺延。</w:t>
      </w:r>
    </w:p>
    <w:p w14:paraId="0D9A77D2">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伊蚊诱卵器法监测：5-10月每月监测一次，每月的16日为口岸伊蚊诱卵器法监测日，19日现场检查一次，22日回收。</w:t>
      </w:r>
    </w:p>
    <w:p w14:paraId="4EB6F589">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蝇类监测：4-10月每月上、下二旬各监测1次，每月的4日、24日为蝇类调查监测日，如遇雨天，向后顺延。</w:t>
      </w:r>
    </w:p>
    <w:p w14:paraId="3E464A62">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5、监测方法</w:t>
      </w:r>
    </w:p>
    <w:p w14:paraId="542C649B">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 鼠类</w:t>
      </w:r>
    </w:p>
    <w:p w14:paraId="4A6EC540">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5.1.1 夹夜法：统一采用标准2号鼠夹，采用市售新鲜生花生米为诱饵，定人定点，于每季度的中间月（2、5、8、11月）的10、11、12日进行监测，每次监测晚17时布夹，次日晨7时收夹。每点每晚布鼠夹100只，连布3晚，室内按每15平方米布鼠夹一个，超过15平方米布鼠夹2个，室内沿墙基放置，鼠夹与墙基垂直平放，踏板端紧靠墙基，并布放于隐蔽处；室外按直线每隔5米布放一个鼠夹，两平行间距约20米。将捕获的鼠类编号进行登记，装入布袋，带回实验室分类鉴定、统计密度，制作标本同时进行病原学检测。鼠夹法鼠密度参考控制标准为小于1%。</w:t>
      </w:r>
    </w:p>
    <w:p w14:paraId="65B2C2A6">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鼠密度=（捕鼠总数/有效夹数）x100%</w:t>
      </w:r>
    </w:p>
    <w:p w14:paraId="2ED59074">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5.1.2 鼠笼法：在上述</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个相同的调查点，每点每次布放鼠笼10只，晚放晨收（方法同上），鼠笼与墙基垂直平放，鼠笼开口朝向墙面。对捕获的活鼠编号登记，连笼装入布袋带回实验室分类鉴定、统计密度，制作标本同时进行病原学检测。</w:t>
      </w:r>
    </w:p>
    <w:p w14:paraId="4491FA74">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鼠笼法鼠密度参考控制标准为小于0.5%。</w:t>
      </w:r>
    </w:p>
    <w:p w14:paraId="6DD8FA3E">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鼠密度=（捕鼠总数/有效笼数）x100%</w:t>
      </w:r>
    </w:p>
    <w:p w14:paraId="24A04F17">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 蜱、螨、蚤的调查：</w:t>
      </w:r>
    </w:p>
    <w:p w14:paraId="40EF95CB">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5.2.1 蚤类：</w:t>
      </w:r>
    </w:p>
    <w:p w14:paraId="43279480">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将捕获鼠及器械放入白布袋，扎紧袋口，置于密闭容器内，用氯仿或乙醚麻醉处理。处理后的鼠体放在白瓷盘上，用梳子或刷子捡蚤，以湿毛笔沾起放入75%酒精中，每只鼠检获的蚤类放入同一试管内，做好唯一性标识，在解剖镜下进行分类计数。</w:t>
      </w:r>
    </w:p>
    <w:p w14:paraId="63200EAA">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鼠体染蚤率（%）=（染蚤鼠数/捕获鼠数）×100%</w:t>
      </w:r>
    </w:p>
    <w:p w14:paraId="000ADEDC">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鼠体蚤指数（个/只）=集蚤总数/染蚤鼠数</w:t>
      </w:r>
    </w:p>
    <w:p w14:paraId="518E6EDB">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蚤构成比（%）=（某种蚤数/集蚤总数）×100%</w:t>
      </w:r>
    </w:p>
    <w:p w14:paraId="228663F6">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5.2.2 鼠体寄生蜱类：</w:t>
      </w:r>
    </w:p>
    <w:p w14:paraId="35DF3138">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同鼠类调查同时进行，检蜱方法同蚤类。鼠体染蜱率（%）=（染蜱鼠数/捕获鼠数）×100%</w:t>
      </w:r>
    </w:p>
    <w:p w14:paraId="54E17C9A">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鼠体蜱指数（个/只）=集蜱总数/染蜱鼠数</w:t>
      </w:r>
    </w:p>
    <w:p w14:paraId="60F3AEBB">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蜱构成比（%）=（某种蜱数/集蜱总数）×100%</w:t>
      </w:r>
    </w:p>
    <w:p w14:paraId="7C290838">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5.2.3 螨类</w:t>
      </w:r>
    </w:p>
    <w:p w14:paraId="562625BC">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同鼠类调查同时进行，检螨方法同蚤类。鼠体染螨率（%）=（染螨鼠数/捕获鼠数）×100%</w:t>
      </w:r>
    </w:p>
    <w:p w14:paraId="7CD1CB4F">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鼠体螨指数（个/只）=集螨总数/染螨鼠数</w:t>
      </w:r>
    </w:p>
    <w:p w14:paraId="4954ECEB">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螨构成比（%）=（某种螨数/集螨总数）×100%</w:t>
      </w:r>
    </w:p>
    <w:p w14:paraId="5018D36B">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 成蚊：</w:t>
      </w:r>
    </w:p>
    <w:p w14:paraId="4C2BB6BE">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采用二氧化碳全自动高效蚊虫采样器。每月上下旬各监测1次，日落时开始监测，每次监测时长为2小时。捕获的成蚊带回实验室进行分类鉴定、统计密度，制作标本、进行病原学检测。</w:t>
      </w:r>
    </w:p>
    <w:p w14:paraId="2006FF67">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成蚊参考控制标准为平均密度小于60只/灯·小时。</w:t>
      </w:r>
    </w:p>
    <w:p w14:paraId="28A0A83B">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平均密度［只/（灯·小时）］＝捕蚊总数/（诱蚊灯数×2）</w:t>
      </w:r>
    </w:p>
    <w:p w14:paraId="01257C34">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5.4 伊蚊诱卵器法监测</w:t>
      </w:r>
    </w:p>
    <w:p w14:paraId="28FF749E">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5月开始至10月份，于每月中旬的17日在每个监测点放置10个诱卵器（尽量放置在阴暗避光处），拍照、记录，各诱卵器间隔不少于10米，连续放置7日，于第4、7日分别检查、收集诱到的成蚊及蚊卵，记录阳性容器数。同时记录调查期间平均气温和降雨情况。诱蚊诱卵器指数＝（阳性容器数/回收有效的容器数）×100%</w:t>
      </w:r>
    </w:p>
    <w:p w14:paraId="251F19C9">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 成蝇监测：</w:t>
      </w:r>
    </w:p>
    <w:p w14:paraId="3CF73560">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采用“诱蝇笼捕集法”，在选定的上述</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个蝇类调查点，每月规定的调查时间内，选用规格为25*25*40CM的圆柱形蝇笼，下置统一采购的混合诱饵，晨放晚收，捕获到的成蝇连同诱蝇笼装入特制的塑料袋内密封，标记，送实验室鉴定分类，计算成蝇密度（只/笼.天）。同时进行携带病原学检测。</w:t>
      </w:r>
    </w:p>
    <w:p w14:paraId="6E6D8560">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蝇类参考控制标准为平均密度小于200只/（笼·日）。</w:t>
      </w:r>
    </w:p>
    <w:p w14:paraId="0005F783">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平均密度［只/（笼·日）］=捕获蝇总数/诱蝇笼总数</w:t>
      </w:r>
    </w:p>
    <w:p w14:paraId="2C9F9FE9">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6、标本鉴定和送样</w:t>
      </w:r>
    </w:p>
    <w:p w14:paraId="32733C82">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所捕获的病媒生物需按采集点分类，送如东海关组织鉴定、病原学监测及标本制作。</w:t>
      </w:r>
    </w:p>
    <w:p w14:paraId="43A5C6B2">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7、其他要求</w:t>
      </w:r>
    </w:p>
    <w:p w14:paraId="41EE9A79">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1、每次调查监测结束后，及时填写相应的监测记录表；</w:t>
      </w:r>
    </w:p>
    <w:p w14:paraId="233AB48B">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2、每次现场监测需拍照留存，包括调查监测现场放置器械的照片、捕获的媒介照片等，图片格式为JPG/PNG，照片右下角需有日期。</w:t>
      </w:r>
    </w:p>
    <w:p w14:paraId="6217CBBC">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3、每月最后1个工作日需将本月监测记录表交如东海关。</w:t>
      </w:r>
    </w:p>
    <w:p w14:paraId="48DA7269">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4、年底对监测结果需进行统计分析，12月31日前出具监测报告。</w:t>
      </w:r>
    </w:p>
    <w:p w14:paraId="47E1E06B">
      <w:pPr>
        <w:keepNext w:val="0"/>
        <w:keepLines w:val="0"/>
        <w:pageBreakBefore w:val="0"/>
        <w:widowControl/>
        <w:kinsoku/>
        <w:wordWrap/>
        <w:overflowPunct/>
        <w:topLinePunct w:val="0"/>
        <w:bidi w:val="0"/>
        <w:snapToGrid/>
        <w:spacing w:line="312"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二、病媒生物预防控制</w:t>
      </w:r>
    </w:p>
    <w:p w14:paraId="0CF65DC1">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1、范围：防治范围为如东洋口港经济开发区金牛码头区域</w:t>
      </w:r>
      <w:r>
        <w:rPr>
          <w:rFonts w:hint="eastAsia" w:ascii="宋体" w:hAnsi="宋体" w:eastAsia="宋体" w:cs="宋体"/>
          <w:kern w:val="0"/>
          <w:sz w:val="24"/>
          <w:szCs w:val="24"/>
          <w:highlight w:val="none"/>
          <w:lang w:eastAsia="zh-CN"/>
        </w:rPr>
        <w:t>，包括码头及引桥、海关监管堆场、办公区</w:t>
      </w:r>
      <w:r>
        <w:rPr>
          <w:rFonts w:hint="eastAsia" w:ascii="宋体" w:hAnsi="宋体" w:eastAsia="宋体" w:cs="宋体"/>
          <w:kern w:val="0"/>
          <w:sz w:val="24"/>
          <w:szCs w:val="24"/>
          <w:highlight w:val="none"/>
        </w:rPr>
        <w:t>。</w:t>
      </w:r>
    </w:p>
    <w:p w14:paraId="03F242C3">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2、防治对象：鼠、蝇、蚊、蜚蠊</w:t>
      </w:r>
    </w:p>
    <w:p w14:paraId="4D8455E9">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3、防治措施：</w:t>
      </w:r>
    </w:p>
    <w:p w14:paraId="43F9F1FA">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3.1需根据港口特点和功能分区及环境条件等实际情况，针对鼠、蝇、蚊、蜚蠊4种媒介对各区域内风险进行评估分级，制定详细的防治方案，方案需经如东海关认可；</w:t>
      </w:r>
    </w:p>
    <w:p w14:paraId="01293B9E">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长效虫控器械布置：盖金牛码头全域，重点区域：码头及引桥沿线、海关监管堆场四周、办公区。合理布置新型毒饵站、连续捕鼠器、捕虫灯、防鼠网等器械，布放数量应满足要求，每个防控器械需有标识标签，并提供总体分布图。新增毒饵站数量不少于</w:t>
      </w:r>
      <w:r>
        <w:rPr>
          <w:rFonts w:hint="eastAsia" w:ascii="宋体" w:hAnsi="宋体" w:eastAsia="宋体" w:cs="宋体"/>
          <w:kern w:val="0"/>
          <w:sz w:val="24"/>
          <w:szCs w:val="24"/>
          <w:highlight w:val="none"/>
          <w:lang w:val="en-US" w:eastAsia="zh-CN"/>
        </w:rPr>
        <w:t>300</w:t>
      </w:r>
      <w:r>
        <w:rPr>
          <w:rFonts w:hint="eastAsia" w:ascii="宋体" w:hAnsi="宋体" w:eastAsia="宋体" w:cs="宋体"/>
          <w:kern w:val="0"/>
          <w:sz w:val="24"/>
          <w:szCs w:val="24"/>
          <w:highlight w:val="none"/>
        </w:rPr>
        <w:t>个、新增连续捕鼠器数量不少于</w:t>
      </w:r>
      <w:r>
        <w:rPr>
          <w:rFonts w:hint="eastAsia" w:ascii="宋体" w:hAnsi="宋体" w:eastAsia="宋体" w:cs="宋体"/>
          <w:kern w:val="0"/>
          <w:sz w:val="24"/>
          <w:szCs w:val="24"/>
          <w:highlight w:val="none"/>
          <w:lang w:val="en-US" w:eastAsia="zh-CN"/>
        </w:rPr>
        <w:t>60</w:t>
      </w:r>
      <w:r>
        <w:rPr>
          <w:rFonts w:hint="eastAsia" w:ascii="宋体" w:hAnsi="宋体" w:eastAsia="宋体" w:cs="宋体"/>
          <w:kern w:val="0"/>
          <w:sz w:val="24"/>
          <w:szCs w:val="24"/>
          <w:highlight w:val="none"/>
        </w:rPr>
        <w:t>个、新增室内外捕虫灯数量不少于</w:t>
      </w:r>
      <w:r>
        <w:rPr>
          <w:rFonts w:hint="eastAsia" w:ascii="宋体" w:hAnsi="宋体" w:eastAsia="宋体" w:cs="宋体"/>
          <w:kern w:val="0"/>
          <w:sz w:val="24"/>
          <w:szCs w:val="24"/>
          <w:highlight w:val="none"/>
          <w:lang w:val="en-US" w:eastAsia="zh-CN"/>
        </w:rPr>
        <w:t>15</w:t>
      </w:r>
      <w:r>
        <w:rPr>
          <w:rFonts w:hint="eastAsia" w:ascii="宋体" w:hAnsi="宋体" w:eastAsia="宋体" w:cs="宋体"/>
          <w:kern w:val="0"/>
          <w:sz w:val="24"/>
          <w:szCs w:val="24"/>
          <w:highlight w:val="none"/>
        </w:rPr>
        <w:t>个。（投标人踏勘现场后可结合金牛码头 3 处点位实际地形优化布点方案，但总配置数量不得低于最低要求）。</w:t>
      </w:r>
    </w:p>
    <w:p w14:paraId="0C2E986F">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杀灭措施：根据季节特点和鼠、蝇、蚊、蜚蠊的生性，有针对性定期开展。鼠类控制每年不少于12次（全年每月1次），每月需针对外围毒饵站进行药剂更换及所有鼠类控制器械的清洁维护；蚊、蝇4-11月间不得少于8次（4-11月每月1次），需针对垃圾房、建筑外围绿化、污水处理区、食堂等蚊蝇易滋生区域进行药剂滞留喷洒处理，针对室内蚊蝇捕虫灯进行每月1次的定期清洁维护并更换相应耗材；蜚蠊每年不得少于12次（全年每月1次），每月需针对生活区食堂等易滋生蟑螂的区域进行药物及物理器械控制服务。每年4月、10月需对鼠蟑蚊蝇进行整体密度监测评估（评估方法为，鼠类：夹夜法，不少于300有效夹；蚊：紫外灯诱捕法，不少于5灯次；蝇：笼诱法，不少于10笼次；蟑：粘捕法，不少于50张粘蟑板），对监测发现密度、数量、种群等有超标或其他异常情况的，需及时调整方案。</w:t>
      </w:r>
    </w:p>
    <w:p w14:paraId="4A29B1AC">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4、其他要求</w:t>
      </w:r>
    </w:p>
    <w:p w14:paraId="0C028EA1">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4.1现场防制需填写记录、提供每次现场防制服务记录单，并进行统计分析，按季度提交病媒生物防制报告，建立病媒生物防制档案。</w:t>
      </w:r>
    </w:p>
    <w:p w14:paraId="22FFB927">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4.2每次现场防治需拍照留存，照片右下角需有日期。</w:t>
      </w:r>
    </w:p>
    <w:p w14:paraId="6CDEB336">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4.3实施单位需有完善的应急处置预案，发生中毒或其他安全事故能及时有效处置。</w:t>
      </w:r>
    </w:p>
    <w:p w14:paraId="561BF5CE">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4.4实施单位具备规范的药械使用管理体系，所用药品必须全部是国家主管机关部门认可、推荐的药物，器械使用后的清洗要按操作规程，药物残液要带离现场并按有毒物质的规定处理。</w:t>
      </w:r>
    </w:p>
    <w:p w14:paraId="7BC35E14">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4.5实施单位需为</w:t>
      </w:r>
      <w:r>
        <w:rPr>
          <w:rFonts w:hint="eastAsia" w:ascii="宋体" w:hAnsi="宋体" w:eastAsia="宋体" w:cs="宋体"/>
          <w:kern w:val="0"/>
          <w:sz w:val="24"/>
          <w:szCs w:val="24"/>
          <w:highlight w:val="none"/>
          <w:lang w:val="en-US" w:eastAsia="zh-CN"/>
        </w:rPr>
        <w:t>金牛码头</w:t>
      </w:r>
      <w:r>
        <w:rPr>
          <w:rFonts w:hint="eastAsia" w:ascii="宋体" w:hAnsi="宋体" w:eastAsia="宋体" w:cs="宋体"/>
          <w:kern w:val="0"/>
          <w:sz w:val="24"/>
          <w:szCs w:val="24"/>
          <w:highlight w:val="none"/>
        </w:rPr>
        <w:t>相关单位提供病媒生物防治技术培训，每年2次培训。</w:t>
      </w:r>
    </w:p>
    <w:p w14:paraId="553475FC">
      <w:pPr>
        <w:keepNext w:val="0"/>
        <w:keepLines w:val="0"/>
        <w:pageBreakBefore w:val="0"/>
        <w:widowControl/>
        <w:kinsoku/>
        <w:wordWrap/>
        <w:overflowPunct/>
        <w:topLinePunct w:val="0"/>
        <w:bidi w:val="0"/>
        <w:snapToGrid/>
        <w:spacing w:line="312"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4.6实施单位需提供病媒生物防制实施方案，现场所有工作内容的作业方案、人员安排、药剂选择、器械种类、作业区域、长效器械布置示意图等关键因素均需体现在实施方案内。</w:t>
      </w:r>
    </w:p>
    <w:p w14:paraId="4FDEC6AE">
      <w:pPr>
        <w:keepNext w:val="0"/>
        <w:keepLines w:val="0"/>
        <w:pageBreakBefore w:val="0"/>
        <w:widowControl/>
        <w:kinsoku/>
        <w:wordWrap/>
        <w:overflowPunct/>
        <w:topLinePunct w:val="0"/>
        <w:autoSpaceDE w:val="0"/>
        <w:autoSpaceDN w:val="0"/>
        <w:bidi w:val="0"/>
        <w:adjustRightInd w:val="0"/>
        <w:snapToGrid/>
        <w:spacing w:line="312" w:lineRule="auto"/>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三、服务周期</w:t>
      </w:r>
    </w:p>
    <w:p w14:paraId="330F8450">
      <w:pPr>
        <w:keepNext w:val="0"/>
        <w:keepLines w:val="0"/>
        <w:pageBreakBefore w:val="0"/>
        <w:widowControl/>
        <w:kinsoku/>
        <w:wordWrap/>
        <w:overflowPunct/>
        <w:topLinePunct w:val="0"/>
        <w:bidi w:val="0"/>
        <w:snapToGrid/>
        <w:spacing w:line="312" w:lineRule="auto"/>
        <w:ind w:firstLine="480"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2年，具体起止日期以合同签订时间为准。</w:t>
      </w:r>
    </w:p>
    <w:p w14:paraId="478BC6E1">
      <w:pPr>
        <w:keepNext w:val="0"/>
        <w:keepLines w:val="0"/>
        <w:pageBreakBefore w:val="0"/>
        <w:widowControl/>
        <w:kinsoku/>
        <w:wordWrap/>
        <w:overflowPunct/>
        <w:topLinePunct w:val="0"/>
        <w:bidi w:val="0"/>
        <w:snapToGrid/>
        <w:spacing w:line="312" w:lineRule="auto"/>
        <w:ind w:firstLine="482"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四、合同价</w:t>
      </w:r>
    </w:p>
    <w:p w14:paraId="1E5B7E61">
      <w:pPr>
        <w:keepNext w:val="0"/>
        <w:keepLines w:val="0"/>
        <w:pageBreakBefore w:val="0"/>
        <w:widowControl/>
        <w:kinsoku/>
        <w:wordWrap/>
        <w:overflowPunct/>
        <w:topLinePunct w:val="0"/>
        <w:autoSpaceDE w:val="0"/>
        <w:autoSpaceDN w:val="0"/>
        <w:bidi w:val="0"/>
        <w:adjustRightInd w:val="0"/>
        <w:snapToGrid/>
        <w:spacing w:line="312"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本项目合同金额为：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元，合同价款中包括为完成</w:t>
      </w:r>
      <w:r>
        <w:rPr>
          <w:rFonts w:hint="eastAsia" w:ascii="宋体" w:hAnsi="宋体" w:eastAsia="宋体" w:cs="宋体"/>
          <w:sz w:val="24"/>
          <w:szCs w:val="24"/>
          <w:highlight w:val="none"/>
          <w:lang w:eastAsia="zh-CN"/>
        </w:rPr>
        <w:t>如东洋口港经济开发区金牛码头病媒生物监测与防治项目</w:t>
      </w:r>
      <w:r>
        <w:rPr>
          <w:rFonts w:hint="eastAsia" w:ascii="宋体" w:hAnsi="宋体" w:eastAsia="宋体" w:cs="宋体"/>
          <w:sz w:val="24"/>
          <w:szCs w:val="24"/>
          <w:highlight w:val="none"/>
        </w:rPr>
        <w:t>所需的</w:t>
      </w:r>
      <w:r>
        <w:rPr>
          <w:rFonts w:hint="eastAsia" w:ascii="宋体" w:hAnsi="宋体" w:eastAsia="宋体" w:cs="宋体"/>
          <w:b/>
          <w:bCs/>
          <w:sz w:val="24"/>
          <w:szCs w:val="24"/>
          <w:highlight w:val="none"/>
        </w:rPr>
        <w:t>人工、器械费、药饵费、应急服务费、</w:t>
      </w:r>
      <w:r>
        <w:rPr>
          <w:rFonts w:hint="eastAsia" w:ascii="宋体" w:hAnsi="宋体" w:eastAsia="宋体" w:cs="宋体"/>
          <w:b/>
          <w:bCs/>
          <w:sz w:val="24"/>
          <w:szCs w:val="24"/>
          <w:highlight w:val="none"/>
          <w:lang w:eastAsia="zh-CN"/>
        </w:rPr>
        <w:t>监测监控费</w:t>
      </w:r>
      <w:r>
        <w:rPr>
          <w:rFonts w:hint="eastAsia" w:ascii="宋体" w:hAnsi="宋体" w:eastAsia="宋体" w:cs="宋体"/>
          <w:b/>
          <w:bCs/>
          <w:sz w:val="24"/>
          <w:szCs w:val="24"/>
          <w:highlight w:val="none"/>
        </w:rPr>
        <w:t>、取样送样、差旅、保险、管理、税金、利润、政策性文件规定及合同包含的所有风险、责任等各项应有费用，即响应本项目的所有应有费用</w:t>
      </w:r>
      <w:r>
        <w:rPr>
          <w:rFonts w:hint="eastAsia" w:ascii="宋体" w:hAnsi="宋体" w:eastAsia="宋体" w:cs="宋体"/>
          <w:sz w:val="24"/>
          <w:szCs w:val="24"/>
          <w:highlight w:val="none"/>
        </w:rPr>
        <w:t>。</w:t>
      </w:r>
    </w:p>
    <w:p w14:paraId="59F35FC4">
      <w:pPr>
        <w:keepNext w:val="0"/>
        <w:keepLines w:val="0"/>
        <w:pageBreakBefore w:val="0"/>
        <w:widowControl/>
        <w:kinsoku/>
        <w:wordWrap/>
        <w:overflowPunct/>
        <w:topLinePunct w:val="0"/>
        <w:bidi w:val="0"/>
        <w:snapToGrid/>
        <w:spacing w:line="312" w:lineRule="auto"/>
        <w:ind w:firstLine="482" w:firstLineChars="200"/>
        <w:jc w:val="left"/>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五、付款方式</w:t>
      </w:r>
    </w:p>
    <w:p w14:paraId="666F8C7A">
      <w:pPr>
        <w:keepNext w:val="0"/>
        <w:keepLines w:val="0"/>
        <w:pageBreakBefore w:val="0"/>
        <w:widowControl/>
        <w:kinsoku/>
        <w:wordWrap/>
        <w:overflowPunct/>
        <w:topLinePunct w:val="0"/>
        <w:bidi w:val="0"/>
        <w:adjustRightInd w:val="0"/>
        <w:snapToGrid w:val="0"/>
        <w:spacing w:line="420" w:lineRule="exact"/>
        <w:ind w:firstLine="482" w:firstLineChars="200"/>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每年度病媒生物监测完成并经甲方组织验收合格，且监测报告经相关部门认可后支付当年度</w:t>
      </w:r>
      <w:r>
        <w:rPr>
          <w:rFonts w:hint="eastAsia" w:ascii="宋体" w:hAnsi="宋体" w:eastAsia="宋体" w:cs="宋体"/>
          <w:b/>
          <w:bCs/>
          <w:kern w:val="0"/>
          <w:sz w:val="24"/>
          <w:szCs w:val="24"/>
          <w:highlight w:val="none"/>
          <w:lang w:val="en-US" w:eastAsia="zh-CN"/>
        </w:rPr>
        <w:t>服务</w:t>
      </w:r>
      <w:r>
        <w:rPr>
          <w:rFonts w:hint="eastAsia" w:ascii="宋体" w:hAnsi="宋体" w:eastAsia="宋体" w:cs="宋体"/>
          <w:b/>
          <w:bCs/>
          <w:kern w:val="0"/>
          <w:sz w:val="24"/>
          <w:szCs w:val="24"/>
          <w:highlight w:val="none"/>
          <w:lang w:eastAsia="zh-CN"/>
        </w:rPr>
        <w:t>费</w:t>
      </w:r>
      <w:r>
        <w:rPr>
          <w:rFonts w:hint="eastAsia" w:ascii="宋体" w:hAnsi="宋体" w:eastAsia="宋体" w:cs="宋体"/>
          <w:b/>
          <w:bCs/>
          <w:kern w:val="0"/>
          <w:sz w:val="24"/>
          <w:szCs w:val="24"/>
          <w:highlight w:val="none"/>
        </w:rPr>
        <w:t>用</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注：在取得对口岸外开放批复之前，相关费用由江苏洋口港港务有限公司承担；口岸对外开发之后，费用由江苏洋口宁港码头物流有限公司承担</w:t>
      </w:r>
      <w:r>
        <w:rPr>
          <w:rFonts w:hint="eastAsia" w:ascii="宋体" w:hAnsi="宋体" w:eastAsia="宋体" w:cs="宋体"/>
          <w:b/>
          <w:bCs/>
          <w:kern w:val="0"/>
          <w:sz w:val="24"/>
          <w:szCs w:val="24"/>
          <w:highlight w:val="none"/>
        </w:rPr>
        <w:t>。经验收合格及增值税专用发票向江苏洋口港港务有限公司</w:t>
      </w:r>
      <w:r>
        <w:rPr>
          <w:rFonts w:hint="eastAsia" w:ascii="宋体" w:hAnsi="宋体" w:eastAsia="宋体" w:cs="宋体"/>
          <w:b/>
          <w:bCs/>
          <w:kern w:val="0"/>
          <w:sz w:val="24"/>
          <w:szCs w:val="24"/>
          <w:highlight w:val="none"/>
          <w:lang w:val="en-US" w:eastAsia="zh-CN"/>
        </w:rPr>
        <w:t>或江苏洋口宁港码头物流有限公司</w:t>
      </w:r>
      <w:r>
        <w:rPr>
          <w:rFonts w:hint="eastAsia" w:ascii="宋体" w:hAnsi="宋体" w:eastAsia="宋体" w:cs="宋体"/>
          <w:b/>
          <w:bCs/>
          <w:kern w:val="0"/>
          <w:sz w:val="24"/>
          <w:szCs w:val="24"/>
          <w:highlight w:val="none"/>
        </w:rPr>
        <w:t>按规定进行资金结算申报。）</w:t>
      </w:r>
    </w:p>
    <w:p w14:paraId="2AAB37CF">
      <w:pPr>
        <w:keepNext w:val="0"/>
        <w:keepLines w:val="0"/>
        <w:pageBreakBefore w:val="0"/>
        <w:widowControl/>
        <w:kinsoku/>
        <w:wordWrap/>
        <w:overflowPunct/>
        <w:topLinePunct w:val="0"/>
        <w:bidi w:val="0"/>
        <w:adjustRightInd w:val="0"/>
        <w:spacing w:line="420" w:lineRule="exact"/>
        <w:ind w:firstLine="482" w:firstLineChars="200"/>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六、服务质量考核及处罚</w:t>
      </w:r>
    </w:p>
    <w:p w14:paraId="53B842CF">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1.出现疫情采购人通知后未能在一小时内到达疫点的，第一次给予扣罚服务费用5%，出现第二次扣除违约金额为合同价款的l0％，第三次出现采购方有权终止合同。</w:t>
      </w:r>
    </w:p>
    <w:p w14:paraId="1F82A714">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2.每月服务工作未能按照采购人要求完成的，第一次给予警告，并在24小时内完成整改，第二次扣除违约金额为合同价款10％并在24小时内完成整改，否则采购人有权终止合同。</w:t>
      </w:r>
    </w:p>
    <w:p w14:paraId="0B591515">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3.每月按照采购人要求提交当月服务工作总结，若未能按时提交每次扣除违约金额为合同价款的5%。</w:t>
      </w:r>
    </w:p>
    <w:p w14:paraId="61E8F1D6">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4.发现不穿统一制服及不佩带证件上岗作业的，第一次给予警告，第二次扣除违约金为合同价款的2％。</w:t>
      </w:r>
    </w:p>
    <w:p w14:paraId="3DA1835B">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5.合同履行期间一切安全责任由乙方负责，因乙方人员导致的甲方或第三方人身、财产损失的均由乙方负责赔偿，与甲方无关。</w:t>
      </w:r>
    </w:p>
    <w:p w14:paraId="340E5CAC">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6.其它违约责任按《中华人民共和国民法典》等相关国家法律法规处理。</w:t>
      </w:r>
    </w:p>
    <w:p w14:paraId="01A54819">
      <w:pPr>
        <w:keepNext w:val="0"/>
        <w:keepLines w:val="0"/>
        <w:pageBreakBefore w:val="0"/>
        <w:widowControl/>
        <w:kinsoku/>
        <w:wordWrap/>
        <w:overflowPunct/>
        <w:topLinePunct w:val="0"/>
        <w:bidi w:val="0"/>
        <w:adjustRightInd w:val="0"/>
        <w:spacing w:line="420" w:lineRule="exact"/>
        <w:ind w:firstLine="482" w:firstLineChars="200"/>
        <w:textAlignment w:val="baseline"/>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七、履约担保</w:t>
      </w:r>
    </w:p>
    <w:p w14:paraId="13EADCF6">
      <w:pPr>
        <w:pStyle w:val="3"/>
        <w:keepNext w:val="0"/>
        <w:keepLines w:val="0"/>
        <w:pageBreakBefore w:val="0"/>
        <w:widowControl/>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1、乙方交纳人民币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元作为本合同的履约保证金。</w:t>
      </w:r>
    </w:p>
    <w:p w14:paraId="65B2DF64">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2、履约保证金的退还：合同履行结束，乙方得到甲方同意后提交履约保证金收条原件，办理保证金退还手续，履约保证金予以全额无息退还</w:t>
      </w:r>
      <w:r>
        <w:rPr>
          <w:rFonts w:hint="eastAsia" w:ascii="宋体" w:hAnsi="宋体" w:eastAsia="宋体" w:cs="宋体"/>
          <w:kern w:val="0"/>
          <w:sz w:val="24"/>
          <w:szCs w:val="24"/>
          <w:highlight w:val="none"/>
        </w:rPr>
        <w:t>。</w:t>
      </w:r>
    </w:p>
    <w:p w14:paraId="0CB94DF5">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3、发生以下情况的，履约保证金不予退还或部分退还：</w:t>
      </w:r>
    </w:p>
    <w:p w14:paraId="3C1DD57C">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a.签订合同后，乙方不履行合同义务的，甲方有权全额扣除履约保证金，全额不予退还，同时甲方亦有权终止合同，乙方还须承担相应的法律赔偿责任。</w:t>
      </w:r>
    </w:p>
    <w:p w14:paraId="282CC08E">
      <w:pPr>
        <w:keepNext w:val="0"/>
        <w:keepLines w:val="0"/>
        <w:pageBreakBefore w:val="0"/>
        <w:widowControl/>
        <w:kinsoku/>
        <w:wordWrap/>
        <w:overflowPunct/>
        <w:topLinePunct w:val="0"/>
        <w:bidi w:val="0"/>
        <w:adjustRightInd w:val="0"/>
        <w:spacing w:line="420" w:lineRule="exact"/>
        <w:ind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b.乙方在履约过程中发生违约行为，给甲方造成损失的，甲方有权在乙方缴纳的履约保证金中予以扣款，以弥补甲方经济损失，不足的部分乙方另外补齐。</w:t>
      </w:r>
    </w:p>
    <w:p w14:paraId="13D07048">
      <w:pPr>
        <w:keepNext w:val="0"/>
        <w:keepLines w:val="0"/>
        <w:pageBreakBefore w:val="0"/>
        <w:widowControl/>
        <w:kinsoku/>
        <w:wordWrap/>
        <w:overflowPunct/>
        <w:topLinePunct w:val="0"/>
        <w:bidi w:val="0"/>
        <w:spacing w:line="42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w:t>
      </w:r>
      <w:r>
        <w:rPr>
          <w:rFonts w:hint="eastAsia" w:ascii="宋体" w:hAnsi="宋体" w:eastAsia="宋体" w:cs="宋体"/>
          <w:b/>
          <w:sz w:val="24"/>
          <w:szCs w:val="24"/>
          <w:highlight w:val="none"/>
        </w:rPr>
        <w:t>转包或分包</w:t>
      </w:r>
    </w:p>
    <w:p w14:paraId="1865688C">
      <w:pPr>
        <w:keepNext w:val="0"/>
        <w:keepLines w:val="0"/>
        <w:pageBreakBefore w:val="0"/>
        <w:widowControl/>
        <w:kinsoku/>
        <w:wordWrap/>
        <w:overflowPunct/>
        <w:topLinePunct w:val="0"/>
        <w:bidi w:val="0"/>
        <w:snapToGrid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1、本合同范围内的服务，应由乙方直接供应，不得转让他人供应；</w:t>
      </w:r>
    </w:p>
    <w:p w14:paraId="2D405F69">
      <w:pPr>
        <w:keepNext w:val="0"/>
        <w:keepLines w:val="0"/>
        <w:pageBreakBefore w:val="0"/>
        <w:widowControl/>
        <w:kinsoku/>
        <w:wordWrap/>
        <w:overflowPunct/>
        <w:topLinePunct w:val="0"/>
        <w:bidi w:val="0"/>
        <w:snapToGrid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2、除非得到甲方的书面同意，乙方不得将本合同范围的服务全部或部分分包给他人供应。甲方同意分包的，不免除乙方应对全部服务承担责任；</w:t>
      </w:r>
    </w:p>
    <w:p w14:paraId="4E6FA43C">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3、如有转让和未经甲方同意的分包行为，甲方有权解除合同，没收履约保证金并追究乙方的违约责任。</w:t>
      </w:r>
    </w:p>
    <w:p w14:paraId="3B2DF592">
      <w:pPr>
        <w:keepNext w:val="0"/>
        <w:keepLines w:val="0"/>
        <w:pageBreakBefore w:val="0"/>
        <w:widowControl/>
        <w:kinsoku/>
        <w:wordWrap/>
        <w:overflowPunct/>
        <w:topLinePunct w:val="0"/>
        <w:bidi w:val="0"/>
        <w:spacing w:line="420" w:lineRule="exact"/>
        <w:ind w:firstLine="482" w:firstLineChars="200"/>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九、违约责任：</w:t>
      </w:r>
      <w:r>
        <w:rPr>
          <w:rFonts w:hint="eastAsia" w:ascii="宋体" w:hAnsi="宋体" w:eastAsia="宋体" w:cs="宋体"/>
          <w:sz w:val="24"/>
          <w:szCs w:val="24"/>
          <w:highlight w:val="none"/>
        </w:rPr>
        <w:t>任何一方违约,均须依照下列约定向对方支付违约金。</w:t>
      </w:r>
    </w:p>
    <w:p w14:paraId="7D846752">
      <w:pPr>
        <w:pStyle w:val="3"/>
        <w:keepNext w:val="0"/>
        <w:keepLines w:val="0"/>
        <w:pageBreakBefore w:val="0"/>
        <w:widowControl/>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1、乙方未按合同规定的</w:t>
      </w:r>
      <w:r>
        <w:rPr>
          <w:rFonts w:hint="eastAsia" w:ascii="宋体" w:hAnsi="宋体" w:eastAsia="宋体" w:cs="宋体"/>
          <w:sz w:val="24"/>
          <w:highlight w:val="none"/>
          <w:lang w:val="en-US" w:eastAsia="zh-CN"/>
        </w:rPr>
        <w:t>要求提供服务的，</w:t>
      </w:r>
      <w:r>
        <w:rPr>
          <w:rFonts w:hint="eastAsia" w:ascii="宋体" w:hAnsi="宋体" w:eastAsia="宋体" w:cs="宋体"/>
          <w:sz w:val="24"/>
          <w:highlight w:val="none"/>
          <w:lang w:eastAsia="zh-CN"/>
        </w:rPr>
        <w:t>甲方有权拒收，</w:t>
      </w:r>
      <w:r>
        <w:rPr>
          <w:rFonts w:hint="eastAsia" w:ascii="宋体" w:hAnsi="宋体" w:eastAsia="宋体" w:cs="宋体"/>
          <w:sz w:val="24"/>
          <w:highlight w:val="none"/>
          <w:lang w:val="en-US" w:eastAsia="zh-CN"/>
        </w:rPr>
        <w:t>没收全部履约保证金，</w:t>
      </w:r>
      <w:r>
        <w:rPr>
          <w:rFonts w:hint="eastAsia" w:ascii="宋体" w:hAnsi="宋体" w:eastAsia="宋体" w:cs="宋体"/>
          <w:sz w:val="24"/>
          <w:highlight w:val="none"/>
          <w:lang w:eastAsia="zh-CN"/>
        </w:rPr>
        <w:t>由此造成的直接损失和间接损失由乙方赔偿。</w:t>
      </w:r>
    </w:p>
    <w:p w14:paraId="3BA27601">
      <w:pPr>
        <w:pStyle w:val="3"/>
        <w:keepNext w:val="0"/>
        <w:keepLines w:val="0"/>
        <w:pageBreakBefore w:val="0"/>
        <w:widowControl/>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2、若因乙方自身原因逾期，每延迟一天，乙方需支付违约金</w:t>
      </w:r>
      <w:r>
        <w:rPr>
          <w:rFonts w:hint="eastAsia" w:ascii="宋体" w:hAnsi="宋体" w:eastAsia="宋体" w:cs="宋体"/>
          <w:sz w:val="24"/>
          <w:highlight w:val="none"/>
          <w:u w:val="single"/>
          <w:lang w:eastAsia="zh-CN"/>
        </w:rPr>
        <w:t xml:space="preserve"> 2000 </w:t>
      </w:r>
      <w:r>
        <w:rPr>
          <w:rFonts w:hint="eastAsia" w:ascii="宋体" w:hAnsi="宋体" w:eastAsia="宋体" w:cs="宋体"/>
          <w:sz w:val="24"/>
          <w:highlight w:val="none"/>
          <w:lang w:eastAsia="zh-CN"/>
        </w:rPr>
        <w:t>元；逾期十天以上的，甲方有权解除合同，</w:t>
      </w:r>
      <w:r>
        <w:rPr>
          <w:rFonts w:hint="eastAsia" w:ascii="宋体" w:hAnsi="宋体" w:eastAsia="宋体" w:cs="宋体"/>
          <w:sz w:val="24"/>
          <w:highlight w:val="none"/>
          <w:lang w:val="en-US" w:eastAsia="zh-CN"/>
        </w:rPr>
        <w:t>没收全部履约保证金</w:t>
      </w:r>
      <w:r>
        <w:rPr>
          <w:rFonts w:hint="eastAsia" w:ascii="宋体" w:hAnsi="宋体" w:eastAsia="宋体" w:cs="宋体"/>
          <w:sz w:val="24"/>
          <w:highlight w:val="none"/>
          <w:lang w:eastAsia="zh-CN"/>
        </w:rPr>
        <w:t>并不支付任何费用，且有权要求乙方赔偿损失。</w:t>
      </w:r>
    </w:p>
    <w:p w14:paraId="7B5D878F">
      <w:pPr>
        <w:pStyle w:val="3"/>
        <w:keepNext w:val="0"/>
        <w:keepLines w:val="0"/>
        <w:pageBreakBefore w:val="0"/>
        <w:widowControl/>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3、合同生效后，乙方有下列行为之一的，</w:t>
      </w:r>
      <w:r>
        <w:rPr>
          <w:rFonts w:hint="eastAsia" w:ascii="宋体" w:hAnsi="宋体" w:eastAsia="宋体" w:cs="宋体"/>
          <w:sz w:val="24"/>
          <w:highlight w:val="none"/>
          <w:lang w:val="en-US" w:eastAsia="zh-CN"/>
        </w:rPr>
        <w:t>不予退还履约保证金，且</w:t>
      </w:r>
      <w:r>
        <w:rPr>
          <w:rFonts w:hint="eastAsia" w:ascii="宋体" w:hAnsi="宋体" w:eastAsia="宋体" w:cs="宋体"/>
          <w:sz w:val="24"/>
          <w:highlight w:val="none"/>
          <w:lang w:eastAsia="zh-CN"/>
        </w:rPr>
        <w:t>乙方应退回甲方已付的合同款项，并应当按照合同总价的 20%向甲方支付违约金，</w:t>
      </w:r>
      <w:r>
        <w:rPr>
          <w:rFonts w:hint="eastAsia" w:ascii="宋体" w:hAnsi="宋体" w:eastAsia="宋体" w:cs="宋体"/>
          <w:sz w:val="24"/>
          <w:szCs w:val="24"/>
          <w:highlight w:val="none"/>
        </w:rPr>
        <w:t>如甲方实际损失数额超过约定的违约金，乙方还应当赔偿差额部分</w:t>
      </w:r>
      <w:r>
        <w:rPr>
          <w:rFonts w:hint="eastAsia" w:ascii="宋体" w:hAnsi="宋体" w:eastAsia="宋体" w:cs="宋体"/>
          <w:sz w:val="24"/>
          <w:szCs w:val="24"/>
          <w:highlight w:val="none"/>
          <w:lang w:eastAsia="zh-CN"/>
        </w:rPr>
        <w:t>。</w:t>
      </w:r>
    </w:p>
    <w:p w14:paraId="3EC6775C">
      <w:pPr>
        <w:pStyle w:val="3"/>
        <w:keepNext w:val="0"/>
        <w:keepLines w:val="0"/>
        <w:pageBreakBefore w:val="0"/>
        <w:widowControl/>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① 因乙方的违约行为致使本合同无法继续履行，甲方解除合同的； </w:t>
      </w:r>
    </w:p>
    <w:p w14:paraId="3101E622">
      <w:pPr>
        <w:pStyle w:val="3"/>
        <w:keepNext w:val="0"/>
        <w:keepLines w:val="0"/>
        <w:pageBreakBefore w:val="0"/>
        <w:widowControl/>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② 乙方要求终止或解除合同的；</w:t>
      </w:r>
    </w:p>
    <w:p w14:paraId="27E6E75B">
      <w:pPr>
        <w:pStyle w:val="3"/>
        <w:keepNext w:val="0"/>
        <w:keepLines w:val="0"/>
        <w:pageBreakBefore w:val="0"/>
        <w:widowControl/>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4、合同执行期间，乙方如果未按合同执行，甲方有权对乙方做出惩罚，如果性质严重，甲方有权随时终止合同。</w:t>
      </w:r>
    </w:p>
    <w:p w14:paraId="02A90A2F">
      <w:pPr>
        <w:pStyle w:val="3"/>
        <w:keepNext w:val="0"/>
        <w:keepLines w:val="0"/>
        <w:pageBreakBefore w:val="0"/>
        <w:widowControl/>
        <w:kinsoku/>
        <w:wordWrap/>
        <w:overflowPunct/>
        <w:topLinePunct w:val="0"/>
        <w:bidi w:val="0"/>
        <w:snapToGrid w:val="0"/>
        <w:spacing w:after="0" w:line="4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十、合同纠纷处理</w:t>
      </w:r>
    </w:p>
    <w:p w14:paraId="148687B1">
      <w:pPr>
        <w:pStyle w:val="3"/>
        <w:keepNext w:val="0"/>
        <w:keepLines w:val="0"/>
        <w:pageBreakBefore w:val="0"/>
        <w:widowControl/>
        <w:kinsoku/>
        <w:wordWrap/>
        <w:overflowPunct/>
        <w:topLinePunct w:val="0"/>
        <w:bidi w:val="0"/>
        <w:snapToGrid w:val="0"/>
        <w:spacing w:after="0"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本合同执行过程中发生纠纷，由甲、乙双方协商解决，或提交当地相关部门调解。协商或调解不成，任何一方均可以依法提出仲裁或向甲方所在地人民法院提起诉讼。</w:t>
      </w:r>
    </w:p>
    <w:p w14:paraId="264C5CA0">
      <w:pPr>
        <w:pStyle w:val="3"/>
        <w:keepNext w:val="0"/>
        <w:keepLines w:val="0"/>
        <w:pageBreakBefore w:val="0"/>
        <w:widowControl/>
        <w:kinsoku/>
        <w:wordWrap/>
        <w:overflowPunct/>
        <w:topLinePunct w:val="0"/>
        <w:bidi w:val="0"/>
        <w:snapToGrid w:val="0"/>
        <w:spacing w:after="0" w:line="4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十一、组成本合同的文件</w:t>
      </w:r>
    </w:p>
    <w:p w14:paraId="7583D6B1">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⒈ 本合同条款；</w:t>
      </w:r>
    </w:p>
    <w:p w14:paraId="3E04722C">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⒉ 本项目的招标文件和乙方应标（投标）文件；</w:t>
      </w:r>
    </w:p>
    <w:p w14:paraId="6AA66178">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⒊ 本项目在招标过程中甲、乙</w:t>
      </w:r>
      <w:r>
        <w:rPr>
          <w:rFonts w:hint="eastAsia" w:ascii="宋体" w:hAnsi="宋体" w:eastAsia="宋体" w:cs="宋体"/>
          <w:sz w:val="24"/>
          <w:szCs w:val="24"/>
          <w:highlight w:val="none"/>
          <w:lang w:val="en-US" w:eastAsia="zh-CN"/>
        </w:rPr>
        <w:t>双方</w:t>
      </w:r>
      <w:r>
        <w:rPr>
          <w:rFonts w:hint="eastAsia" w:ascii="宋体" w:hAnsi="宋体" w:eastAsia="宋体" w:cs="宋体"/>
          <w:sz w:val="24"/>
          <w:szCs w:val="24"/>
          <w:highlight w:val="none"/>
        </w:rPr>
        <w:t>签署的全部文字和图片资料；</w:t>
      </w:r>
    </w:p>
    <w:p w14:paraId="09B0DB7E">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⒋ 甲、乙</w:t>
      </w:r>
      <w:r>
        <w:rPr>
          <w:rFonts w:hint="eastAsia" w:ascii="宋体" w:hAnsi="宋体" w:eastAsia="宋体" w:cs="宋体"/>
          <w:sz w:val="24"/>
          <w:szCs w:val="24"/>
          <w:highlight w:val="none"/>
          <w:lang w:val="en-US" w:eastAsia="zh-CN"/>
        </w:rPr>
        <w:t>双</w:t>
      </w:r>
      <w:r>
        <w:rPr>
          <w:rFonts w:hint="eastAsia" w:ascii="宋体" w:hAnsi="宋体" w:eastAsia="宋体" w:cs="宋体"/>
          <w:sz w:val="24"/>
          <w:szCs w:val="24"/>
          <w:highlight w:val="none"/>
        </w:rPr>
        <w:t>方其它按规定约定事宜。</w:t>
      </w:r>
    </w:p>
    <w:p w14:paraId="7CE19C8D">
      <w:pPr>
        <w:pStyle w:val="3"/>
        <w:keepNext w:val="0"/>
        <w:keepLines w:val="0"/>
        <w:pageBreakBefore w:val="0"/>
        <w:widowControl/>
        <w:kinsoku/>
        <w:wordWrap/>
        <w:overflowPunct/>
        <w:topLinePunct w:val="0"/>
        <w:bidi w:val="0"/>
        <w:snapToGrid w:val="0"/>
        <w:spacing w:after="0" w:line="4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十二、合同生效：本合同由甲、乙双方签字盖章后生效。</w:t>
      </w:r>
      <w:r>
        <w:rPr>
          <w:rFonts w:hint="eastAsia" w:ascii="宋体" w:hAnsi="宋体" w:eastAsia="宋体" w:cs="宋体"/>
          <w:b/>
          <w:sz w:val="24"/>
          <w:szCs w:val="24"/>
          <w:highlight w:val="none"/>
        </w:rPr>
        <w:t>（多页合同</w:t>
      </w:r>
      <w:r>
        <w:rPr>
          <w:rFonts w:hint="eastAsia" w:ascii="宋体" w:hAnsi="宋体" w:eastAsia="宋体" w:cs="宋体"/>
          <w:b/>
          <w:bCs/>
          <w:sz w:val="24"/>
          <w:szCs w:val="24"/>
          <w:highlight w:val="none"/>
          <w:lang w:val="en-US" w:eastAsia="zh-CN"/>
        </w:rPr>
        <w:t>甲、乙双方</w:t>
      </w:r>
      <w:r>
        <w:rPr>
          <w:rFonts w:hint="eastAsia" w:ascii="宋体" w:hAnsi="宋体" w:eastAsia="宋体" w:cs="宋体"/>
          <w:b/>
          <w:sz w:val="24"/>
          <w:szCs w:val="24"/>
          <w:highlight w:val="none"/>
        </w:rPr>
        <w:t>必须加盖骑缝公章）</w:t>
      </w:r>
    </w:p>
    <w:p w14:paraId="1C250FF9">
      <w:pPr>
        <w:pStyle w:val="3"/>
        <w:keepNext w:val="0"/>
        <w:keepLines w:val="0"/>
        <w:pageBreakBefore w:val="0"/>
        <w:widowControl/>
        <w:kinsoku/>
        <w:wordWrap/>
        <w:overflowPunct/>
        <w:topLinePunct w:val="0"/>
        <w:bidi w:val="0"/>
        <w:snapToGrid w:val="0"/>
        <w:spacing w:after="0" w:line="4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十三、合同见证备案：本合同一式捌份，甲、乙双方各执叁份，区公共资源交易中心、财政局各留存壹份。</w:t>
      </w:r>
    </w:p>
    <w:p w14:paraId="403E6180">
      <w:pPr>
        <w:pStyle w:val="3"/>
        <w:spacing w:line="400" w:lineRule="exact"/>
        <w:rPr>
          <w:rFonts w:hint="eastAsia" w:ascii="宋体" w:hAnsi="宋体" w:eastAsia="宋体" w:cs="宋体"/>
          <w:sz w:val="24"/>
          <w:szCs w:val="24"/>
          <w:highlight w:val="none"/>
        </w:rPr>
      </w:pPr>
    </w:p>
    <w:p w14:paraId="5A94A9C0">
      <w:pPr>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甲方（需方）（盖章）：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乙方（供方）（盖章）：</w:t>
      </w:r>
      <w:r>
        <w:rPr>
          <w:rFonts w:hint="eastAsia" w:ascii="宋体" w:hAnsi="宋体" w:eastAsia="宋体" w:cs="宋体"/>
          <w:sz w:val="24"/>
          <w:szCs w:val="24"/>
          <w:highlight w:val="none"/>
          <w:u w:val="single"/>
        </w:rPr>
        <w:t xml:space="preserve">             </w:t>
      </w:r>
    </w:p>
    <w:p w14:paraId="7CE06A89">
      <w:pPr>
        <w:spacing w:line="400" w:lineRule="exact"/>
        <w:ind w:left="4800" w:hanging="4800" w:hangingChars="20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地址：</w:t>
      </w:r>
      <w:r>
        <w:rPr>
          <w:rFonts w:hint="eastAsia" w:ascii="宋体" w:hAnsi="宋体" w:eastAsia="宋体" w:cs="宋体"/>
          <w:sz w:val="24"/>
          <w:szCs w:val="24"/>
          <w:highlight w:val="none"/>
          <w:u w:val="single"/>
        </w:rPr>
        <w:t xml:space="preserve">                           </w:t>
      </w:r>
    </w:p>
    <w:p w14:paraId="002743B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法定（授权）代表人：</w:t>
      </w:r>
      <w:r>
        <w:rPr>
          <w:rFonts w:hint="eastAsia" w:ascii="宋体" w:hAnsi="宋体" w:eastAsia="宋体" w:cs="宋体"/>
          <w:sz w:val="24"/>
          <w:szCs w:val="24"/>
          <w:highlight w:val="none"/>
          <w:u w:val="single"/>
        </w:rPr>
        <w:t xml:space="preserve">             </w:t>
      </w:r>
    </w:p>
    <w:p w14:paraId="215DE288">
      <w:pPr>
        <w:spacing w:line="400" w:lineRule="exact"/>
        <w:ind w:firstLine="5040" w:firstLineChars="2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p>
    <w:p w14:paraId="60E2328E">
      <w:pPr>
        <w:spacing w:line="400" w:lineRule="exact"/>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p>
    <w:p w14:paraId="6CDF9FF3">
      <w:pPr>
        <w:spacing w:line="400" w:lineRule="exact"/>
        <w:rPr>
          <w:rFonts w:hint="eastAsia" w:ascii="宋体" w:hAnsi="宋体" w:eastAsia="宋体" w:cs="宋体"/>
          <w:b/>
          <w:sz w:val="24"/>
          <w:szCs w:val="24"/>
          <w:highlight w:val="none"/>
        </w:rPr>
      </w:pPr>
    </w:p>
    <w:p w14:paraId="5AD53AFF">
      <w:pPr>
        <w:spacing w:line="400" w:lineRule="exact"/>
        <w:rPr>
          <w:rFonts w:hint="eastAsia" w:ascii="宋体" w:hAnsi="宋体" w:cs="宋体"/>
          <w:sz w:val="24"/>
          <w:szCs w:val="24"/>
          <w:highlight w:val="none"/>
        </w:rPr>
      </w:pPr>
      <w:r>
        <w:rPr>
          <w:rFonts w:hint="eastAsia" w:ascii="宋体" w:hAnsi="宋体" w:eastAsia="宋体" w:cs="宋体"/>
          <w:sz w:val="24"/>
          <w:szCs w:val="24"/>
          <w:highlight w:val="none"/>
        </w:rPr>
        <w:t>见证方（盖章）：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rPr>
        <w:t xml:space="preserve">              </w:t>
      </w:r>
    </w:p>
    <w:p w14:paraId="1A273F5F">
      <w:pPr>
        <w:pStyle w:val="23"/>
        <w:spacing w:line="360" w:lineRule="auto"/>
        <w:ind w:firstLine="478"/>
        <w:rPr>
          <w:rFonts w:hint="eastAsia" w:asciiTheme="minorEastAsia" w:hAnsiTheme="minorEastAsia" w:eastAsiaTheme="minorEastAsia"/>
        </w:rPr>
        <w:sectPr>
          <w:footerReference r:id="rId8" w:type="first"/>
          <w:footerReference r:id="rId7" w:type="default"/>
          <w:pgSz w:w="11900" w:h="16840"/>
          <w:pgMar w:top="1247" w:right="1077" w:bottom="1247" w:left="1077" w:header="567" w:footer="567" w:gutter="0"/>
          <w:cols w:space="720" w:num="1"/>
          <w:titlePg/>
          <w:docGrid w:linePitch="326" w:charSpace="0"/>
        </w:sectPr>
      </w:pPr>
    </w:p>
    <w:p w14:paraId="170C9902">
      <w:pPr>
        <w:pStyle w:val="3"/>
        <w:jc w:val="left"/>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附件：</w:t>
      </w:r>
    </w:p>
    <w:p w14:paraId="19EFCD99">
      <w:pPr>
        <w:pStyle w:val="3"/>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项</w:t>
      </w:r>
      <w:r>
        <w:rPr>
          <w:rFonts w:hint="eastAsia" w:ascii="宋体" w:hAnsi="宋体" w:eastAsia="宋体" w:cs="宋体"/>
          <w:b/>
          <w:bCs/>
          <w:sz w:val="30"/>
          <w:szCs w:val="30"/>
          <w:highlight w:val="none"/>
        </w:rPr>
        <w:t>目</w:t>
      </w:r>
      <w:r>
        <w:rPr>
          <w:rFonts w:hint="eastAsia" w:ascii="宋体" w:hAnsi="宋体" w:eastAsia="宋体" w:cs="宋体"/>
          <w:b/>
          <w:bCs/>
          <w:sz w:val="30"/>
          <w:szCs w:val="30"/>
          <w:highlight w:val="none"/>
          <w:lang w:val="en-US" w:eastAsia="zh-CN"/>
        </w:rPr>
        <w:t>服务团队人员</w:t>
      </w:r>
      <w:r>
        <w:rPr>
          <w:rFonts w:hint="eastAsia" w:ascii="宋体" w:hAnsi="宋体" w:eastAsia="宋体" w:cs="宋体"/>
          <w:b/>
          <w:bCs/>
          <w:sz w:val="30"/>
          <w:szCs w:val="30"/>
          <w:highlight w:val="none"/>
        </w:rPr>
        <w:t>一览表</w:t>
      </w:r>
    </w:p>
    <w:tbl>
      <w:tblPr>
        <w:tblStyle w:val="12"/>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20"/>
        <w:gridCol w:w="926"/>
        <w:gridCol w:w="729"/>
        <w:gridCol w:w="1045"/>
        <w:gridCol w:w="1427"/>
        <w:gridCol w:w="1693"/>
        <w:gridCol w:w="2431"/>
      </w:tblGrid>
      <w:tr w14:paraId="3815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44" w:type="dxa"/>
            <w:noWrap w:val="0"/>
            <w:vAlign w:val="center"/>
          </w:tcPr>
          <w:p w14:paraId="028BD3A5">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020" w:type="dxa"/>
            <w:noWrap w:val="0"/>
            <w:vAlign w:val="center"/>
          </w:tcPr>
          <w:p w14:paraId="7F6DC2BC">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26" w:type="dxa"/>
            <w:noWrap w:val="0"/>
            <w:vAlign w:val="center"/>
          </w:tcPr>
          <w:p w14:paraId="59FD7ECF">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729" w:type="dxa"/>
            <w:noWrap w:val="0"/>
            <w:vAlign w:val="center"/>
          </w:tcPr>
          <w:p w14:paraId="0BEA39D9">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年龄</w:t>
            </w:r>
          </w:p>
        </w:tc>
        <w:tc>
          <w:tcPr>
            <w:tcW w:w="1045" w:type="dxa"/>
            <w:noWrap w:val="0"/>
            <w:vAlign w:val="center"/>
          </w:tcPr>
          <w:p w14:paraId="1C141A6B">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1427" w:type="dxa"/>
            <w:noWrap w:val="0"/>
            <w:vAlign w:val="center"/>
          </w:tcPr>
          <w:p w14:paraId="1AE71294">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693" w:type="dxa"/>
            <w:noWrap w:val="0"/>
            <w:vAlign w:val="center"/>
          </w:tcPr>
          <w:p w14:paraId="061045F7">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2431" w:type="dxa"/>
            <w:noWrap w:val="0"/>
            <w:vAlign w:val="center"/>
          </w:tcPr>
          <w:p w14:paraId="4B338F4E">
            <w:pPr>
              <w:spacing w:line="59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拟任职务</w:t>
            </w:r>
          </w:p>
        </w:tc>
      </w:tr>
      <w:tr w14:paraId="6B46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44" w:type="dxa"/>
            <w:noWrap w:val="0"/>
            <w:vAlign w:val="top"/>
          </w:tcPr>
          <w:p w14:paraId="152D0A32">
            <w:pPr>
              <w:spacing w:line="590" w:lineRule="exact"/>
              <w:jc w:val="center"/>
              <w:rPr>
                <w:rFonts w:hint="eastAsia" w:ascii="宋体" w:hAnsi="宋体" w:eastAsia="宋体" w:cs="宋体"/>
                <w:sz w:val="24"/>
                <w:szCs w:val="24"/>
                <w:highlight w:val="none"/>
              </w:rPr>
            </w:pPr>
          </w:p>
        </w:tc>
        <w:tc>
          <w:tcPr>
            <w:tcW w:w="1020" w:type="dxa"/>
            <w:noWrap w:val="0"/>
            <w:vAlign w:val="top"/>
          </w:tcPr>
          <w:p w14:paraId="48721716">
            <w:pPr>
              <w:spacing w:line="590" w:lineRule="exact"/>
              <w:jc w:val="center"/>
              <w:rPr>
                <w:rFonts w:hint="eastAsia" w:ascii="宋体" w:hAnsi="宋体" w:eastAsia="宋体" w:cs="宋体"/>
                <w:sz w:val="24"/>
                <w:szCs w:val="24"/>
                <w:highlight w:val="none"/>
              </w:rPr>
            </w:pPr>
          </w:p>
        </w:tc>
        <w:tc>
          <w:tcPr>
            <w:tcW w:w="926" w:type="dxa"/>
            <w:noWrap w:val="0"/>
            <w:vAlign w:val="top"/>
          </w:tcPr>
          <w:p w14:paraId="23B4DE5E">
            <w:pPr>
              <w:spacing w:line="590" w:lineRule="exact"/>
              <w:jc w:val="center"/>
              <w:rPr>
                <w:rFonts w:hint="eastAsia" w:ascii="宋体" w:hAnsi="宋体" w:eastAsia="宋体" w:cs="宋体"/>
                <w:sz w:val="24"/>
                <w:szCs w:val="24"/>
                <w:highlight w:val="none"/>
              </w:rPr>
            </w:pPr>
          </w:p>
        </w:tc>
        <w:tc>
          <w:tcPr>
            <w:tcW w:w="729" w:type="dxa"/>
            <w:noWrap w:val="0"/>
            <w:vAlign w:val="top"/>
          </w:tcPr>
          <w:p w14:paraId="662F40F9">
            <w:pPr>
              <w:spacing w:line="590" w:lineRule="exact"/>
              <w:jc w:val="center"/>
              <w:rPr>
                <w:rFonts w:hint="eastAsia" w:ascii="宋体" w:hAnsi="宋体" w:eastAsia="宋体" w:cs="宋体"/>
                <w:sz w:val="24"/>
                <w:szCs w:val="24"/>
                <w:highlight w:val="none"/>
              </w:rPr>
            </w:pPr>
          </w:p>
        </w:tc>
        <w:tc>
          <w:tcPr>
            <w:tcW w:w="1045" w:type="dxa"/>
            <w:noWrap w:val="0"/>
            <w:vAlign w:val="top"/>
          </w:tcPr>
          <w:p w14:paraId="64771DEB">
            <w:pPr>
              <w:spacing w:line="590" w:lineRule="exact"/>
              <w:jc w:val="center"/>
              <w:rPr>
                <w:rFonts w:hint="eastAsia" w:ascii="宋体" w:hAnsi="宋体" w:eastAsia="宋体" w:cs="宋体"/>
                <w:sz w:val="24"/>
                <w:szCs w:val="24"/>
                <w:highlight w:val="none"/>
              </w:rPr>
            </w:pPr>
          </w:p>
        </w:tc>
        <w:tc>
          <w:tcPr>
            <w:tcW w:w="1427" w:type="dxa"/>
            <w:noWrap w:val="0"/>
            <w:vAlign w:val="top"/>
          </w:tcPr>
          <w:p w14:paraId="0CBBD410">
            <w:pPr>
              <w:spacing w:line="590" w:lineRule="exact"/>
              <w:jc w:val="center"/>
              <w:rPr>
                <w:rFonts w:hint="eastAsia" w:ascii="宋体" w:hAnsi="宋体" w:eastAsia="宋体" w:cs="宋体"/>
                <w:sz w:val="24"/>
                <w:szCs w:val="24"/>
                <w:highlight w:val="none"/>
              </w:rPr>
            </w:pPr>
          </w:p>
        </w:tc>
        <w:tc>
          <w:tcPr>
            <w:tcW w:w="1693" w:type="dxa"/>
            <w:noWrap w:val="0"/>
            <w:vAlign w:val="top"/>
          </w:tcPr>
          <w:p w14:paraId="2F248D06">
            <w:pPr>
              <w:spacing w:line="590" w:lineRule="exact"/>
              <w:jc w:val="center"/>
              <w:rPr>
                <w:rFonts w:hint="eastAsia" w:ascii="宋体" w:hAnsi="宋体" w:eastAsia="宋体" w:cs="宋体"/>
                <w:sz w:val="24"/>
                <w:szCs w:val="24"/>
                <w:highlight w:val="none"/>
              </w:rPr>
            </w:pPr>
          </w:p>
        </w:tc>
        <w:tc>
          <w:tcPr>
            <w:tcW w:w="2431" w:type="dxa"/>
            <w:noWrap w:val="0"/>
            <w:vAlign w:val="top"/>
          </w:tcPr>
          <w:p w14:paraId="5A1FE531">
            <w:pPr>
              <w:spacing w:line="590" w:lineRule="exact"/>
              <w:jc w:val="center"/>
              <w:rPr>
                <w:rFonts w:hint="eastAsia" w:ascii="宋体" w:hAnsi="宋体" w:eastAsia="宋体" w:cs="宋体"/>
                <w:sz w:val="24"/>
                <w:szCs w:val="24"/>
                <w:highlight w:val="none"/>
              </w:rPr>
            </w:pPr>
          </w:p>
        </w:tc>
      </w:tr>
      <w:tr w14:paraId="3A22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61FD5D85">
            <w:pPr>
              <w:spacing w:line="590" w:lineRule="exact"/>
              <w:jc w:val="center"/>
              <w:rPr>
                <w:rFonts w:hint="eastAsia" w:ascii="宋体" w:hAnsi="宋体" w:eastAsia="宋体" w:cs="宋体"/>
                <w:sz w:val="24"/>
                <w:szCs w:val="24"/>
                <w:highlight w:val="none"/>
              </w:rPr>
            </w:pPr>
          </w:p>
        </w:tc>
        <w:tc>
          <w:tcPr>
            <w:tcW w:w="1020" w:type="dxa"/>
            <w:noWrap w:val="0"/>
            <w:vAlign w:val="top"/>
          </w:tcPr>
          <w:p w14:paraId="177A9D8C">
            <w:pPr>
              <w:spacing w:line="590" w:lineRule="exact"/>
              <w:jc w:val="center"/>
              <w:rPr>
                <w:rFonts w:hint="eastAsia" w:ascii="宋体" w:hAnsi="宋体" w:eastAsia="宋体" w:cs="宋体"/>
                <w:sz w:val="24"/>
                <w:szCs w:val="24"/>
                <w:highlight w:val="none"/>
              </w:rPr>
            </w:pPr>
          </w:p>
        </w:tc>
        <w:tc>
          <w:tcPr>
            <w:tcW w:w="926" w:type="dxa"/>
            <w:noWrap w:val="0"/>
            <w:vAlign w:val="top"/>
          </w:tcPr>
          <w:p w14:paraId="5A7A3336">
            <w:pPr>
              <w:spacing w:line="590" w:lineRule="exact"/>
              <w:jc w:val="center"/>
              <w:rPr>
                <w:rFonts w:hint="eastAsia" w:ascii="宋体" w:hAnsi="宋体" w:eastAsia="宋体" w:cs="宋体"/>
                <w:sz w:val="24"/>
                <w:szCs w:val="24"/>
                <w:highlight w:val="none"/>
              </w:rPr>
            </w:pPr>
          </w:p>
        </w:tc>
        <w:tc>
          <w:tcPr>
            <w:tcW w:w="729" w:type="dxa"/>
            <w:noWrap w:val="0"/>
            <w:vAlign w:val="top"/>
          </w:tcPr>
          <w:p w14:paraId="301A4AE4">
            <w:pPr>
              <w:spacing w:line="590" w:lineRule="exact"/>
              <w:jc w:val="center"/>
              <w:rPr>
                <w:rFonts w:hint="eastAsia" w:ascii="宋体" w:hAnsi="宋体" w:eastAsia="宋体" w:cs="宋体"/>
                <w:sz w:val="24"/>
                <w:szCs w:val="24"/>
                <w:highlight w:val="none"/>
              </w:rPr>
            </w:pPr>
          </w:p>
        </w:tc>
        <w:tc>
          <w:tcPr>
            <w:tcW w:w="1045" w:type="dxa"/>
            <w:noWrap w:val="0"/>
            <w:vAlign w:val="top"/>
          </w:tcPr>
          <w:p w14:paraId="5A145313">
            <w:pPr>
              <w:spacing w:line="590" w:lineRule="exact"/>
              <w:jc w:val="center"/>
              <w:rPr>
                <w:rFonts w:hint="eastAsia" w:ascii="宋体" w:hAnsi="宋体" w:eastAsia="宋体" w:cs="宋体"/>
                <w:sz w:val="24"/>
                <w:szCs w:val="24"/>
                <w:highlight w:val="none"/>
              </w:rPr>
            </w:pPr>
          </w:p>
        </w:tc>
        <w:tc>
          <w:tcPr>
            <w:tcW w:w="1427" w:type="dxa"/>
            <w:noWrap w:val="0"/>
            <w:vAlign w:val="top"/>
          </w:tcPr>
          <w:p w14:paraId="0FE4981D">
            <w:pPr>
              <w:spacing w:line="590" w:lineRule="exact"/>
              <w:jc w:val="center"/>
              <w:rPr>
                <w:rFonts w:hint="eastAsia" w:ascii="宋体" w:hAnsi="宋体" w:eastAsia="宋体" w:cs="宋体"/>
                <w:sz w:val="24"/>
                <w:szCs w:val="24"/>
                <w:highlight w:val="none"/>
              </w:rPr>
            </w:pPr>
          </w:p>
        </w:tc>
        <w:tc>
          <w:tcPr>
            <w:tcW w:w="1693" w:type="dxa"/>
            <w:noWrap w:val="0"/>
            <w:vAlign w:val="top"/>
          </w:tcPr>
          <w:p w14:paraId="074EE5E7">
            <w:pPr>
              <w:spacing w:line="590" w:lineRule="exact"/>
              <w:jc w:val="center"/>
              <w:rPr>
                <w:rFonts w:hint="eastAsia" w:ascii="宋体" w:hAnsi="宋体" w:eastAsia="宋体" w:cs="宋体"/>
                <w:sz w:val="24"/>
                <w:szCs w:val="24"/>
                <w:highlight w:val="none"/>
              </w:rPr>
            </w:pPr>
          </w:p>
        </w:tc>
        <w:tc>
          <w:tcPr>
            <w:tcW w:w="2431" w:type="dxa"/>
            <w:noWrap w:val="0"/>
            <w:vAlign w:val="top"/>
          </w:tcPr>
          <w:p w14:paraId="2791BCD1">
            <w:pPr>
              <w:spacing w:line="590" w:lineRule="exact"/>
              <w:jc w:val="center"/>
              <w:rPr>
                <w:rFonts w:hint="eastAsia" w:ascii="宋体" w:hAnsi="宋体" w:eastAsia="宋体" w:cs="宋体"/>
                <w:sz w:val="24"/>
                <w:szCs w:val="24"/>
                <w:highlight w:val="none"/>
              </w:rPr>
            </w:pPr>
          </w:p>
        </w:tc>
      </w:tr>
      <w:tr w14:paraId="4F72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5FDF6F95">
            <w:pPr>
              <w:spacing w:line="590" w:lineRule="exact"/>
              <w:jc w:val="center"/>
              <w:rPr>
                <w:rFonts w:hint="eastAsia" w:ascii="宋体" w:hAnsi="宋体" w:eastAsia="宋体" w:cs="宋体"/>
                <w:sz w:val="24"/>
                <w:szCs w:val="24"/>
                <w:highlight w:val="none"/>
              </w:rPr>
            </w:pPr>
          </w:p>
        </w:tc>
        <w:tc>
          <w:tcPr>
            <w:tcW w:w="1020" w:type="dxa"/>
            <w:noWrap w:val="0"/>
            <w:vAlign w:val="top"/>
          </w:tcPr>
          <w:p w14:paraId="4C4C1093">
            <w:pPr>
              <w:spacing w:line="590" w:lineRule="exact"/>
              <w:jc w:val="center"/>
              <w:rPr>
                <w:rFonts w:hint="eastAsia" w:ascii="宋体" w:hAnsi="宋体" w:eastAsia="宋体" w:cs="宋体"/>
                <w:sz w:val="24"/>
                <w:szCs w:val="24"/>
                <w:highlight w:val="none"/>
              </w:rPr>
            </w:pPr>
          </w:p>
        </w:tc>
        <w:tc>
          <w:tcPr>
            <w:tcW w:w="926" w:type="dxa"/>
            <w:noWrap w:val="0"/>
            <w:vAlign w:val="top"/>
          </w:tcPr>
          <w:p w14:paraId="67CF39E2">
            <w:pPr>
              <w:spacing w:line="590" w:lineRule="exact"/>
              <w:jc w:val="center"/>
              <w:rPr>
                <w:rFonts w:hint="eastAsia" w:ascii="宋体" w:hAnsi="宋体" w:eastAsia="宋体" w:cs="宋体"/>
                <w:sz w:val="24"/>
                <w:szCs w:val="24"/>
                <w:highlight w:val="none"/>
              </w:rPr>
            </w:pPr>
          </w:p>
        </w:tc>
        <w:tc>
          <w:tcPr>
            <w:tcW w:w="729" w:type="dxa"/>
            <w:noWrap w:val="0"/>
            <w:vAlign w:val="top"/>
          </w:tcPr>
          <w:p w14:paraId="07B3C0B0">
            <w:pPr>
              <w:spacing w:line="590" w:lineRule="exact"/>
              <w:jc w:val="center"/>
              <w:rPr>
                <w:rFonts w:hint="eastAsia" w:ascii="宋体" w:hAnsi="宋体" w:eastAsia="宋体" w:cs="宋体"/>
                <w:sz w:val="24"/>
                <w:szCs w:val="24"/>
                <w:highlight w:val="none"/>
              </w:rPr>
            </w:pPr>
          </w:p>
        </w:tc>
        <w:tc>
          <w:tcPr>
            <w:tcW w:w="1045" w:type="dxa"/>
            <w:noWrap w:val="0"/>
            <w:vAlign w:val="top"/>
          </w:tcPr>
          <w:p w14:paraId="693D342A">
            <w:pPr>
              <w:spacing w:line="590" w:lineRule="exact"/>
              <w:jc w:val="center"/>
              <w:rPr>
                <w:rFonts w:hint="eastAsia" w:ascii="宋体" w:hAnsi="宋体" w:eastAsia="宋体" w:cs="宋体"/>
                <w:sz w:val="24"/>
                <w:szCs w:val="24"/>
                <w:highlight w:val="none"/>
              </w:rPr>
            </w:pPr>
          </w:p>
        </w:tc>
        <w:tc>
          <w:tcPr>
            <w:tcW w:w="1427" w:type="dxa"/>
            <w:noWrap w:val="0"/>
            <w:vAlign w:val="top"/>
          </w:tcPr>
          <w:p w14:paraId="68F859CE">
            <w:pPr>
              <w:spacing w:line="590" w:lineRule="exact"/>
              <w:jc w:val="center"/>
              <w:rPr>
                <w:rFonts w:hint="eastAsia" w:ascii="宋体" w:hAnsi="宋体" w:eastAsia="宋体" w:cs="宋体"/>
                <w:sz w:val="24"/>
                <w:szCs w:val="24"/>
                <w:highlight w:val="none"/>
              </w:rPr>
            </w:pPr>
          </w:p>
        </w:tc>
        <w:tc>
          <w:tcPr>
            <w:tcW w:w="1693" w:type="dxa"/>
            <w:noWrap w:val="0"/>
            <w:vAlign w:val="top"/>
          </w:tcPr>
          <w:p w14:paraId="5AE88BA7">
            <w:pPr>
              <w:spacing w:line="590" w:lineRule="exact"/>
              <w:jc w:val="center"/>
              <w:rPr>
                <w:rFonts w:hint="eastAsia" w:ascii="宋体" w:hAnsi="宋体" w:eastAsia="宋体" w:cs="宋体"/>
                <w:sz w:val="24"/>
                <w:szCs w:val="24"/>
                <w:highlight w:val="none"/>
              </w:rPr>
            </w:pPr>
          </w:p>
        </w:tc>
        <w:tc>
          <w:tcPr>
            <w:tcW w:w="2431" w:type="dxa"/>
            <w:noWrap w:val="0"/>
            <w:vAlign w:val="top"/>
          </w:tcPr>
          <w:p w14:paraId="7867D9F6">
            <w:pPr>
              <w:spacing w:line="590" w:lineRule="exact"/>
              <w:jc w:val="center"/>
              <w:rPr>
                <w:rFonts w:hint="eastAsia" w:ascii="宋体" w:hAnsi="宋体" w:eastAsia="宋体" w:cs="宋体"/>
                <w:sz w:val="24"/>
                <w:szCs w:val="24"/>
                <w:highlight w:val="none"/>
              </w:rPr>
            </w:pPr>
          </w:p>
        </w:tc>
      </w:tr>
      <w:tr w14:paraId="2A4C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44" w:type="dxa"/>
            <w:noWrap w:val="0"/>
            <w:vAlign w:val="top"/>
          </w:tcPr>
          <w:p w14:paraId="4132D919">
            <w:pPr>
              <w:spacing w:line="590" w:lineRule="exact"/>
              <w:jc w:val="center"/>
              <w:rPr>
                <w:rFonts w:hint="eastAsia" w:ascii="宋体" w:hAnsi="宋体" w:eastAsia="宋体" w:cs="宋体"/>
                <w:sz w:val="24"/>
                <w:szCs w:val="24"/>
                <w:highlight w:val="none"/>
              </w:rPr>
            </w:pPr>
          </w:p>
        </w:tc>
        <w:tc>
          <w:tcPr>
            <w:tcW w:w="1020" w:type="dxa"/>
            <w:noWrap w:val="0"/>
            <w:vAlign w:val="top"/>
          </w:tcPr>
          <w:p w14:paraId="66461A22">
            <w:pPr>
              <w:spacing w:line="590" w:lineRule="exact"/>
              <w:jc w:val="center"/>
              <w:rPr>
                <w:rFonts w:hint="eastAsia" w:ascii="宋体" w:hAnsi="宋体" w:eastAsia="宋体" w:cs="宋体"/>
                <w:sz w:val="24"/>
                <w:szCs w:val="24"/>
                <w:highlight w:val="none"/>
              </w:rPr>
            </w:pPr>
          </w:p>
        </w:tc>
        <w:tc>
          <w:tcPr>
            <w:tcW w:w="926" w:type="dxa"/>
            <w:noWrap w:val="0"/>
            <w:vAlign w:val="top"/>
          </w:tcPr>
          <w:p w14:paraId="23F4C1E6">
            <w:pPr>
              <w:spacing w:line="590" w:lineRule="exact"/>
              <w:jc w:val="center"/>
              <w:rPr>
                <w:rFonts w:hint="eastAsia" w:ascii="宋体" w:hAnsi="宋体" w:eastAsia="宋体" w:cs="宋体"/>
                <w:sz w:val="24"/>
                <w:szCs w:val="24"/>
                <w:highlight w:val="none"/>
              </w:rPr>
            </w:pPr>
          </w:p>
        </w:tc>
        <w:tc>
          <w:tcPr>
            <w:tcW w:w="729" w:type="dxa"/>
            <w:noWrap w:val="0"/>
            <w:vAlign w:val="top"/>
          </w:tcPr>
          <w:p w14:paraId="75F933AF">
            <w:pPr>
              <w:spacing w:line="590" w:lineRule="exact"/>
              <w:jc w:val="center"/>
              <w:rPr>
                <w:rFonts w:hint="eastAsia" w:ascii="宋体" w:hAnsi="宋体" w:eastAsia="宋体" w:cs="宋体"/>
                <w:sz w:val="24"/>
                <w:szCs w:val="24"/>
                <w:highlight w:val="none"/>
              </w:rPr>
            </w:pPr>
          </w:p>
        </w:tc>
        <w:tc>
          <w:tcPr>
            <w:tcW w:w="1045" w:type="dxa"/>
            <w:noWrap w:val="0"/>
            <w:vAlign w:val="top"/>
          </w:tcPr>
          <w:p w14:paraId="66A6B37D">
            <w:pPr>
              <w:spacing w:line="590" w:lineRule="exact"/>
              <w:jc w:val="center"/>
              <w:rPr>
                <w:rFonts w:hint="eastAsia" w:ascii="宋体" w:hAnsi="宋体" w:eastAsia="宋体" w:cs="宋体"/>
                <w:sz w:val="24"/>
                <w:szCs w:val="24"/>
                <w:highlight w:val="none"/>
              </w:rPr>
            </w:pPr>
          </w:p>
        </w:tc>
        <w:tc>
          <w:tcPr>
            <w:tcW w:w="1427" w:type="dxa"/>
            <w:noWrap w:val="0"/>
            <w:vAlign w:val="top"/>
          </w:tcPr>
          <w:p w14:paraId="240AB291">
            <w:pPr>
              <w:spacing w:line="590" w:lineRule="exact"/>
              <w:jc w:val="center"/>
              <w:rPr>
                <w:rFonts w:hint="eastAsia" w:ascii="宋体" w:hAnsi="宋体" w:eastAsia="宋体" w:cs="宋体"/>
                <w:sz w:val="24"/>
                <w:szCs w:val="24"/>
                <w:highlight w:val="none"/>
              </w:rPr>
            </w:pPr>
          </w:p>
        </w:tc>
        <w:tc>
          <w:tcPr>
            <w:tcW w:w="1693" w:type="dxa"/>
            <w:noWrap w:val="0"/>
            <w:vAlign w:val="top"/>
          </w:tcPr>
          <w:p w14:paraId="0ADB2F7D">
            <w:pPr>
              <w:spacing w:line="590" w:lineRule="exact"/>
              <w:jc w:val="center"/>
              <w:rPr>
                <w:rFonts w:hint="eastAsia" w:ascii="宋体" w:hAnsi="宋体" w:eastAsia="宋体" w:cs="宋体"/>
                <w:sz w:val="24"/>
                <w:szCs w:val="24"/>
                <w:highlight w:val="none"/>
              </w:rPr>
            </w:pPr>
          </w:p>
        </w:tc>
        <w:tc>
          <w:tcPr>
            <w:tcW w:w="2431" w:type="dxa"/>
            <w:noWrap w:val="0"/>
            <w:vAlign w:val="top"/>
          </w:tcPr>
          <w:p w14:paraId="083728D1">
            <w:pPr>
              <w:spacing w:line="590" w:lineRule="exact"/>
              <w:jc w:val="center"/>
              <w:rPr>
                <w:rFonts w:hint="eastAsia" w:ascii="宋体" w:hAnsi="宋体" w:eastAsia="宋体" w:cs="宋体"/>
                <w:sz w:val="24"/>
                <w:szCs w:val="24"/>
                <w:highlight w:val="none"/>
              </w:rPr>
            </w:pPr>
          </w:p>
        </w:tc>
      </w:tr>
      <w:tr w14:paraId="0CD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29B06E33">
            <w:pPr>
              <w:spacing w:line="590" w:lineRule="exact"/>
              <w:jc w:val="center"/>
              <w:rPr>
                <w:rFonts w:hint="eastAsia" w:ascii="宋体" w:hAnsi="宋体" w:eastAsia="宋体" w:cs="宋体"/>
                <w:sz w:val="24"/>
                <w:szCs w:val="24"/>
                <w:highlight w:val="none"/>
              </w:rPr>
            </w:pPr>
          </w:p>
        </w:tc>
        <w:tc>
          <w:tcPr>
            <w:tcW w:w="1020" w:type="dxa"/>
            <w:noWrap w:val="0"/>
            <w:vAlign w:val="top"/>
          </w:tcPr>
          <w:p w14:paraId="077546A7">
            <w:pPr>
              <w:spacing w:line="590" w:lineRule="exact"/>
              <w:jc w:val="center"/>
              <w:rPr>
                <w:rFonts w:hint="eastAsia" w:ascii="宋体" w:hAnsi="宋体" w:eastAsia="宋体" w:cs="宋体"/>
                <w:sz w:val="24"/>
                <w:szCs w:val="24"/>
                <w:highlight w:val="none"/>
              </w:rPr>
            </w:pPr>
          </w:p>
        </w:tc>
        <w:tc>
          <w:tcPr>
            <w:tcW w:w="926" w:type="dxa"/>
            <w:noWrap w:val="0"/>
            <w:vAlign w:val="top"/>
          </w:tcPr>
          <w:p w14:paraId="2DF53651">
            <w:pPr>
              <w:spacing w:line="590" w:lineRule="exact"/>
              <w:jc w:val="center"/>
              <w:rPr>
                <w:rFonts w:hint="eastAsia" w:ascii="宋体" w:hAnsi="宋体" w:eastAsia="宋体" w:cs="宋体"/>
                <w:sz w:val="24"/>
                <w:szCs w:val="24"/>
                <w:highlight w:val="none"/>
              </w:rPr>
            </w:pPr>
          </w:p>
        </w:tc>
        <w:tc>
          <w:tcPr>
            <w:tcW w:w="729" w:type="dxa"/>
            <w:noWrap w:val="0"/>
            <w:vAlign w:val="top"/>
          </w:tcPr>
          <w:p w14:paraId="7F607A7B">
            <w:pPr>
              <w:spacing w:line="590" w:lineRule="exact"/>
              <w:jc w:val="center"/>
              <w:rPr>
                <w:rFonts w:hint="eastAsia" w:ascii="宋体" w:hAnsi="宋体" w:eastAsia="宋体" w:cs="宋体"/>
                <w:sz w:val="24"/>
                <w:szCs w:val="24"/>
                <w:highlight w:val="none"/>
              </w:rPr>
            </w:pPr>
          </w:p>
        </w:tc>
        <w:tc>
          <w:tcPr>
            <w:tcW w:w="1045" w:type="dxa"/>
            <w:noWrap w:val="0"/>
            <w:vAlign w:val="top"/>
          </w:tcPr>
          <w:p w14:paraId="1E5EBDF5">
            <w:pPr>
              <w:spacing w:line="590" w:lineRule="exact"/>
              <w:jc w:val="center"/>
              <w:rPr>
                <w:rFonts w:hint="eastAsia" w:ascii="宋体" w:hAnsi="宋体" w:eastAsia="宋体" w:cs="宋体"/>
                <w:sz w:val="24"/>
                <w:szCs w:val="24"/>
                <w:highlight w:val="none"/>
              </w:rPr>
            </w:pPr>
          </w:p>
        </w:tc>
        <w:tc>
          <w:tcPr>
            <w:tcW w:w="1427" w:type="dxa"/>
            <w:noWrap w:val="0"/>
            <w:vAlign w:val="top"/>
          </w:tcPr>
          <w:p w14:paraId="63DECDCD">
            <w:pPr>
              <w:spacing w:line="590" w:lineRule="exact"/>
              <w:jc w:val="center"/>
              <w:rPr>
                <w:rFonts w:hint="eastAsia" w:ascii="宋体" w:hAnsi="宋体" w:eastAsia="宋体" w:cs="宋体"/>
                <w:sz w:val="24"/>
                <w:szCs w:val="24"/>
                <w:highlight w:val="none"/>
              </w:rPr>
            </w:pPr>
          </w:p>
        </w:tc>
        <w:tc>
          <w:tcPr>
            <w:tcW w:w="1693" w:type="dxa"/>
            <w:noWrap w:val="0"/>
            <w:vAlign w:val="top"/>
          </w:tcPr>
          <w:p w14:paraId="33469253">
            <w:pPr>
              <w:spacing w:line="590" w:lineRule="exact"/>
              <w:jc w:val="center"/>
              <w:rPr>
                <w:rFonts w:hint="eastAsia" w:ascii="宋体" w:hAnsi="宋体" w:eastAsia="宋体" w:cs="宋体"/>
                <w:sz w:val="24"/>
                <w:szCs w:val="24"/>
                <w:highlight w:val="none"/>
              </w:rPr>
            </w:pPr>
          </w:p>
        </w:tc>
        <w:tc>
          <w:tcPr>
            <w:tcW w:w="2431" w:type="dxa"/>
            <w:noWrap w:val="0"/>
            <w:vAlign w:val="top"/>
          </w:tcPr>
          <w:p w14:paraId="5DB58E4C">
            <w:pPr>
              <w:spacing w:line="590" w:lineRule="exact"/>
              <w:jc w:val="center"/>
              <w:rPr>
                <w:rFonts w:hint="eastAsia" w:ascii="宋体" w:hAnsi="宋体" w:eastAsia="宋体" w:cs="宋体"/>
                <w:sz w:val="24"/>
                <w:szCs w:val="24"/>
                <w:highlight w:val="none"/>
              </w:rPr>
            </w:pPr>
          </w:p>
        </w:tc>
      </w:tr>
      <w:tr w14:paraId="5D49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3A51CAA3">
            <w:pPr>
              <w:spacing w:line="590" w:lineRule="exact"/>
              <w:jc w:val="center"/>
              <w:rPr>
                <w:rFonts w:hint="eastAsia" w:ascii="宋体" w:hAnsi="宋体" w:eastAsia="宋体" w:cs="宋体"/>
                <w:sz w:val="24"/>
                <w:szCs w:val="24"/>
                <w:highlight w:val="none"/>
              </w:rPr>
            </w:pPr>
          </w:p>
        </w:tc>
        <w:tc>
          <w:tcPr>
            <w:tcW w:w="1020" w:type="dxa"/>
            <w:noWrap w:val="0"/>
            <w:vAlign w:val="top"/>
          </w:tcPr>
          <w:p w14:paraId="1B2206E4">
            <w:pPr>
              <w:spacing w:line="590" w:lineRule="exact"/>
              <w:jc w:val="center"/>
              <w:rPr>
                <w:rFonts w:hint="eastAsia" w:ascii="宋体" w:hAnsi="宋体" w:eastAsia="宋体" w:cs="宋体"/>
                <w:sz w:val="24"/>
                <w:szCs w:val="24"/>
                <w:highlight w:val="none"/>
              </w:rPr>
            </w:pPr>
          </w:p>
        </w:tc>
        <w:tc>
          <w:tcPr>
            <w:tcW w:w="926" w:type="dxa"/>
            <w:noWrap w:val="0"/>
            <w:vAlign w:val="top"/>
          </w:tcPr>
          <w:p w14:paraId="2B3A6C48">
            <w:pPr>
              <w:spacing w:line="590" w:lineRule="exact"/>
              <w:jc w:val="center"/>
              <w:rPr>
                <w:rFonts w:hint="eastAsia" w:ascii="宋体" w:hAnsi="宋体" w:eastAsia="宋体" w:cs="宋体"/>
                <w:sz w:val="24"/>
                <w:szCs w:val="24"/>
                <w:highlight w:val="none"/>
              </w:rPr>
            </w:pPr>
          </w:p>
        </w:tc>
        <w:tc>
          <w:tcPr>
            <w:tcW w:w="729" w:type="dxa"/>
            <w:noWrap w:val="0"/>
            <w:vAlign w:val="top"/>
          </w:tcPr>
          <w:p w14:paraId="2ADDBC26">
            <w:pPr>
              <w:spacing w:line="590" w:lineRule="exact"/>
              <w:jc w:val="center"/>
              <w:rPr>
                <w:rFonts w:hint="eastAsia" w:ascii="宋体" w:hAnsi="宋体" w:eastAsia="宋体" w:cs="宋体"/>
                <w:sz w:val="24"/>
                <w:szCs w:val="24"/>
                <w:highlight w:val="none"/>
              </w:rPr>
            </w:pPr>
          </w:p>
        </w:tc>
        <w:tc>
          <w:tcPr>
            <w:tcW w:w="1045" w:type="dxa"/>
            <w:noWrap w:val="0"/>
            <w:vAlign w:val="top"/>
          </w:tcPr>
          <w:p w14:paraId="1108E960">
            <w:pPr>
              <w:spacing w:line="590" w:lineRule="exact"/>
              <w:jc w:val="center"/>
              <w:rPr>
                <w:rFonts w:hint="eastAsia" w:ascii="宋体" w:hAnsi="宋体" w:eastAsia="宋体" w:cs="宋体"/>
                <w:sz w:val="24"/>
                <w:szCs w:val="24"/>
                <w:highlight w:val="none"/>
              </w:rPr>
            </w:pPr>
          </w:p>
        </w:tc>
        <w:tc>
          <w:tcPr>
            <w:tcW w:w="1427" w:type="dxa"/>
            <w:noWrap w:val="0"/>
            <w:vAlign w:val="top"/>
          </w:tcPr>
          <w:p w14:paraId="17E75AF9">
            <w:pPr>
              <w:spacing w:line="590" w:lineRule="exact"/>
              <w:jc w:val="center"/>
              <w:rPr>
                <w:rFonts w:hint="eastAsia" w:ascii="宋体" w:hAnsi="宋体" w:eastAsia="宋体" w:cs="宋体"/>
                <w:sz w:val="24"/>
                <w:szCs w:val="24"/>
                <w:highlight w:val="none"/>
              </w:rPr>
            </w:pPr>
          </w:p>
        </w:tc>
        <w:tc>
          <w:tcPr>
            <w:tcW w:w="1693" w:type="dxa"/>
            <w:noWrap w:val="0"/>
            <w:vAlign w:val="top"/>
          </w:tcPr>
          <w:p w14:paraId="553604B9">
            <w:pPr>
              <w:spacing w:line="590" w:lineRule="exact"/>
              <w:jc w:val="center"/>
              <w:rPr>
                <w:rFonts w:hint="eastAsia" w:ascii="宋体" w:hAnsi="宋体" w:eastAsia="宋体" w:cs="宋体"/>
                <w:sz w:val="24"/>
                <w:szCs w:val="24"/>
                <w:highlight w:val="none"/>
              </w:rPr>
            </w:pPr>
          </w:p>
        </w:tc>
        <w:tc>
          <w:tcPr>
            <w:tcW w:w="2431" w:type="dxa"/>
            <w:noWrap w:val="0"/>
            <w:vAlign w:val="top"/>
          </w:tcPr>
          <w:p w14:paraId="31C33CB2">
            <w:pPr>
              <w:spacing w:line="590" w:lineRule="exact"/>
              <w:jc w:val="center"/>
              <w:rPr>
                <w:rFonts w:hint="eastAsia" w:ascii="宋体" w:hAnsi="宋体" w:eastAsia="宋体" w:cs="宋体"/>
                <w:sz w:val="24"/>
                <w:szCs w:val="24"/>
                <w:highlight w:val="none"/>
              </w:rPr>
            </w:pPr>
          </w:p>
        </w:tc>
      </w:tr>
      <w:tr w14:paraId="6811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44" w:type="dxa"/>
            <w:noWrap w:val="0"/>
            <w:vAlign w:val="top"/>
          </w:tcPr>
          <w:p w14:paraId="5FFD4E64">
            <w:pPr>
              <w:spacing w:line="590" w:lineRule="exact"/>
              <w:jc w:val="center"/>
              <w:rPr>
                <w:rFonts w:hint="eastAsia" w:ascii="宋体" w:hAnsi="宋体" w:eastAsia="宋体" w:cs="宋体"/>
                <w:sz w:val="24"/>
                <w:szCs w:val="24"/>
                <w:highlight w:val="none"/>
              </w:rPr>
            </w:pPr>
          </w:p>
        </w:tc>
        <w:tc>
          <w:tcPr>
            <w:tcW w:w="1020" w:type="dxa"/>
            <w:noWrap w:val="0"/>
            <w:vAlign w:val="top"/>
          </w:tcPr>
          <w:p w14:paraId="4BBEE256">
            <w:pPr>
              <w:spacing w:line="590" w:lineRule="exact"/>
              <w:jc w:val="center"/>
              <w:rPr>
                <w:rFonts w:hint="eastAsia" w:ascii="宋体" w:hAnsi="宋体" w:eastAsia="宋体" w:cs="宋体"/>
                <w:sz w:val="24"/>
                <w:szCs w:val="24"/>
                <w:highlight w:val="none"/>
              </w:rPr>
            </w:pPr>
          </w:p>
        </w:tc>
        <w:tc>
          <w:tcPr>
            <w:tcW w:w="926" w:type="dxa"/>
            <w:noWrap w:val="0"/>
            <w:vAlign w:val="top"/>
          </w:tcPr>
          <w:p w14:paraId="6AB7F602">
            <w:pPr>
              <w:spacing w:line="590" w:lineRule="exact"/>
              <w:jc w:val="center"/>
              <w:rPr>
                <w:rFonts w:hint="eastAsia" w:ascii="宋体" w:hAnsi="宋体" w:eastAsia="宋体" w:cs="宋体"/>
                <w:sz w:val="24"/>
                <w:szCs w:val="24"/>
                <w:highlight w:val="none"/>
              </w:rPr>
            </w:pPr>
          </w:p>
        </w:tc>
        <w:tc>
          <w:tcPr>
            <w:tcW w:w="729" w:type="dxa"/>
            <w:noWrap w:val="0"/>
            <w:vAlign w:val="top"/>
          </w:tcPr>
          <w:p w14:paraId="13995535">
            <w:pPr>
              <w:spacing w:line="590" w:lineRule="exact"/>
              <w:jc w:val="center"/>
              <w:rPr>
                <w:rFonts w:hint="eastAsia" w:ascii="宋体" w:hAnsi="宋体" w:eastAsia="宋体" w:cs="宋体"/>
                <w:sz w:val="24"/>
                <w:szCs w:val="24"/>
                <w:highlight w:val="none"/>
              </w:rPr>
            </w:pPr>
          </w:p>
        </w:tc>
        <w:tc>
          <w:tcPr>
            <w:tcW w:w="1045" w:type="dxa"/>
            <w:noWrap w:val="0"/>
            <w:vAlign w:val="top"/>
          </w:tcPr>
          <w:p w14:paraId="0A231739">
            <w:pPr>
              <w:spacing w:line="590" w:lineRule="exact"/>
              <w:jc w:val="center"/>
              <w:rPr>
                <w:rFonts w:hint="eastAsia" w:ascii="宋体" w:hAnsi="宋体" w:eastAsia="宋体" w:cs="宋体"/>
                <w:sz w:val="24"/>
                <w:szCs w:val="24"/>
                <w:highlight w:val="none"/>
              </w:rPr>
            </w:pPr>
          </w:p>
        </w:tc>
        <w:tc>
          <w:tcPr>
            <w:tcW w:w="1427" w:type="dxa"/>
            <w:noWrap w:val="0"/>
            <w:vAlign w:val="top"/>
          </w:tcPr>
          <w:p w14:paraId="7BB870A4">
            <w:pPr>
              <w:spacing w:line="590" w:lineRule="exact"/>
              <w:jc w:val="center"/>
              <w:rPr>
                <w:rFonts w:hint="eastAsia" w:ascii="宋体" w:hAnsi="宋体" w:eastAsia="宋体" w:cs="宋体"/>
                <w:sz w:val="24"/>
                <w:szCs w:val="24"/>
                <w:highlight w:val="none"/>
              </w:rPr>
            </w:pPr>
          </w:p>
        </w:tc>
        <w:tc>
          <w:tcPr>
            <w:tcW w:w="1693" w:type="dxa"/>
            <w:noWrap w:val="0"/>
            <w:vAlign w:val="top"/>
          </w:tcPr>
          <w:p w14:paraId="2109C620">
            <w:pPr>
              <w:spacing w:line="590" w:lineRule="exact"/>
              <w:jc w:val="center"/>
              <w:rPr>
                <w:rFonts w:hint="eastAsia" w:ascii="宋体" w:hAnsi="宋体" w:eastAsia="宋体" w:cs="宋体"/>
                <w:sz w:val="24"/>
                <w:szCs w:val="24"/>
                <w:highlight w:val="none"/>
              </w:rPr>
            </w:pPr>
          </w:p>
        </w:tc>
        <w:tc>
          <w:tcPr>
            <w:tcW w:w="2431" w:type="dxa"/>
            <w:noWrap w:val="0"/>
            <w:vAlign w:val="top"/>
          </w:tcPr>
          <w:p w14:paraId="5663C260">
            <w:pPr>
              <w:spacing w:line="590" w:lineRule="exact"/>
              <w:jc w:val="center"/>
              <w:rPr>
                <w:rFonts w:hint="eastAsia" w:ascii="宋体" w:hAnsi="宋体" w:eastAsia="宋体" w:cs="宋体"/>
                <w:sz w:val="24"/>
                <w:szCs w:val="24"/>
                <w:highlight w:val="none"/>
              </w:rPr>
            </w:pPr>
          </w:p>
        </w:tc>
      </w:tr>
      <w:tr w14:paraId="636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33B8CC88">
            <w:pPr>
              <w:spacing w:line="590" w:lineRule="exact"/>
              <w:rPr>
                <w:rFonts w:hint="eastAsia" w:ascii="宋体" w:hAnsi="宋体" w:eastAsia="宋体" w:cs="宋体"/>
                <w:sz w:val="24"/>
                <w:szCs w:val="24"/>
                <w:highlight w:val="none"/>
              </w:rPr>
            </w:pPr>
          </w:p>
        </w:tc>
        <w:tc>
          <w:tcPr>
            <w:tcW w:w="1020" w:type="dxa"/>
            <w:noWrap w:val="0"/>
            <w:vAlign w:val="top"/>
          </w:tcPr>
          <w:p w14:paraId="79063805">
            <w:pPr>
              <w:spacing w:line="590" w:lineRule="exact"/>
              <w:rPr>
                <w:rFonts w:hint="eastAsia" w:ascii="宋体" w:hAnsi="宋体" w:eastAsia="宋体" w:cs="宋体"/>
                <w:sz w:val="24"/>
                <w:szCs w:val="24"/>
                <w:highlight w:val="none"/>
              </w:rPr>
            </w:pPr>
          </w:p>
        </w:tc>
        <w:tc>
          <w:tcPr>
            <w:tcW w:w="926" w:type="dxa"/>
            <w:noWrap w:val="0"/>
            <w:vAlign w:val="top"/>
          </w:tcPr>
          <w:p w14:paraId="32C09860">
            <w:pPr>
              <w:spacing w:line="590" w:lineRule="exact"/>
              <w:rPr>
                <w:rFonts w:hint="eastAsia" w:ascii="宋体" w:hAnsi="宋体" w:eastAsia="宋体" w:cs="宋体"/>
                <w:sz w:val="24"/>
                <w:szCs w:val="24"/>
                <w:highlight w:val="none"/>
              </w:rPr>
            </w:pPr>
          </w:p>
        </w:tc>
        <w:tc>
          <w:tcPr>
            <w:tcW w:w="729" w:type="dxa"/>
            <w:noWrap w:val="0"/>
            <w:vAlign w:val="top"/>
          </w:tcPr>
          <w:p w14:paraId="3F88D5B8">
            <w:pPr>
              <w:spacing w:line="590" w:lineRule="exact"/>
              <w:rPr>
                <w:rFonts w:hint="eastAsia" w:ascii="宋体" w:hAnsi="宋体" w:eastAsia="宋体" w:cs="宋体"/>
                <w:sz w:val="24"/>
                <w:szCs w:val="24"/>
                <w:highlight w:val="none"/>
              </w:rPr>
            </w:pPr>
          </w:p>
        </w:tc>
        <w:tc>
          <w:tcPr>
            <w:tcW w:w="1045" w:type="dxa"/>
            <w:noWrap w:val="0"/>
            <w:vAlign w:val="top"/>
          </w:tcPr>
          <w:p w14:paraId="6B59E73C">
            <w:pPr>
              <w:spacing w:line="590" w:lineRule="exact"/>
              <w:rPr>
                <w:rFonts w:hint="eastAsia" w:ascii="宋体" w:hAnsi="宋体" w:eastAsia="宋体" w:cs="宋体"/>
                <w:sz w:val="24"/>
                <w:szCs w:val="24"/>
                <w:highlight w:val="none"/>
              </w:rPr>
            </w:pPr>
          </w:p>
        </w:tc>
        <w:tc>
          <w:tcPr>
            <w:tcW w:w="1427" w:type="dxa"/>
            <w:noWrap w:val="0"/>
            <w:vAlign w:val="top"/>
          </w:tcPr>
          <w:p w14:paraId="177C9229">
            <w:pPr>
              <w:spacing w:line="590" w:lineRule="exact"/>
              <w:rPr>
                <w:rFonts w:hint="eastAsia" w:ascii="宋体" w:hAnsi="宋体" w:eastAsia="宋体" w:cs="宋体"/>
                <w:sz w:val="24"/>
                <w:szCs w:val="24"/>
                <w:highlight w:val="none"/>
              </w:rPr>
            </w:pPr>
          </w:p>
        </w:tc>
        <w:tc>
          <w:tcPr>
            <w:tcW w:w="1693" w:type="dxa"/>
            <w:noWrap w:val="0"/>
            <w:vAlign w:val="top"/>
          </w:tcPr>
          <w:p w14:paraId="0C02E5CC">
            <w:pPr>
              <w:spacing w:line="590" w:lineRule="exact"/>
              <w:rPr>
                <w:rFonts w:hint="eastAsia" w:ascii="宋体" w:hAnsi="宋体" w:eastAsia="宋体" w:cs="宋体"/>
                <w:sz w:val="24"/>
                <w:szCs w:val="24"/>
                <w:highlight w:val="none"/>
              </w:rPr>
            </w:pPr>
          </w:p>
        </w:tc>
        <w:tc>
          <w:tcPr>
            <w:tcW w:w="2431" w:type="dxa"/>
            <w:noWrap w:val="0"/>
            <w:vAlign w:val="top"/>
          </w:tcPr>
          <w:p w14:paraId="1644F9B2">
            <w:pPr>
              <w:spacing w:line="590" w:lineRule="exact"/>
              <w:rPr>
                <w:rFonts w:hint="eastAsia" w:ascii="宋体" w:hAnsi="宋体" w:eastAsia="宋体" w:cs="宋体"/>
                <w:sz w:val="24"/>
                <w:szCs w:val="24"/>
                <w:highlight w:val="none"/>
              </w:rPr>
            </w:pPr>
          </w:p>
        </w:tc>
      </w:tr>
      <w:tr w14:paraId="3A19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4" w:type="dxa"/>
            <w:noWrap w:val="0"/>
            <w:vAlign w:val="top"/>
          </w:tcPr>
          <w:p w14:paraId="17C9DE58">
            <w:pPr>
              <w:spacing w:line="590" w:lineRule="exact"/>
              <w:rPr>
                <w:rFonts w:hint="eastAsia" w:ascii="宋体" w:hAnsi="宋体" w:eastAsia="宋体" w:cs="宋体"/>
                <w:sz w:val="24"/>
                <w:szCs w:val="24"/>
                <w:highlight w:val="none"/>
              </w:rPr>
            </w:pPr>
          </w:p>
        </w:tc>
        <w:tc>
          <w:tcPr>
            <w:tcW w:w="1020" w:type="dxa"/>
            <w:noWrap w:val="0"/>
            <w:vAlign w:val="top"/>
          </w:tcPr>
          <w:p w14:paraId="4FF09E33">
            <w:pPr>
              <w:spacing w:line="590" w:lineRule="exact"/>
              <w:rPr>
                <w:rFonts w:hint="eastAsia" w:ascii="宋体" w:hAnsi="宋体" w:eastAsia="宋体" w:cs="宋体"/>
                <w:sz w:val="24"/>
                <w:szCs w:val="24"/>
                <w:highlight w:val="none"/>
              </w:rPr>
            </w:pPr>
          </w:p>
        </w:tc>
        <w:tc>
          <w:tcPr>
            <w:tcW w:w="926" w:type="dxa"/>
            <w:noWrap w:val="0"/>
            <w:vAlign w:val="top"/>
          </w:tcPr>
          <w:p w14:paraId="72ED3892">
            <w:pPr>
              <w:spacing w:line="590" w:lineRule="exact"/>
              <w:rPr>
                <w:rFonts w:hint="eastAsia" w:ascii="宋体" w:hAnsi="宋体" w:eastAsia="宋体" w:cs="宋体"/>
                <w:sz w:val="24"/>
                <w:szCs w:val="24"/>
                <w:highlight w:val="none"/>
              </w:rPr>
            </w:pPr>
          </w:p>
        </w:tc>
        <w:tc>
          <w:tcPr>
            <w:tcW w:w="729" w:type="dxa"/>
            <w:noWrap w:val="0"/>
            <w:vAlign w:val="top"/>
          </w:tcPr>
          <w:p w14:paraId="761F2C50">
            <w:pPr>
              <w:spacing w:line="590" w:lineRule="exact"/>
              <w:rPr>
                <w:rFonts w:hint="eastAsia" w:ascii="宋体" w:hAnsi="宋体" w:eastAsia="宋体" w:cs="宋体"/>
                <w:sz w:val="24"/>
                <w:szCs w:val="24"/>
                <w:highlight w:val="none"/>
              </w:rPr>
            </w:pPr>
          </w:p>
        </w:tc>
        <w:tc>
          <w:tcPr>
            <w:tcW w:w="1045" w:type="dxa"/>
            <w:noWrap w:val="0"/>
            <w:vAlign w:val="top"/>
          </w:tcPr>
          <w:p w14:paraId="22D7CD10">
            <w:pPr>
              <w:spacing w:line="590" w:lineRule="exact"/>
              <w:rPr>
                <w:rFonts w:hint="eastAsia" w:ascii="宋体" w:hAnsi="宋体" w:eastAsia="宋体" w:cs="宋体"/>
                <w:sz w:val="24"/>
                <w:szCs w:val="24"/>
                <w:highlight w:val="none"/>
              </w:rPr>
            </w:pPr>
          </w:p>
        </w:tc>
        <w:tc>
          <w:tcPr>
            <w:tcW w:w="1427" w:type="dxa"/>
            <w:noWrap w:val="0"/>
            <w:vAlign w:val="top"/>
          </w:tcPr>
          <w:p w14:paraId="2DC0C549">
            <w:pPr>
              <w:spacing w:line="590" w:lineRule="exact"/>
              <w:rPr>
                <w:rFonts w:hint="eastAsia" w:ascii="宋体" w:hAnsi="宋体" w:eastAsia="宋体" w:cs="宋体"/>
                <w:sz w:val="24"/>
                <w:szCs w:val="24"/>
                <w:highlight w:val="none"/>
              </w:rPr>
            </w:pPr>
          </w:p>
        </w:tc>
        <w:tc>
          <w:tcPr>
            <w:tcW w:w="1693" w:type="dxa"/>
            <w:noWrap w:val="0"/>
            <w:vAlign w:val="top"/>
          </w:tcPr>
          <w:p w14:paraId="4F48EA38">
            <w:pPr>
              <w:spacing w:line="590" w:lineRule="exact"/>
              <w:rPr>
                <w:rFonts w:hint="eastAsia" w:ascii="宋体" w:hAnsi="宋体" w:eastAsia="宋体" w:cs="宋体"/>
                <w:sz w:val="24"/>
                <w:szCs w:val="24"/>
                <w:highlight w:val="none"/>
              </w:rPr>
            </w:pPr>
          </w:p>
        </w:tc>
        <w:tc>
          <w:tcPr>
            <w:tcW w:w="2431" w:type="dxa"/>
            <w:noWrap w:val="0"/>
            <w:vAlign w:val="top"/>
          </w:tcPr>
          <w:p w14:paraId="274DDA35">
            <w:pPr>
              <w:spacing w:line="590" w:lineRule="exact"/>
              <w:rPr>
                <w:rFonts w:hint="eastAsia" w:ascii="宋体" w:hAnsi="宋体" w:eastAsia="宋体" w:cs="宋体"/>
                <w:sz w:val="24"/>
                <w:szCs w:val="24"/>
                <w:highlight w:val="none"/>
              </w:rPr>
            </w:pPr>
          </w:p>
        </w:tc>
      </w:tr>
      <w:tr w14:paraId="7C31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4" w:type="dxa"/>
            <w:noWrap w:val="0"/>
            <w:vAlign w:val="top"/>
          </w:tcPr>
          <w:p w14:paraId="39C470FB">
            <w:pPr>
              <w:spacing w:line="590" w:lineRule="exact"/>
              <w:rPr>
                <w:rFonts w:hint="eastAsia" w:ascii="宋体" w:hAnsi="宋体" w:eastAsia="宋体" w:cs="宋体"/>
                <w:sz w:val="24"/>
                <w:szCs w:val="24"/>
                <w:highlight w:val="none"/>
              </w:rPr>
            </w:pPr>
          </w:p>
        </w:tc>
        <w:tc>
          <w:tcPr>
            <w:tcW w:w="1020" w:type="dxa"/>
            <w:noWrap w:val="0"/>
            <w:vAlign w:val="top"/>
          </w:tcPr>
          <w:p w14:paraId="5F6BCE00">
            <w:pPr>
              <w:spacing w:line="590" w:lineRule="exact"/>
              <w:rPr>
                <w:rFonts w:hint="eastAsia" w:ascii="宋体" w:hAnsi="宋体" w:eastAsia="宋体" w:cs="宋体"/>
                <w:sz w:val="24"/>
                <w:szCs w:val="24"/>
                <w:highlight w:val="none"/>
              </w:rPr>
            </w:pPr>
          </w:p>
        </w:tc>
        <w:tc>
          <w:tcPr>
            <w:tcW w:w="926" w:type="dxa"/>
            <w:noWrap w:val="0"/>
            <w:vAlign w:val="top"/>
          </w:tcPr>
          <w:p w14:paraId="5C69C54B">
            <w:pPr>
              <w:spacing w:line="590" w:lineRule="exact"/>
              <w:rPr>
                <w:rFonts w:hint="eastAsia" w:ascii="宋体" w:hAnsi="宋体" w:eastAsia="宋体" w:cs="宋体"/>
                <w:sz w:val="24"/>
                <w:szCs w:val="24"/>
                <w:highlight w:val="none"/>
              </w:rPr>
            </w:pPr>
          </w:p>
        </w:tc>
        <w:tc>
          <w:tcPr>
            <w:tcW w:w="729" w:type="dxa"/>
            <w:noWrap w:val="0"/>
            <w:vAlign w:val="top"/>
          </w:tcPr>
          <w:p w14:paraId="030DDA5D">
            <w:pPr>
              <w:spacing w:line="590" w:lineRule="exact"/>
              <w:rPr>
                <w:rFonts w:hint="eastAsia" w:ascii="宋体" w:hAnsi="宋体" w:eastAsia="宋体" w:cs="宋体"/>
                <w:sz w:val="24"/>
                <w:szCs w:val="24"/>
                <w:highlight w:val="none"/>
              </w:rPr>
            </w:pPr>
          </w:p>
        </w:tc>
        <w:tc>
          <w:tcPr>
            <w:tcW w:w="1045" w:type="dxa"/>
            <w:noWrap w:val="0"/>
            <w:vAlign w:val="top"/>
          </w:tcPr>
          <w:p w14:paraId="3F9E4C16">
            <w:pPr>
              <w:spacing w:line="590" w:lineRule="exact"/>
              <w:rPr>
                <w:rFonts w:hint="eastAsia" w:ascii="宋体" w:hAnsi="宋体" w:eastAsia="宋体" w:cs="宋体"/>
                <w:sz w:val="24"/>
                <w:szCs w:val="24"/>
                <w:highlight w:val="none"/>
              </w:rPr>
            </w:pPr>
          </w:p>
        </w:tc>
        <w:tc>
          <w:tcPr>
            <w:tcW w:w="1427" w:type="dxa"/>
            <w:noWrap w:val="0"/>
            <w:vAlign w:val="top"/>
          </w:tcPr>
          <w:p w14:paraId="25526146">
            <w:pPr>
              <w:spacing w:line="590" w:lineRule="exact"/>
              <w:rPr>
                <w:rFonts w:hint="eastAsia" w:ascii="宋体" w:hAnsi="宋体" w:eastAsia="宋体" w:cs="宋体"/>
                <w:sz w:val="24"/>
                <w:szCs w:val="24"/>
                <w:highlight w:val="none"/>
              </w:rPr>
            </w:pPr>
          </w:p>
        </w:tc>
        <w:tc>
          <w:tcPr>
            <w:tcW w:w="1693" w:type="dxa"/>
            <w:noWrap w:val="0"/>
            <w:vAlign w:val="top"/>
          </w:tcPr>
          <w:p w14:paraId="6B072F27">
            <w:pPr>
              <w:spacing w:line="590" w:lineRule="exact"/>
              <w:rPr>
                <w:rFonts w:hint="eastAsia" w:ascii="宋体" w:hAnsi="宋体" w:eastAsia="宋体" w:cs="宋体"/>
                <w:sz w:val="24"/>
                <w:szCs w:val="24"/>
                <w:highlight w:val="none"/>
              </w:rPr>
            </w:pPr>
          </w:p>
        </w:tc>
        <w:tc>
          <w:tcPr>
            <w:tcW w:w="2431" w:type="dxa"/>
            <w:noWrap w:val="0"/>
            <w:vAlign w:val="top"/>
          </w:tcPr>
          <w:p w14:paraId="4BFA6190">
            <w:pPr>
              <w:spacing w:line="590" w:lineRule="exact"/>
              <w:rPr>
                <w:rFonts w:hint="eastAsia" w:ascii="宋体" w:hAnsi="宋体" w:eastAsia="宋体" w:cs="宋体"/>
                <w:sz w:val="24"/>
                <w:szCs w:val="24"/>
                <w:highlight w:val="none"/>
              </w:rPr>
            </w:pPr>
          </w:p>
        </w:tc>
      </w:tr>
    </w:tbl>
    <w:p w14:paraId="38F00BA8">
      <w:pPr>
        <w:spacing w:line="600" w:lineRule="exact"/>
        <w:rPr>
          <w:rFonts w:hint="eastAsia" w:ascii="宋体" w:hAnsi="宋体" w:eastAsia="宋体" w:cs="宋体"/>
          <w:sz w:val="24"/>
          <w:szCs w:val="24"/>
          <w:highlight w:val="none"/>
        </w:rPr>
      </w:pPr>
    </w:p>
    <w:p w14:paraId="41AAB08E">
      <w:pPr>
        <w:spacing w:line="6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单位名称（加盖公章）：</w:t>
      </w:r>
      <w:r>
        <w:rPr>
          <w:rFonts w:hint="eastAsia" w:ascii="宋体" w:hAnsi="宋体" w:eastAsia="宋体" w:cs="宋体"/>
          <w:sz w:val="24"/>
          <w:szCs w:val="24"/>
          <w:highlight w:val="none"/>
          <w:u w:val="single"/>
        </w:rPr>
        <w:t xml:space="preserve">                             </w:t>
      </w:r>
    </w:p>
    <w:p w14:paraId="58DC6093">
      <w:pPr>
        <w:spacing w:line="600" w:lineRule="exact"/>
        <w:rPr>
          <w:rFonts w:hint="eastAsia" w:ascii="宋体" w:hAnsi="宋体" w:eastAsia="宋体" w:cs="宋体"/>
          <w:sz w:val="24"/>
          <w:szCs w:val="24"/>
          <w:highlight w:val="none"/>
        </w:rPr>
      </w:pPr>
    </w:p>
    <w:p w14:paraId="206C48F6">
      <w:pPr>
        <w:spacing w:line="6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法定代表人（签字或盖章）：</w:t>
      </w:r>
      <w:r>
        <w:rPr>
          <w:rFonts w:hint="eastAsia" w:ascii="宋体" w:hAnsi="宋体" w:eastAsia="宋体" w:cs="宋体"/>
          <w:sz w:val="24"/>
          <w:szCs w:val="24"/>
          <w:highlight w:val="none"/>
          <w:u w:val="single"/>
        </w:rPr>
        <w:t xml:space="preserve">                         </w:t>
      </w:r>
    </w:p>
    <w:p w14:paraId="2B94F022">
      <w:pPr>
        <w:spacing w:line="600" w:lineRule="exact"/>
        <w:ind w:left="4320" w:hanging="4320" w:hangingChars="18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66695A6">
      <w:pPr>
        <w:spacing w:line="600" w:lineRule="exact"/>
        <w:ind w:left="4320" w:hanging="4320" w:hangingChars="18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628A7309">
      <w:pPr>
        <w:rPr>
          <w:rFonts w:hint="eastAsia" w:ascii="宋体" w:hAnsi="宋体" w:eastAsia="宋体" w:cs="宋体"/>
        </w:rPr>
      </w:pPr>
      <w:r>
        <w:rPr>
          <w:rFonts w:hint="eastAsia" w:ascii="宋体" w:hAnsi="宋体" w:eastAsia="宋体" w:cs="宋体"/>
        </w:rPr>
        <w:br w:type="page"/>
      </w:r>
    </w:p>
    <w:p w14:paraId="75132B79">
      <w:pPr>
        <w:spacing w:line="360" w:lineRule="auto"/>
        <w:jc w:val="left"/>
        <w:rPr>
          <w:rFonts w:ascii="宋体" w:hAnsi="宋体"/>
          <w:color w:val="000000"/>
          <w:sz w:val="24"/>
          <w:highlight w:val="none"/>
        </w:rPr>
      </w:pPr>
      <w:r>
        <w:rPr>
          <w:rFonts w:hint="eastAsia" w:ascii="宋体" w:hAnsi="宋体"/>
          <w:b/>
          <w:bCs/>
          <w:color w:val="000000"/>
          <w:sz w:val="24"/>
          <w:highlight w:val="none"/>
        </w:rPr>
        <w:t>附件：廉政责任书</w:t>
      </w:r>
    </w:p>
    <w:p w14:paraId="10745BCD">
      <w:pPr>
        <w:keepNext w:val="0"/>
        <w:keepLines w:val="0"/>
        <w:pageBreakBefore w:val="0"/>
        <w:kinsoku/>
        <w:wordWrap/>
        <w:overflowPunct/>
        <w:topLinePunct w:val="0"/>
        <w:bidi w:val="0"/>
        <w:spacing w:line="312" w:lineRule="auto"/>
        <w:jc w:val="left"/>
        <w:textAlignment w:val="auto"/>
        <w:rPr>
          <w:rFonts w:ascii="宋体" w:hAnsi="宋体" w:cs="宋体"/>
          <w:bCs/>
          <w:sz w:val="24"/>
          <w:highlight w:val="none"/>
          <w:u w:val="single"/>
        </w:rPr>
      </w:pPr>
      <w:r>
        <w:rPr>
          <w:rFonts w:hint="eastAsia" w:ascii="宋体" w:hAnsi="宋体" w:cs="宋体"/>
          <w:sz w:val="24"/>
          <w:highlight w:val="none"/>
        </w:rPr>
        <w:t>甲方(发包人)：</w:t>
      </w:r>
      <w:r>
        <w:rPr>
          <w:rFonts w:hint="eastAsia" w:ascii="宋体" w:hAnsi="宋体" w:cs="宋体"/>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sz w:val="24"/>
          <w:highlight w:val="none"/>
          <w:u w:val="single"/>
        </w:rPr>
        <w:t xml:space="preserve">    </w:t>
      </w:r>
    </w:p>
    <w:p w14:paraId="6A18249D">
      <w:pPr>
        <w:keepNext w:val="0"/>
        <w:keepLines w:val="0"/>
        <w:pageBreakBefore w:val="0"/>
        <w:widowControl/>
        <w:shd w:val="clear" w:color="auto" w:fill="FFFFFF"/>
        <w:kinsoku/>
        <w:wordWrap/>
        <w:overflowPunct/>
        <w:topLinePunct w:val="0"/>
        <w:bidi w:val="0"/>
        <w:spacing w:line="312" w:lineRule="auto"/>
        <w:jc w:val="left"/>
        <w:textAlignment w:val="auto"/>
        <w:rPr>
          <w:rFonts w:ascii="宋体" w:hAnsi="宋体" w:cs="宋体"/>
          <w:kern w:val="0"/>
          <w:sz w:val="24"/>
          <w:highlight w:val="none"/>
          <w:u w:val="single"/>
        </w:rPr>
      </w:pPr>
      <w:r>
        <w:rPr>
          <w:rFonts w:hint="eastAsia" w:ascii="宋体" w:hAnsi="宋体" w:cs="宋体"/>
          <w:sz w:val="24"/>
          <w:highlight w:val="none"/>
        </w:rPr>
        <w:t>乙方(承包人)：</w:t>
      </w:r>
      <w:r>
        <w:rPr>
          <w:rFonts w:hint="eastAsia" w:ascii="宋体" w:hAnsi="宋体" w:cs="宋体"/>
          <w:kern w:val="0"/>
          <w:sz w:val="24"/>
          <w:highlight w:val="none"/>
          <w:u w:val="single"/>
        </w:rPr>
        <w:t xml:space="preserve">                          </w:t>
      </w:r>
    </w:p>
    <w:p w14:paraId="5BFCE819">
      <w:pPr>
        <w:keepNext w:val="0"/>
        <w:keepLines w:val="0"/>
        <w:pageBreakBefore w:val="0"/>
        <w:kinsoku/>
        <w:wordWrap/>
        <w:overflowPunct/>
        <w:topLinePunct w:val="0"/>
        <w:autoSpaceDE w:val="0"/>
        <w:autoSpaceDN w:val="0"/>
        <w:bidi w:val="0"/>
        <w:spacing w:line="312"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为加强工程建设中的廉政建设，规范本工程委托与被委托双方的各项活动，防止发生各种谋取不正当利益的违法违纪行为，保护国家、集体和当事人的合法权益，根据国家有关工程建设的法律法规和廉政建设责任制度规定，特订立本廉政责任书。</w:t>
      </w:r>
    </w:p>
    <w:p w14:paraId="3ACCB074">
      <w:pPr>
        <w:keepNext w:val="0"/>
        <w:keepLines w:val="0"/>
        <w:pageBreakBefore w:val="0"/>
        <w:kinsoku/>
        <w:wordWrap/>
        <w:overflowPunct/>
        <w:topLinePunct w:val="0"/>
        <w:autoSpaceDE w:val="0"/>
        <w:autoSpaceDN w:val="0"/>
        <w:bidi w:val="0"/>
        <w:spacing w:line="312" w:lineRule="auto"/>
        <w:textAlignment w:val="auto"/>
        <w:rPr>
          <w:rFonts w:ascii="宋体" w:hAnsi="宋体"/>
          <w:b/>
          <w:bCs/>
          <w:color w:val="000000"/>
          <w:sz w:val="24"/>
          <w:highlight w:val="none"/>
        </w:rPr>
      </w:pPr>
      <w:r>
        <w:rPr>
          <w:rFonts w:hint="eastAsia" w:ascii="宋体" w:hAnsi="宋体"/>
          <w:b/>
          <w:bCs/>
          <w:color w:val="000000"/>
          <w:sz w:val="24"/>
          <w:highlight w:val="none"/>
        </w:rPr>
        <w:t>第一条  甲乙双方的责任</w:t>
      </w:r>
    </w:p>
    <w:p w14:paraId="16DA1178">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应严格遵守国家关于市场准入、项目招标投标、工程建设和市场活动的有关法律、法规，相关政策，以及廉政建设的各项规定。</w:t>
      </w:r>
    </w:p>
    <w:p w14:paraId="698FF3C4">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严格执行建设工程项目合同文件，自觉按合同办事。</w:t>
      </w:r>
    </w:p>
    <w:p w14:paraId="7BA24971">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业务活动必须坚持公开、公平、公正、诚信、透明的原则（除法律法规另有规定者外），不得为获取不正当的利益，损害国家、集体和对方利益，不得违反工程建设管理、建设的规章制度。</w:t>
      </w:r>
    </w:p>
    <w:p w14:paraId="5D790A28">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发现对方在业务活动中有违规、违纪、违法行为的，应及时提醒对方，情节严重的，应向其上级主管部门或纪检监察、司法等有关机关举报。</w:t>
      </w:r>
    </w:p>
    <w:p w14:paraId="40B70412">
      <w:pPr>
        <w:keepNext w:val="0"/>
        <w:keepLines w:val="0"/>
        <w:pageBreakBefore w:val="0"/>
        <w:kinsoku/>
        <w:wordWrap/>
        <w:overflowPunct/>
        <w:topLinePunct w:val="0"/>
        <w:autoSpaceDE w:val="0"/>
        <w:autoSpaceDN w:val="0"/>
        <w:bidi w:val="0"/>
        <w:spacing w:line="312" w:lineRule="auto"/>
        <w:textAlignment w:val="auto"/>
        <w:rPr>
          <w:rFonts w:ascii="宋体" w:hAnsi="宋体"/>
          <w:b/>
          <w:bCs/>
          <w:color w:val="000000"/>
          <w:sz w:val="24"/>
          <w:highlight w:val="none"/>
        </w:rPr>
      </w:pPr>
      <w:r>
        <w:rPr>
          <w:rFonts w:hint="eastAsia" w:ascii="宋体" w:hAnsi="宋体"/>
          <w:b/>
          <w:bCs/>
          <w:color w:val="000000"/>
          <w:sz w:val="24"/>
          <w:highlight w:val="none"/>
        </w:rPr>
        <w:t>第</w:t>
      </w:r>
      <w:r>
        <w:rPr>
          <w:rFonts w:hint="eastAsia"/>
          <w:b/>
          <w:bCs/>
          <w:color w:val="000000"/>
          <w:sz w:val="24"/>
          <w:highlight w:val="none"/>
        </w:rPr>
        <w:t>二</w:t>
      </w:r>
      <w:r>
        <w:rPr>
          <w:rFonts w:hint="eastAsia" w:ascii="宋体" w:hAnsi="宋体"/>
          <w:b/>
          <w:bCs/>
          <w:color w:val="000000"/>
          <w:sz w:val="24"/>
          <w:highlight w:val="none"/>
        </w:rPr>
        <w:t>条  甲方的责任</w:t>
      </w:r>
    </w:p>
    <w:p w14:paraId="20DD2187">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color w:val="000000"/>
          <w:sz w:val="24"/>
          <w:highlight w:val="none"/>
        </w:rPr>
      </w:pPr>
      <w:r>
        <w:rPr>
          <w:rFonts w:hint="eastAsia"/>
          <w:color w:val="000000"/>
          <w:sz w:val="24"/>
          <w:highlight w:val="none"/>
        </w:rPr>
        <w:t>甲方的领导人和从事该建设工程项目的工作人员在工程建设的事前、事中、事后应遵守以下规定：</w:t>
      </w:r>
    </w:p>
    <w:p w14:paraId="2F2F3EFE">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color w:val="000000"/>
          <w:sz w:val="24"/>
          <w:highlight w:val="none"/>
        </w:rPr>
      </w:pPr>
      <w:r>
        <w:rPr>
          <w:rFonts w:hint="eastAsia"/>
          <w:color w:val="000000"/>
          <w:sz w:val="24"/>
          <w:highlight w:val="none"/>
        </w:rPr>
        <w:t>（一）不准向乙方和相关单位索要或接受回扣、礼金、有价证券、贵重物品和好处费、感谢费等。</w:t>
      </w:r>
    </w:p>
    <w:p w14:paraId="70B1CC7D">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color w:val="000000"/>
          <w:sz w:val="24"/>
          <w:highlight w:val="none"/>
        </w:rPr>
        <w:t>（二）不准在乙方和相关单位报销任何应由甲方或个人支付的费用。</w:t>
      </w:r>
    </w:p>
    <w:p w14:paraId="7C5489C7">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color w:val="000000"/>
          <w:sz w:val="24"/>
          <w:highlight w:val="none"/>
        </w:rPr>
        <w:t>（三）不准要求、暗示或接受乙方和相关单位为个人装修住房、配偶子女的工作安排以及出国（境）、旅游等提供方便。</w:t>
      </w:r>
    </w:p>
    <w:p w14:paraId="17CD4FEC">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color w:val="000000"/>
          <w:sz w:val="24"/>
          <w:highlight w:val="none"/>
        </w:rPr>
        <w:t>（四）不准参加有可能影响公正执行公务的乙方和相关单位的宴请、健身、娱乐等活动。</w:t>
      </w:r>
    </w:p>
    <w:p w14:paraId="72ECAB1A">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color w:val="000000"/>
          <w:sz w:val="24"/>
          <w:highlight w:val="none"/>
        </w:rPr>
        <w:t>（五）不准向乙方和相关单位介绍或为配偶、子女、亲属参与同甲方工程项目合同有关的本工程项目施工、设计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14:paraId="1D7C9FC0">
      <w:pPr>
        <w:keepNext w:val="0"/>
        <w:keepLines w:val="0"/>
        <w:pageBreakBefore w:val="0"/>
        <w:kinsoku/>
        <w:wordWrap/>
        <w:overflowPunct/>
        <w:topLinePunct w:val="0"/>
        <w:autoSpaceDE w:val="0"/>
        <w:autoSpaceDN w:val="0"/>
        <w:bidi w:val="0"/>
        <w:spacing w:line="312" w:lineRule="auto"/>
        <w:textAlignment w:val="auto"/>
        <w:rPr>
          <w:rFonts w:ascii="宋体" w:hAnsi="宋体"/>
          <w:b/>
          <w:bCs/>
          <w:color w:val="000000"/>
          <w:sz w:val="24"/>
          <w:highlight w:val="none"/>
        </w:rPr>
      </w:pPr>
      <w:r>
        <w:rPr>
          <w:rFonts w:hint="eastAsia" w:ascii="宋体" w:hAnsi="宋体"/>
          <w:b/>
          <w:bCs/>
          <w:color w:val="000000"/>
          <w:sz w:val="24"/>
          <w:highlight w:val="none"/>
        </w:rPr>
        <w:t>第</w:t>
      </w:r>
      <w:r>
        <w:rPr>
          <w:rFonts w:hint="eastAsia"/>
          <w:b/>
          <w:bCs/>
          <w:color w:val="000000"/>
          <w:sz w:val="24"/>
          <w:highlight w:val="none"/>
        </w:rPr>
        <w:t>三</w:t>
      </w:r>
      <w:r>
        <w:rPr>
          <w:rFonts w:hint="eastAsia" w:ascii="宋体" w:hAnsi="宋体"/>
          <w:b/>
          <w:bCs/>
          <w:color w:val="000000"/>
          <w:sz w:val="24"/>
          <w:highlight w:val="none"/>
        </w:rPr>
        <w:t>条  </w:t>
      </w:r>
      <w:r>
        <w:rPr>
          <w:rFonts w:hint="eastAsia"/>
          <w:b/>
          <w:bCs/>
          <w:color w:val="000000"/>
          <w:sz w:val="24"/>
          <w:highlight w:val="none"/>
        </w:rPr>
        <w:t>乙</w:t>
      </w:r>
      <w:r>
        <w:rPr>
          <w:rFonts w:hint="eastAsia" w:ascii="宋体" w:hAnsi="宋体"/>
          <w:b/>
          <w:bCs/>
          <w:color w:val="000000"/>
          <w:sz w:val="24"/>
          <w:highlight w:val="none"/>
        </w:rPr>
        <w:t>方的责任</w:t>
      </w:r>
    </w:p>
    <w:p w14:paraId="71C9BDB6">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color w:val="000000"/>
          <w:sz w:val="24"/>
          <w:highlight w:val="none"/>
        </w:rPr>
      </w:pPr>
      <w:r>
        <w:rPr>
          <w:rFonts w:hint="eastAsia"/>
          <w:color w:val="000000"/>
          <w:sz w:val="24"/>
          <w:highlight w:val="none"/>
        </w:rPr>
        <w:t>应与甲方和相关单位保持正常的业务交往，按照有关法律法规和程序开展业务工作，严格执行工程建设的方针、政策，尤其是有关勘探设计、建筑施工安装的强制性标准和规范，并遵守以下规定：</w:t>
      </w:r>
    </w:p>
    <w:p w14:paraId="64B33865">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color w:val="000000"/>
          <w:sz w:val="24"/>
          <w:highlight w:val="none"/>
        </w:rPr>
      </w:pPr>
      <w:r>
        <w:rPr>
          <w:rFonts w:hint="eastAsia"/>
          <w:color w:val="000000"/>
          <w:sz w:val="24"/>
          <w:highlight w:val="none"/>
        </w:rPr>
        <w:t>（一）不准以任何理由向甲方和相关单位及其工作人员索要或接受赠送礼金、有价证券、贵重物品和好处费、感谢费等。</w:t>
      </w:r>
    </w:p>
    <w:p w14:paraId="17E689A7">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color w:val="000000"/>
          <w:sz w:val="24"/>
          <w:highlight w:val="none"/>
        </w:rPr>
        <w:t>（二）不准以任何理由为甲方和相关单位报销由对方或个人支付的费用。</w:t>
      </w:r>
    </w:p>
    <w:p w14:paraId="1D25D781">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color w:val="000000"/>
          <w:sz w:val="24"/>
          <w:highlight w:val="none"/>
        </w:rPr>
        <w:t>（三）不准接受或暗示为甲方和相关单位为个人装修住房、配偶子女的工作安排以及出国（境）、旅游等提供方便。</w:t>
      </w:r>
    </w:p>
    <w:p w14:paraId="4749CBA9">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color w:val="000000"/>
          <w:sz w:val="24"/>
          <w:highlight w:val="none"/>
        </w:rPr>
        <w:t>（四）不准违反合同约定而使用甲方、相关单位提供的通信、交通工具和高档办公用品。</w:t>
      </w:r>
    </w:p>
    <w:p w14:paraId="1DBE40D9">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olor w:val="000000"/>
          <w:sz w:val="24"/>
          <w:highlight w:val="none"/>
        </w:rPr>
      </w:pPr>
      <w:r>
        <w:rPr>
          <w:rFonts w:hint="eastAsia"/>
          <w:color w:val="000000"/>
          <w:sz w:val="24"/>
          <w:highlight w:val="none"/>
        </w:rPr>
        <w:t>（五）不准以任何理由为甲方、相关单位或个人组织有可能影响公正执行公务的宴请、健身、娱乐等活动。</w:t>
      </w:r>
    </w:p>
    <w:p w14:paraId="70D486D2">
      <w:pPr>
        <w:keepNext w:val="0"/>
        <w:keepLines w:val="0"/>
        <w:pageBreakBefore w:val="0"/>
        <w:kinsoku/>
        <w:wordWrap/>
        <w:overflowPunct/>
        <w:topLinePunct w:val="0"/>
        <w:autoSpaceDE w:val="0"/>
        <w:autoSpaceDN w:val="0"/>
        <w:bidi w:val="0"/>
        <w:spacing w:line="312" w:lineRule="auto"/>
        <w:textAlignment w:val="auto"/>
        <w:rPr>
          <w:rFonts w:ascii="宋体" w:hAnsi="宋体"/>
          <w:b/>
          <w:bCs/>
          <w:color w:val="000000"/>
          <w:sz w:val="24"/>
          <w:highlight w:val="none"/>
        </w:rPr>
      </w:pPr>
      <w:r>
        <w:rPr>
          <w:rFonts w:hint="eastAsia" w:ascii="宋体" w:hAnsi="宋体"/>
          <w:b/>
          <w:bCs/>
          <w:color w:val="000000"/>
          <w:sz w:val="24"/>
          <w:highlight w:val="none"/>
        </w:rPr>
        <w:t>第</w:t>
      </w:r>
      <w:r>
        <w:rPr>
          <w:rFonts w:hint="eastAsia"/>
          <w:b/>
          <w:bCs/>
          <w:color w:val="000000"/>
          <w:sz w:val="24"/>
          <w:highlight w:val="none"/>
        </w:rPr>
        <w:t>四</w:t>
      </w:r>
      <w:r>
        <w:rPr>
          <w:rFonts w:hint="eastAsia" w:ascii="宋体" w:hAnsi="宋体"/>
          <w:b/>
          <w:bCs/>
          <w:color w:val="000000"/>
          <w:sz w:val="24"/>
          <w:highlight w:val="none"/>
        </w:rPr>
        <w:t>条  </w:t>
      </w:r>
      <w:r>
        <w:rPr>
          <w:rFonts w:hint="eastAsia"/>
          <w:b/>
          <w:bCs/>
          <w:color w:val="000000"/>
          <w:sz w:val="24"/>
          <w:highlight w:val="none"/>
        </w:rPr>
        <w:t>违约</w:t>
      </w:r>
      <w:r>
        <w:rPr>
          <w:rFonts w:hint="eastAsia" w:ascii="宋体" w:hAnsi="宋体"/>
          <w:b/>
          <w:bCs/>
          <w:color w:val="000000"/>
          <w:sz w:val="24"/>
          <w:highlight w:val="none"/>
        </w:rPr>
        <w:t>责任</w:t>
      </w:r>
    </w:p>
    <w:p w14:paraId="09CC5071">
      <w:pPr>
        <w:keepNext w:val="0"/>
        <w:keepLines w:val="0"/>
        <w:pageBreakBefore w:val="0"/>
        <w:numPr>
          <w:ilvl w:val="0"/>
          <w:numId w:val="4"/>
        </w:numPr>
        <w:kinsoku/>
        <w:wordWrap/>
        <w:overflowPunct/>
        <w:topLinePunct w:val="0"/>
        <w:autoSpaceDE w:val="0"/>
        <w:autoSpaceDN w:val="0"/>
        <w:bidi w:val="0"/>
        <w:spacing w:line="312" w:lineRule="auto"/>
        <w:ind w:firstLine="480" w:firstLineChars="200"/>
        <w:textAlignment w:val="auto"/>
        <w:rPr>
          <w:color w:val="000000"/>
          <w:sz w:val="24"/>
          <w:highlight w:val="none"/>
        </w:rPr>
      </w:pPr>
      <w:r>
        <w:rPr>
          <w:rFonts w:hint="eastAsia"/>
          <w:color w:val="000000"/>
          <w:sz w:val="24"/>
          <w:highlight w:val="none"/>
        </w:rPr>
        <w:t>甲方工作人员有违反责任书第一、二责任行为的，按照管理权限，依据有关法律法规和规定给予党纪、政纪处分或组织处理；涉嫌犯罪的，移交司法机关追究刑事责任；给乙方单位造成经济损失的，应予以赔偿。</w:t>
      </w:r>
    </w:p>
    <w:p w14:paraId="7B17999E">
      <w:pPr>
        <w:numPr>
          <w:ilvl w:val="0"/>
          <w:numId w:val="4"/>
        </w:numPr>
        <w:autoSpaceDE w:val="0"/>
        <w:autoSpaceDN w:val="0"/>
        <w:spacing w:line="360" w:lineRule="auto"/>
        <w:ind w:firstLine="480" w:firstLineChars="200"/>
        <w:rPr>
          <w:color w:val="000000"/>
          <w:sz w:val="24"/>
          <w:highlight w:val="none"/>
        </w:rPr>
      </w:pPr>
      <w:r>
        <w:rPr>
          <w:rFonts w:hint="eastAsia"/>
          <w:color w:val="000000"/>
          <w:sz w:val="24"/>
          <w:highlight w:val="none"/>
        </w:rPr>
        <w:t>乙方工作人员有违反责任书第一、二责任行为的，按照管理权限，依据有关法律法规和规定给予党纪、政纪处分或组织处理；涉嫌犯罪的，移交司法机关追究刑事责任；给甲方单位造成经济损失的，应予以赔偿。</w:t>
      </w:r>
    </w:p>
    <w:p w14:paraId="71CA307E">
      <w:pPr>
        <w:autoSpaceDE w:val="0"/>
        <w:autoSpaceDN w:val="0"/>
        <w:spacing w:line="360" w:lineRule="auto"/>
        <w:rPr>
          <w:color w:val="000000"/>
          <w:sz w:val="24"/>
          <w:highlight w:val="none"/>
        </w:rPr>
      </w:pPr>
      <w:r>
        <w:rPr>
          <w:rFonts w:hint="eastAsia" w:ascii="宋体" w:hAnsi="宋体"/>
          <w:b/>
          <w:bCs/>
          <w:color w:val="000000"/>
          <w:sz w:val="24"/>
          <w:highlight w:val="none"/>
        </w:rPr>
        <w:t>第</w:t>
      </w:r>
      <w:r>
        <w:rPr>
          <w:rFonts w:hint="eastAsia"/>
          <w:b/>
          <w:bCs/>
          <w:color w:val="000000"/>
          <w:sz w:val="24"/>
          <w:highlight w:val="none"/>
        </w:rPr>
        <w:t>五</w:t>
      </w:r>
      <w:r>
        <w:rPr>
          <w:rFonts w:hint="eastAsia" w:ascii="宋体" w:hAnsi="宋体"/>
          <w:b/>
          <w:bCs/>
          <w:color w:val="000000"/>
          <w:sz w:val="24"/>
          <w:highlight w:val="none"/>
        </w:rPr>
        <w:t>条  </w:t>
      </w:r>
      <w:r>
        <w:rPr>
          <w:rFonts w:hint="eastAsia"/>
          <w:color w:val="000000"/>
          <w:sz w:val="24"/>
          <w:highlight w:val="none"/>
        </w:rPr>
        <w:t>本责任书作为本工程服务合同的附件，与本工程合同具有同等法律效力。经上方签署后立即生效。</w:t>
      </w:r>
    </w:p>
    <w:p w14:paraId="0FDECB42">
      <w:pPr>
        <w:autoSpaceDE w:val="0"/>
        <w:autoSpaceDN w:val="0"/>
        <w:spacing w:line="360" w:lineRule="auto"/>
        <w:rPr>
          <w:color w:val="000000"/>
          <w:sz w:val="24"/>
          <w:highlight w:val="none"/>
        </w:rPr>
      </w:pPr>
      <w:r>
        <w:rPr>
          <w:rFonts w:hint="eastAsia"/>
          <w:b/>
          <w:bCs/>
          <w:color w:val="000000"/>
          <w:sz w:val="24"/>
          <w:highlight w:val="none"/>
        </w:rPr>
        <w:t xml:space="preserve">第六条 </w:t>
      </w:r>
      <w:r>
        <w:rPr>
          <w:rFonts w:hint="eastAsia"/>
          <w:color w:val="000000"/>
          <w:sz w:val="24"/>
          <w:highlight w:val="none"/>
        </w:rPr>
        <w:t>本责任书的有效期为双方签署之日起至该工程项目竣工验收合格时止。</w:t>
      </w:r>
    </w:p>
    <w:p w14:paraId="750337A9">
      <w:pPr>
        <w:spacing w:before="156" w:beforeLines="50" w:line="576" w:lineRule="exact"/>
        <w:rPr>
          <w:sz w:val="24"/>
          <w:highlight w:val="none"/>
        </w:rPr>
      </w:pPr>
      <w:bookmarkStart w:id="1" w:name="_Hlk65156800"/>
      <w:r>
        <w:rPr>
          <w:rFonts w:hint="eastAsia"/>
          <w:sz w:val="24"/>
          <w:highlight w:val="none"/>
        </w:rPr>
        <w:t>甲方：                                  乙方：</w:t>
      </w:r>
    </w:p>
    <w:p w14:paraId="3A6A82A7">
      <w:pPr>
        <w:spacing w:line="576" w:lineRule="exact"/>
        <w:rPr>
          <w:sz w:val="24"/>
          <w:highlight w:val="none"/>
        </w:rPr>
      </w:pPr>
      <w:r>
        <w:rPr>
          <w:rFonts w:hint="eastAsia"/>
          <w:sz w:val="24"/>
          <w:highlight w:val="none"/>
        </w:rPr>
        <w:t>法定代表人</w:t>
      </w:r>
      <w:r>
        <w:rPr>
          <w:sz w:val="24"/>
          <w:highlight w:val="none"/>
        </w:rPr>
        <w:t>/</w:t>
      </w:r>
      <w:r>
        <w:rPr>
          <w:rFonts w:hint="eastAsia"/>
          <w:sz w:val="24"/>
          <w:highlight w:val="none"/>
        </w:rPr>
        <w:t>委托代理人：                  法定代表人</w:t>
      </w:r>
      <w:r>
        <w:rPr>
          <w:sz w:val="24"/>
          <w:highlight w:val="none"/>
        </w:rPr>
        <w:t>/</w:t>
      </w:r>
      <w:r>
        <w:rPr>
          <w:rFonts w:hint="eastAsia"/>
          <w:sz w:val="24"/>
          <w:highlight w:val="none"/>
        </w:rPr>
        <w:t>委托代理人：</w:t>
      </w:r>
    </w:p>
    <w:p w14:paraId="01C514EE">
      <w:pPr>
        <w:spacing w:before="156" w:beforeLines="50" w:line="576" w:lineRule="exact"/>
        <w:ind w:firstLine="5280" w:firstLineChars="2200"/>
        <w:rPr>
          <w:rFonts w:hint="default" w:ascii="宋体" w:hAnsi="宋体" w:eastAsia="宋体" w:cs="宋体"/>
          <w:b/>
          <w:bCs/>
          <w:color w:val="auto"/>
          <w:kern w:val="2"/>
          <w:sz w:val="24"/>
          <w:szCs w:val="24"/>
          <w:highlight w:val="none"/>
          <w:lang w:val="en-US" w:eastAsia="zh-CN" w:bidi="ar-SA"/>
        </w:rPr>
      </w:pPr>
      <w:r>
        <w:rPr>
          <w:rFonts w:hint="eastAsia"/>
          <w:sz w:val="24"/>
          <w:highlight w:val="none"/>
        </w:rPr>
        <w:t xml:space="preserve">日期： </w:t>
      </w:r>
      <w:r>
        <w:rPr>
          <w:sz w:val="24"/>
          <w:highlight w:val="none"/>
        </w:rPr>
        <w:t xml:space="preserve">    </w:t>
      </w:r>
      <w:r>
        <w:rPr>
          <w:rFonts w:hint="eastAsia"/>
          <w:sz w:val="24"/>
          <w:highlight w:val="none"/>
        </w:rPr>
        <w:t xml:space="preserve">年 </w:t>
      </w:r>
      <w:r>
        <w:rPr>
          <w:sz w:val="24"/>
          <w:highlight w:val="none"/>
        </w:rPr>
        <w:t xml:space="preserve">  </w:t>
      </w:r>
      <w:r>
        <w:rPr>
          <w:rFonts w:hint="eastAsia"/>
          <w:sz w:val="24"/>
          <w:highlight w:val="none"/>
        </w:rPr>
        <w:t xml:space="preserve">月 </w:t>
      </w:r>
      <w:r>
        <w:rPr>
          <w:sz w:val="24"/>
          <w:highlight w:val="none"/>
        </w:rPr>
        <w:t xml:space="preserve">  </w:t>
      </w:r>
      <w:r>
        <w:rPr>
          <w:rFonts w:hint="eastAsia"/>
          <w:sz w:val="24"/>
          <w:highlight w:val="none"/>
        </w:rPr>
        <w:t>日</w:t>
      </w:r>
      <w:bookmarkEnd w:id="1"/>
    </w:p>
    <w:p w14:paraId="34E1BF7F">
      <w:pPr>
        <w:pStyle w:val="3"/>
        <w:rPr>
          <w:rFonts w:hint="eastAsia"/>
        </w:rPr>
      </w:pPr>
    </w:p>
    <w:p w14:paraId="71F982F0">
      <w:pPr>
        <w:pStyle w:val="23"/>
        <w:spacing w:line="360" w:lineRule="auto"/>
        <w:ind w:firstLine="478"/>
        <w:rPr>
          <w:rFonts w:hint="eastAsia" w:ascii="宋体" w:hAnsi="宋体" w:eastAsia="宋体" w:cs="宋体"/>
        </w:rPr>
      </w:pPr>
    </w:p>
    <w:sectPr>
      <w:pgSz w:w="11900" w:h="16840"/>
      <w:pgMar w:top="1247" w:right="1077" w:bottom="1247" w:left="1077" w:header="567" w:footer="56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Songti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Song Bold">
    <w:altName w:val="Segoe Print"/>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D8C7F">
    <w:pPr>
      <w:pStyle w:val="17"/>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906D">
    <w:pPr>
      <w:pStyle w:val="8"/>
    </w:pPr>
  </w:p>
  <w:p w14:paraId="327D0386"/>
  <w:p w14:paraId="5B34884D"/>
  <w:p w14:paraId="622D306D"/>
  <w:p w14:paraId="293389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933B">
    <w:pPr>
      <w:pStyle w:val="17"/>
      <w:jc w:val="center"/>
    </w:pP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6066">
    <w:pPr>
      <w:pStyle w:val="17"/>
      <w:jc w:val="center"/>
    </w:pP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6663">
    <w:pPr>
      <w:pStyle w:val="17"/>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6F50">
    <w:pPr>
      <w:pStyle w:val="9"/>
    </w:pPr>
  </w:p>
  <w:p w14:paraId="387F632F"/>
  <w:p w14:paraId="7A5098C2"/>
  <w:p w14:paraId="4217913D"/>
  <w:p w14:paraId="2FC4EF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06E34"/>
    <w:multiLevelType w:val="singleLevel"/>
    <w:tmpl w:val="EF006E34"/>
    <w:lvl w:ilvl="0" w:tentative="0">
      <w:start w:val="1"/>
      <w:numFmt w:val="chineseCounting"/>
      <w:suff w:val="nothing"/>
      <w:lvlText w:val="（%1）"/>
      <w:lvlJc w:val="left"/>
      <w:rPr>
        <w:rFonts w:hint="eastAsia"/>
      </w:rPr>
    </w:lvl>
  </w:abstractNum>
  <w:abstractNum w:abstractNumId="1">
    <w:nsid w:val="290AA55B"/>
    <w:multiLevelType w:val="singleLevel"/>
    <w:tmpl w:val="290AA55B"/>
    <w:lvl w:ilvl="0" w:tentative="0">
      <w:start w:val="4"/>
      <w:numFmt w:val="chineseCounting"/>
      <w:suff w:val="nothing"/>
      <w:lvlText w:val="（%1）"/>
      <w:lvlJc w:val="left"/>
      <w:rPr>
        <w:rFonts w:hint="eastAsia"/>
      </w:rPr>
    </w:lvl>
  </w:abstractNum>
  <w:abstractNum w:abstractNumId="2">
    <w:nsid w:val="2AD877FB"/>
    <w:multiLevelType w:val="singleLevel"/>
    <w:tmpl w:val="2AD877FB"/>
    <w:lvl w:ilvl="0" w:tentative="0">
      <w:start w:val="1"/>
      <w:numFmt w:val="decimal"/>
      <w:lvlText w:val="%1."/>
      <w:lvlJc w:val="left"/>
      <w:pPr>
        <w:tabs>
          <w:tab w:val="left" w:pos="312"/>
        </w:tabs>
      </w:pPr>
    </w:lvl>
  </w:abstractNum>
  <w:abstractNum w:abstractNumId="3">
    <w:nsid w:val="3D4DE001"/>
    <w:multiLevelType w:val="singleLevel"/>
    <w:tmpl w:val="3D4DE00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MTA3MDM0YmFjYTE2N2Q3OWYyMmE4MmViNDI0ZmYifQ=="/>
  </w:docVars>
  <w:rsids>
    <w:rsidRoot w:val="00172A27"/>
    <w:rsid w:val="0000207D"/>
    <w:rsid w:val="00004166"/>
    <w:rsid w:val="0001374D"/>
    <w:rsid w:val="00013841"/>
    <w:rsid w:val="00013B46"/>
    <w:rsid w:val="00021FBD"/>
    <w:rsid w:val="000268A9"/>
    <w:rsid w:val="00036F10"/>
    <w:rsid w:val="00043684"/>
    <w:rsid w:val="000437B5"/>
    <w:rsid w:val="00045C1C"/>
    <w:rsid w:val="00046FB2"/>
    <w:rsid w:val="00047C28"/>
    <w:rsid w:val="000522F8"/>
    <w:rsid w:val="00057206"/>
    <w:rsid w:val="00061C55"/>
    <w:rsid w:val="000629E1"/>
    <w:rsid w:val="00065ECD"/>
    <w:rsid w:val="0007125E"/>
    <w:rsid w:val="00077A0A"/>
    <w:rsid w:val="00080D59"/>
    <w:rsid w:val="00090183"/>
    <w:rsid w:val="00095620"/>
    <w:rsid w:val="00097A51"/>
    <w:rsid w:val="000A26A4"/>
    <w:rsid w:val="000B21E5"/>
    <w:rsid w:val="000B35B0"/>
    <w:rsid w:val="000B41F2"/>
    <w:rsid w:val="000B5357"/>
    <w:rsid w:val="000C3DF9"/>
    <w:rsid w:val="000C6816"/>
    <w:rsid w:val="000D00C5"/>
    <w:rsid w:val="000D234E"/>
    <w:rsid w:val="000D2FB6"/>
    <w:rsid w:val="000D3A69"/>
    <w:rsid w:val="000D3FD5"/>
    <w:rsid w:val="000E6198"/>
    <w:rsid w:val="001016EC"/>
    <w:rsid w:val="0010291A"/>
    <w:rsid w:val="00112A89"/>
    <w:rsid w:val="00112FFF"/>
    <w:rsid w:val="001146E1"/>
    <w:rsid w:val="00114F7B"/>
    <w:rsid w:val="001202CB"/>
    <w:rsid w:val="00123C73"/>
    <w:rsid w:val="001265DF"/>
    <w:rsid w:val="0013217E"/>
    <w:rsid w:val="0013407F"/>
    <w:rsid w:val="00135853"/>
    <w:rsid w:val="00137149"/>
    <w:rsid w:val="001375F2"/>
    <w:rsid w:val="001548F2"/>
    <w:rsid w:val="00163B6B"/>
    <w:rsid w:val="00164A89"/>
    <w:rsid w:val="00181F8D"/>
    <w:rsid w:val="00196DE8"/>
    <w:rsid w:val="001974B3"/>
    <w:rsid w:val="001A4AB2"/>
    <w:rsid w:val="001A4EE3"/>
    <w:rsid w:val="001A7823"/>
    <w:rsid w:val="001C5FE6"/>
    <w:rsid w:val="001E6448"/>
    <w:rsid w:val="001E669A"/>
    <w:rsid w:val="00202CC5"/>
    <w:rsid w:val="0020396D"/>
    <w:rsid w:val="0021557F"/>
    <w:rsid w:val="002339F1"/>
    <w:rsid w:val="00234836"/>
    <w:rsid w:val="0023555F"/>
    <w:rsid w:val="00247D85"/>
    <w:rsid w:val="00256D86"/>
    <w:rsid w:val="00257A31"/>
    <w:rsid w:val="00261EDC"/>
    <w:rsid w:val="00263AB5"/>
    <w:rsid w:val="00266E30"/>
    <w:rsid w:val="002702E6"/>
    <w:rsid w:val="00275994"/>
    <w:rsid w:val="00277C7E"/>
    <w:rsid w:val="00280D41"/>
    <w:rsid w:val="002830FA"/>
    <w:rsid w:val="00284B84"/>
    <w:rsid w:val="002864B2"/>
    <w:rsid w:val="0029383F"/>
    <w:rsid w:val="002B4D1C"/>
    <w:rsid w:val="002B6A26"/>
    <w:rsid w:val="002C00ED"/>
    <w:rsid w:val="002C19AF"/>
    <w:rsid w:val="002C21AE"/>
    <w:rsid w:val="002D0422"/>
    <w:rsid w:val="002E620F"/>
    <w:rsid w:val="002E69A3"/>
    <w:rsid w:val="002F42AF"/>
    <w:rsid w:val="00306C7A"/>
    <w:rsid w:val="00314508"/>
    <w:rsid w:val="00314FA1"/>
    <w:rsid w:val="00325728"/>
    <w:rsid w:val="00326630"/>
    <w:rsid w:val="003308D6"/>
    <w:rsid w:val="00332599"/>
    <w:rsid w:val="003412AF"/>
    <w:rsid w:val="003433AD"/>
    <w:rsid w:val="003629D2"/>
    <w:rsid w:val="003666FF"/>
    <w:rsid w:val="00377258"/>
    <w:rsid w:val="00377E58"/>
    <w:rsid w:val="00386B1B"/>
    <w:rsid w:val="00391402"/>
    <w:rsid w:val="00391589"/>
    <w:rsid w:val="00394A8D"/>
    <w:rsid w:val="003B2DEC"/>
    <w:rsid w:val="003C03F6"/>
    <w:rsid w:val="003C1499"/>
    <w:rsid w:val="003C16AD"/>
    <w:rsid w:val="003C406F"/>
    <w:rsid w:val="003D6505"/>
    <w:rsid w:val="003E26AD"/>
    <w:rsid w:val="003E3D7B"/>
    <w:rsid w:val="003E63FD"/>
    <w:rsid w:val="00400551"/>
    <w:rsid w:val="00400F99"/>
    <w:rsid w:val="00403DAE"/>
    <w:rsid w:val="004054A5"/>
    <w:rsid w:val="004073C5"/>
    <w:rsid w:val="00411F94"/>
    <w:rsid w:val="004124F6"/>
    <w:rsid w:val="00415967"/>
    <w:rsid w:val="004222A3"/>
    <w:rsid w:val="00423E06"/>
    <w:rsid w:val="0043160C"/>
    <w:rsid w:val="00431821"/>
    <w:rsid w:val="00432D7E"/>
    <w:rsid w:val="00433168"/>
    <w:rsid w:val="00442389"/>
    <w:rsid w:val="00443C2D"/>
    <w:rsid w:val="00451718"/>
    <w:rsid w:val="00453D26"/>
    <w:rsid w:val="00461CF4"/>
    <w:rsid w:val="00462E65"/>
    <w:rsid w:val="0047036B"/>
    <w:rsid w:val="004727E7"/>
    <w:rsid w:val="004829C7"/>
    <w:rsid w:val="004832CB"/>
    <w:rsid w:val="004848B4"/>
    <w:rsid w:val="0048700B"/>
    <w:rsid w:val="00490467"/>
    <w:rsid w:val="00490B57"/>
    <w:rsid w:val="00494D67"/>
    <w:rsid w:val="004A2C2D"/>
    <w:rsid w:val="004A546F"/>
    <w:rsid w:val="004C1853"/>
    <w:rsid w:val="004C2AF7"/>
    <w:rsid w:val="004E45D5"/>
    <w:rsid w:val="004E567F"/>
    <w:rsid w:val="00501FE0"/>
    <w:rsid w:val="005231BB"/>
    <w:rsid w:val="00534978"/>
    <w:rsid w:val="0053778D"/>
    <w:rsid w:val="00540DEF"/>
    <w:rsid w:val="00546992"/>
    <w:rsid w:val="00553E52"/>
    <w:rsid w:val="005627D1"/>
    <w:rsid w:val="00580317"/>
    <w:rsid w:val="00580EBD"/>
    <w:rsid w:val="0058119B"/>
    <w:rsid w:val="00581AE1"/>
    <w:rsid w:val="00582822"/>
    <w:rsid w:val="005842FB"/>
    <w:rsid w:val="00584F05"/>
    <w:rsid w:val="00587A2E"/>
    <w:rsid w:val="00597016"/>
    <w:rsid w:val="005A2711"/>
    <w:rsid w:val="005A65CA"/>
    <w:rsid w:val="005B05A3"/>
    <w:rsid w:val="005B407F"/>
    <w:rsid w:val="005B5E2A"/>
    <w:rsid w:val="005B76BD"/>
    <w:rsid w:val="005C357B"/>
    <w:rsid w:val="005C503D"/>
    <w:rsid w:val="005D2058"/>
    <w:rsid w:val="005D28D0"/>
    <w:rsid w:val="005D4446"/>
    <w:rsid w:val="005D52F8"/>
    <w:rsid w:val="005D577C"/>
    <w:rsid w:val="005E0698"/>
    <w:rsid w:val="005E08AE"/>
    <w:rsid w:val="005E49A2"/>
    <w:rsid w:val="005E68FC"/>
    <w:rsid w:val="005F199E"/>
    <w:rsid w:val="005F2349"/>
    <w:rsid w:val="005F60EC"/>
    <w:rsid w:val="006023C4"/>
    <w:rsid w:val="00616456"/>
    <w:rsid w:val="00622678"/>
    <w:rsid w:val="00625271"/>
    <w:rsid w:val="00627F2D"/>
    <w:rsid w:val="0063454F"/>
    <w:rsid w:val="006347F4"/>
    <w:rsid w:val="0064052C"/>
    <w:rsid w:val="006426E0"/>
    <w:rsid w:val="00644735"/>
    <w:rsid w:val="00652F18"/>
    <w:rsid w:val="006543EA"/>
    <w:rsid w:val="00657A94"/>
    <w:rsid w:val="00660D6A"/>
    <w:rsid w:val="00670D46"/>
    <w:rsid w:val="00671A74"/>
    <w:rsid w:val="00673555"/>
    <w:rsid w:val="00675AC3"/>
    <w:rsid w:val="00681F0E"/>
    <w:rsid w:val="00682222"/>
    <w:rsid w:val="006831C8"/>
    <w:rsid w:val="00694BC8"/>
    <w:rsid w:val="006A0C55"/>
    <w:rsid w:val="006A3EB8"/>
    <w:rsid w:val="006A3EDA"/>
    <w:rsid w:val="006B0AF6"/>
    <w:rsid w:val="006C49E1"/>
    <w:rsid w:val="006C4AA5"/>
    <w:rsid w:val="006C5A20"/>
    <w:rsid w:val="006D3663"/>
    <w:rsid w:val="006E6F7A"/>
    <w:rsid w:val="006F598B"/>
    <w:rsid w:val="007124E4"/>
    <w:rsid w:val="0072397A"/>
    <w:rsid w:val="00727262"/>
    <w:rsid w:val="007302CF"/>
    <w:rsid w:val="0073151E"/>
    <w:rsid w:val="0073608F"/>
    <w:rsid w:val="0074272F"/>
    <w:rsid w:val="00750C69"/>
    <w:rsid w:val="00761B22"/>
    <w:rsid w:val="00771B68"/>
    <w:rsid w:val="007741F8"/>
    <w:rsid w:val="007744CC"/>
    <w:rsid w:val="0078143C"/>
    <w:rsid w:val="0078185C"/>
    <w:rsid w:val="00781A20"/>
    <w:rsid w:val="0078531F"/>
    <w:rsid w:val="007873FD"/>
    <w:rsid w:val="0079067E"/>
    <w:rsid w:val="007A440A"/>
    <w:rsid w:val="007A65D3"/>
    <w:rsid w:val="007B22DA"/>
    <w:rsid w:val="007D3356"/>
    <w:rsid w:val="007D5DEE"/>
    <w:rsid w:val="007D7EC9"/>
    <w:rsid w:val="007E3F96"/>
    <w:rsid w:val="007E4BBF"/>
    <w:rsid w:val="007E68A0"/>
    <w:rsid w:val="007E7145"/>
    <w:rsid w:val="007F6252"/>
    <w:rsid w:val="007F749D"/>
    <w:rsid w:val="00807759"/>
    <w:rsid w:val="00810BB7"/>
    <w:rsid w:val="00814B1E"/>
    <w:rsid w:val="00815781"/>
    <w:rsid w:val="00815C5C"/>
    <w:rsid w:val="00817184"/>
    <w:rsid w:val="00822BB4"/>
    <w:rsid w:val="00834004"/>
    <w:rsid w:val="008347C7"/>
    <w:rsid w:val="008355B4"/>
    <w:rsid w:val="00844868"/>
    <w:rsid w:val="008529B5"/>
    <w:rsid w:val="0085750D"/>
    <w:rsid w:val="00861F16"/>
    <w:rsid w:val="00862842"/>
    <w:rsid w:val="008649FC"/>
    <w:rsid w:val="00864CED"/>
    <w:rsid w:val="00864D8C"/>
    <w:rsid w:val="00866D04"/>
    <w:rsid w:val="00871CA2"/>
    <w:rsid w:val="00872FE0"/>
    <w:rsid w:val="00875A0E"/>
    <w:rsid w:val="00877B18"/>
    <w:rsid w:val="008916B3"/>
    <w:rsid w:val="00892770"/>
    <w:rsid w:val="008A0006"/>
    <w:rsid w:val="008A051C"/>
    <w:rsid w:val="008A79DF"/>
    <w:rsid w:val="008B1170"/>
    <w:rsid w:val="008B35E5"/>
    <w:rsid w:val="008B7EDA"/>
    <w:rsid w:val="008C632C"/>
    <w:rsid w:val="008D061C"/>
    <w:rsid w:val="008D3EDF"/>
    <w:rsid w:val="008D504A"/>
    <w:rsid w:val="008D53BB"/>
    <w:rsid w:val="008E78FC"/>
    <w:rsid w:val="008F0174"/>
    <w:rsid w:val="008F27B3"/>
    <w:rsid w:val="008F6352"/>
    <w:rsid w:val="00905388"/>
    <w:rsid w:val="009209F5"/>
    <w:rsid w:val="0092407C"/>
    <w:rsid w:val="00924B01"/>
    <w:rsid w:val="00937852"/>
    <w:rsid w:val="00941F56"/>
    <w:rsid w:val="00942093"/>
    <w:rsid w:val="00946EFE"/>
    <w:rsid w:val="0095342F"/>
    <w:rsid w:val="00964F3D"/>
    <w:rsid w:val="009658CF"/>
    <w:rsid w:val="009766A5"/>
    <w:rsid w:val="00976FFB"/>
    <w:rsid w:val="00986030"/>
    <w:rsid w:val="00986682"/>
    <w:rsid w:val="009919CF"/>
    <w:rsid w:val="00992681"/>
    <w:rsid w:val="009A3D8D"/>
    <w:rsid w:val="009A6F05"/>
    <w:rsid w:val="009B1D5B"/>
    <w:rsid w:val="009B3142"/>
    <w:rsid w:val="009B3F94"/>
    <w:rsid w:val="009B63AB"/>
    <w:rsid w:val="009C0F0D"/>
    <w:rsid w:val="009C2521"/>
    <w:rsid w:val="009D0D90"/>
    <w:rsid w:val="009D4E20"/>
    <w:rsid w:val="009E5422"/>
    <w:rsid w:val="009E5470"/>
    <w:rsid w:val="009F4541"/>
    <w:rsid w:val="009F7702"/>
    <w:rsid w:val="00A00DFD"/>
    <w:rsid w:val="00A078ED"/>
    <w:rsid w:val="00A120DC"/>
    <w:rsid w:val="00A15FBF"/>
    <w:rsid w:val="00A17953"/>
    <w:rsid w:val="00A22A16"/>
    <w:rsid w:val="00A31455"/>
    <w:rsid w:val="00A35740"/>
    <w:rsid w:val="00A374F7"/>
    <w:rsid w:val="00A51E50"/>
    <w:rsid w:val="00A661BA"/>
    <w:rsid w:val="00A7605C"/>
    <w:rsid w:val="00A83543"/>
    <w:rsid w:val="00A9096E"/>
    <w:rsid w:val="00A91997"/>
    <w:rsid w:val="00AA3DB6"/>
    <w:rsid w:val="00AB0102"/>
    <w:rsid w:val="00AB01C4"/>
    <w:rsid w:val="00AB3764"/>
    <w:rsid w:val="00AB4816"/>
    <w:rsid w:val="00AC6622"/>
    <w:rsid w:val="00AC6ED2"/>
    <w:rsid w:val="00AD1942"/>
    <w:rsid w:val="00AD1D7D"/>
    <w:rsid w:val="00AD481C"/>
    <w:rsid w:val="00AE112B"/>
    <w:rsid w:val="00AE53E4"/>
    <w:rsid w:val="00AF60A2"/>
    <w:rsid w:val="00B025E2"/>
    <w:rsid w:val="00B10F7C"/>
    <w:rsid w:val="00B17226"/>
    <w:rsid w:val="00B1771D"/>
    <w:rsid w:val="00B21F13"/>
    <w:rsid w:val="00B2518D"/>
    <w:rsid w:val="00B27A2D"/>
    <w:rsid w:val="00B30A7A"/>
    <w:rsid w:val="00B3257A"/>
    <w:rsid w:val="00B33EF3"/>
    <w:rsid w:val="00B4789B"/>
    <w:rsid w:val="00B5337B"/>
    <w:rsid w:val="00B561BD"/>
    <w:rsid w:val="00B57D9F"/>
    <w:rsid w:val="00B63186"/>
    <w:rsid w:val="00B635A5"/>
    <w:rsid w:val="00B64595"/>
    <w:rsid w:val="00B652D4"/>
    <w:rsid w:val="00B66101"/>
    <w:rsid w:val="00B703FC"/>
    <w:rsid w:val="00B91AB8"/>
    <w:rsid w:val="00B91BA6"/>
    <w:rsid w:val="00B92B33"/>
    <w:rsid w:val="00B97699"/>
    <w:rsid w:val="00BA1DED"/>
    <w:rsid w:val="00BA5356"/>
    <w:rsid w:val="00BA7EE7"/>
    <w:rsid w:val="00BB3591"/>
    <w:rsid w:val="00BB7CC4"/>
    <w:rsid w:val="00BD1E5E"/>
    <w:rsid w:val="00BD289B"/>
    <w:rsid w:val="00BD7DC6"/>
    <w:rsid w:val="00BE0792"/>
    <w:rsid w:val="00BE2E29"/>
    <w:rsid w:val="00BE3252"/>
    <w:rsid w:val="00BF1E28"/>
    <w:rsid w:val="00BF22DA"/>
    <w:rsid w:val="00C136C8"/>
    <w:rsid w:val="00C141C4"/>
    <w:rsid w:val="00C15570"/>
    <w:rsid w:val="00C21813"/>
    <w:rsid w:val="00C21D8C"/>
    <w:rsid w:val="00C22171"/>
    <w:rsid w:val="00C224D0"/>
    <w:rsid w:val="00C26554"/>
    <w:rsid w:val="00C36E15"/>
    <w:rsid w:val="00C46F10"/>
    <w:rsid w:val="00C523D7"/>
    <w:rsid w:val="00C56912"/>
    <w:rsid w:val="00C705B5"/>
    <w:rsid w:val="00C7360E"/>
    <w:rsid w:val="00C81B28"/>
    <w:rsid w:val="00C83F6A"/>
    <w:rsid w:val="00C85AB0"/>
    <w:rsid w:val="00C86955"/>
    <w:rsid w:val="00C939B9"/>
    <w:rsid w:val="00C95791"/>
    <w:rsid w:val="00C96F86"/>
    <w:rsid w:val="00CA2A6A"/>
    <w:rsid w:val="00CB2E8A"/>
    <w:rsid w:val="00CB71E0"/>
    <w:rsid w:val="00CB7FBA"/>
    <w:rsid w:val="00CC082A"/>
    <w:rsid w:val="00CC2BFE"/>
    <w:rsid w:val="00CD1368"/>
    <w:rsid w:val="00CD4F1A"/>
    <w:rsid w:val="00CD5B83"/>
    <w:rsid w:val="00CD5D65"/>
    <w:rsid w:val="00CE058C"/>
    <w:rsid w:val="00CE712F"/>
    <w:rsid w:val="00CF2B9D"/>
    <w:rsid w:val="00CF63C8"/>
    <w:rsid w:val="00D06C05"/>
    <w:rsid w:val="00D140B2"/>
    <w:rsid w:val="00D140D6"/>
    <w:rsid w:val="00D1578D"/>
    <w:rsid w:val="00D23E09"/>
    <w:rsid w:val="00D41872"/>
    <w:rsid w:val="00D60322"/>
    <w:rsid w:val="00D61321"/>
    <w:rsid w:val="00D63E1F"/>
    <w:rsid w:val="00D6416F"/>
    <w:rsid w:val="00D64CEF"/>
    <w:rsid w:val="00D74A9E"/>
    <w:rsid w:val="00D757AA"/>
    <w:rsid w:val="00D77C81"/>
    <w:rsid w:val="00D84335"/>
    <w:rsid w:val="00D909C1"/>
    <w:rsid w:val="00D955D2"/>
    <w:rsid w:val="00DA2CA0"/>
    <w:rsid w:val="00DA4E37"/>
    <w:rsid w:val="00DB5460"/>
    <w:rsid w:val="00DB796D"/>
    <w:rsid w:val="00DD5DBF"/>
    <w:rsid w:val="00DE0A00"/>
    <w:rsid w:val="00DE1511"/>
    <w:rsid w:val="00DE25BC"/>
    <w:rsid w:val="00DE773F"/>
    <w:rsid w:val="00DF04EA"/>
    <w:rsid w:val="00E020E8"/>
    <w:rsid w:val="00E06ED6"/>
    <w:rsid w:val="00E07AE2"/>
    <w:rsid w:val="00E134BC"/>
    <w:rsid w:val="00E201D8"/>
    <w:rsid w:val="00E21807"/>
    <w:rsid w:val="00E2412A"/>
    <w:rsid w:val="00E2423C"/>
    <w:rsid w:val="00E2460E"/>
    <w:rsid w:val="00E26C10"/>
    <w:rsid w:val="00E35F2B"/>
    <w:rsid w:val="00E407EE"/>
    <w:rsid w:val="00E411F3"/>
    <w:rsid w:val="00E41C81"/>
    <w:rsid w:val="00E511D8"/>
    <w:rsid w:val="00E525E8"/>
    <w:rsid w:val="00E53CF8"/>
    <w:rsid w:val="00E6412A"/>
    <w:rsid w:val="00E67882"/>
    <w:rsid w:val="00E704BB"/>
    <w:rsid w:val="00E70B75"/>
    <w:rsid w:val="00E72E35"/>
    <w:rsid w:val="00E762ED"/>
    <w:rsid w:val="00E9379D"/>
    <w:rsid w:val="00EA051A"/>
    <w:rsid w:val="00EA3D50"/>
    <w:rsid w:val="00EA5DC9"/>
    <w:rsid w:val="00EA6700"/>
    <w:rsid w:val="00EB5D7A"/>
    <w:rsid w:val="00EB68DF"/>
    <w:rsid w:val="00EB69B5"/>
    <w:rsid w:val="00EC334C"/>
    <w:rsid w:val="00EC3A97"/>
    <w:rsid w:val="00EC591A"/>
    <w:rsid w:val="00EC67DE"/>
    <w:rsid w:val="00ED29A8"/>
    <w:rsid w:val="00ED5E93"/>
    <w:rsid w:val="00EE0207"/>
    <w:rsid w:val="00EE5E51"/>
    <w:rsid w:val="00EF4F62"/>
    <w:rsid w:val="00F11A5E"/>
    <w:rsid w:val="00F122A2"/>
    <w:rsid w:val="00F147A6"/>
    <w:rsid w:val="00F15CA9"/>
    <w:rsid w:val="00F15FD1"/>
    <w:rsid w:val="00F160B7"/>
    <w:rsid w:val="00F211F4"/>
    <w:rsid w:val="00F21CA5"/>
    <w:rsid w:val="00F23066"/>
    <w:rsid w:val="00F24272"/>
    <w:rsid w:val="00F311A0"/>
    <w:rsid w:val="00F33331"/>
    <w:rsid w:val="00F45D65"/>
    <w:rsid w:val="00F5045A"/>
    <w:rsid w:val="00F52BF2"/>
    <w:rsid w:val="00F60B11"/>
    <w:rsid w:val="00F80D15"/>
    <w:rsid w:val="00F87321"/>
    <w:rsid w:val="00F9097D"/>
    <w:rsid w:val="00F91F57"/>
    <w:rsid w:val="00F92F98"/>
    <w:rsid w:val="00F95D45"/>
    <w:rsid w:val="00F96FF0"/>
    <w:rsid w:val="00FC4F34"/>
    <w:rsid w:val="00FD1209"/>
    <w:rsid w:val="00FD250B"/>
    <w:rsid w:val="00FD637F"/>
    <w:rsid w:val="00FE3AE1"/>
    <w:rsid w:val="00FE684E"/>
    <w:rsid w:val="00FF0436"/>
    <w:rsid w:val="00FF07AA"/>
    <w:rsid w:val="00FF4571"/>
    <w:rsid w:val="00FF5AA3"/>
    <w:rsid w:val="00FF7AA0"/>
    <w:rsid w:val="01161381"/>
    <w:rsid w:val="01203FAE"/>
    <w:rsid w:val="017D31AE"/>
    <w:rsid w:val="01D44B8C"/>
    <w:rsid w:val="01DB1C83"/>
    <w:rsid w:val="027D172A"/>
    <w:rsid w:val="028916DF"/>
    <w:rsid w:val="02900CBF"/>
    <w:rsid w:val="02B56978"/>
    <w:rsid w:val="02C62933"/>
    <w:rsid w:val="02DE7C7D"/>
    <w:rsid w:val="02E334E5"/>
    <w:rsid w:val="02EE3C38"/>
    <w:rsid w:val="032633D2"/>
    <w:rsid w:val="034026E5"/>
    <w:rsid w:val="03575C81"/>
    <w:rsid w:val="0385459C"/>
    <w:rsid w:val="03CC21CB"/>
    <w:rsid w:val="03F4527E"/>
    <w:rsid w:val="04706FFA"/>
    <w:rsid w:val="04D550AF"/>
    <w:rsid w:val="04E05C53"/>
    <w:rsid w:val="04EE6171"/>
    <w:rsid w:val="0504144A"/>
    <w:rsid w:val="05726DA2"/>
    <w:rsid w:val="05AA2098"/>
    <w:rsid w:val="05B44CC5"/>
    <w:rsid w:val="05CC64B2"/>
    <w:rsid w:val="06021ED4"/>
    <w:rsid w:val="06400C4E"/>
    <w:rsid w:val="066761DB"/>
    <w:rsid w:val="06A967F3"/>
    <w:rsid w:val="06C158EB"/>
    <w:rsid w:val="07195727"/>
    <w:rsid w:val="073267E9"/>
    <w:rsid w:val="079F3753"/>
    <w:rsid w:val="07A70F85"/>
    <w:rsid w:val="07CA6A21"/>
    <w:rsid w:val="07DD46FE"/>
    <w:rsid w:val="07E55609"/>
    <w:rsid w:val="08A47272"/>
    <w:rsid w:val="094D16B8"/>
    <w:rsid w:val="0A5151D8"/>
    <w:rsid w:val="0A656ED5"/>
    <w:rsid w:val="0A6A21BF"/>
    <w:rsid w:val="0A8530D4"/>
    <w:rsid w:val="0A856C30"/>
    <w:rsid w:val="0AA479FE"/>
    <w:rsid w:val="0AB92811"/>
    <w:rsid w:val="0AC27E84"/>
    <w:rsid w:val="0ADA7BFD"/>
    <w:rsid w:val="0AE20526"/>
    <w:rsid w:val="0B6902FF"/>
    <w:rsid w:val="0B9C2483"/>
    <w:rsid w:val="0B9C6927"/>
    <w:rsid w:val="0BA56877"/>
    <w:rsid w:val="0BEA58E4"/>
    <w:rsid w:val="0BF73B5D"/>
    <w:rsid w:val="0BFC5617"/>
    <w:rsid w:val="0C3E7A39"/>
    <w:rsid w:val="0C7D22B4"/>
    <w:rsid w:val="0C9C0869"/>
    <w:rsid w:val="0CE71E24"/>
    <w:rsid w:val="0D5079C9"/>
    <w:rsid w:val="0D533015"/>
    <w:rsid w:val="0D996F38"/>
    <w:rsid w:val="0DA16476"/>
    <w:rsid w:val="0DD73C46"/>
    <w:rsid w:val="0DDD1A0E"/>
    <w:rsid w:val="0DFA0F36"/>
    <w:rsid w:val="0E0204E1"/>
    <w:rsid w:val="0E2A021A"/>
    <w:rsid w:val="0E407A3D"/>
    <w:rsid w:val="0E5928AD"/>
    <w:rsid w:val="0F000F7B"/>
    <w:rsid w:val="0F1669F0"/>
    <w:rsid w:val="0F380715"/>
    <w:rsid w:val="0F7756E1"/>
    <w:rsid w:val="0F9A13CF"/>
    <w:rsid w:val="0FA1275E"/>
    <w:rsid w:val="0FA47B58"/>
    <w:rsid w:val="0FB26719"/>
    <w:rsid w:val="0FCE0B27"/>
    <w:rsid w:val="101C3CD5"/>
    <w:rsid w:val="103F5AD3"/>
    <w:rsid w:val="106F0166"/>
    <w:rsid w:val="10991687"/>
    <w:rsid w:val="10A73DA4"/>
    <w:rsid w:val="10EA1EE2"/>
    <w:rsid w:val="1109680C"/>
    <w:rsid w:val="112A22DF"/>
    <w:rsid w:val="11377EF3"/>
    <w:rsid w:val="113B0990"/>
    <w:rsid w:val="113B273E"/>
    <w:rsid w:val="114A0BD3"/>
    <w:rsid w:val="11AB1672"/>
    <w:rsid w:val="11D337D5"/>
    <w:rsid w:val="11D87C89"/>
    <w:rsid w:val="123F5942"/>
    <w:rsid w:val="12633CFA"/>
    <w:rsid w:val="12BC340B"/>
    <w:rsid w:val="12D76496"/>
    <w:rsid w:val="12FE7EC7"/>
    <w:rsid w:val="133D454B"/>
    <w:rsid w:val="13405DEA"/>
    <w:rsid w:val="139E0D62"/>
    <w:rsid w:val="13A46379"/>
    <w:rsid w:val="13E470BD"/>
    <w:rsid w:val="13FA243C"/>
    <w:rsid w:val="14074B59"/>
    <w:rsid w:val="141352AC"/>
    <w:rsid w:val="141F6347"/>
    <w:rsid w:val="14593607"/>
    <w:rsid w:val="147A17CF"/>
    <w:rsid w:val="148E7AD5"/>
    <w:rsid w:val="150D2643"/>
    <w:rsid w:val="153E0A4F"/>
    <w:rsid w:val="15453B8B"/>
    <w:rsid w:val="154C4F1A"/>
    <w:rsid w:val="157601E9"/>
    <w:rsid w:val="157B57FF"/>
    <w:rsid w:val="15BC494A"/>
    <w:rsid w:val="160C46A9"/>
    <w:rsid w:val="16133C89"/>
    <w:rsid w:val="161C0D90"/>
    <w:rsid w:val="16223ECC"/>
    <w:rsid w:val="16273291"/>
    <w:rsid w:val="16695657"/>
    <w:rsid w:val="1672275E"/>
    <w:rsid w:val="16BC1C2B"/>
    <w:rsid w:val="1701702A"/>
    <w:rsid w:val="17237EFC"/>
    <w:rsid w:val="178766DD"/>
    <w:rsid w:val="17966920"/>
    <w:rsid w:val="17A80401"/>
    <w:rsid w:val="17B84AE8"/>
    <w:rsid w:val="17C214C3"/>
    <w:rsid w:val="18365A0D"/>
    <w:rsid w:val="18694E08"/>
    <w:rsid w:val="18826EA4"/>
    <w:rsid w:val="18A33621"/>
    <w:rsid w:val="192B4E46"/>
    <w:rsid w:val="19882298"/>
    <w:rsid w:val="1988673C"/>
    <w:rsid w:val="19C71013"/>
    <w:rsid w:val="1A393593"/>
    <w:rsid w:val="1A7F24BA"/>
    <w:rsid w:val="1AD734D7"/>
    <w:rsid w:val="1AEE0821"/>
    <w:rsid w:val="1B09565B"/>
    <w:rsid w:val="1B3721C8"/>
    <w:rsid w:val="1B6A4C28"/>
    <w:rsid w:val="1B7927E1"/>
    <w:rsid w:val="1B7E7DF7"/>
    <w:rsid w:val="1BBC26CD"/>
    <w:rsid w:val="1BE91714"/>
    <w:rsid w:val="1C0B768E"/>
    <w:rsid w:val="1CA27B15"/>
    <w:rsid w:val="1CBD66FD"/>
    <w:rsid w:val="1CE1063D"/>
    <w:rsid w:val="1CE27F12"/>
    <w:rsid w:val="1D4809E3"/>
    <w:rsid w:val="1D4E37F9"/>
    <w:rsid w:val="1D9E208B"/>
    <w:rsid w:val="1DB775F0"/>
    <w:rsid w:val="1DB92DA0"/>
    <w:rsid w:val="1DBE10C0"/>
    <w:rsid w:val="1DD41F50"/>
    <w:rsid w:val="1DD65CC8"/>
    <w:rsid w:val="1E012619"/>
    <w:rsid w:val="1E7F010E"/>
    <w:rsid w:val="1E8E0351"/>
    <w:rsid w:val="1E9D0594"/>
    <w:rsid w:val="1EC10726"/>
    <w:rsid w:val="1F0D396C"/>
    <w:rsid w:val="1F3031B6"/>
    <w:rsid w:val="1F49071C"/>
    <w:rsid w:val="1F6115C2"/>
    <w:rsid w:val="1F6D61B8"/>
    <w:rsid w:val="1F8C2C29"/>
    <w:rsid w:val="1FF50CC5"/>
    <w:rsid w:val="200A3A07"/>
    <w:rsid w:val="204B1EFE"/>
    <w:rsid w:val="2076109D"/>
    <w:rsid w:val="214C004F"/>
    <w:rsid w:val="218D57A3"/>
    <w:rsid w:val="21F93E3A"/>
    <w:rsid w:val="223B434C"/>
    <w:rsid w:val="228C104B"/>
    <w:rsid w:val="22F34840"/>
    <w:rsid w:val="22F34C27"/>
    <w:rsid w:val="231B417D"/>
    <w:rsid w:val="23241284"/>
    <w:rsid w:val="23272B22"/>
    <w:rsid w:val="23403BE4"/>
    <w:rsid w:val="234436D4"/>
    <w:rsid w:val="23503E27"/>
    <w:rsid w:val="2393640A"/>
    <w:rsid w:val="239F4DAE"/>
    <w:rsid w:val="23B343B6"/>
    <w:rsid w:val="2432352D"/>
    <w:rsid w:val="243A6885"/>
    <w:rsid w:val="246F29D3"/>
    <w:rsid w:val="24B623B0"/>
    <w:rsid w:val="24BB5C18"/>
    <w:rsid w:val="24D942F0"/>
    <w:rsid w:val="255E0351"/>
    <w:rsid w:val="261E6BA2"/>
    <w:rsid w:val="2634523F"/>
    <w:rsid w:val="267442D0"/>
    <w:rsid w:val="26D44D6F"/>
    <w:rsid w:val="26D94133"/>
    <w:rsid w:val="26EF7DFB"/>
    <w:rsid w:val="27160EE4"/>
    <w:rsid w:val="271B0BF0"/>
    <w:rsid w:val="271D1D82"/>
    <w:rsid w:val="27351CB2"/>
    <w:rsid w:val="27651E6B"/>
    <w:rsid w:val="277F2F2D"/>
    <w:rsid w:val="27B67513"/>
    <w:rsid w:val="27E234BC"/>
    <w:rsid w:val="27E92A9C"/>
    <w:rsid w:val="281F201A"/>
    <w:rsid w:val="283261F1"/>
    <w:rsid w:val="28395E4A"/>
    <w:rsid w:val="283D6944"/>
    <w:rsid w:val="286F5DD9"/>
    <w:rsid w:val="28B05368"/>
    <w:rsid w:val="28E13773"/>
    <w:rsid w:val="290A6863"/>
    <w:rsid w:val="29196A88"/>
    <w:rsid w:val="299F78B6"/>
    <w:rsid w:val="29A7676B"/>
    <w:rsid w:val="2A500BB0"/>
    <w:rsid w:val="2A61691A"/>
    <w:rsid w:val="2A8D3BB3"/>
    <w:rsid w:val="2ABD30EB"/>
    <w:rsid w:val="2AC11AAE"/>
    <w:rsid w:val="2B400C25"/>
    <w:rsid w:val="2B7E34FB"/>
    <w:rsid w:val="2B996587"/>
    <w:rsid w:val="2C023E66"/>
    <w:rsid w:val="2C071743"/>
    <w:rsid w:val="2C077995"/>
    <w:rsid w:val="2C1520B2"/>
    <w:rsid w:val="2C695F59"/>
    <w:rsid w:val="2C736DD8"/>
    <w:rsid w:val="2C752B50"/>
    <w:rsid w:val="2C7F577D"/>
    <w:rsid w:val="2CDD4252"/>
    <w:rsid w:val="2CF27CFD"/>
    <w:rsid w:val="2D517119"/>
    <w:rsid w:val="2D8D5C78"/>
    <w:rsid w:val="2DB41456"/>
    <w:rsid w:val="2DBF0527"/>
    <w:rsid w:val="2DE41D3C"/>
    <w:rsid w:val="2E051CB2"/>
    <w:rsid w:val="2E0F2B31"/>
    <w:rsid w:val="2E494294"/>
    <w:rsid w:val="2E750BE6"/>
    <w:rsid w:val="2E7B1F74"/>
    <w:rsid w:val="2EA94D33"/>
    <w:rsid w:val="2F0401BB"/>
    <w:rsid w:val="2F414F6C"/>
    <w:rsid w:val="2F68699C"/>
    <w:rsid w:val="2F8F217B"/>
    <w:rsid w:val="2F94153F"/>
    <w:rsid w:val="2FBD0A96"/>
    <w:rsid w:val="2FD45DE0"/>
    <w:rsid w:val="2FF96889"/>
    <w:rsid w:val="300C37CC"/>
    <w:rsid w:val="301663F8"/>
    <w:rsid w:val="3073530A"/>
    <w:rsid w:val="30B30DDC"/>
    <w:rsid w:val="3103697D"/>
    <w:rsid w:val="31140B8A"/>
    <w:rsid w:val="311A5A74"/>
    <w:rsid w:val="3140197F"/>
    <w:rsid w:val="319E48F7"/>
    <w:rsid w:val="31AB00BC"/>
    <w:rsid w:val="31AF08B2"/>
    <w:rsid w:val="31F12C79"/>
    <w:rsid w:val="31FB7654"/>
    <w:rsid w:val="32236BAB"/>
    <w:rsid w:val="33092244"/>
    <w:rsid w:val="331C5AD4"/>
    <w:rsid w:val="333077D1"/>
    <w:rsid w:val="33C7178B"/>
    <w:rsid w:val="33D44600"/>
    <w:rsid w:val="344C063B"/>
    <w:rsid w:val="346516FC"/>
    <w:rsid w:val="34C208FD"/>
    <w:rsid w:val="34DB19BE"/>
    <w:rsid w:val="3529272A"/>
    <w:rsid w:val="352E5F92"/>
    <w:rsid w:val="3538471B"/>
    <w:rsid w:val="35977693"/>
    <w:rsid w:val="36091134"/>
    <w:rsid w:val="36317AE8"/>
    <w:rsid w:val="368C276E"/>
    <w:rsid w:val="36D466C5"/>
    <w:rsid w:val="36DA0180"/>
    <w:rsid w:val="372431A9"/>
    <w:rsid w:val="372E04CB"/>
    <w:rsid w:val="374D6BA3"/>
    <w:rsid w:val="37621F23"/>
    <w:rsid w:val="377A726D"/>
    <w:rsid w:val="37DD5FF7"/>
    <w:rsid w:val="384F06F9"/>
    <w:rsid w:val="3882287D"/>
    <w:rsid w:val="389205E6"/>
    <w:rsid w:val="38995375"/>
    <w:rsid w:val="38B4055C"/>
    <w:rsid w:val="38E76B84"/>
    <w:rsid w:val="38FE7A29"/>
    <w:rsid w:val="39047736"/>
    <w:rsid w:val="3910755D"/>
    <w:rsid w:val="391536F1"/>
    <w:rsid w:val="394A0EC1"/>
    <w:rsid w:val="39897C3B"/>
    <w:rsid w:val="39AB7BB1"/>
    <w:rsid w:val="39ED01CA"/>
    <w:rsid w:val="3A080B60"/>
    <w:rsid w:val="3A0F6392"/>
    <w:rsid w:val="3A1514CF"/>
    <w:rsid w:val="3A230F6F"/>
    <w:rsid w:val="3A2D6B9F"/>
    <w:rsid w:val="3A886145"/>
    <w:rsid w:val="3B111C96"/>
    <w:rsid w:val="3B660234"/>
    <w:rsid w:val="3B934DA1"/>
    <w:rsid w:val="3BEB0739"/>
    <w:rsid w:val="3C2679C3"/>
    <w:rsid w:val="3C6D73A0"/>
    <w:rsid w:val="3C9C7C85"/>
    <w:rsid w:val="3C9E1C4F"/>
    <w:rsid w:val="3CB11983"/>
    <w:rsid w:val="3CBE19AA"/>
    <w:rsid w:val="3D89020A"/>
    <w:rsid w:val="3D9F5C7F"/>
    <w:rsid w:val="3DC41242"/>
    <w:rsid w:val="3E067C88"/>
    <w:rsid w:val="3E161F89"/>
    <w:rsid w:val="3E1877DF"/>
    <w:rsid w:val="3E375EB7"/>
    <w:rsid w:val="3E3F4D6C"/>
    <w:rsid w:val="3EA177D5"/>
    <w:rsid w:val="3F253F62"/>
    <w:rsid w:val="3F275F2C"/>
    <w:rsid w:val="3F397A0D"/>
    <w:rsid w:val="3F892743"/>
    <w:rsid w:val="401A783F"/>
    <w:rsid w:val="402F46CA"/>
    <w:rsid w:val="403D352D"/>
    <w:rsid w:val="418E6FD2"/>
    <w:rsid w:val="41C21F3C"/>
    <w:rsid w:val="41CF6407"/>
    <w:rsid w:val="41E73751"/>
    <w:rsid w:val="41EC6FB9"/>
    <w:rsid w:val="42010CB6"/>
    <w:rsid w:val="421B789E"/>
    <w:rsid w:val="421D3616"/>
    <w:rsid w:val="42213106"/>
    <w:rsid w:val="422A188F"/>
    <w:rsid w:val="425177C5"/>
    <w:rsid w:val="425C5EED"/>
    <w:rsid w:val="425F3C2F"/>
    <w:rsid w:val="427A45C5"/>
    <w:rsid w:val="42843695"/>
    <w:rsid w:val="429E4757"/>
    <w:rsid w:val="42A33B1C"/>
    <w:rsid w:val="42BF647C"/>
    <w:rsid w:val="42E83C24"/>
    <w:rsid w:val="43503578"/>
    <w:rsid w:val="436A4694"/>
    <w:rsid w:val="43917E18"/>
    <w:rsid w:val="43A15B81"/>
    <w:rsid w:val="43B6787E"/>
    <w:rsid w:val="43E4263E"/>
    <w:rsid w:val="43F4222D"/>
    <w:rsid w:val="449E73DA"/>
    <w:rsid w:val="44BB12BF"/>
    <w:rsid w:val="44E4041B"/>
    <w:rsid w:val="44E623E5"/>
    <w:rsid w:val="44E81CBA"/>
    <w:rsid w:val="452A0524"/>
    <w:rsid w:val="459C0CF6"/>
    <w:rsid w:val="459E05CA"/>
    <w:rsid w:val="45A831F7"/>
    <w:rsid w:val="45D24718"/>
    <w:rsid w:val="45D32A7E"/>
    <w:rsid w:val="45D466E2"/>
    <w:rsid w:val="45E615FB"/>
    <w:rsid w:val="461E795D"/>
    <w:rsid w:val="462404C8"/>
    <w:rsid w:val="4631143E"/>
    <w:rsid w:val="46BC13D0"/>
    <w:rsid w:val="46FE3A16"/>
    <w:rsid w:val="471825FE"/>
    <w:rsid w:val="4723347D"/>
    <w:rsid w:val="47665118"/>
    <w:rsid w:val="476A2E5A"/>
    <w:rsid w:val="477B4BFA"/>
    <w:rsid w:val="47906638"/>
    <w:rsid w:val="47CD33E9"/>
    <w:rsid w:val="47D44777"/>
    <w:rsid w:val="48270D4B"/>
    <w:rsid w:val="48390A7E"/>
    <w:rsid w:val="484C07B1"/>
    <w:rsid w:val="489932CB"/>
    <w:rsid w:val="48DD58AD"/>
    <w:rsid w:val="492601CA"/>
    <w:rsid w:val="49301E81"/>
    <w:rsid w:val="49762226"/>
    <w:rsid w:val="4ABA40F8"/>
    <w:rsid w:val="4ABF170F"/>
    <w:rsid w:val="4AD35544"/>
    <w:rsid w:val="4B2B0B52"/>
    <w:rsid w:val="4B7F0E9E"/>
    <w:rsid w:val="4B8169C4"/>
    <w:rsid w:val="4BD42F98"/>
    <w:rsid w:val="4C6A56AA"/>
    <w:rsid w:val="4CC1157E"/>
    <w:rsid w:val="4D0A2370"/>
    <w:rsid w:val="4D4B54DB"/>
    <w:rsid w:val="4D6610D8"/>
    <w:rsid w:val="4DCB3F26"/>
    <w:rsid w:val="4E047438"/>
    <w:rsid w:val="4E5B79A0"/>
    <w:rsid w:val="4ED817CF"/>
    <w:rsid w:val="4EFD0A57"/>
    <w:rsid w:val="4F2A2ECF"/>
    <w:rsid w:val="4F3855EC"/>
    <w:rsid w:val="4F9A62A6"/>
    <w:rsid w:val="4FA64C4B"/>
    <w:rsid w:val="50131BB5"/>
    <w:rsid w:val="50632B3C"/>
    <w:rsid w:val="50811214"/>
    <w:rsid w:val="50834F8C"/>
    <w:rsid w:val="51782617"/>
    <w:rsid w:val="518014CC"/>
    <w:rsid w:val="51937451"/>
    <w:rsid w:val="51A451BA"/>
    <w:rsid w:val="51AE6039"/>
    <w:rsid w:val="51D51818"/>
    <w:rsid w:val="51F37EF0"/>
    <w:rsid w:val="51FC4FF6"/>
    <w:rsid w:val="525C5A95"/>
    <w:rsid w:val="52636E23"/>
    <w:rsid w:val="52796647"/>
    <w:rsid w:val="52E423FD"/>
    <w:rsid w:val="52F263F9"/>
    <w:rsid w:val="530D6D8F"/>
    <w:rsid w:val="536C61AC"/>
    <w:rsid w:val="53EE0482"/>
    <w:rsid w:val="53FE1EF1"/>
    <w:rsid w:val="541C372E"/>
    <w:rsid w:val="544467E1"/>
    <w:rsid w:val="54532EC8"/>
    <w:rsid w:val="548F2152"/>
    <w:rsid w:val="54A11E85"/>
    <w:rsid w:val="54DC2EBD"/>
    <w:rsid w:val="54F226E1"/>
    <w:rsid w:val="55083CB2"/>
    <w:rsid w:val="55684751"/>
    <w:rsid w:val="558E065B"/>
    <w:rsid w:val="55AD03B6"/>
    <w:rsid w:val="55B61960"/>
    <w:rsid w:val="561D655A"/>
    <w:rsid w:val="562468CA"/>
    <w:rsid w:val="565A1162"/>
    <w:rsid w:val="56FC15F5"/>
    <w:rsid w:val="5737262D"/>
    <w:rsid w:val="57437223"/>
    <w:rsid w:val="575C02E5"/>
    <w:rsid w:val="57631674"/>
    <w:rsid w:val="57882E88"/>
    <w:rsid w:val="580544D9"/>
    <w:rsid w:val="582832A8"/>
    <w:rsid w:val="5829466B"/>
    <w:rsid w:val="58873140"/>
    <w:rsid w:val="588E0972"/>
    <w:rsid w:val="58975A79"/>
    <w:rsid w:val="58A261CC"/>
    <w:rsid w:val="58EF7663"/>
    <w:rsid w:val="59126EAD"/>
    <w:rsid w:val="59254E33"/>
    <w:rsid w:val="59282B75"/>
    <w:rsid w:val="592F3F03"/>
    <w:rsid w:val="59617EEA"/>
    <w:rsid w:val="59F3611C"/>
    <w:rsid w:val="5A227432"/>
    <w:rsid w:val="5A2734CC"/>
    <w:rsid w:val="5A867B53"/>
    <w:rsid w:val="5A9304C2"/>
    <w:rsid w:val="5A975C1F"/>
    <w:rsid w:val="5AEB5C08"/>
    <w:rsid w:val="5AEC372E"/>
    <w:rsid w:val="5B323837"/>
    <w:rsid w:val="5B6E6265"/>
    <w:rsid w:val="5B8816A9"/>
    <w:rsid w:val="5B885B4D"/>
    <w:rsid w:val="5B922527"/>
    <w:rsid w:val="5BA4735A"/>
    <w:rsid w:val="5BB66216"/>
    <w:rsid w:val="5BCF552A"/>
    <w:rsid w:val="5C0602B2"/>
    <w:rsid w:val="5C606182"/>
    <w:rsid w:val="5CC04E72"/>
    <w:rsid w:val="5CC901CB"/>
    <w:rsid w:val="5CE172C2"/>
    <w:rsid w:val="5D584DCA"/>
    <w:rsid w:val="5DD24E5D"/>
    <w:rsid w:val="5DD50C05"/>
    <w:rsid w:val="5E145476"/>
    <w:rsid w:val="5E7F1913"/>
    <w:rsid w:val="5EAA5DDA"/>
    <w:rsid w:val="5EB804F7"/>
    <w:rsid w:val="5ED74E21"/>
    <w:rsid w:val="5EE4309A"/>
    <w:rsid w:val="5EF62DCD"/>
    <w:rsid w:val="5F447FDD"/>
    <w:rsid w:val="5F6D12E1"/>
    <w:rsid w:val="5FA8056B"/>
    <w:rsid w:val="5FBE7D8F"/>
    <w:rsid w:val="5FC52ECB"/>
    <w:rsid w:val="5FDE3F8D"/>
    <w:rsid w:val="5FF7504F"/>
    <w:rsid w:val="608F34D9"/>
    <w:rsid w:val="609B47A1"/>
    <w:rsid w:val="60A9459B"/>
    <w:rsid w:val="60E76E71"/>
    <w:rsid w:val="60E92BEA"/>
    <w:rsid w:val="611A0FF5"/>
    <w:rsid w:val="611F485D"/>
    <w:rsid w:val="61306A6A"/>
    <w:rsid w:val="61730705"/>
    <w:rsid w:val="61775DD2"/>
    <w:rsid w:val="61A905CB"/>
    <w:rsid w:val="61BE4076"/>
    <w:rsid w:val="61CB0541"/>
    <w:rsid w:val="61D4389A"/>
    <w:rsid w:val="61DB4C28"/>
    <w:rsid w:val="61F47A98"/>
    <w:rsid w:val="62426A55"/>
    <w:rsid w:val="626C1948"/>
    <w:rsid w:val="62743F92"/>
    <w:rsid w:val="627D5CDF"/>
    <w:rsid w:val="628B45D7"/>
    <w:rsid w:val="62AF7E63"/>
    <w:rsid w:val="63227E0A"/>
    <w:rsid w:val="636E73D6"/>
    <w:rsid w:val="63C33BC6"/>
    <w:rsid w:val="63F024E1"/>
    <w:rsid w:val="63F0603D"/>
    <w:rsid w:val="64357EF4"/>
    <w:rsid w:val="64462101"/>
    <w:rsid w:val="64590086"/>
    <w:rsid w:val="6486074F"/>
    <w:rsid w:val="64962201"/>
    <w:rsid w:val="64963088"/>
    <w:rsid w:val="64DD2A65"/>
    <w:rsid w:val="64F733FB"/>
    <w:rsid w:val="654C7BEB"/>
    <w:rsid w:val="65652A5B"/>
    <w:rsid w:val="65E2598A"/>
    <w:rsid w:val="661A3845"/>
    <w:rsid w:val="663A5C95"/>
    <w:rsid w:val="66666A8A"/>
    <w:rsid w:val="666845B1"/>
    <w:rsid w:val="666A657B"/>
    <w:rsid w:val="66855163"/>
    <w:rsid w:val="669730E8"/>
    <w:rsid w:val="66A3383B"/>
    <w:rsid w:val="66B07D06"/>
    <w:rsid w:val="674072DB"/>
    <w:rsid w:val="67423054"/>
    <w:rsid w:val="67535261"/>
    <w:rsid w:val="67542D87"/>
    <w:rsid w:val="67762CFD"/>
    <w:rsid w:val="679B09B6"/>
    <w:rsid w:val="67FA1B80"/>
    <w:rsid w:val="680D18B3"/>
    <w:rsid w:val="68120C78"/>
    <w:rsid w:val="68150768"/>
    <w:rsid w:val="687731D1"/>
    <w:rsid w:val="68D67EF7"/>
    <w:rsid w:val="68DB72BC"/>
    <w:rsid w:val="68E51EE8"/>
    <w:rsid w:val="68F71C1C"/>
    <w:rsid w:val="6942733B"/>
    <w:rsid w:val="695044E6"/>
    <w:rsid w:val="696A4AE4"/>
    <w:rsid w:val="69724444"/>
    <w:rsid w:val="69AF0748"/>
    <w:rsid w:val="6A040A94"/>
    <w:rsid w:val="6A0E546F"/>
    <w:rsid w:val="6A7D0CB7"/>
    <w:rsid w:val="6B5949F9"/>
    <w:rsid w:val="6B7632CC"/>
    <w:rsid w:val="6B7834E8"/>
    <w:rsid w:val="6BCF6E80"/>
    <w:rsid w:val="6BE24E05"/>
    <w:rsid w:val="6BE446D9"/>
    <w:rsid w:val="6C7041BF"/>
    <w:rsid w:val="6C8B2DA7"/>
    <w:rsid w:val="6CF46B9E"/>
    <w:rsid w:val="6D01750D"/>
    <w:rsid w:val="6D366990"/>
    <w:rsid w:val="6D415B5B"/>
    <w:rsid w:val="6D6A3304"/>
    <w:rsid w:val="6DD8026E"/>
    <w:rsid w:val="6EB72579"/>
    <w:rsid w:val="6ECE01AD"/>
    <w:rsid w:val="6ED547AD"/>
    <w:rsid w:val="6EF77938"/>
    <w:rsid w:val="6F3C482C"/>
    <w:rsid w:val="6F7E4E45"/>
    <w:rsid w:val="6F8813F2"/>
    <w:rsid w:val="6FB70357"/>
    <w:rsid w:val="700C06A3"/>
    <w:rsid w:val="7017085E"/>
    <w:rsid w:val="704E0CBB"/>
    <w:rsid w:val="70531E2E"/>
    <w:rsid w:val="70761FC0"/>
    <w:rsid w:val="707A385E"/>
    <w:rsid w:val="70A22DB5"/>
    <w:rsid w:val="70B7060E"/>
    <w:rsid w:val="70DE203F"/>
    <w:rsid w:val="70E909E4"/>
    <w:rsid w:val="711041C2"/>
    <w:rsid w:val="71121CE9"/>
    <w:rsid w:val="713734FD"/>
    <w:rsid w:val="713C6D66"/>
    <w:rsid w:val="7168511C"/>
    <w:rsid w:val="72271FE2"/>
    <w:rsid w:val="723346E7"/>
    <w:rsid w:val="7270316B"/>
    <w:rsid w:val="72A42E14"/>
    <w:rsid w:val="733F6699"/>
    <w:rsid w:val="73530396"/>
    <w:rsid w:val="73647B5D"/>
    <w:rsid w:val="7370719A"/>
    <w:rsid w:val="742A559B"/>
    <w:rsid w:val="74387CB8"/>
    <w:rsid w:val="74A432A6"/>
    <w:rsid w:val="74C0380A"/>
    <w:rsid w:val="74E4399C"/>
    <w:rsid w:val="750E6C6B"/>
    <w:rsid w:val="751467C2"/>
    <w:rsid w:val="75497CA3"/>
    <w:rsid w:val="754D7793"/>
    <w:rsid w:val="756248C1"/>
    <w:rsid w:val="759A405B"/>
    <w:rsid w:val="75A44ED9"/>
    <w:rsid w:val="75C537CD"/>
    <w:rsid w:val="75C94940"/>
    <w:rsid w:val="75D73501"/>
    <w:rsid w:val="75FE0A8D"/>
    <w:rsid w:val="7605012D"/>
    <w:rsid w:val="763E0E8A"/>
    <w:rsid w:val="766F3739"/>
    <w:rsid w:val="76805946"/>
    <w:rsid w:val="768144ED"/>
    <w:rsid w:val="76BA0E58"/>
    <w:rsid w:val="76DF08BF"/>
    <w:rsid w:val="76FD0D45"/>
    <w:rsid w:val="7726029C"/>
    <w:rsid w:val="773B3A88"/>
    <w:rsid w:val="77BC650A"/>
    <w:rsid w:val="78160310"/>
    <w:rsid w:val="782567A5"/>
    <w:rsid w:val="78A91184"/>
    <w:rsid w:val="78F817C4"/>
    <w:rsid w:val="79280738"/>
    <w:rsid w:val="792C3B64"/>
    <w:rsid w:val="794069F9"/>
    <w:rsid w:val="79420C91"/>
    <w:rsid w:val="79D93C2F"/>
    <w:rsid w:val="7A122D59"/>
    <w:rsid w:val="7A7237F8"/>
    <w:rsid w:val="7A804167"/>
    <w:rsid w:val="7B024B7C"/>
    <w:rsid w:val="7B242D44"/>
    <w:rsid w:val="7B594119"/>
    <w:rsid w:val="7B615D46"/>
    <w:rsid w:val="7B6770D5"/>
    <w:rsid w:val="7C1D1542"/>
    <w:rsid w:val="7C350F81"/>
    <w:rsid w:val="7C352D2F"/>
    <w:rsid w:val="7C572CA5"/>
    <w:rsid w:val="7C6D4277"/>
    <w:rsid w:val="7C815F74"/>
    <w:rsid w:val="7C8B294F"/>
    <w:rsid w:val="7C9D51B9"/>
    <w:rsid w:val="7CA67789"/>
    <w:rsid w:val="7CC70A33"/>
    <w:rsid w:val="7CD51E1C"/>
    <w:rsid w:val="7CEC7892"/>
    <w:rsid w:val="7D1B0177"/>
    <w:rsid w:val="7D40198C"/>
    <w:rsid w:val="7D7635FF"/>
    <w:rsid w:val="7DAA2923"/>
    <w:rsid w:val="7DE06CCB"/>
    <w:rsid w:val="7DE762AB"/>
    <w:rsid w:val="7E024E93"/>
    <w:rsid w:val="7E235535"/>
    <w:rsid w:val="7E292808"/>
    <w:rsid w:val="7E4D25B2"/>
    <w:rsid w:val="7E5F22E5"/>
    <w:rsid w:val="7E93631A"/>
    <w:rsid w:val="7EAB552B"/>
    <w:rsid w:val="7EB937A4"/>
    <w:rsid w:val="7F7E7362"/>
    <w:rsid w:val="7F932247"/>
    <w:rsid w:val="7FAF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US" w:eastAsia="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beforeLines="0" w:afterLines="0"/>
      <w:ind w:firstLine="420"/>
    </w:pPr>
    <w:rPr>
      <w:rFonts w:hint="default"/>
      <w:sz w:val="21"/>
      <w:szCs w:val="24"/>
    </w:rPr>
  </w:style>
  <w:style w:type="paragraph" w:styleId="3">
    <w:name w:val="Body Text"/>
    <w:basedOn w:val="1"/>
    <w:next w:val="4"/>
    <w:link w:val="36"/>
    <w:qFormat/>
    <w:uiPriority w:val="0"/>
    <w:pPr>
      <w:spacing w:after="120"/>
    </w:pPr>
  </w:style>
  <w:style w:type="paragraph" w:customStyle="1" w:styleId="4">
    <w:name w:val="Default"/>
    <w:autoRedefine/>
    <w:qFormat/>
    <w:uiPriority w:val="0"/>
    <w:pPr>
      <w:widowControl w:val="0"/>
      <w:jc w:val="center"/>
    </w:pPr>
    <w:rPr>
      <w:rFonts w:ascii="Arial" w:hAnsi="Arial" w:cs="Arial" w:eastAsiaTheme="minorEastAsia"/>
      <w:b/>
      <w:bCs/>
      <w:color w:val="000000"/>
      <w:sz w:val="52"/>
      <w:szCs w:val="52"/>
      <w:u w:color="000000"/>
      <w:lang w:val="en-US" w:eastAsia="zh-CN" w:bidi="ar-SA"/>
    </w:rPr>
  </w:style>
  <w:style w:type="paragraph" w:styleId="5">
    <w:name w:val="Body Text Indent"/>
    <w:basedOn w:val="1"/>
    <w:link w:val="37"/>
    <w:qFormat/>
    <w:uiPriority w:val="0"/>
    <w:pPr>
      <w:spacing w:after="120"/>
      <w:ind w:left="420" w:leftChars="200"/>
    </w:pPr>
  </w:style>
  <w:style w:type="paragraph" w:styleId="6">
    <w:name w:val="Plain Text"/>
    <w:basedOn w:val="1"/>
    <w:unhideWhenUsed/>
    <w:qFormat/>
    <w:uiPriority w:val="0"/>
    <w:pPr>
      <w:spacing w:beforeLines="0" w:afterLines="0"/>
    </w:pPr>
    <w:rPr>
      <w:rFonts w:hint="eastAsia" w:ascii="宋体" w:hAnsi="Courier New" w:eastAsia="宋体"/>
      <w:sz w:val="21"/>
      <w:szCs w:val="24"/>
    </w:rPr>
  </w:style>
  <w:style w:type="paragraph" w:styleId="7">
    <w:name w:val="Date"/>
    <w:basedOn w:val="1"/>
    <w:next w:val="1"/>
    <w:unhideWhenUsed/>
    <w:qFormat/>
    <w:uiPriority w:val="0"/>
    <w:pPr>
      <w:spacing w:beforeLines="0" w:afterLines="0"/>
      <w:ind w:left="100" w:leftChars="2500"/>
    </w:pPr>
    <w:rPr>
      <w:rFonts w:hint="default"/>
      <w:sz w:val="21"/>
      <w:szCs w:val="24"/>
    </w:rPr>
  </w:style>
  <w:style w:type="paragraph" w:styleId="8">
    <w:name w:val="footer"/>
    <w:basedOn w:val="1"/>
    <w:link w:val="35"/>
    <w:autoRedefine/>
    <w:qFormat/>
    <w:uiPriority w:val="0"/>
    <w:pPr>
      <w:tabs>
        <w:tab w:val="center" w:pos="4153"/>
        <w:tab w:val="right" w:pos="8306"/>
      </w:tabs>
      <w:snapToGrid w:val="0"/>
    </w:pPr>
    <w:rPr>
      <w:sz w:val="18"/>
      <w:szCs w:val="18"/>
    </w:rPr>
  </w:style>
  <w:style w:type="paragraph" w:styleId="9">
    <w:name w:val="header"/>
    <w:basedOn w:val="1"/>
    <w:link w:val="34"/>
    <w:autoRedefine/>
    <w:qFormat/>
    <w:uiPriority w:val="0"/>
    <w:pPr>
      <w:tabs>
        <w:tab w:val="center" w:pos="4153"/>
        <w:tab w:val="right" w:pos="8306"/>
      </w:tabs>
      <w:snapToGrid w:val="0"/>
      <w:jc w:val="center"/>
    </w:pPr>
    <w:rPr>
      <w:sz w:val="18"/>
      <w:szCs w:val="18"/>
    </w:rPr>
  </w:style>
  <w:style w:type="paragraph" w:styleId="10">
    <w:name w:val="Normal (Web)"/>
    <w:autoRedefine/>
    <w:qFormat/>
    <w:uiPriority w:val="0"/>
    <w:pPr>
      <w:widowControl w:val="0"/>
      <w:spacing w:before="100" w:after="100"/>
      <w:jc w:val="both"/>
    </w:pPr>
    <w:rPr>
      <w:rFonts w:hint="eastAsia" w:ascii="Arial Unicode MS" w:hAnsi="Arial Unicode MS" w:eastAsia="Arial Unicode MS" w:cs="Arial Unicode MS"/>
      <w:color w:val="000000"/>
      <w:sz w:val="24"/>
      <w:szCs w:val="24"/>
      <w:u w:color="000000"/>
      <w:lang w:val="en-US" w:eastAsia="zh-CN" w:bidi="ar-SA"/>
    </w:rPr>
  </w:style>
  <w:style w:type="paragraph" w:styleId="11">
    <w:name w:val="Body Text First Indent 2"/>
    <w:basedOn w:val="5"/>
    <w:link w:val="38"/>
    <w:qFormat/>
    <w:uiPriority w:val="0"/>
    <w:pPr>
      <w:ind w:firstLine="420" w:firstLineChars="200"/>
    </w:pPr>
  </w:style>
  <w:style w:type="character" w:styleId="14">
    <w:name w:val="Hyperlink"/>
    <w:autoRedefine/>
    <w:qFormat/>
    <w:uiPriority w:val="0"/>
    <w:rPr>
      <w:u w:val="single"/>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autoRedefine/>
    <w:qFormat/>
    <w:uiPriority w:val="0"/>
    <w:pPr>
      <w:tabs>
        <w:tab w:val="right" w:pos="9020"/>
      </w:tabs>
    </w:pPr>
    <w:rPr>
      <w:rFonts w:ascii="Songti SC Regular" w:hAnsi="Songti SC Regular" w:eastAsia="Arial Unicode MS" w:cs="Arial Unicode MS"/>
      <w:color w:val="000000"/>
      <w:sz w:val="16"/>
      <w:szCs w:val="16"/>
      <w:lang w:val="en-US" w:eastAsia="zh-CN" w:bidi="ar-SA"/>
    </w:rPr>
  </w:style>
  <w:style w:type="paragraph" w:customStyle="1" w:styleId="17">
    <w:name w:val="页脚1"/>
    <w:autoRedefine/>
    <w:qFormat/>
    <w:uiPriority w:val="0"/>
    <w:pPr>
      <w:widowControl w:val="0"/>
      <w:tabs>
        <w:tab w:val="center" w:pos="4153"/>
        <w:tab w:val="right" w:pos="8306"/>
      </w:tabs>
    </w:pPr>
    <w:rPr>
      <w:rFonts w:ascii="Times New Roman" w:hAnsi="Times New Roman" w:eastAsia="Arial Unicode MS" w:cs="Arial Unicode MS"/>
      <w:color w:val="000000"/>
      <w:sz w:val="18"/>
      <w:szCs w:val="18"/>
      <w:u w:color="000000"/>
      <w:lang w:val="en-US" w:eastAsia="zh-CN" w:bidi="ar-SA"/>
    </w:rPr>
  </w:style>
  <w:style w:type="paragraph" w:customStyle="1" w:styleId="1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9">
    <w:name w:val="正文文本1"/>
    <w:next w:val="4"/>
    <w:autoRedefine/>
    <w:qFormat/>
    <w:uiPriority w:val="0"/>
    <w:pPr>
      <w:widowControl w:val="0"/>
      <w:jc w:val="both"/>
    </w:pPr>
    <w:rPr>
      <w:rFonts w:ascii="Times New Roman" w:hAnsi="Times New Roman" w:eastAsia="Times New Roman" w:cs="Times New Roman"/>
      <w:color w:val="000000"/>
      <w:u w:color="000000"/>
      <w:lang w:val="en-US" w:eastAsia="zh-CN" w:bidi="ar-SA"/>
    </w:rPr>
  </w:style>
  <w:style w:type="paragraph" w:customStyle="1" w:styleId="20">
    <w:name w:val="一级目录"/>
    <w:next w:val="18"/>
    <w:autoRedefine/>
    <w:qFormat/>
    <w:uiPriority w:val="0"/>
    <w:pPr>
      <w:widowControl w:val="0"/>
      <w:jc w:val="center"/>
      <w:outlineLvl w:val="0"/>
    </w:pPr>
    <w:rPr>
      <w:rFonts w:ascii="黑体" w:hAnsi="黑体" w:eastAsia="黑体" w:cs="黑体"/>
      <w:b/>
      <w:bCs/>
      <w:color w:val="000000"/>
      <w:kern w:val="2"/>
      <w:sz w:val="44"/>
      <w:szCs w:val="44"/>
      <w:u w:color="000000"/>
      <w:lang w:val="en-US" w:eastAsia="zh-CN" w:bidi="ar-SA"/>
    </w:rPr>
  </w:style>
  <w:style w:type="paragraph" w:customStyle="1" w:styleId="21">
    <w:name w:val="二级目录"/>
    <w:next w:val="18"/>
    <w:autoRedefine/>
    <w:qFormat/>
    <w:uiPriority w:val="0"/>
    <w:pPr>
      <w:widowControl w:val="0"/>
      <w:tabs>
        <w:tab w:val="left" w:pos="720"/>
      </w:tabs>
      <w:ind w:left="720" w:hanging="720"/>
      <w:jc w:val="both"/>
      <w:outlineLvl w:val="1"/>
    </w:pPr>
    <w:rPr>
      <w:rFonts w:hint="eastAsia" w:ascii="Arial Unicode MS" w:hAnsi="Arial Unicode MS" w:eastAsia="Arial Unicode MS" w:cs="Arial Unicode MS"/>
      <w:b/>
      <w:bCs/>
      <w:color w:val="000000"/>
      <w:kern w:val="2"/>
      <w:sz w:val="30"/>
      <w:szCs w:val="30"/>
      <w:u w:color="000000"/>
      <w:lang w:val="en-US" w:eastAsia="zh-CN" w:bidi="ar-SA"/>
    </w:rPr>
  </w:style>
  <w:style w:type="paragraph" w:customStyle="1" w:styleId="22">
    <w:name w:val="标题 41"/>
    <w:next w:val="23"/>
    <w:autoRedefine/>
    <w:qFormat/>
    <w:uiPriority w:val="0"/>
    <w:pPr>
      <w:keepNext/>
      <w:keepLines/>
      <w:widowControl w:val="0"/>
      <w:spacing w:before="280" w:after="290" w:line="374" w:lineRule="auto"/>
      <w:jc w:val="both"/>
      <w:outlineLvl w:val="2"/>
    </w:pPr>
    <w:rPr>
      <w:rFonts w:ascii="Arial" w:hAnsi="Arial" w:eastAsia="Arial Unicode MS" w:cs="Arial Unicode MS"/>
      <w:b/>
      <w:bCs/>
      <w:color w:val="000000"/>
      <w:sz w:val="28"/>
      <w:szCs w:val="28"/>
      <w:u w:color="000000"/>
      <w:lang w:val="en-US" w:eastAsia="zh-CN" w:bidi="ar-SA"/>
    </w:rPr>
  </w:style>
  <w:style w:type="paragraph" w:customStyle="1" w:styleId="23">
    <w:name w:val="正文缩进1"/>
    <w:autoRedefine/>
    <w:qFormat/>
    <w:uiPriority w:val="0"/>
    <w:pPr>
      <w:widowControl w:val="0"/>
      <w:ind w:firstLine="420"/>
      <w:jc w:val="both"/>
    </w:pPr>
    <w:rPr>
      <w:rFonts w:ascii="Times New Roman" w:hAnsi="Times New Roman" w:eastAsia="Arial Unicode MS" w:cs="Arial Unicode MS"/>
      <w:color w:val="000000"/>
      <w:u w:color="000000"/>
      <w:lang w:val="en-US" w:eastAsia="zh-CN" w:bidi="ar-SA"/>
    </w:rPr>
  </w:style>
  <w:style w:type="paragraph" w:customStyle="1" w:styleId="24">
    <w:name w:val="正文首行缩进 21"/>
    <w:autoRedefine/>
    <w:qFormat/>
    <w:uiPriority w:val="0"/>
    <w:pPr>
      <w:widowControl w:val="0"/>
      <w:spacing w:line="360" w:lineRule="auto"/>
      <w:ind w:firstLine="420"/>
      <w:jc w:val="both"/>
    </w:pPr>
    <w:rPr>
      <w:rFonts w:ascii="宋体" w:hAnsi="宋体" w:eastAsia="Arial Unicode MS" w:cs="Arial Unicode MS"/>
      <w:color w:val="000000"/>
      <w:u w:color="000000"/>
      <w:lang w:val="en-US" w:eastAsia="zh-CN" w:bidi="ar-SA"/>
    </w:rPr>
  </w:style>
  <w:style w:type="paragraph" w:customStyle="1" w:styleId="25">
    <w:name w:val="日期1"/>
    <w:next w:val="18"/>
    <w:autoRedefine/>
    <w:qFormat/>
    <w:uiPriority w:val="0"/>
    <w:pPr>
      <w:widowControl w:val="0"/>
      <w:jc w:val="both"/>
    </w:pPr>
    <w:rPr>
      <w:rFonts w:hint="eastAsia" w:ascii="Arial Unicode MS" w:hAnsi="Arial Unicode MS" w:eastAsia="Arial Unicode MS" w:cs="Arial Unicode MS"/>
      <w:color w:val="000000"/>
      <w:u w:color="000000"/>
      <w:lang w:val="en-US" w:eastAsia="zh-CN" w:bidi="ar-SA"/>
    </w:rPr>
  </w:style>
  <w:style w:type="paragraph" w:customStyle="1" w:styleId="26">
    <w:name w:val="报告表正文"/>
    <w:autoRedefine/>
    <w:qFormat/>
    <w:uiPriority w:val="0"/>
    <w:pPr>
      <w:widowControl w:val="0"/>
      <w:spacing w:line="312" w:lineRule="auto"/>
      <w:ind w:left="113" w:right="113" w:firstLine="482"/>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7">
    <w:name w:val="flType"/>
    <w:autoRedefine/>
    <w:qFormat/>
    <w:uiPriority w:val="0"/>
    <w:pPr>
      <w:widowControl w:val="0"/>
      <w:spacing w:after="284" w:line="113" w:lineRule="atLeast"/>
      <w:jc w:val="center"/>
    </w:pPr>
    <w:rPr>
      <w:rFonts w:hint="eastAsia" w:ascii="Arial Unicode MS" w:hAnsi="Arial Unicode MS" w:eastAsia="Arial Unicode MS" w:cs="Arial Unicode MS"/>
      <w:color w:val="000000"/>
      <w:sz w:val="24"/>
      <w:szCs w:val="24"/>
      <w:u w:color="000000"/>
      <w:lang w:val="en-US" w:eastAsia="zh-CN" w:bidi="ar-SA"/>
    </w:rPr>
  </w:style>
  <w:style w:type="paragraph" w:customStyle="1" w:styleId="28">
    <w:name w:val="普通(网站)1"/>
    <w:autoRedefine/>
    <w:qFormat/>
    <w:uiPriority w:val="0"/>
    <w:pPr>
      <w:spacing w:before="100" w:after="100"/>
    </w:pPr>
    <w:rPr>
      <w:rFonts w:hint="eastAsia" w:ascii="Arial Unicode MS" w:hAnsi="Arial Unicode MS" w:eastAsia="Arial Unicode MS" w:cs="Arial Unicode MS"/>
      <w:color w:val="000000"/>
      <w:sz w:val="24"/>
      <w:szCs w:val="24"/>
      <w:u w:color="000000"/>
      <w:lang w:val="en-US" w:eastAsia="zh-CN" w:bidi="ar-SA"/>
    </w:rPr>
  </w:style>
  <w:style w:type="paragraph" w:customStyle="1" w:styleId="29">
    <w:name w:val="纯文本1"/>
    <w:autoRedefine/>
    <w:qFormat/>
    <w:uiPriority w:val="0"/>
    <w:pPr>
      <w:widowControl w:val="0"/>
      <w:jc w:val="both"/>
    </w:pPr>
    <w:rPr>
      <w:rFonts w:hint="eastAsia" w:ascii="Arial Unicode MS" w:hAnsi="Arial Unicode MS" w:eastAsia="Arial Unicode MS" w:cs="Arial Unicode MS"/>
      <w:color w:val="000000"/>
      <w:u w:color="000000"/>
      <w:lang w:val="en-US" w:eastAsia="zh-CN" w:bidi="ar-SA"/>
    </w:rPr>
  </w:style>
  <w:style w:type="paragraph" w:customStyle="1" w:styleId="30">
    <w:name w:val="普通正文"/>
    <w:autoRedefine/>
    <w:qFormat/>
    <w:uiPriority w:val="0"/>
    <w:pPr>
      <w:widowControl w:val="0"/>
      <w:spacing w:before="120" w:after="120" w:line="360" w:lineRule="auto"/>
      <w:ind w:firstLine="480"/>
    </w:pPr>
    <w:rPr>
      <w:rFonts w:hint="eastAsia" w:ascii="Arial Unicode MS" w:hAnsi="Arial Unicode MS" w:eastAsia="Arial Unicode MS" w:cs="Arial Unicode MS"/>
      <w:color w:val="000000"/>
      <w:sz w:val="24"/>
      <w:szCs w:val="24"/>
      <w:u w:color="000000"/>
      <w:lang w:val="en-US" w:eastAsia="zh-CN" w:bidi="ar-SA"/>
    </w:rPr>
  </w:style>
  <w:style w:type="paragraph" w:customStyle="1" w:styleId="31">
    <w:name w:val="HTML 预设格式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pPr>
    <w:rPr>
      <w:rFonts w:hint="eastAsia" w:ascii="Arial Unicode MS" w:hAnsi="Arial Unicode MS" w:eastAsia="Arial Unicode MS" w:cs="Arial Unicode MS"/>
      <w:color w:val="000000"/>
      <w:u w:color="000000"/>
      <w:lang w:val="en-US" w:eastAsia="zh-CN" w:bidi="ar-SA"/>
    </w:rPr>
  </w:style>
  <w:style w:type="paragraph" w:customStyle="1" w:styleId="32">
    <w:name w:val="正文缩进2格"/>
    <w:autoRedefine/>
    <w:qFormat/>
    <w:uiPriority w:val="0"/>
    <w:pPr>
      <w:widowControl w:val="0"/>
      <w:spacing w:line="600" w:lineRule="exact"/>
      <w:ind w:firstLine="639"/>
      <w:jc w:val="both"/>
    </w:pPr>
    <w:rPr>
      <w:rFonts w:ascii="仿宋_GB2312" w:hAnsi="仿宋_GB2312" w:eastAsia="仿宋_GB2312" w:cs="仿宋_GB2312"/>
      <w:color w:val="000000"/>
      <w:kern w:val="2"/>
      <w:sz w:val="31"/>
      <w:szCs w:val="31"/>
      <w:u w:color="000000"/>
      <w:lang w:val="en-US" w:eastAsia="zh-CN" w:bidi="ar-SA"/>
    </w:rPr>
  </w:style>
  <w:style w:type="paragraph" w:customStyle="1" w:styleId="33">
    <w:name w:val="列表段落1"/>
    <w:autoRedefine/>
    <w:qFormat/>
    <w:uiPriority w:val="0"/>
    <w:pPr>
      <w:ind w:left="720"/>
    </w:pPr>
    <w:rPr>
      <w:rFonts w:ascii="Calibri" w:hAnsi="Calibri" w:eastAsia="Arial Unicode MS" w:cs="Arial Unicode MS"/>
      <w:color w:val="000000"/>
      <w:sz w:val="24"/>
      <w:szCs w:val="24"/>
      <w:u w:color="000000"/>
      <w:lang w:val="en-US" w:eastAsia="zh-CN" w:bidi="ar-SA"/>
    </w:rPr>
  </w:style>
  <w:style w:type="character" w:customStyle="1" w:styleId="34">
    <w:name w:val="页眉 字符"/>
    <w:basedOn w:val="13"/>
    <w:link w:val="9"/>
    <w:autoRedefine/>
    <w:qFormat/>
    <w:uiPriority w:val="0"/>
    <w:rPr>
      <w:sz w:val="18"/>
      <w:szCs w:val="18"/>
      <w:lang w:eastAsia="en-US"/>
    </w:rPr>
  </w:style>
  <w:style w:type="character" w:customStyle="1" w:styleId="35">
    <w:name w:val="页脚 字符"/>
    <w:basedOn w:val="13"/>
    <w:link w:val="8"/>
    <w:autoRedefine/>
    <w:qFormat/>
    <w:uiPriority w:val="0"/>
    <w:rPr>
      <w:sz w:val="18"/>
      <w:szCs w:val="18"/>
      <w:lang w:eastAsia="en-US"/>
    </w:rPr>
  </w:style>
  <w:style w:type="character" w:customStyle="1" w:styleId="36">
    <w:name w:val="正文文本 字符"/>
    <w:basedOn w:val="13"/>
    <w:link w:val="3"/>
    <w:qFormat/>
    <w:uiPriority w:val="0"/>
    <w:rPr>
      <w:sz w:val="24"/>
      <w:szCs w:val="24"/>
      <w:lang w:eastAsia="en-US"/>
    </w:rPr>
  </w:style>
  <w:style w:type="character" w:customStyle="1" w:styleId="37">
    <w:name w:val="正文文本缩进 字符"/>
    <w:basedOn w:val="13"/>
    <w:link w:val="5"/>
    <w:qFormat/>
    <w:uiPriority w:val="0"/>
    <w:rPr>
      <w:sz w:val="24"/>
      <w:szCs w:val="24"/>
      <w:lang w:eastAsia="en-US"/>
    </w:rPr>
  </w:style>
  <w:style w:type="character" w:customStyle="1" w:styleId="38">
    <w:name w:val="正文文本首行缩进 2 字符"/>
    <w:basedOn w:val="37"/>
    <w:link w:val="11"/>
    <w:qFormat/>
    <w:uiPriority w:val="0"/>
    <w:rPr>
      <w:sz w:val="24"/>
      <w:szCs w:val="24"/>
      <w:lang w:eastAsia="en-US"/>
    </w:r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Songti SC Bold"/>
        <a:ea typeface="黑体"/>
        <a:cs typeface="Songti SC Bold"/>
      </a:majorFont>
      <a:minorFont>
        <a:latin typeface="Cambria"/>
        <a:ea typeface="宋体"/>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CB6AE-38B6-4682-BFD0-F136CDBDC20D}">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12898</Words>
  <Characters>13541</Characters>
  <Lines>604</Lines>
  <Paragraphs>626</Paragraphs>
  <TotalTime>1</TotalTime>
  <ScaleCrop>false</ScaleCrop>
  <LinksUpToDate>false</LinksUpToDate>
  <CharactersWithSpaces>13855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2024-07-26T09:49:00Z</dcterms:created>
  <dc:creator>Administrator</dc:creator>
  <cp:lastModifiedBy>厌</cp:lastModifiedBy>
  <dcterms:modified xsi:type="dcterms:W3CDTF">2026-07-06T08:41:46Z</dcterms:modified>
  <cp:revision>1234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8932F1D697814EFBA0C8FED8EE30BE92_13</vt:lpwstr>
  </property>
  <property fmtid="{D5CDD505-2E9C-101B-9397-08002B2CF9AE}" pid="4" name="KSOTemplateDocerSaveRecord">
    <vt:lpwstr>eyJoZGlkIjoiNGE1NWY2ZDU1YTEzMWMxMGUyNTU3YTJmYTZmOWY2MDgiLCJ1c2VySWQiOiI1Mzk2NjQ5MTMifQ==</vt:lpwstr>
  </property>
</Properties>
</file>