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010B1">
      <w:pPr>
        <w:spacing w:line="360" w:lineRule="auto"/>
        <w:jc w:val="center"/>
        <w:rPr>
          <w:rFonts w:ascii="宋体" w:hAnsi="宋体" w:cs="宋体"/>
          <w:b/>
          <w:sz w:val="72"/>
          <w:szCs w:val="72"/>
          <w:highlight w:val="none"/>
        </w:rPr>
      </w:pPr>
      <w:bookmarkStart w:id="64" w:name="_GoBack"/>
      <w:bookmarkEnd w:id="64"/>
    </w:p>
    <w:p w14:paraId="6D9F6AD7">
      <w:pPr>
        <w:spacing w:line="360" w:lineRule="auto"/>
        <w:jc w:val="center"/>
        <w:rPr>
          <w:rFonts w:ascii="宋体" w:hAnsi="宋体" w:cs="宋体"/>
          <w:b/>
          <w:bCs/>
          <w:spacing w:val="80"/>
          <w:sz w:val="86"/>
          <w:szCs w:val="86"/>
          <w:highlight w:val="none"/>
        </w:rPr>
      </w:pPr>
      <w:bookmarkStart w:id="0" w:name="_Toc13194"/>
      <w:bookmarkStart w:id="1" w:name="_Toc19609"/>
      <w:bookmarkStart w:id="2" w:name="_Toc30988"/>
      <w:bookmarkStart w:id="3" w:name="_Toc17591"/>
      <w:bookmarkStart w:id="4" w:name="_Toc31917"/>
      <w:bookmarkStart w:id="5" w:name="_Toc7408"/>
      <w:bookmarkStart w:id="6" w:name="_Toc31370"/>
      <w:bookmarkStart w:id="7" w:name="_Toc16779"/>
    </w:p>
    <w:p w14:paraId="2658688F">
      <w:pPr>
        <w:spacing w:line="360" w:lineRule="auto"/>
        <w:jc w:val="center"/>
        <w:rPr>
          <w:rFonts w:ascii="宋体" w:hAnsi="宋体" w:cs="宋体"/>
          <w:sz w:val="32"/>
          <w:highlight w:val="none"/>
        </w:rPr>
      </w:pPr>
      <w:r>
        <w:rPr>
          <w:rFonts w:hint="eastAsia" w:ascii="宋体" w:hAnsi="宋体" w:cs="宋体"/>
          <w:b/>
          <w:bCs/>
          <w:spacing w:val="80"/>
          <w:sz w:val="86"/>
          <w:szCs w:val="86"/>
          <w:highlight w:val="none"/>
        </w:rPr>
        <w:t>网上竞采文件</w:t>
      </w:r>
      <w:bookmarkEnd w:id="0"/>
      <w:bookmarkEnd w:id="1"/>
      <w:bookmarkEnd w:id="2"/>
      <w:bookmarkEnd w:id="3"/>
      <w:bookmarkEnd w:id="4"/>
      <w:bookmarkEnd w:id="5"/>
      <w:bookmarkEnd w:id="6"/>
      <w:bookmarkEnd w:id="7"/>
    </w:p>
    <w:p w14:paraId="3B916BEA">
      <w:pPr>
        <w:spacing w:line="360" w:lineRule="auto"/>
        <w:jc w:val="center"/>
        <w:rPr>
          <w:rFonts w:ascii="宋体" w:hAnsi="宋体" w:cs="宋体"/>
          <w:sz w:val="32"/>
          <w:highlight w:val="none"/>
        </w:rPr>
      </w:pPr>
    </w:p>
    <w:p w14:paraId="2DFC3E65">
      <w:pPr>
        <w:spacing w:line="360" w:lineRule="auto"/>
        <w:ind w:left="840" w:leftChars="300"/>
        <w:rPr>
          <w:rFonts w:ascii="宋体" w:hAnsi="宋体" w:cs="宋体"/>
          <w:sz w:val="36"/>
          <w:szCs w:val="30"/>
          <w:highlight w:val="none"/>
        </w:rPr>
      </w:pPr>
    </w:p>
    <w:p w14:paraId="4092D4C3">
      <w:pPr>
        <w:spacing w:line="360" w:lineRule="auto"/>
        <w:ind w:left="840" w:leftChars="300"/>
        <w:rPr>
          <w:rFonts w:ascii="宋体" w:hAnsi="宋体" w:cs="宋体"/>
          <w:sz w:val="36"/>
          <w:szCs w:val="30"/>
          <w:highlight w:val="none"/>
        </w:rPr>
      </w:pPr>
    </w:p>
    <w:p w14:paraId="3C50386F">
      <w:pPr>
        <w:spacing w:line="360" w:lineRule="auto"/>
        <w:jc w:val="left"/>
        <w:rPr>
          <w:rFonts w:hint="default" w:ascii="宋体" w:hAnsi="宋体" w:eastAsia="宋体" w:cs="宋体"/>
          <w:b/>
          <w:bCs/>
          <w:sz w:val="32"/>
          <w:szCs w:val="28"/>
          <w:highlight w:val="yellow"/>
          <w:lang w:val="en-US" w:eastAsia="zh-CN"/>
        </w:rPr>
      </w:pPr>
      <w:r>
        <w:rPr>
          <w:rFonts w:hint="eastAsia" w:ascii="宋体" w:hAnsi="宋体" w:cs="宋体"/>
          <w:b/>
          <w:bCs/>
          <w:sz w:val="32"/>
          <w:szCs w:val="28"/>
          <w:highlight w:val="none"/>
        </w:rPr>
        <w:t>项目编号：</w:t>
      </w:r>
      <w:r>
        <w:rPr>
          <w:rFonts w:hint="eastAsia" w:ascii="宋体" w:hAnsi="宋体" w:cs="宋体"/>
          <w:b/>
          <w:bCs/>
          <w:sz w:val="32"/>
          <w:szCs w:val="28"/>
          <w:highlight w:val="none"/>
          <w:lang w:val="en-US" w:eastAsia="zh-CN"/>
        </w:rPr>
        <w:t>GXQ26C00110</w:t>
      </w:r>
    </w:p>
    <w:p w14:paraId="46AD59EA">
      <w:pPr>
        <w:spacing w:line="360" w:lineRule="auto"/>
        <w:jc w:val="left"/>
        <w:rPr>
          <w:rFonts w:hint="eastAsia" w:ascii="宋体" w:hAnsi="宋体" w:cs="宋体"/>
          <w:b/>
          <w:bCs/>
          <w:sz w:val="32"/>
          <w:szCs w:val="28"/>
          <w:highlight w:val="none"/>
          <w:lang w:val="en-US" w:eastAsia="zh-CN"/>
        </w:rPr>
      </w:pPr>
      <w:r>
        <w:rPr>
          <w:rFonts w:hint="eastAsia" w:ascii="宋体" w:hAnsi="宋体" w:cs="宋体"/>
          <w:b/>
          <w:bCs/>
          <w:sz w:val="32"/>
          <w:szCs w:val="28"/>
          <w:highlight w:val="none"/>
        </w:rPr>
        <w:t>项目名称：</w:t>
      </w:r>
      <w:r>
        <w:rPr>
          <w:rFonts w:hint="eastAsia" w:ascii="宋体" w:hAnsi="宋体" w:cs="宋体"/>
          <w:b/>
          <w:bCs/>
          <w:sz w:val="32"/>
          <w:szCs w:val="28"/>
          <w:highlight w:val="none"/>
          <w:lang w:val="en-US" w:eastAsia="zh-CN"/>
        </w:rPr>
        <w:t>2026年金凤镇病媒生物防治（除四害）项目（第二次）</w:t>
      </w:r>
    </w:p>
    <w:p w14:paraId="6D81BD54">
      <w:pPr>
        <w:spacing w:line="360" w:lineRule="auto"/>
        <w:jc w:val="left"/>
        <w:rPr>
          <w:rFonts w:hint="eastAsia" w:ascii="宋体" w:hAnsi="宋体" w:cs="宋体"/>
          <w:b/>
          <w:bCs/>
          <w:sz w:val="32"/>
          <w:szCs w:val="28"/>
          <w:highlight w:val="none"/>
        </w:rPr>
      </w:pPr>
    </w:p>
    <w:p w14:paraId="4E33BE8E">
      <w:pPr>
        <w:spacing w:line="360" w:lineRule="auto"/>
        <w:rPr>
          <w:rFonts w:ascii="宋体" w:hAnsi="宋体" w:cs="宋体"/>
          <w:b/>
          <w:bCs/>
          <w:sz w:val="36"/>
          <w:szCs w:val="30"/>
          <w:highlight w:val="none"/>
        </w:rPr>
      </w:pPr>
    </w:p>
    <w:p w14:paraId="3407C1D2">
      <w:pPr>
        <w:spacing w:line="360" w:lineRule="auto"/>
        <w:rPr>
          <w:rFonts w:ascii="宋体" w:hAnsi="宋体" w:cs="宋体"/>
          <w:b/>
          <w:bCs/>
          <w:sz w:val="36"/>
          <w:szCs w:val="30"/>
          <w:highlight w:val="none"/>
        </w:rPr>
      </w:pPr>
    </w:p>
    <w:p w14:paraId="599C380C">
      <w:pPr>
        <w:spacing w:line="360" w:lineRule="auto"/>
        <w:rPr>
          <w:rFonts w:hint="default" w:ascii="宋体" w:hAnsi="宋体" w:eastAsia="宋体" w:cs="宋体"/>
          <w:b/>
          <w:bCs/>
          <w:sz w:val="36"/>
          <w:szCs w:val="30"/>
          <w:highlight w:val="none"/>
          <w:lang w:val="en-US" w:eastAsia="zh-CN"/>
        </w:rPr>
      </w:pPr>
      <w:r>
        <w:rPr>
          <w:rFonts w:hint="eastAsia" w:ascii="宋体" w:hAnsi="宋体" w:cs="宋体"/>
          <w:b/>
          <w:bCs/>
          <w:sz w:val="36"/>
          <w:szCs w:val="30"/>
          <w:highlight w:val="none"/>
        </w:rPr>
        <w:t>　</w:t>
      </w:r>
      <w:r>
        <w:rPr>
          <w:rFonts w:hint="eastAsia" w:ascii="宋体" w:hAnsi="宋体" w:cs="宋体"/>
          <w:b/>
          <w:bCs/>
          <w:spacing w:val="270"/>
          <w:kern w:val="0"/>
          <w:sz w:val="36"/>
          <w:szCs w:val="30"/>
          <w:highlight w:val="none"/>
          <w:fitText w:val="2160" w:id="1741030899"/>
        </w:rPr>
        <w:t>采购</w:t>
      </w:r>
      <w:r>
        <w:rPr>
          <w:rFonts w:hint="eastAsia" w:ascii="宋体" w:hAnsi="宋体" w:cs="宋体"/>
          <w:b/>
          <w:bCs/>
          <w:spacing w:val="0"/>
          <w:kern w:val="0"/>
          <w:sz w:val="36"/>
          <w:szCs w:val="30"/>
          <w:highlight w:val="none"/>
          <w:fitText w:val="2160" w:id="1741030899"/>
        </w:rPr>
        <w:t>人</w:t>
      </w:r>
      <w:r>
        <w:rPr>
          <w:rFonts w:hint="eastAsia" w:ascii="宋体" w:hAnsi="宋体" w:cs="宋体"/>
          <w:b/>
          <w:bCs/>
          <w:sz w:val="36"/>
          <w:szCs w:val="30"/>
          <w:highlight w:val="none"/>
        </w:rPr>
        <w:t>：</w:t>
      </w:r>
      <w:r>
        <w:rPr>
          <w:rFonts w:hint="eastAsia" w:ascii="宋体" w:hAnsi="宋体" w:cs="宋体"/>
          <w:b/>
          <w:bCs/>
          <w:sz w:val="36"/>
          <w:szCs w:val="30"/>
          <w:highlight w:val="none"/>
          <w:lang w:val="en-US" w:eastAsia="zh-CN"/>
        </w:rPr>
        <w:t>重庆市九龙坡区金凤镇村居事务服务中心</w:t>
      </w:r>
    </w:p>
    <w:p w14:paraId="5205BFC4">
      <w:pPr>
        <w:spacing w:line="360" w:lineRule="auto"/>
        <w:rPr>
          <w:rFonts w:hint="default" w:ascii="宋体" w:hAnsi="宋体" w:eastAsia="宋体" w:cs="宋体"/>
          <w:b/>
          <w:bCs/>
          <w:sz w:val="36"/>
          <w:szCs w:val="30"/>
          <w:highlight w:val="none"/>
          <w:lang w:val="en-US" w:eastAsia="zh-CN"/>
        </w:rPr>
      </w:pPr>
      <w:r>
        <w:rPr>
          <w:rFonts w:hint="eastAsia" w:ascii="宋体" w:hAnsi="宋体" w:cs="宋体"/>
          <w:b/>
          <w:bCs/>
          <w:sz w:val="36"/>
          <w:szCs w:val="30"/>
          <w:highlight w:val="none"/>
        </w:rPr>
        <w:t>　</w:t>
      </w:r>
      <w:r>
        <w:rPr>
          <w:rFonts w:hint="eastAsia" w:ascii="宋体" w:hAnsi="宋体" w:cs="宋体"/>
          <w:b/>
          <w:bCs/>
          <w:spacing w:val="0"/>
          <w:kern w:val="0"/>
          <w:sz w:val="36"/>
          <w:szCs w:val="30"/>
          <w:highlight w:val="none"/>
          <w:fitText w:val="2160" w:id="1254362938"/>
        </w:rPr>
        <w:t>采购代理机构</w:t>
      </w:r>
      <w:r>
        <w:rPr>
          <w:rFonts w:hint="eastAsia" w:ascii="宋体" w:hAnsi="宋体" w:cs="宋体"/>
          <w:b/>
          <w:bCs/>
          <w:sz w:val="36"/>
          <w:szCs w:val="30"/>
          <w:highlight w:val="none"/>
        </w:rPr>
        <w:t>：</w:t>
      </w:r>
      <w:r>
        <w:rPr>
          <w:rFonts w:hint="eastAsia" w:ascii="宋体" w:hAnsi="宋体" w:cs="宋体"/>
          <w:b/>
          <w:bCs/>
          <w:sz w:val="36"/>
          <w:szCs w:val="30"/>
          <w:highlight w:val="none"/>
          <w:lang w:val="en-US" w:eastAsia="zh-CN"/>
        </w:rPr>
        <w:t>重庆舜德工程造价咨询有限公司</w:t>
      </w:r>
    </w:p>
    <w:p w14:paraId="7A56591B">
      <w:pPr>
        <w:spacing w:line="360" w:lineRule="auto"/>
        <w:jc w:val="center"/>
        <w:rPr>
          <w:rFonts w:ascii="宋体" w:hAnsi="宋体" w:cs="宋体"/>
          <w:b/>
          <w:bCs/>
          <w:sz w:val="36"/>
          <w:szCs w:val="30"/>
          <w:highlight w:val="none"/>
        </w:rPr>
      </w:pPr>
    </w:p>
    <w:p w14:paraId="1DC8A390">
      <w:pPr>
        <w:spacing w:line="360" w:lineRule="auto"/>
        <w:jc w:val="center"/>
        <w:rPr>
          <w:rFonts w:ascii="宋体" w:hAnsi="宋体" w:cs="宋体"/>
          <w:b/>
          <w:bCs/>
          <w:sz w:val="36"/>
          <w:szCs w:val="30"/>
          <w:highlight w:val="none"/>
        </w:rPr>
      </w:pPr>
    </w:p>
    <w:p w14:paraId="78543D96">
      <w:pPr>
        <w:spacing w:line="360" w:lineRule="auto"/>
        <w:jc w:val="center"/>
        <w:rPr>
          <w:rFonts w:ascii="宋体" w:hAnsi="宋体" w:cs="宋体"/>
          <w:b/>
          <w:bCs/>
          <w:sz w:val="36"/>
          <w:szCs w:val="30"/>
          <w:highlight w:val="none"/>
        </w:rPr>
      </w:pPr>
      <w:r>
        <w:rPr>
          <w:rFonts w:hint="eastAsia" w:ascii="宋体" w:hAnsi="宋体" w:cs="宋体"/>
          <w:b/>
          <w:bCs/>
          <w:sz w:val="36"/>
          <w:szCs w:val="30"/>
          <w:highlight w:val="none"/>
        </w:rPr>
        <w:t>二〇二六年</w:t>
      </w:r>
      <w:r>
        <w:rPr>
          <w:rFonts w:hint="eastAsia" w:ascii="宋体" w:hAnsi="宋体" w:cs="宋体"/>
          <w:b/>
          <w:bCs/>
          <w:sz w:val="36"/>
          <w:szCs w:val="30"/>
          <w:highlight w:val="none"/>
          <w:lang w:val="en-US" w:eastAsia="zh-CN"/>
        </w:rPr>
        <w:t>六</w:t>
      </w:r>
      <w:r>
        <w:rPr>
          <w:rFonts w:hint="eastAsia" w:ascii="宋体" w:hAnsi="宋体" w:cs="宋体"/>
          <w:b/>
          <w:bCs/>
          <w:sz w:val="36"/>
          <w:szCs w:val="30"/>
          <w:highlight w:val="none"/>
        </w:rPr>
        <w:t>月</w:t>
      </w:r>
    </w:p>
    <w:p w14:paraId="45848BBC">
      <w:pPr>
        <w:spacing w:line="360" w:lineRule="auto"/>
        <w:jc w:val="center"/>
        <w:rPr>
          <w:rFonts w:ascii="宋体" w:hAnsi="宋体" w:cs="宋体"/>
          <w:highlight w:val="none"/>
        </w:rPr>
      </w:pPr>
      <w:r>
        <w:rPr>
          <w:rFonts w:hint="eastAsia" w:ascii="宋体" w:hAnsi="宋体" w:cs="宋体"/>
          <w:sz w:val="44"/>
          <w:szCs w:val="28"/>
          <w:highlight w:val="none"/>
        </w:rPr>
        <w:br w:type="page"/>
      </w:r>
      <w:r>
        <w:rPr>
          <w:rFonts w:hint="eastAsia" w:ascii="宋体" w:hAnsi="宋体" w:cs="宋体"/>
          <w:highlight w:val="none"/>
        </w:rPr>
        <w:t>目   录</w:t>
      </w:r>
    </w:p>
    <w:p w14:paraId="50D6D718">
      <w:pPr>
        <w:pStyle w:val="18"/>
        <w:tabs>
          <w:tab w:val="right" w:leader="dot" w:pos="9240"/>
        </w:tabs>
        <w:spacing w:line="240" w:lineRule="auto"/>
        <w:rPr>
          <w:rFonts w:ascii="宋体" w:hAnsi="宋体" w:cs="宋体"/>
          <w:sz w:val="21"/>
          <w:szCs w:val="21"/>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TOC \o "1-2" \h \u </w:instrText>
      </w:r>
      <w:r>
        <w:rPr>
          <w:rFonts w:hint="eastAsia" w:ascii="宋体" w:hAnsi="宋体" w:cs="宋体"/>
          <w:sz w:val="21"/>
          <w:szCs w:val="21"/>
          <w:highlight w:val="none"/>
        </w:rPr>
        <w:fldChar w:fldCharType="separate"/>
      </w:r>
      <w:r>
        <w:rPr>
          <w:highlight w:val="none"/>
        </w:rPr>
        <w:fldChar w:fldCharType="begin"/>
      </w:r>
      <w:r>
        <w:rPr>
          <w:highlight w:val="none"/>
        </w:rPr>
        <w:instrText xml:space="preserve"> HYPERLINK \l "_Toc1919" </w:instrText>
      </w:r>
      <w:r>
        <w:rPr>
          <w:highlight w:val="none"/>
        </w:rPr>
        <w:fldChar w:fldCharType="separate"/>
      </w:r>
      <w:r>
        <w:rPr>
          <w:rFonts w:hint="eastAsia" w:ascii="宋体" w:hAnsi="宋体" w:cs="宋体"/>
          <w:sz w:val="21"/>
          <w:szCs w:val="21"/>
          <w:highlight w:val="none"/>
        </w:rPr>
        <w:t>第一篇  采购邀请书</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_Toc1919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81A780E">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"_Toc20102" </w:instrText>
      </w:r>
      <w:r>
        <w:rPr>
          <w:highlight w:val="none"/>
        </w:rPr>
        <w:fldChar w:fldCharType="separate"/>
      </w:r>
      <w:r>
        <w:rPr>
          <w:rFonts w:hint="eastAsia" w:ascii="宋体" w:hAnsi="宋体" w:cs="宋体"/>
          <w:sz w:val="21"/>
          <w:szCs w:val="21"/>
          <w:highlight w:val="none"/>
        </w:rPr>
        <w:t>一、竞采内容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_Toc20102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7173CE0">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"_Toc17136" </w:instrText>
      </w:r>
      <w:r>
        <w:rPr>
          <w:highlight w:val="none"/>
        </w:rPr>
        <w:fldChar w:fldCharType="separate"/>
      </w:r>
      <w:r>
        <w:rPr>
          <w:rFonts w:hint="eastAsia" w:ascii="宋体" w:hAnsi="宋体" w:cs="宋体"/>
          <w:sz w:val="21"/>
          <w:szCs w:val="21"/>
          <w:highlight w:val="none"/>
        </w:rPr>
        <w:t>二、资金来源</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_Toc17136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4F35EDB">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"_Toc31079" </w:instrText>
      </w:r>
      <w:r>
        <w:rPr>
          <w:highlight w:val="none"/>
        </w:rPr>
        <w:fldChar w:fldCharType="separate"/>
      </w:r>
      <w:r>
        <w:rPr>
          <w:rFonts w:hint="eastAsia" w:ascii="宋体" w:hAnsi="宋体" w:cs="宋体"/>
          <w:sz w:val="21"/>
          <w:szCs w:val="21"/>
          <w:highlight w:val="none"/>
        </w:rPr>
        <w:t>三、供应商资格条件</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_Toc31079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A37B232">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"_Toc2641" </w:instrText>
      </w:r>
      <w:r>
        <w:rPr>
          <w:highlight w:val="none"/>
        </w:rPr>
        <w:fldChar w:fldCharType="separate"/>
      </w:r>
      <w:r>
        <w:rPr>
          <w:rFonts w:hint="eastAsia" w:ascii="宋体" w:hAnsi="宋体" w:cs="宋体"/>
          <w:sz w:val="21"/>
          <w:szCs w:val="21"/>
          <w:highlight w:val="none"/>
        </w:rPr>
        <w:t>四、竞采有关说明</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_Toc2641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929D0F1">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"_Toc11346" </w:instrText>
      </w:r>
      <w:r>
        <w:rPr>
          <w:highlight w:val="none"/>
        </w:rPr>
        <w:fldChar w:fldCharType="separate"/>
      </w:r>
      <w:r>
        <w:rPr>
          <w:rFonts w:hint="eastAsia" w:ascii="宋体" w:hAnsi="宋体" w:cs="宋体"/>
          <w:sz w:val="21"/>
          <w:szCs w:val="21"/>
          <w:highlight w:val="none"/>
        </w:rPr>
        <w:t>五、其它有关规定</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_Toc11346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5</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5BCC715">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"_Toc13061" </w:instrText>
      </w:r>
      <w:r>
        <w:rPr>
          <w:highlight w:val="none"/>
        </w:rPr>
        <w:fldChar w:fldCharType="separate"/>
      </w:r>
      <w:r>
        <w:rPr>
          <w:rFonts w:hint="eastAsia" w:ascii="宋体" w:hAnsi="宋体" w:cs="宋体"/>
          <w:sz w:val="21"/>
          <w:szCs w:val="21"/>
          <w:highlight w:val="none"/>
        </w:rPr>
        <w:t>六、联系方式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_Toc13061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5</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7CFDFE42">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"_Toc22520" </w:instrText>
      </w:r>
      <w:r>
        <w:rPr>
          <w:highlight w:val="none"/>
        </w:rPr>
        <w:fldChar w:fldCharType="separate"/>
      </w:r>
      <w:r>
        <w:rPr>
          <w:rFonts w:hint="eastAsia" w:ascii="宋体" w:hAnsi="宋体" w:cs="宋体"/>
          <w:kern w:val="44"/>
          <w:sz w:val="21"/>
          <w:szCs w:val="21"/>
          <w:highlight w:val="none"/>
        </w:rPr>
        <w:t>第二篇  项目技术（质量）需求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_Toc22520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349559D">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"_Toc103" </w:instrText>
      </w:r>
      <w:r>
        <w:rPr>
          <w:highlight w:val="none"/>
        </w:rPr>
        <w:fldChar w:fldCharType="separate"/>
      </w:r>
      <w:r>
        <w:rPr>
          <w:rFonts w:hint="eastAsia" w:ascii="宋体" w:hAnsi="宋体" w:cs="宋体"/>
          <w:sz w:val="21"/>
          <w:szCs w:val="21"/>
          <w:highlight w:val="none"/>
        </w:rPr>
        <w:t>一、采购项目概况</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_Toc103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AD8C44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"_Toc14838" </w:instrText>
      </w:r>
      <w:r>
        <w:rPr>
          <w:highlight w:val="none"/>
        </w:rPr>
        <w:fldChar w:fldCharType="separate"/>
      </w:r>
      <w:r>
        <w:rPr>
          <w:rFonts w:hint="eastAsia" w:ascii="宋体" w:hAnsi="宋体" w:cs="宋体"/>
          <w:sz w:val="21"/>
          <w:szCs w:val="21"/>
          <w:highlight w:val="none"/>
        </w:rPr>
        <w:t>※二、采购项目技术要求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_Toc14838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7F5CCAE7">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"_Toc19107" </w:instrText>
      </w:r>
      <w:r>
        <w:rPr>
          <w:highlight w:val="none"/>
        </w:rPr>
        <w:fldChar w:fldCharType="separate"/>
      </w:r>
      <w:r>
        <w:rPr>
          <w:rFonts w:hint="eastAsia" w:ascii="宋体" w:hAnsi="宋体" w:cs="宋体"/>
          <w:sz w:val="21"/>
          <w:szCs w:val="21"/>
          <w:highlight w:val="none"/>
        </w:rPr>
        <w:t>※三、其他技术要求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_Toc19107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0D382CE8">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"_Toc7872" </w:instrText>
      </w:r>
      <w:r>
        <w:rPr>
          <w:highlight w:val="none"/>
        </w:rPr>
        <w:fldChar w:fldCharType="separate"/>
      </w:r>
      <w:r>
        <w:rPr>
          <w:rFonts w:hint="eastAsia" w:ascii="宋体" w:hAnsi="宋体" w:cs="宋体"/>
          <w:sz w:val="21"/>
          <w:szCs w:val="21"/>
          <w:highlight w:val="none"/>
        </w:rPr>
        <w:t>※四、安装要求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_Toc7872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DB6C1C6">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"_Toc5489" </w:instrText>
      </w:r>
      <w:r>
        <w:rPr>
          <w:highlight w:val="none"/>
        </w:rPr>
        <w:fldChar w:fldCharType="separate"/>
      </w:r>
      <w:r>
        <w:rPr>
          <w:rFonts w:hint="eastAsia" w:ascii="宋体" w:hAnsi="宋体" w:cs="宋体"/>
          <w:sz w:val="21"/>
          <w:szCs w:val="21"/>
          <w:highlight w:val="none"/>
        </w:rPr>
        <w:t>※五、安全要求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_Toc5489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B2EFD5A">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"_Toc2036" </w:instrText>
      </w:r>
      <w:r>
        <w:rPr>
          <w:highlight w:val="none"/>
        </w:rPr>
        <w:fldChar w:fldCharType="separate"/>
      </w:r>
      <w:r>
        <w:rPr>
          <w:rFonts w:hint="eastAsia" w:ascii="宋体" w:hAnsi="宋体" w:cs="宋体"/>
          <w:bCs/>
          <w:sz w:val="21"/>
          <w:szCs w:val="21"/>
          <w:highlight w:val="none"/>
        </w:rPr>
        <w:t>第三篇  项目商务需求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_Toc2036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087E093">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"_Toc23956" </w:instrText>
      </w:r>
      <w:r>
        <w:rPr>
          <w:highlight w:val="none"/>
        </w:rPr>
        <w:fldChar w:fldCharType="separate"/>
      </w:r>
      <w:r>
        <w:rPr>
          <w:rFonts w:hint="eastAsia" w:ascii="宋体" w:hAnsi="宋体" w:cs="宋体"/>
          <w:sz w:val="21"/>
          <w:szCs w:val="21"/>
          <w:highlight w:val="none"/>
        </w:rPr>
        <w:t>※一、服务期、地点及验收方式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_Toc23956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60A2D05">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"_Toc616" </w:instrText>
      </w:r>
      <w:r>
        <w:rPr>
          <w:highlight w:val="none"/>
        </w:rPr>
        <w:fldChar w:fldCharType="separate"/>
      </w:r>
      <w:r>
        <w:rPr>
          <w:rFonts w:hint="eastAsia" w:ascii="宋体" w:hAnsi="宋体" w:cs="宋体"/>
          <w:sz w:val="21"/>
          <w:szCs w:val="21"/>
          <w:highlight w:val="none"/>
        </w:rPr>
        <w:t>※二、报价要求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_Toc616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00BF9A14">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"_Toc23362" </w:instrText>
      </w:r>
      <w:r>
        <w:rPr>
          <w:highlight w:val="none"/>
        </w:rPr>
        <w:fldChar w:fldCharType="separate"/>
      </w:r>
      <w:r>
        <w:rPr>
          <w:rFonts w:hint="eastAsia" w:ascii="宋体" w:hAnsi="宋体" w:cs="宋体"/>
          <w:sz w:val="21"/>
          <w:szCs w:val="21"/>
          <w:highlight w:val="none"/>
        </w:rPr>
        <w:t>※三、产品质量保证期</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_Toc23362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879655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"_Toc4451" </w:instrText>
      </w:r>
      <w:r>
        <w:rPr>
          <w:highlight w:val="none"/>
        </w:rPr>
        <w:fldChar w:fldCharType="separate"/>
      </w:r>
      <w:r>
        <w:rPr>
          <w:rFonts w:hint="eastAsia" w:ascii="宋体" w:hAnsi="宋体" w:cs="宋体"/>
          <w:sz w:val="21"/>
          <w:szCs w:val="21"/>
          <w:highlight w:val="none"/>
        </w:rPr>
        <w:t>※四、售后服务内容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_Toc4451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CD33D10">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"_Toc10467" </w:instrText>
      </w:r>
      <w:r>
        <w:rPr>
          <w:highlight w:val="none"/>
        </w:rPr>
        <w:fldChar w:fldCharType="separate"/>
      </w:r>
      <w:r>
        <w:rPr>
          <w:rFonts w:hint="eastAsia" w:ascii="宋体" w:hAnsi="宋体" w:cs="宋体"/>
          <w:sz w:val="21"/>
          <w:szCs w:val="21"/>
          <w:highlight w:val="none"/>
        </w:rPr>
        <w:t>※五、付款方式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_Toc10467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E8A6C2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"_Toc227" </w:instrText>
      </w:r>
      <w:r>
        <w:rPr>
          <w:highlight w:val="none"/>
        </w:rPr>
        <w:fldChar w:fldCharType="separate"/>
      </w:r>
      <w:r>
        <w:rPr>
          <w:rFonts w:hint="eastAsia" w:ascii="宋体" w:hAnsi="宋体" w:cs="宋体"/>
          <w:sz w:val="21"/>
          <w:szCs w:val="21"/>
          <w:highlight w:val="none"/>
        </w:rPr>
        <w:t>※六、知识产权</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68519D7">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"_Toc30931" </w:instrText>
      </w:r>
      <w:r>
        <w:rPr>
          <w:highlight w:val="none"/>
        </w:rPr>
        <w:fldChar w:fldCharType="separate"/>
      </w:r>
      <w:r>
        <w:rPr>
          <w:rFonts w:hint="eastAsia" w:ascii="宋体" w:hAnsi="宋体" w:cs="宋体"/>
          <w:sz w:val="21"/>
          <w:szCs w:val="21"/>
          <w:highlight w:val="none"/>
        </w:rPr>
        <w:t>※七、培训</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_Toc30931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37C4C3C">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"_Toc16101" </w:instrText>
      </w:r>
      <w:r>
        <w:rPr>
          <w:highlight w:val="none"/>
        </w:rPr>
        <w:fldChar w:fldCharType="separate"/>
      </w:r>
      <w:r>
        <w:rPr>
          <w:rFonts w:hint="eastAsia" w:ascii="宋体" w:hAnsi="宋体" w:cs="宋体"/>
          <w:sz w:val="21"/>
          <w:szCs w:val="21"/>
          <w:highlight w:val="none"/>
        </w:rPr>
        <w:t>※八、违约责任</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_Toc16101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6D5E896">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"_Toc6652" </w:instrText>
      </w:r>
      <w:r>
        <w:rPr>
          <w:highlight w:val="none"/>
        </w:rPr>
        <w:fldChar w:fldCharType="separate"/>
      </w:r>
      <w:r>
        <w:rPr>
          <w:rFonts w:hint="eastAsia" w:ascii="宋体" w:hAnsi="宋体" w:cs="宋体"/>
          <w:sz w:val="21"/>
          <w:szCs w:val="21"/>
          <w:highlight w:val="none"/>
        </w:rPr>
        <w:t>※九、其他</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_Toc6652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721414D">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"_Toc7168" </w:instrText>
      </w:r>
      <w:r>
        <w:rPr>
          <w:highlight w:val="none"/>
        </w:rPr>
        <w:fldChar w:fldCharType="separate"/>
      </w:r>
      <w:r>
        <w:rPr>
          <w:rFonts w:hint="eastAsia" w:ascii="宋体" w:hAnsi="宋体" w:cs="宋体"/>
          <w:sz w:val="21"/>
          <w:szCs w:val="21"/>
          <w:highlight w:val="none"/>
        </w:rPr>
        <w:t>第四篇  竞采程序、评审标准、无效响应和采购终止</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_Toc7168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13</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1A2A641">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"_Toc19083" </w:instrText>
      </w:r>
      <w:r>
        <w:rPr>
          <w:highlight w:val="none"/>
        </w:rPr>
        <w:fldChar w:fldCharType="separate"/>
      </w:r>
      <w:r>
        <w:rPr>
          <w:rFonts w:hint="eastAsia" w:ascii="宋体" w:hAnsi="宋体" w:cs="宋体"/>
          <w:sz w:val="21"/>
          <w:szCs w:val="21"/>
          <w:highlight w:val="none"/>
        </w:rPr>
        <w:t>一、网上竞采程序</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_Toc19083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13</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0D609B1">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"_Toc5593" </w:instrText>
      </w:r>
      <w:r>
        <w:rPr>
          <w:highlight w:val="none"/>
        </w:rPr>
        <w:fldChar w:fldCharType="separate"/>
      </w:r>
      <w:r>
        <w:rPr>
          <w:rFonts w:hint="eastAsia" w:ascii="宋体" w:hAnsi="宋体" w:cs="宋体"/>
          <w:sz w:val="21"/>
          <w:szCs w:val="21"/>
          <w:highlight w:val="none"/>
        </w:rPr>
        <w:t>二、评审标准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_Toc5593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15</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42926A9">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"_Toc4367" </w:instrText>
      </w:r>
      <w:r>
        <w:rPr>
          <w:highlight w:val="none"/>
        </w:rPr>
        <w:fldChar w:fldCharType="separate"/>
      </w:r>
      <w:r>
        <w:rPr>
          <w:rFonts w:hint="eastAsia" w:ascii="宋体" w:hAnsi="宋体" w:cs="宋体"/>
          <w:sz w:val="21"/>
          <w:szCs w:val="21"/>
          <w:highlight w:val="none"/>
        </w:rPr>
        <w:t>三、无效响应</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_Toc4367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0F7E3A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"_Toc8763" </w:instrText>
      </w:r>
      <w:r>
        <w:rPr>
          <w:highlight w:val="none"/>
        </w:rPr>
        <w:fldChar w:fldCharType="separate"/>
      </w:r>
      <w:r>
        <w:rPr>
          <w:rFonts w:hint="eastAsia" w:ascii="宋体" w:hAnsi="宋体" w:cs="宋体"/>
          <w:sz w:val="21"/>
          <w:szCs w:val="21"/>
          <w:highlight w:val="none"/>
        </w:rPr>
        <w:t>四、采购终止</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_Toc8763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2D044C96">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"_Toc22461" </w:instrText>
      </w:r>
      <w:r>
        <w:rPr>
          <w:highlight w:val="none"/>
        </w:rPr>
        <w:fldChar w:fldCharType="separate"/>
      </w:r>
      <w:r>
        <w:rPr>
          <w:rFonts w:hint="eastAsia" w:ascii="宋体" w:hAnsi="宋体" w:cs="宋体"/>
          <w:sz w:val="21"/>
          <w:szCs w:val="21"/>
          <w:highlight w:val="none"/>
        </w:rPr>
        <w:t>第五篇  供应商须知</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_Toc22461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9212CAD">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"_Toc26578" </w:instrText>
      </w:r>
      <w:r>
        <w:rPr>
          <w:highlight w:val="none"/>
        </w:rPr>
        <w:fldChar w:fldCharType="separate"/>
      </w:r>
      <w:r>
        <w:rPr>
          <w:rFonts w:hint="eastAsia" w:ascii="宋体" w:hAnsi="宋体" w:cs="宋体"/>
          <w:bCs/>
          <w:sz w:val="21"/>
          <w:szCs w:val="21"/>
          <w:highlight w:val="none"/>
        </w:rPr>
        <w:t>一、网上竞采说明</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_Toc26578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08B2204">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"_Toc8885" </w:instrText>
      </w:r>
      <w:r>
        <w:rPr>
          <w:highlight w:val="none"/>
        </w:rPr>
        <w:fldChar w:fldCharType="separate"/>
      </w:r>
      <w:r>
        <w:rPr>
          <w:rFonts w:hint="eastAsia" w:ascii="宋体" w:hAnsi="宋体" w:cs="宋体"/>
          <w:bCs/>
          <w:sz w:val="21"/>
          <w:szCs w:val="21"/>
          <w:highlight w:val="none"/>
        </w:rPr>
        <w:t>二、网上竞采通知书</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_Toc8885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5A323B7">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"_Toc31193" </w:instrText>
      </w:r>
      <w:r>
        <w:rPr>
          <w:highlight w:val="none"/>
        </w:rPr>
        <w:fldChar w:fldCharType="separate"/>
      </w:r>
      <w:r>
        <w:rPr>
          <w:rFonts w:hint="eastAsia" w:ascii="宋体" w:hAnsi="宋体" w:cs="宋体"/>
          <w:bCs/>
          <w:sz w:val="21"/>
          <w:szCs w:val="21"/>
          <w:highlight w:val="none"/>
        </w:rPr>
        <w:t>三、网上竞采要求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_Toc31193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17</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9BAE59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"_Toc16755" </w:instrText>
      </w:r>
      <w:r>
        <w:rPr>
          <w:highlight w:val="none"/>
        </w:rPr>
        <w:fldChar w:fldCharType="separate"/>
      </w:r>
      <w:r>
        <w:rPr>
          <w:rFonts w:hint="eastAsia" w:ascii="宋体" w:hAnsi="宋体" w:cs="宋体"/>
          <w:bCs/>
          <w:sz w:val="21"/>
          <w:szCs w:val="21"/>
          <w:highlight w:val="none"/>
        </w:rPr>
        <w:t>四、成交供应商的确定和变更</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_Toc16755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18</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B158DE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"_Toc5703" </w:instrText>
      </w:r>
      <w:r>
        <w:rPr>
          <w:highlight w:val="none"/>
        </w:rPr>
        <w:fldChar w:fldCharType="separate"/>
      </w:r>
      <w:r>
        <w:rPr>
          <w:rFonts w:hint="eastAsia" w:ascii="宋体" w:hAnsi="宋体" w:cs="宋体"/>
          <w:bCs/>
          <w:sz w:val="21"/>
          <w:szCs w:val="21"/>
          <w:highlight w:val="none"/>
        </w:rPr>
        <w:t>五、成交通知</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_Toc5703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19</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AEA78DA">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"_Toc7382" </w:instrText>
      </w:r>
      <w:r>
        <w:rPr>
          <w:highlight w:val="none"/>
        </w:rPr>
        <w:fldChar w:fldCharType="separate"/>
      </w:r>
      <w:r>
        <w:rPr>
          <w:rFonts w:hint="eastAsia" w:ascii="宋体" w:hAnsi="宋体" w:cs="宋体"/>
          <w:bCs/>
          <w:sz w:val="21"/>
          <w:szCs w:val="21"/>
          <w:highlight w:val="none"/>
        </w:rPr>
        <w:t>六、关于质疑和投诉</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_Toc7382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19</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08FC3F40">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"_Toc8756" </w:instrText>
      </w:r>
      <w:r>
        <w:rPr>
          <w:highlight w:val="none"/>
        </w:rPr>
        <w:fldChar w:fldCharType="separate"/>
      </w:r>
      <w:r>
        <w:rPr>
          <w:rFonts w:hint="eastAsia" w:ascii="宋体" w:hAnsi="宋体" w:cs="宋体"/>
          <w:bCs/>
          <w:sz w:val="21"/>
          <w:szCs w:val="21"/>
          <w:highlight w:val="none"/>
        </w:rPr>
        <w:t>七、签订合同</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_Toc8756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72E51596">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"_Toc3690" </w:instrText>
      </w:r>
      <w:r>
        <w:rPr>
          <w:highlight w:val="none"/>
        </w:rPr>
        <w:fldChar w:fldCharType="separate"/>
      </w:r>
      <w:r>
        <w:rPr>
          <w:rFonts w:hint="eastAsia" w:ascii="宋体" w:hAnsi="宋体" w:cs="宋体"/>
          <w:bCs/>
          <w:sz w:val="21"/>
          <w:szCs w:val="21"/>
          <w:highlight w:val="none"/>
        </w:rPr>
        <w:t>八、采购代理服务费</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_Toc3690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858D079">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"_Toc16012" </w:instrText>
      </w:r>
      <w:r>
        <w:rPr>
          <w:highlight w:val="none"/>
        </w:rPr>
        <w:fldChar w:fldCharType="separate"/>
      </w:r>
      <w:r>
        <w:rPr>
          <w:rFonts w:hint="eastAsia" w:ascii="宋体" w:hAnsi="宋体" w:cs="宋体"/>
          <w:sz w:val="21"/>
          <w:szCs w:val="21"/>
          <w:highlight w:val="none"/>
        </w:rPr>
        <w:t>第六篇  网上竞采合同（参考模板）</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_Toc16012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21</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5220930">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"_Toc21194" </w:instrText>
      </w:r>
      <w:r>
        <w:rPr>
          <w:highlight w:val="none"/>
        </w:rPr>
        <w:fldChar w:fldCharType="separate"/>
      </w:r>
      <w:r>
        <w:rPr>
          <w:rFonts w:hint="eastAsia" w:ascii="宋体" w:hAnsi="宋体" w:cs="宋体"/>
          <w:sz w:val="21"/>
          <w:szCs w:val="21"/>
          <w:highlight w:val="none"/>
        </w:rPr>
        <w:t>第七篇  响应文件编制要求</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_Toc21194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24</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A55D302">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"_Toc24403" </w:instrText>
      </w:r>
      <w:r>
        <w:rPr>
          <w:highlight w:val="none"/>
        </w:rPr>
        <w:fldChar w:fldCharType="separate"/>
      </w:r>
      <w:r>
        <w:rPr>
          <w:rFonts w:hint="eastAsia" w:ascii="宋体" w:hAnsi="宋体" w:cs="宋体"/>
          <w:sz w:val="21"/>
          <w:szCs w:val="21"/>
          <w:highlight w:val="none"/>
        </w:rPr>
        <w:t>一、经济部分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_Toc24403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858BDAF">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"_Toc30813" </w:instrText>
      </w:r>
      <w:r>
        <w:rPr>
          <w:highlight w:val="none"/>
        </w:rPr>
        <w:fldChar w:fldCharType="separate"/>
      </w:r>
      <w:r>
        <w:rPr>
          <w:rFonts w:hint="eastAsia" w:ascii="宋体" w:hAnsi="宋体" w:cs="宋体"/>
          <w:sz w:val="21"/>
          <w:szCs w:val="21"/>
          <w:highlight w:val="none"/>
        </w:rPr>
        <w:t>二、技术部分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_Toc30813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28</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5D11E4C5">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"_Toc25088" </w:instrText>
      </w:r>
      <w:r>
        <w:rPr>
          <w:highlight w:val="none"/>
        </w:rPr>
        <w:fldChar w:fldCharType="separate"/>
      </w:r>
      <w:r>
        <w:rPr>
          <w:rFonts w:hint="eastAsia" w:ascii="宋体" w:hAnsi="宋体" w:cs="宋体"/>
          <w:bCs/>
          <w:sz w:val="21"/>
          <w:szCs w:val="21"/>
          <w:highlight w:val="none"/>
        </w:rPr>
        <w:t>三、商务部分</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_Toc25088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30</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1322C939">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"_Toc29886" </w:instrText>
      </w:r>
      <w:r>
        <w:rPr>
          <w:highlight w:val="none"/>
        </w:rPr>
        <w:fldChar w:fldCharType="separate"/>
      </w:r>
      <w:r>
        <w:rPr>
          <w:rFonts w:hint="eastAsia" w:ascii="宋体" w:hAnsi="宋体" w:cs="宋体"/>
          <w:bCs/>
          <w:sz w:val="21"/>
          <w:szCs w:val="21"/>
          <w:highlight w:val="none"/>
        </w:rPr>
        <w:t>四、资格条件及其他</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_Toc29886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32</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04B7C88">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"_Toc17341" </w:instrText>
      </w:r>
      <w:r>
        <w:rPr>
          <w:highlight w:val="none"/>
        </w:rPr>
        <w:fldChar w:fldCharType="separate"/>
      </w:r>
      <w:r>
        <w:rPr>
          <w:rFonts w:hint="eastAsia" w:ascii="宋体" w:hAnsi="宋体" w:cs="宋体"/>
          <w:sz w:val="21"/>
          <w:szCs w:val="21"/>
          <w:highlight w:val="none"/>
        </w:rPr>
        <w:t>五、评审资料</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_Toc17341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36</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3DCE078D">
      <w:pPr>
        <w:pStyle w:val="20"/>
        <w:tabs>
          <w:tab w:val="right" w:leader="dot" w:pos="9240"/>
        </w:tabs>
        <w:ind w:left="560"/>
        <w:rPr>
          <w:rFonts w:ascii="宋体" w:hAnsi="宋体" w:cs="宋体"/>
          <w:sz w:val="21"/>
          <w:szCs w:val="21"/>
          <w:highlight w:val="none"/>
        </w:rPr>
      </w:pPr>
      <w:r>
        <w:rPr>
          <w:highlight w:val="none"/>
        </w:rPr>
        <w:fldChar w:fldCharType="begin"/>
      </w:r>
      <w:r>
        <w:rPr>
          <w:highlight w:val="none"/>
        </w:rPr>
        <w:instrText xml:space="preserve"> HYPERLINK \l "_Toc7814" </w:instrText>
      </w:r>
      <w:r>
        <w:rPr>
          <w:highlight w:val="none"/>
        </w:rPr>
        <w:fldChar w:fldCharType="separate"/>
      </w:r>
      <w:r>
        <w:rPr>
          <w:rFonts w:hint="eastAsia" w:ascii="宋体" w:hAnsi="宋体" w:cs="宋体"/>
          <w:sz w:val="21"/>
          <w:szCs w:val="21"/>
          <w:highlight w:val="none"/>
        </w:rPr>
        <w:t>六、其他</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_Toc7814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38</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6F192C97">
      <w:pPr>
        <w:pStyle w:val="18"/>
        <w:tabs>
          <w:tab w:val="right" w:leader="dot" w:pos="9240"/>
        </w:tabs>
        <w:spacing w:line="240" w:lineRule="auto"/>
        <w:rPr>
          <w:rFonts w:ascii="宋体" w:hAnsi="宋体" w:cs="宋体"/>
          <w:sz w:val="21"/>
          <w:szCs w:val="21"/>
          <w:highlight w:val="none"/>
        </w:rPr>
      </w:pPr>
      <w:r>
        <w:rPr>
          <w:highlight w:val="none"/>
        </w:rPr>
        <w:fldChar w:fldCharType="begin"/>
      </w:r>
      <w:r>
        <w:rPr>
          <w:highlight w:val="none"/>
        </w:rPr>
        <w:instrText xml:space="preserve"> HYPERLINK \l "_Toc24201" </w:instrText>
      </w:r>
      <w:r>
        <w:rPr>
          <w:highlight w:val="none"/>
        </w:rPr>
        <w:fldChar w:fldCharType="separate"/>
      </w:r>
      <w:r>
        <w:rPr>
          <w:rFonts w:hint="eastAsia" w:ascii="宋体" w:hAnsi="宋体" w:cs="宋体"/>
          <w:bCs/>
          <w:sz w:val="21"/>
          <w:szCs w:val="21"/>
          <w:highlight w:val="none"/>
        </w:rPr>
        <w:t>附件1：</w:t>
      </w:r>
      <w:r>
        <w:rPr>
          <w:rFonts w:hint="eastAsia" w:ascii="宋体" w:hAnsi="宋体" w:cs="宋体"/>
          <w:sz w:val="21"/>
          <w:szCs w:val="21"/>
          <w:highlight w:val="none"/>
        </w:rPr>
        <w:tab/>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PAGEREF _Toc24201 \h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39</w:t>
      </w:r>
      <w:r>
        <w:rPr>
          <w:rFonts w:hint="eastAsia" w:ascii="宋体" w:hAnsi="宋体" w:cs="宋体"/>
          <w:sz w:val="21"/>
          <w:szCs w:val="21"/>
          <w:highlight w:val="none"/>
        </w:rPr>
        <w:fldChar w:fldCharType="end"/>
      </w:r>
      <w:r>
        <w:rPr>
          <w:rFonts w:hint="eastAsia" w:ascii="宋体" w:hAnsi="宋体" w:cs="宋体"/>
          <w:sz w:val="21"/>
          <w:szCs w:val="21"/>
          <w:highlight w:val="none"/>
        </w:rPr>
        <w:fldChar w:fldCharType="end"/>
      </w:r>
    </w:p>
    <w:p w14:paraId="4E6F5F18">
      <w:pPr>
        <w:jc w:val="center"/>
        <w:rPr>
          <w:rFonts w:ascii="宋体" w:hAnsi="宋体" w:cs="宋体"/>
          <w:b/>
          <w:szCs w:val="30"/>
          <w:highlight w:val="none"/>
        </w:rPr>
      </w:pPr>
      <w:r>
        <w:rPr>
          <w:rFonts w:hint="eastAsia" w:ascii="宋体" w:hAnsi="宋体" w:cs="宋体"/>
          <w:sz w:val="21"/>
          <w:szCs w:val="21"/>
          <w:highlight w:val="none"/>
        </w:rPr>
        <w:fldChar w:fldCharType="end"/>
      </w:r>
      <w:r>
        <w:rPr>
          <w:rFonts w:hint="eastAsia" w:ascii="宋体" w:hAnsi="宋体" w:cs="宋体"/>
          <w:szCs w:val="21"/>
          <w:highlight w:val="none"/>
        </w:rPr>
        <w:br w:type="page"/>
      </w:r>
      <w:bookmarkStart w:id="8" w:name="_Toc1919"/>
      <w:r>
        <w:rPr>
          <w:rFonts w:hint="eastAsia" w:ascii="宋体" w:hAnsi="宋体" w:cs="宋体"/>
          <w:b/>
          <w:sz w:val="36"/>
          <w:szCs w:val="30"/>
          <w:highlight w:val="none"/>
        </w:rPr>
        <w:t>第一篇  采购邀请书</w:t>
      </w:r>
      <w:bookmarkEnd w:id="8"/>
    </w:p>
    <w:p w14:paraId="52E8131D">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u w:val="single"/>
          <w:lang w:val="en-US" w:eastAsia="zh-CN"/>
        </w:rPr>
        <w:t>重庆舜德工程造价咨询有限公司</w:t>
      </w:r>
      <w:r>
        <w:rPr>
          <w:rFonts w:hint="eastAsia" w:ascii="宋体" w:hAnsi="宋体" w:cs="宋体"/>
          <w:sz w:val="21"/>
          <w:szCs w:val="21"/>
          <w:highlight w:val="none"/>
        </w:rPr>
        <w:t>（以下简称：采购代理机构）受</w:t>
      </w:r>
      <w:r>
        <w:rPr>
          <w:rFonts w:hint="eastAsia" w:ascii="宋体" w:hAnsi="宋体" w:cs="宋体"/>
          <w:sz w:val="21"/>
          <w:szCs w:val="21"/>
          <w:highlight w:val="none"/>
          <w:u w:val="single"/>
          <w:lang w:val="en-US" w:eastAsia="zh-CN"/>
        </w:rPr>
        <w:t>重庆市九龙坡区金凤镇村居事务服务中心</w:t>
      </w:r>
      <w:r>
        <w:rPr>
          <w:rFonts w:hint="eastAsia" w:ascii="宋体" w:hAnsi="宋体" w:cs="宋体"/>
          <w:sz w:val="21"/>
          <w:szCs w:val="21"/>
          <w:highlight w:val="none"/>
        </w:rPr>
        <w:t>（以下简称：采购人）的委托，对</w:t>
      </w:r>
      <w:r>
        <w:rPr>
          <w:rFonts w:hint="eastAsia" w:ascii="宋体" w:hAnsi="宋体" w:cs="宋体"/>
          <w:sz w:val="21"/>
          <w:szCs w:val="21"/>
          <w:highlight w:val="none"/>
          <w:u w:val="single"/>
          <w:lang w:val="en-US" w:eastAsia="zh-CN"/>
        </w:rPr>
        <w:t>2026年金凤镇病媒生物防治（除四害）项目（第二次）</w:t>
      </w:r>
      <w:r>
        <w:rPr>
          <w:rFonts w:hint="eastAsia" w:ascii="宋体" w:hAnsi="宋体" w:cs="宋体"/>
          <w:sz w:val="21"/>
          <w:szCs w:val="21"/>
          <w:highlight w:val="none"/>
        </w:rPr>
        <w:t>进行网上竞采。欢迎有资格的供应商前来参与。</w:t>
      </w:r>
    </w:p>
    <w:p w14:paraId="3D5617B1">
      <w:pPr>
        <w:pStyle w:val="3"/>
        <w:adjustRightInd w:val="0"/>
        <w:snapToGrid w:val="0"/>
        <w:spacing w:before="0" w:after="0" w:line="360" w:lineRule="auto"/>
        <w:jc w:val="left"/>
        <w:rPr>
          <w:rFonts w:ascii="宋体" w:hAnsi="宋体" w:eastAsia="宋体" w:cs="宋体"/>
          <w:sz w:val="21"/>
          <w:szCs w:val="21"/>
          <w:highlight w:val="none"/>
        </w:rPr>
      </w:pPr>
      <w:bookmarkStart w:id="9" w:name="_Toc20102"/>
      <w:r>
        <w:rPr>
          <w:rFonts w:hint="eastAsia" w:ascii="宋体" w:hAnsi="宋体" w:eastAsia="宋体" w:cs="宋体"/>
          <w:sz w:val="21"/>
          <w:szCs w:val="21"/>
          <w:highlight w:val="none"/>
        </w:rPr>
        <w:t>一、竞采内容</w:t>
      </w:r>
      <w:bookmarkEnd w:id="9"/>
    </w:p>
    <w:tbl>
      <w:tblPr>
        <w:tblStyle w:val="25"/>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6"/>
        <w:gridCol w:w="1938"/>
        <w:gridCol w:w="2284"/>
        <w:gridCol w:w="940"/>
      </w:tblGrid>
      <w:tr w14:paraId="5F21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53" w:type="pct"/>
            <w:tcBorders>
              <w:top w:val="single" w:color="auto" w:sz="4" w:space="0"/>
              <w:left w:val="single" w:color="auto" w:sz="4" w:space="0"/>
              <w:bottom w:val="single" w:color="auto" w:sz="4" w:space="0"/>
              <w:right w:val="single" w:color="auto" w:sz="4" w:space="0"/>
            </w:tcBorders>
            <w:vAlign w:val="center"/>
          </w:tcPr>
          <w:p w14:paraId="20CDBAC5">
            <w:pPr>
              <w:adjustRightInd w:val="0"/>
              <w:snapToGrid w:val="0"/>
              <w:spacing w:line="360" w:lineRule="auto"/>
              <w:jc w:val="center"/>
              <w:rPr>
                <w:rFonts w:ascii="宋体" w:hAnsi="宋体" w:cs="宋体"/>
                <w:sz w:val="21"/>
                <w:szCs w:val="21"/>
                <w:highlight w:val="none"/>
              </w:rPr>
            </w:pPr>
            <w:bookmarkStart w:id="10" w:name="_Toc25273"/>
            <w:bookmarkStart w:id="11" w:name="_Toc12559"/>
            <w:r>
              <w:rPr>
                <w:rFonts w:hint="eastAsia" w:ascii="宋体" w:hAnsi="宋体" w:cs="宋体"/>
                <w:sz w:val="21"/>
                <w:szCs w:val="21"/>
                <w:highlight w:val="none"/>
              </w:rPr>
              <w:t>名称</w:t>
            </w:r>
          </w:p>
        </w:tc>
        <w:tc>
          <w:tcPr>
            <w:tcW w:w="1068" w:type="pct"/>
            <w:tcBorders>
              <w:top w:val="single" w:color="auto" w:sz="4" w:space="0"/>
              <w:left w:val="single" w:color="auto" w:sz="4" w:space="0"/>
              <w:bottom w:val="single" w:color="auto" w:sz="4" w:space="0"/>
              <w:right w:val="single" w:color="auto" w:sz="4" w:space="0"/>
            </w:tcBorders>
            <w:vAlign w:val="center"/>
          </w:tcPr>
          <w:p w14:paraId="09D58981">
            <w:pPr>
              <w:adjustRightInd w:val="0"/>
              <w:snapToGrid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最高限价</w:t>
            </w:r>
          </w:p>
          <w:p w14:paraId="242547BB">
            <w:pPr>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（单位：元）</w:t>
            </w:r>
          </w:p>
        </w:tc>
        <w:tc>
          <w:tcPr>
            <w:tcW w:w="1259" w:type="pct"/>
            <w:tcBorders>
              <w:top w:val="single" w:color="auto" w:sz="4" w:space="0"/>
              <w:left w:val="single" w:color="auto" w:sz="4" w:space="0"/>
              <w:bottom w:val="single" w:color="auto" w:sz="4" w:space="0"/>
              <w:right w:val="single" w:color="auto" w:sz="4" w:space="0"/>
            </w:tcBorders>
            <w:vAlign w:val="center"/>
          </w:tcPr>
          <w:p w14:paraId="5FA32219">
            <w:pPr>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成交供应商数量（名）</w:t>
            </w:r>
          </w:p>
        </w:tc>
        <w:tc>
          <w:tcPr>
            <w:tcW w:w="518" w:type="pct"/>
            <w:tcBorders>
              <w:top w:val="single" w:color="auto" w:sz="4" w:space="0"/>
              <w:left w:val="single" w:color="auto" w:sz="4" w:space="0"/>
              <w:bottom w:val="single" w:color="auto" w:sz="4" w:space="0"/>
              <w:right w:val="single" w:color="auto" w:sz="4" w:space="0"/>
            </w:tcBorders>
            <w:vAlign w:val="center"/>
          </w:tcPr>
          <w:p w14:paraId="667423AA">
            <w:pPr>
              <w:adjustRightInd w:val="0"/>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备注</w:t>
            </w:r>
          </w:p>
        </w:tc>
      </w:tr>
      <w:tr w14:paraId="0D95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153" w:type="pct"/>
            <w:tcBorders>
              <w:top w:val="single" w:color="auto" w:sz="4" w:space="0"/>
              <w:left w:val="single" w:color="auto" w:sz="4" w:space="0"/>
              <w:right w:val="single" w:color="auto" w:sz="4" w:space="0"/>
            </w:tcBorders>
            <w:vAlign w:val="center"/>
          </w:tcPr>
          <w:p w14:paraId="27BB0F08">
            <w:pPr>
              <w:adjustRightInd w:val="0"/>
              <w:snapToGrid w:val="0"/>
              <w:spacing w:line="36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cs="宋体"/>
                <w:sz w:val="21"/>
                <w:szCs w:val="21"/>
                <w:highlight w:val="none"/>
                <w:u w:val="none"/>
                <w:lang w:val="en-US" w:eastAsia="zh-CN"/>
              </w:rPr>
              <w:t>2026年金凤镇病媒生物防治（除四害）项目（第二次）</w:t>
            </w:r>
          </w:p>
        </w:tc>
        <w:tc>
          <w:tcPr>
            <w:tcW w:w="1068" w:type="pct"/>
            <w:tcBorders>
              <w:top w:val="single" w:color="auto" w:sz="4" w:space="0"/>
              <w:left w:val="single" w:color="auto" w:sz="4" w:space="0"/>
              <w:right w:val="single" w:color="auto" w:sz="4" w:space="0"/>
            </w:tcBorders>
            <w:vAlign w:val="center"/>
          </w:tcPr>
          <w:p w14:paraId="52600FF7">
            <w:pPr>
              <w:pStyle w:val="10"/>
              <w:ind w:left="210" w:hanging="210" w:hangingChars="100"/>
              <w:jc w:val="center"/>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70000.00</w:t>
            </w:r>
          </w:p>
        </w:tc>
        <w:tc>
          <w:tcPr>
            <w:tcW w:w="1259" w:type="pct"/>
            <w:tcBorders>
              <w:top w:val="single" w:color="auto" w:sz="4" w:space="0"/>
              <w:left w:val="single" w:color="auto" w:sz="4" w:space="0"/>
              <w:right w:val="single" w:color="auto" w:sz="4" w:space="0"/>
            </w:tcBorders>
            <w:vAlign w:val="center"/>
          </w:tcPr>
          <w:p w14:paraId="21FBD27E">
            <w:pPr>
              <w:pStyle w:val="10"/>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1</w:t>
            </w:r>
          </w:p>
        </w:tc>
        <w:tc>
          <w:tcPr>
            <w:tcW w:w="518" w:type="pct"/>
            <w:tcBorders>
              <w:top w:val="single" w:color="auto" w:sz="4" w:space="0"/>
              <w:left w:val="single" w:color="auto" w:sz="4" w:space="0"/>
              <w:right w:val="single" w:color="auto" w:sz="4" w:space="0"/>
            </w:tcBorders>
            <w:vAlign w:val="center"/>
          </w:tcPr>
          <w:p w14:paraId="7806E7F9">
            <w:pPr>
              <w:pStyle w:val="10"/>
              <w:ind w:firstLine="210" w:firstLineChars="100"/>
              <w:jc w:val="left"/>
              <w:rPr>
                <w:rFonts w:ascii="宋体" w:hAnsi="宋体" w:cs="宋体"/>
                <w:kern w:val="2"/>
                <w:sz w:val="21"/>
                <w:szCs w:val="21"/>
                <w:highlight w:val="none"/>
              </w:rPr>
            </w:pPr>
          </w:p>
        </w:tc>
      </w:tr>
      <w:bookmarkEnd w:id="10"/>
      <w:bookmarkEnd w:id="11"/>
    </w:tbl>
    <w:p w14:paraId="532195DE">
      <w:pPr>
        <w:pStyle w:val="3"/>
        <w:adjustRightInd w:val="0"/>
        <w:snapToGrid w:val="0"/>
        <w:spacing w:before="0" w:after="0" w:line="360" w:lineRule="auto"/>
        <w:jc w:val="left"/>
        <w:rPr>
          <w:rFonts w:ascii="宋体" w:hAnsi="宋体" w:eastAsia="宋体" w:cs="宋体"/>
          <w:sz w:val="21"/>
          <w:szCs w:val="21"/>
          <w:highlight w:val="none"/>
        </w:rPr>
      </w:pPr>
      <w:bookmarkStart w:id="12" w:name="_Toc17136"/>
      <w:r>
        <w:rPr>
          <w:rFonts w:hint="eastAsia" w:ascii="宋体" w:hAnsi="宋体" w:eastAsia="宋体" w:cs="宋体"/>
          <w:sz w:val="21"/>
          <w:szCs w:val="21"/>
          <w:highlight w:val="none"/>
        </w:rPr>
        <w:t>二、资金来源</w:t>
      </w:r>
      <w:bookmarkEnd w:id="12"/>
    </w:p>
    <w:p w14:paraId="023AAF90">
      <w:pPr>
        <w:adjustRightInd w:val="0"/>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财政资金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最高限价为7</w:t>
      </w:r>
      <w:r>
        <w:rPr>
          <w:rFonts w:hint="eastAsia" w:ascii="宋体" w:hAnsi="宋体" w:cs="宋体"/>
          <w:sz w:val="21"/>
          <w:szCs w:val="21"/>
          <w:highlight w:val="none"/>
        </w:rPr>
        <w:t>万元</w:t>
      </w:r>
      <w:r>
        <w:rPr>
          <w:rFonts w:hint="eastAsia" w:ascii="宋体" w:hAnsi="宋体" w:cs="宋体"/>
          <w:sz w:val="21"/>
          <w:szCs w:val="21"/>
          <w:highlight w:val="none"/>
          <w:lang w:val="en-US" w:eastAsia="zh-CN"/>
        </w:rPr>
        <w:t>/年。</w:t>
      </w:r>
    </w:p>
    <w:p w14:paraId="314B2C99">
      <w:pPr>
        <w:pStyle w:val="3"/>
        <w:adjustRightInd w:val="0"/>
        <w:snapToGrid w:val="0"/>
        <w:spacing w:before="0" w:after="0" w:line="360" w:lineRule="auto"/>
        <w:jc w:val="left"/>
        <w:rPr>
          <w:rFonts w:ascii="宋体" w:hAnsi="宋体" w:eastAsia="宋体" w:cs="宋体"/>
          <w:sz w:val="21"/>
          <w:szCs w:val="21"/>
          <w:highlight w:val="none"/>
        </w:rPr>
      </w:pPr>
      <w:bookmarkStart w:id="13" w:name="_Toc31079"/>
      <w:r>
        <w:rPr>
          <w:rFonts w:hint="eastAsia" w:ascii="宋体" w:hAnsi="宋体" w:eastAsia="宋体" w:cs="宋体"/>
          <w:sz w:val="21"/>
          <w:szCs w:val="21"/>
          <w:highlight w:val="none"/>
        </w:rPr>
        <w:t>三、供应商资格条件</w:t>
      </w:r>
      <w:bookmarkEnd w:id="13"/>
    </w:p>
    <w:p w14:paraId="6B821DE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（一）满足《中华人民共和国政府采购法》第二十二条规定；</w:t>
      </w:r>
    </w:p>
    <w:p w14:paraId="2F22B227">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（二）落实政府采购政策需满足的资格要求：</w:t>
      </w:r>
    </w:p>
    <w:p w14:paraId="1CAFB97D">
      <w:pPr>
        <w:spacing w:line="360" w:lineRule="auto"/>
        <w:ind w:firstLine="640" w:firstLineChars="200"/>
        <w:rPr>
          <w:rFonts w:hint="eastAsia" w:ascii="宋体" w:hAnsi="宋体" w:eastAsia="宋体" w:cs="宋体"/>
          <w:sz w:val="21"/>
          <w:szCs w:val="21"/>
          <w:highlight w:val="none"/>
        </w:rPr>
      </w:pPr>
      <w:r>
        <w:rPr>
          <w:rFonts w:hint="eastAsia" w:ascii="方正仿宋_GBK" w:hAnsi="方正仿宋_GBK" w:eastAsia="方正仿宋_GBK" w:cs="方正仿宋_GBK"/>
          <w:color w:val="auto"/>
          <w:sz w:val="32"/>
          <w:szCs w:val="32"/>
          <w:lang w:val="en-US" w:eastAsia="zh-CN"/>
        </w:rPr>
        <w:t xml:space="preserve"> </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具有独立承担民事责任的能力；</w:t>
      </w:r>
    </w:p>
    <w:p w14:paraId="5822994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具有良好的商业信誉和健全的财务会计制度；</w:t>
      </w:r>
    </w:p>
    <w:p w14:paraId="51F34EE3">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具有履行合同所必需的设备和专业技术能力；</w:t>
      </w:r>
    </w:p>
    <w:p w14:paraId="76C542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有依法缴纳税收和社会保障资金的良好记录； </w:t>
      </w:r>
    </w:p>
    <w:p w14:paraId="161A1CE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参加政府采购活动前三年内，在经营活动中没有重大违法记录；</w:t>
      </w:r>
    </w:p>
    <w:p w14:paraId="1F456751">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法律、行政法规规定的其他条件。</w:t>
      </w:r>
    </w:p>
    <w:p w14:paraId="6B0BA760">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default" w:ascii="宋体" w:hAnsi="宋体" w:eastAsia="宋体" w:cs="宋体"/>
          <w:sz w:val="21"/>
          <w:szCs w:val="21"/>
          <w:highlight w:val="none"/>
          <w:lang w:val="en-US" w:eastAsia="en-US"/>
        </w:rPr>
        <w:t>不接受联合体投标。</w:t>
      </w:r>
    </w:p>
    <w:p w14:paraId="7086A208">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rPr>
        <w:t>（三）特定资</w:t>
      </w:r>
      <w:r>
        <w:rPr>
          <w:rFonts w:hint="eastAsia" w:ascii="宋体" w:hAnsi="宋体" w:eastAsia="宋体" w:cs="宋体"/>
          <w:sz w:val="21"/>
          <w:szCs w:val="21"/>
          <w:highlight w:val="none"/>
        </w:rPr>
        <w:t>格条件：</w:t>
      </w:r>
      <w:r>
        <w:rPr>
          <w:rFonts w:hint="eastAsia" w:ascii="宋体" w:hAnsi="宋体" w:eastAsia="宋体" w:cs="宋体"/>
          <w:sz w:val="21"/>
          <w:szCs w:val="21"/>
          <w:highlight w:val="none"/>
          <w:lang w:val="en-US" w:eastAsia="zh-CN"/>
        </w:rPr>
        <w:t>具有</w:t>
      </w:r>
      <w:r>
        <w:rPr>
          <w:rFonts w:hint="eastAsia" w:ascii="宋体" w:hAnsi="宋体" w:cs="宋体"/>
          <w:sz w:val="21"/>
          <w:szCs w:val="21"/>
          <w:highlight w:val="none"/>
          <w:lang w:val="en-US" w:eastAsia="zh-CN"/>
        </w:rPr>
        <w:t>省（直辖市）级以上</w:t>
      </w:r>
      <w:r>
        <w:rPr>
          <w:rFonts w:hint="eastAsia" w:ascii="宋体" w:hAnsi="宋体" w:eastAsia="宋体" w:cs="宋体"/>
          <w:sz w:val="21"/>
          <w:szCs w:val="21"/>
          <w:highlight w:val="none"/>
        </w:rPr>
        <w:t>卫生有害生物防制协会颁发的《有害生物防制服务机构</w:t>
      </w:r>
      <w:r>
        <w:rPr>
          <w:rFonts w:hint="eastAsia" w:ascii="宋体" w:hAnsi="宋体" w:eastAsia="宋体" w:cs="宋体"/>
          <w:sz w:val="21"/>
          <w:szCs w:val="21"/>
          <w:highlight w:val="none"/>
          <w:lang w:val="en-US" w:eastAsia="zh-CN"/>
        </w:rPr>
        <w:t>服务能力证书</w:t>
      </w:r>
      <w:r>
        <w:rPr>
          <w:rFonts w:hint="eastAsia" w:ascii="宋体" w:hAnsi="宋体" w:eastAsia="宋体" w:cs="宋体"/>
          <w:sz w:val="21"/>
          <w:szCs w:val="21"/>
          <w:highlight w:val="none"/>
        </w:rPr>
        <w:t>A级》。</w:t>
      </w:r>
    </w:p>
    <w:p w14:paraId="654E13D4">
      <w:pPr>
        <w:pStyle w:val="3"/>
        <w:adjustRightInd w:val="0"/>
        <w:snapToGrid w:val="0"/>
        <w:spacing w:before="0" w:after="0" w:line="360" w:lineRule="auto"/>
        <w:jc w:val="left"/>
        <w:rPr>
          <w:rFonts w:ascii="宋体" w:hAnsi="宋体" w:eastAsia="宋体" w:cs="宋体"/>
          <w:sz w:val="21"/>
          <w:szCs w:val="21"/>
          <w:highlight w:val="none"/>
        </w:rPr>
      </w:pPr>
      <w:bookmarkStart w:id="14" w:name="_Toc2641"/>
      <w:r>
        <w:rPr>
          <w:rFonts w:hint="eastAsia" w:ascii="宋体" w:hAnsi="宋体" w:eastAsia="宋体" w:cs="宋体"/>
          <w:sz w:val="21"/>
          <w:szCs w:val="21"/>
          <w:highlight w:val="none"/>
        </w:rPr>
        <w:t>四、竞采有关说明</w:t>
      </w:r>
      <w:bookmarkEnd w:id="14"/>
    </w:p>
    <w:p w14:paraId="12C8B760">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（一）供应商需通过重庆市政府采购网（www.ccgp-chongqing.gov.cn），注册登记加入“重庆市政府采购供应商库”。</w:t>
      </w:r>
    </w:p>
    <w:p w14:paraId="496CA549">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（二）凡有意参加竞价的供应商，请于公告发布之日起至报价截止时间之前，在</w:t>
      </w:r>
      <w:r>
        <w:rPr>
          <w:rFonts w:hint="eastAsia" w:ascii="宋体" w:hAnsi="宋体" w:cs="宋体"/>
          <w:sz w:val="21"/>
          <w:szCs w:val="21"/>
          <w:highlight w:val="none"/>
        </w:rPr>
        <w:t>“重庆高新区小额采购管理与交易平台-电子竞采（https://pur.kxcwh.com/xe/）”网上</w:t>
      </w:r>
      <w:r>
        <w:rPr>
          <w:rFonts w:hint="eastAsia" w:ascii="宋体" w:hAnsi="宋体" w:cs="宋体"/>
          <w:bCs/>
          <w:sz w:val="21"/>
          <w:szCs w:val="21"/>
          <w:highlight w:val="none"/>
        </w:rPr>
        <w:t>下载并查看本项目网上竞采文件以及变更公告等网上竞采前公布的所有项目资料，无论供应商下载查看与否，均视为已知晓所有竞采实质性要求内容。</w:t>
      </w:r>
    </w:p>
    <w:p w14:paraId="1AB5727F">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（三）报名及竞采文件获取</w:t>
      </w:r>
    </w:p>
    <w:p w14:paraId="4822A3A4">
      <w:pPr>
        <w:wordWrap w:val="0"/>
        <w:spacing w:line="360" w:lineRule="auto"/>
        <w:ind w:firstLine="480"/>
        <w:rPr>
          <w:rFonts w:ascii="宋体" w:hAnsi="宋体" w:cs="宋体"/>
          <w:color w:val="000000"/>
          <w:sz w:val="21"/>
          <w:szCs w:val="21"/>
          <w:highlight w:val="none"/>
        </w:rPr>
      </w:pPr>
      <w:r>
        <w:rPr>
          <w:rFonts w:hint="eastAsia" w:ascii="宋体" w:hAnsi="宋体" w:cs="宋体"/>
          <w:color w:val="000000"/>
          <w:sz w:val="21"/>
          <w:szCs w:val="21"/>
          <w:highlight w:val="none"/>
        </w:rPr>
        <w:t>1.竞采文件获取时间：竞采公告发布之日起</w:t>
      </w:r>
      <w:r>
        <w:rPr>
          <w:rFonts w:hint="eastAsia" w:ascii="宋体" w:hAnsi="宋体" w:cs="宋体"/>
          <w:color w:val="000000"/>
          <w:sz w:val="21"/>
          <w:szCs w:val="21"/>
          <w:highlight w:val="none"/>
          <w:lang w:val="en-US" w:eastAsia="zh-CN"/>
        </w:rPr>
        <w:t>五</w:t>
      </w:r>
      <w:r>
        <w:rPr>
          <w:rFonts w:hint="eastAsia" w:ascii="宋体" w:hAnsi="宋体" w:cs="宋体"/>
          <w:color w:val="000000"/>
          <w:sz w:val="21"/>
          <w:szCs w:val="21"/>
          <w:highlight w:val="none"/>
        </w:rPr>
        <w:t>个工作日。</w:t>
      </w:r>
    </w:p>
    <w:p w14:paraId="09B0655B">
      <w:pPr>
        <w:wordWrap w:val="0"/>
        <w:spacing w:line="360" w:lineRule="auto"/>
        <w:ind w:firstLine="480"/>
        <w:rPr>
          <w:rFonts w:ascii="宋体" w:hAnsi="宋体" w:cs="宋体"/>
          <w:color w:val="000000"/>
          <w:sz w:val="21"/>
          <w:szCs w:val="21"/>
          <w:highlight w:val="none"/>
        </w:rPr>
      </w:pPr>
      <w:r>
        <w:rPr>
          <w:rFonts w:hint="eastAsia" w:ascii="宋体" w:hAnsi="宋体" w:cs="宋体"/>
          <w:color w:val="000000"/>
          <w:sz w:val="21"/>
          <w:szCs w:val="21"/>
          <w:highlight w:val="none"/>
        </w:rPr>
        <w:t>2.竞采文件获取方式：供应商请在</w:t>
      </w:r>
      <w:r>
        <w:rPr>
          <w:rFonts w:hint="eastAsia" w:ascii="宋体" w:hAnsi="宋体" w:cs="宋体"/>
          <w:sz w:val="21"/>
          <w:szCs w:val="21"/>
          <w:highlight w:val="none"/>
        </w:rPr>
        <w:t>“重庆高新区小额采购管理与交易平台-电子竞采（https://pur.kxcwh.com/xe/）”</w:t>
      </w:r>
      <w:r>
        <w:rPr>
          <w:rFonts w:hint="eastAsia" w:ascii="宋体" w:hAnsi="宋体" w:cs="宋体"/>
          <w:color w:val="000000"/>
          <w:sz w:val="21"/>
          <w:szCs w:val="21"/>
          <w:highlight w:val="none"/>
        </w:rPr>
        <w:t>上下载本项目竞采文件以及图纸、清单、补遗等竞采前公布的所有项目资料，无论供应商下载或领取与否，均视为已知晓所有实质性要求内容。</w:t>
      </w:r>
    </w:p>
    <w:p w14:paraId="6C99BE1B">
      <w:pPr>
        <w:wordWrap w:val="0"/>
        <w:spacing w:line="360" w:lineRule="auto"/>
        <w:ind w:firstLine="480"/>
      </w:pPr>
      <w:r>
        <w:rPr>
          <w:rFonts w:hint="eastAsia" w:ascii="宋体" w:hAnsi="宋体" w:cs="宋体"/>
          <w:color w:val="000000"/>
          <w:sz w:val="21"/>
          <w:szCs w:val="21"/>
          <w:highlight w:val="none"/>
        </w:rPr>
        <w:t>3.报名方式：自竞采公告发布之日起至2026年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日17：00前，供应商将《竞采项目报名登记表》加盖供应商公章扫描后发送至794096218@qq.com以邮件收到时间为准）</w:t>
      </w:r>
      <w:r>
        <w:rPr>
          <w:rFonts w:hint="eastAsia" w:ascii="宋体" w:hAnsi="宋体" w:cs="宋体"/>
          <w:color w:val="000000"/>
          <w:sz w:val="21"/>
          <w:szCs w:val="21"/>
          <w:highlight w:val="none"/>
          <w:lang w:val="en-US" w:eastAsia="zh-CN"/>
        </w:rPr>
        <w:t>并联系招标代理单位缴纳500元资料费</w:t>
      </w:r>
      <w:r>
        <w:rPr>
          <w:rFonts w:hint="eastAsia" w:ascii="宋体" w:hAnsi="宋体" w:cs="宋体"/>
          <w:color w:val="000000"/>
          <w:sz w:val="21"/>
          <w:szCs w:val="21"/>
          <w:highlight w:val="none"/>
        </w:rPr>
        <w:t>完成报名。</w:t>
      </w:r>
      <w:r>
        <w:rPr>
          <w:rFonts w:hint="eastAsia" w:ascii="宋体" w:hAnsi="宋体" w:cs="宋体"/>
          <w:b/>
          <w:bCs/>
          <w:sz w:val="21"/>
          <w:szCs w:val="21"/>
          <w:highlight w:val="none"/>
        </w:rPr>
        <w:t>（提示：采购代理机构对报名的潜在供应商信用记录及关联性进行查询）</w:t>
      </w:r>
    </w:p>
    <w:p w14:paraId="0B80831A">
      <w:pPr>
        <w:wordWrap w:val="0"/>
        <w:spacing w:line="360" w:lineRule="auto"/>
        <w:ind w:firstLine="480"/>
        <w:rPr>
          <w:rFonts w:ascii="宋体" w:hAnsi="宋体" w:cs="宋体"/>
          <w:color w:val="000000"/>
          <w:sz w:val="21"/>
          <w:szCs w:val="21"/>
          <w:highlight w:val="none"/>
        </w:rPr>
      </w:pPr>
      <w:r>
        <w:rPr>
          <w:rFonts w:hint="eastAsia" w:ascii="宋体" w:hAnsi="宋体" w:cs="宋体"/>
          <w:color w:val="000000"/>
          <w:sz w:val="21"/>
          <w:szCs w:val="21"/>
          <w:highlight w:val="none"/>
        </w:rPr>
        <w:t>4.供应商须满足以下要件，其响应文件才被接受：</w:t>
      </w:r>
    </w:p>
    <w:p w14:paraId="1EF515F2">
      <w:pPr>
        <w:wordWrap w:val="0"/>
        <w:spacing w:line="360" w:lineRule="auto"/>
        <w:ind w:firstLine="560"/>
        <w:rPr>
          <w:rFonts w:ascii="宋体" w:hAnsi="宋体" w:cs="宋体"/>
          <w:color w:val="000000"/>
          <w:sz w:val="21"/>
          <w:szCs w:val="21"/>
          <w:highlight w:val="none"/>
        </w:rPr>
      </w:pPr>
      <w:r>
        <w:rPr>
          <w:rFonts w:hint="eastAsia" w:ascii="宋体" w:hAnsi="宋体" w:cs="宋体"/>
          <w:color w:val="000000"/>
          <w:sz w:val="21"/>
          <w:szCs w:val="21"/>
          <w:highlight w:val="none"/>
        </w:rPr>
        <w:t>4.1在规定时间内获取了竞采文件并按时递交《报名及资料获取表》；</w:t>
      </w:r>
    </w:p>
    <w:p w14:paraId="6CB84582">
      <w:pPr>
        <w:wordWrap w:val="0"/>
        <w:spacing w:line="360" w:lineRule="auto"/>
        <w:ind w:firstLine="560"/>
        <w:rPr>
          <w:rFonts w:ascii="宋体" w:hAnsi="宋体" w:cs="宋体"/>
          <w:color w:val="000000"/>
          <w:sz w:val="21"/>
          <w:szCs w:val="21"/>
          <w:highlight w:val="none"/>
        </w:rPr>
      </w:pPr>
      <w:r>
        <w:rPr>
          <w:rFonts w:hint="eastAsia" w:ascii="宋体" w:hAnsi="宋体" w:cs="宋体"/>
          <w:color w:val="000000"/>
          <w:sz w:val="21"/>
          <w:szCs w:val="21"/>
          <w:highlight w:val="none"/>
        </w:rPr>
        <w:t>4.2报名供应商信用记录及关联性符合竞采文件要求；</w:t>
      </w:r>
    </w:p>
    <w:p w14:paraId="2290786F">
      <w:pPr>
        <w:wordWrap w:val="0"/>
        <w:spacing w:line="360" w:lineRule="auto"/>
        <w:ind w:firstLine="560"/>
        <w:rPr>
          <w:rFonts w:ascii="宋体" w:hAnsi="宋体" w:cs="宋体"/>
          <w:color w:val="000000"/>
          <w:sz w:val="21"/>
          <w:szCs w:val="21"/>
          <w:highlight w:val="none"/>
        </w:rPr>
      </w:pPr>
      <w:r>
        <w:rPr>
          <w:rFonts w:hint="eastAsia" w:ascii="宋体" w:hAnsi="宋体" w:cs="宋体"/>
          <w:color w:val="000000"/>
          <w:sz w:val="21"/>
          <w:szCs w:val="21"/>
          <w:highlight w:val="none"/>
        </w:rPr>
        <w:t>4.3按时上传了响应文件及线上报价。</w:t>
      </w:r>
    </w:p>
    <w:p w14:paraId="7D7980B3">
      <w:pPr>
        <w:adjustRightInd w:val="0"/>
        <w:snapToGrid w:val="0"/>
        <w:spacing w:line="36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（四）投标时间地点及程序</w:t>
      </w:r>
    </w:p>
    <w:p w14:paraId="476ABCE4">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1.线上报价时间：按本项目网上公告规定的报价截止时间为准。</w:t>
      </w:r>
    </w:p>
    <w:p w14:paraId="7BF9D954">
      <w:pPr>
        <w:wordWrap w:val="0"/>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2.线上报价要求：供应商按本项目规定的时间在“重庆高新区小额采购管理与交易平台-电子竞采（https://pur.kxcwh.com/xe/）”进行网上报价。</w:t>
      </w:r>
    </w:p>
    <w:p w14:paraId="5B9FA800">
      <w:pPr>
        <w:adjustRightInd w:val="0"/>
        <w:snapToGrid w:val="0"/>
        <w:spacing w:line="360" w:lineRule="auto"/>
        <w:ind w:firstLine="420" w:firstLineChars="200"/>
        <w:jc w:val="left"/>
        <w:rPr>
          <w:rFonts w:ascii="宋体" w:hAnsi="宋体" w:cs="宋体"/>
          <w:bCs/>
          <w:color w:val="000000"/>
          <w:sz w:val="21"/>
          <w:szCs w:val="21"/>
          <w:highlight w:val="none"/>
        </w:rPr>
      </w:pPr>
      <w:r>
        <w:rPr>
          <w:rFonts w:hint="eastAsia" w:ascii="宋体" w:hAnsi="宋体" w:cs="宋体"/>
          <w:sz w:val="21"/>
          <w:szCs w:val="21"/>
          <w:highlight w:val="none"/>
        </w:rPr>
        <w:t>3.</w:t>
      </w:r>
      <w:r>
        <w:rPr>
          <w:rFonts w:hint="eastAsia" w:ascii="宋体" w:hAnsi="宋体" w:cs="宋体"/>
          <w:bCs/>
          <w:color w:val="000000"/>
          <w:sz w:val="21"/>
          <w:szCs w:val="21"/>
          <w:highlight w:val="none"/>
        </w:rPr>
        <w:t>供应商须在平台上报价并按要求上传响应文件，未按要求提供的为无效供应商。</w:t>
      </w:r>
    </w:p>
    <w:p w14:paraId="52E43BDA">
      <w:pPr>
        <w:adjustRightInd w:val="0"/>
        <w:snapToGrid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备注：</w:t>
      </w:r>
    </w:p>
    <w:p w14:paraId="7D22CACE">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1.供应商线上报价时须上传响应文件扫描件一份（建议PDF格式）。</w:t>
      </w:r>
    </w:p>
    <w:p w14:paraId="5F7CC725">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2.采购人将以平台的线上资料作为评判依据。</w:t>
      </w:r>
    </w:p>
    <w:p w14:paraId="412669FC">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3.供应商上传的响应文件扫描件应按照“第七篇  响应文件编制要求”要求制作，规定签字、盖章的地方必须按规定签字、盖章，并扫描成一个PDF格式电子文档（若文件大小超过平台限制，可用分卷压缩包上传），未按要求制作响应文件的作无效标处理。</w:t>
      </w:r>
    </w:p>
    <w:p w14:paraId="63183E74">
      <w:pPr>
        <w:pStyle w:val="3"/>
        <w:adjustRightInd w:val="0"/>
        <w:snapToGrid w:val="0"/>
        <w:spacing w:before="0" w:after="0" w:line="360" w:lineRule="auto"/>
        <w:jc w:val="left"/>
        <w:rPr>
          <w:rFonts w:ascii="宋体" w:hAnsi="宋体" w:eastAsia="宋体" w:cs="宋体"/>
          <w:sz w:val="21"/>
          <w:szCs w:val="21"/>
          <w:highlight w:val="none"/>
        </w:rPr>
      </w:pPr>
      <w:bookmarkStart w:id="15" w:name="_Toc11346"/>
      <w:r>
        <w:rPr>
          <w:rFonts w:hint="eastAsia" w:ascii="宋体" w:hAnsi="宋体" w:eastAsia="宋体" w:cs="宋体"/>
          <w:sz w:val="21"/>
          <w:szCs w:val="21"/>
          <w:highlight w:val="none"/>
        </w:rPr>
        <w:t>五、其它有关规定</w:t>
      </w:r>
      <w:bookmarkEnd w:id="15"/>
    </w:p>
    <w:p w14:paraId="3C8E8510">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1.单位负责人为同一人或者存在直接控股、管理关系的不同供应商、或有其他关联关系的，不得参加同一合同项（分包）下的竞采活动，否则均为无效响应。</w:t>
      </w:r>
    </w:p>
    <w:p w14:paraId="050084AE">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2.为采购项目提供整体设计、规范编制或者项目管理、监理、检测等服务的供应商，不得再参加该采购项目的其他采购活动。</w:t>
      </w:r>
    </w:p>
    <w:p w14:paraId="71719071">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3.本项目的澄清文件（如果有）一律在本项目公告发布网站上发布，请各供应商注意下载；无论供应商下载与否，均视同供应商已知晓本项目澄清文件（如果有）的内容。</w:t>
      </w:r>
    </w:p>
    <w:p w14:paraId="7FC76884">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4.超过响应文件截止时间递交的响应文件，恕不接收。</w:t>
      </w:r>
    </w:p>
    <w:p w14:paraId="0F9FB89C">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5.竞采费用：无论竞采结果如何，供应商参与本项目竞采的所有费用均应由供应商自行承担。</w:t>
      </w:r>
    </w:p>
    <w:p w14:paraId="16DF7866">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6.本项目不接受联合体参与竞采，否则按无效处理。</w:t>
      </w:r>
    </w:p>
    <w:p w14:paraId="6F5E2EF4">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7.本项目不接受合同分包，否则按无效处理。</w:t>
      </w:r>
    </w:p>
    <w:p w14:paraId="3232E073">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8.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网上竞采活动。</w:t>
      </w:r>
    </w:p>
    <w:p w14:paraId="314E4FA2">
      <w:pPr>
        <w:pStyle w:val="3"/>
        <w:adjustRightInd w:val="0"/>
        <w:snapToGrid w:val="0"/>
        <w:spacing w:before="0" w:after="0" w:line="360" w:lineRule="auto"/>
        <w:jc w:val="left"/>
        <w:rPr>
          <w:rFonts w:ascii="宋体" w:hAnsi="宋体" w:eastAsia="宋体" w:cs="宋体"/>
          <w:sz w:val="21"/>
          <w:szCs w:val="21"/>
          <w:highlight w:val="none"/>
        </w:rPr>
      </w:pPr>
      <w:bookmarkStart w:id="16" w:name="_Toc13061"/>
      <w:r>
        <w:rPr>
          <w:rFonts w:hint="eastAsia" w:ascii="宋体" w:hAnsi="宋体" w:eastAsia="宋体" w:cs="宋体"/>
          <w:sz w:val="21"/>
          <w:szCs w:val="21"/>
          <w:highlight w:val="none"/>
        </w:rPr>
        <w:t>六、联系方式</w:t>
      </w:r>
      <w:bookmarkEnd w:id="16"/>
    </w:p>
    <w:p w14:paraId="4981BE07">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（一）采购人：</w:t>
      </w:r>
      <w:r>
        <w:rPr>
          <w:rFonts w:hint="eastAsia" w:ascii="宋体" w:hAnsi="宋体" w:cs="宋体"/>
          <w:sz w:val="21"/>
          <w:szCs w:val="21"/>
          <w:highlight w:val="none"/>
          <w:lang w:val="en-US" w:eastAsia="zh-CN"/>
        </w:rPr>
        <w:t>重庆市九龙坡区金凤镇村居事务服务中心</w:t>
      </w:r>
    </w:p>
    <w:p w14:paraId="58D3F427">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lang w:val="en-US" w:eastAsia="zh-CN"/>
        </w:rPr>
        <w:t>姚</w:t>
      </w:r>
      <w:r>
        <w:rPr>
          <w:rFonts w:hint="eastAsia" w:ascii="宋体" w:hAnsi="宋体" w:cs="宋体"/>
          <w:sz w:val="21"/>
          <w:szCs w:val="21"/>
          <w:highlight w:val="none"/>
        </w:rPr>
        <w:t>老师</w:t>
      </w:r>
    </w:p>
    <w:p w14:paraId="243B3A46">
      <w:pPr>
        <w:adjustRightInd w:val="0"/>
        <w:snapToGrid w:val="0"/>
        <w:spacing w:line="360" w:lineRule="auto"/>
        <w:ind w:firstLine="420" w:firstLineChars="200"/>
        <w:rPr>
          <w:rFonts w:hint="default" w:ascii="宋体" w:hAnsi="宋体" w:eastAsia="宋体" w:cs="宋体"/>
          <w:sz w:val="21"/>
          <w:szCs w:val="21"/>
          <w:highlight w:val="yellow"/>
          <w:lang w:val="en-US" w:eastAsia="zh-CN"/>
        </w:rPr>
      </w:pPr>
      <w:r>
        <w:rPr>
          <w:rFonts w:hint="eastAsia" w:ascii="宋体" w:hAnsi="宋体" w:cs="宋体"/>
          <w:sz w:val="21"/>
          <w:szCs w:val="21"/>
          <w:highlight w:val="none"/>
        </w:rPr>
        <w:t>电  话：13047388600</w:t>
      </w:r>
    </w:p>
    <w:p w14:paraId="5AAC4BE1">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地  址：重庆市九龙坡区</w:t>
      </w:r>
      <w:r>
        <w:rPr>
          <w:rFonts w:hint="eastAsia" w:ascii="宋体" w:hAnsi="宋体" w:cs="宋体"/>
          <w:sz w:val="21"/>
          <w:szCs w:val="21"/>
          <w:highlight w:val="none"/>
          <w:lang w:val="en-US" w:eastAsia="zh-CN"/>
        </w:rPr>
        <w:t>金凤镇凤苑路14号附3号</w:t>
      </w:r>
    </w:p>
    <w:p w14:paraId="05861901">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（二）代理机构：</w:t>
      </w:r>
      <w:r>
        <w:rPr>
          <w:rFonts w:hint="eastAsia" w:ascii="宋体" w:hAnsi="宋体" w:eastAsia="宋体" w:cs="宋体"/>
          <w:snapToGrid/>
          <w:kern w:val="2"/>
          <w:sz w:val="21"/>
          <w:szCs w:val="21"/>
          <w:highlight w:val="none"/>
        </w:rPr>
        <w:t>重庆舜德工程造价咨询有限公司</w:t>
      </w:r>
    </w:p>
    <w:p w14:paraId="4A7022E2">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lang w:val="en-US" w:eastAsia="zh-CN"/>
        </w:rPr>
        <w:t>马</w:t>
      </w:r>
      <w:r>
        <w:rPr>
          <w:rFonts w:hint="eastAsia" w:ascii="宋体" w:hAnsi="宋体" w:cs="宋体"/>
          <w:sz w:val="21"/>
          <w:szCs w:val="21"/>
          <w:highlight w:val="none"/>
        </w:rPr>
        <w:t>老师</w:t>
      </w:r>
    </w:p>
    <w:p w14:paraId="4083E62F">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电  话：</w:t>
      </w:r>
      <w:r>
        <w:rPr>
          <w:rFonts w:hint="eastAsia" w:ascii="宋体" w:hAnsi="宋体" w:cs="宋体"/>
          <w:sz w:val="21"/>
          <w:szCs w:val="21"/>
          <w:highlight w:val="none"/>
          <w:lang w:val="en-US" w:eastAsia="zh-CN"/>
        </w:rPr>
        <w:t>13594024803</w:t>
      </w:r>
    </w:p>
    <w:p w14:paraId="7EAF9B24">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地  址：</w:t>
      </w:r>
      <w:r>
        <w:rPr>
          <w:rFonts w:hint="eastAsia" w:ascii="宋体" w:hAnsi="宋体" w:cs="宋体"/>
          <w:kern w:val="2"/>
          <w:sz w:val="21"/>
          <w:szCs w:val="21"/>
          <w:highlight w:val="none"/>
        </w:rPr>
        <w:t>重庆市九龙坡区科城路68号24-8号</w:t>
      </w:r>
      <w:r>
        <w:rPr>
          <w:rFonts w:hint="eastAsia" w:ascii="宋体" w:hAnsi="宋体" w:cs="宋体"/>
          <w:sz w:val="21"/>
          <w:szCs w:val="21"/>
          <w:highlight w:val="none"/>
        </w:rPr>
        <w:br w:type="page"/>
      </w:r>
    </w:p>
    <w:p w14:paraId="23AF84EC">
      <w:pPr>
        <w:adjustRightInd w:val="0"/>
        <w:snapToGrid w:val="0"/>
        <w:spacing w:line="360" w:lineRule="auto"/>
        <w:ind w:firstLine="723" w:firstLineChars="200"/>
        <w:jc w:val="center"/>
        <w:outlineLvl w:val="0"/>
        <w:rPr>
          <w:rFonts w:ascii="宋体" w:hAnsi="宋体" w:cs="宋体"/>
          <w:b/>
          <w:sz w:val="36"/>
          <w:szCs w:val="36"/>
          <w:highlight w:val="none"/>
        </w:rPr>
      </w:pPr>
      <w:bookmarkStart w:id="17" w:name="_Toc22520"/>
      <w:r>
        <w:rPr>
          <w:rFonts w:hint="eastAsia" w:ascii="宋体" w:hAnsi="宋体" w:cs="宋体"/>
          <w:b/>
          <w:kern w:val="44"/>
          <w:sz w:val="36"/>
          <w:szCs w:val="30"/>
          <w:highlight w:val="none"/>
        </w:rPr>
        <w:t>第二篇  项目技术（质量）需求</w:t>
      </w:r>
      <w:bookmarkEnd w:id="17"/>
    </w:p>
    <w:p w14:paraId="60264142">
      <w:pPr>
        <w:spacing w:line="360" w:lineRule="auto"/>
        <w:rPr>
          <w:rFonts w:hint="eastAsia" w:ascii="宋体" w:hAnsi="宋体" w:eastAsia="宋体" w:cs="宋体"/>
          <w:sz w:val="21"/>
          <w:szCs w:val="21"/>
          <w:highlight w:val="none"/>
        </w:rPr>
      </w:pPr>
      <w:bookmarkStart w:id="18" w:name="_Toc103"/>
      <w:r>
        <w:rPr>
          <w:rFonts w:hint="eastAsia" w:ascii="宋体" w:hAnsi="宋体" w:eastAsia="宋体" w:cs="宋体"/>
          <w:b/>
          <w:bCs/>
          <w:sz w:val="21"/>
          <w:szCs w:val="21"/>
          <w:highlight w:val="none"/>
        </w:rPr>
        <w:t>注：本篇技术（质量）需求为符合性审查中的实质性要求，响应文件若不满足按无效处理。</w:t>
      </w:r>
    </w:p>
    <w:p w14:paraId="0C7DEBDE">
      <w:pPr>
        <w:pStyle w:val="3"/>
        <w:adjustRightInd w:val="0"/>
        <w:snapToGrid w:val="0"/>
        <w:spacing w:before="0" w:after="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一、采购项目概况</w:t>
      </w:r>
      <w:bookmarkEnd w:id="18"/>
    </w:p>
    <w:p w14:paraId="1EEBFC8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金凤镇全域公共区域（市政道路、公园广场、绿化带、公厕、垃圾中转站、下水道、背街小巷、农贸市场周边、河道沟渠等）病媒生物防治（除四害）。</w:t>
      </w:r>
    </w:p>
    <w:p w14:paraId="5EE1E3C9">
      <w:pPr>
        <w:pStyle w:val="3"/>
        <w:numPr>
          <w:ilvl w:val="0"/>
          <w:numId w:val="1"/>
        </w:numPr>
        <w:adjustRightInd w:val="0"/>
        <w:snapToGrid w:val="0"/>
        <w:spacing w:before="0" w:after="0" w:line="360" w:lineRule="auto"/>
        <w:jc w:val="left"/>
        <w:rPr>
          <w:rFonts w:hint="eastAsia" w:ascii="宋体" w:hAnsi="宋体" w:eastAsia="宋体" w:cs="宋体"/>
          <w:sz w:val="21"/>
          <w:szCs w:val="21"/>
          <w:highlight w:val="none"/>
        </w:rPr>
      </w:pPr>
      <w:bookmarkStart w:id="19" w:name="_Toc14838"/>
      <w:r>
        <w:rPr>
          <w:rFonts w:hint="eastAsia" w:ascii="宋体" w:hAnsi="宋体" w:eastAsia="宋体" w:cs="宋体"/>
          <w:sz w:val="21"/>
          <w:szCs w:val="21"/>
          <w:highlight w:val="none"/>
        </w:rPr>
        <w:t>采购项目</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w:t>
      </w:r>
      <w:bookmarkEnd w:id="19"/>
    </w:p>
    <w:tbl>
      <w:tblPr>
        <w:tblStyle w:val="25"/>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93"/>
        <w:gridCol w:w="1172"/>
        <w:gridCol w:w="3946"/>
        <w:gridCol w:w="1406"/>
        <w:gridCol w:w="3281"/>
      </w:tblGrid>
      <w:tr w14:paraId="7C5B90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22" w:hRule="atLeast"/>
        </w:trPr>
        <w:tc>
          <w:tcPr>
            <w:tcW w:w="493" w:type="dxa"/>
            <w:tcMar>
              <w:top w:w="60" w:type="dxa"/>
              <w:left w:w="120" w:type="dxa"/>
              <w:bottom w:w="30" w:type="dxa"/>
              <w:right w:w="120" w:type="dxa"/>
            </w:tcMar>
          </w:tcPr>
          <w:p w14:paraId="139F775F">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序号</w:t>
            </w:r>
          </w:p>
        </w:tc>
        <w:tc>
          <w:tcPr>
            <w:tcW w:w="1172" w:type="dxa"/>
            <w:tcMar>
              <w:top w:w="60" w:type="dxa"/>
              <w:left w:w="120" w:type="dxa"/>
              <w:bottom w:w="30" w:type="dxa"/>
              <w:right w:w="120" w:type="dxa"/>
            </w:tcMar>
          </w:tcPr>
          <w:p w14:paraId="6268B8A2">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服务项目</w:t>
            </w:r>
          </w:p>
        </w:tc>
        <w:tc>
          <w:tcPr>
            <w:tcW w:w="3946" w:type="dxa"/>
            <w:tcMar>
              <w:top w:w="60" w:type="dxa"/>
              <w:left w:w="120" w:type="dxa"/>
              <w:bottom w:w="30" w:type="dxa"/>
              <w:right w:w="120" w:type="dxa"/>
            </w:tcMar>
          </w:tcPr>
          <w:p w14:paraId="5F88689E">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具体服务内容</w:t>
            </w:r>
          </w:p>
        </w:tc>
        <w:tc>
          <w:tcPr>
            <w:tcW w:w="1406" w:type="dxa"/>
            <w:tcMar>
              <w:top w:w="60" w:type="dxa"/>
              <w:left w:w="120" w:type="dxa"/>
              <w:bottom w:w="30" w:type="dxa"/>
              <w:right w:w="120" w:type="dxa"/>
            </w:tcMar>
          </w:tcPr>
          <w:p w14:paraId="7DCB61D6">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服务频次</w:t>
            </w:r>
          </w:p>
        </w:tc>
        <w:tc>
          <w:tcPr>
            <w:tcW w:w="3281" w:type="dxa"/>
            <w:tcMar>
              <w:top w:w="60" w:type="dxa"/>
              <w:left w:w="120" w:type="dxa"/>
              <w:bottom w:w="30" w:type="dxa"/>
              <w:right w:w="120" w:type="dxa"/>
            </w:tcMar>
          </w:tcPr>
          <w:p w14:paraId="6DC3DD8B">
            <w:pPr>
              <w:spacing w:before="120" w:after="120" w:line="288" w:lineRule="auto"/>
              <w:ind w:left="0"/>
              <w:jc w:val="lef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备注</w:t>
            </w:r>
          </w:p>
        </w:tc>
      </w:tr>
      <w:tr w14:paraId="0728DE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63CF7D03">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一</w:t>
            </w:r>
          </w:p>
        </w:tc>
        <w:tc>
          <w:tcPr>
            <w:tcW w:w="1172" w:type="dxa"/>
            <w:tcMar>
              <w:top w:w="60" w:type="dxa"/>
              <w:left w:w="120" w:type="dxa"/>
              <w:bottom w:w="30" w:type="dxa"/>
              <w:right w:w="120" w:type="dxa"/>
            </w:tcMar>
          </w:tcPr>
          <w:p w14:paraId="34F593D6">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鼠类防治（灭鼠）</w:t>
            </w:r>
          </w:p>
        </w:tc>
        <w:tc>
          <w:tcPr>
            <w:tcW w:w="3946" w:type="dxa"/>
            <w:tcMar>
              <w:top w:w="60" w:type="dxa"/>
              <w:left w:w="120" w:type="dxa"/>
              <w:bottom w:w="30" w:type="dxa"/>
              <w:right w:w="120" w:type="dxa"/>
            </w:tcMar>
          </w:tcPr>
          <w:p w14:paraId="06189EE0">
            <w:pPr>
              <w:spacing w:before="120" w:after="120" w:line="288" w:lineRule="auto"/>
              <w:ind w:left="0"/>
              <w:jc w:val="left"/>
            </w:pPr>
          </w:p>
        </w:tc>
        <w:tc>
          <w:tcPr>
            <w:tcW w:w="1406" w:type="dxa"/>
            <w:tcMar>
              <w:top w:w="60" w:type="dxa"/>
              <w:left w:w="120" w:type="dxa"/>
              <w:bottom w:w="30" w:type="dxa"/>
              <w:right w:w="120" w:type="dxa"/>
            </w:tcMar>
          </w:tcPr>
          <w:p w14:paraId="58F2D8A6">
            <w:pPr>
              <w:spacing w:before="120" w:after="120" w:line="288" w:lineRule="auto"/>
              <w:ind w:left="0"/>
              <w:jc w:val="left"/>
            </w:pPr>
          </w:p>
        </w:tc>
        <w:tc>
          <w:tcPr>
            <w:tcW w:w="3281" w:type="dxa"/>
            <w:tcMar>
              <w:top w:w="60" w:type="dxa"/>
              <w:left w:w="120" w:type="dxa"/>
              <w:bottom w:w="30" w:type="dxa"/>
              <w:right w:w="120" w:type="dxa"/>
            </w:tcMar>
          </w:tcPr>
          <w:p w14:paraId="113911CF">
            <w:pPr>
              <w:spacing w:before="120" w:after="120" w:line="288" w:lineRule="auto"/>
              <w:ind w:left="0"/>
              <w:jc w:val="left"/>
            </w:pPr>
          </w:p>
        </w:tc>
      </w:tr>
      <w:tr w14:paraId="3DA9A4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39" w:hRule="atLeast"/>
        </w:trPr>
        <w:tc>
          <w:tcPr>
            <w:tcW w:w="493" w:type="dxa"/>
            <w:tcMar>
              <w:top w:w="60" w:type="dxa"/>
              <w:left w:w="120" w:type="dxa"/>
              <w:bottom w:w="30" w:type="dxa"/>
              <w:right w:w="120" w:type="dxa"/>
            </w:tcMar>
          </w:tcPr>
          <w:p w14:paraId="387A63DD">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493B8A87">
            <w:pPr>
              <w:spacing w:before="120" w:after="120" w:line="288" w:lineRule="auto"/>
              <w:ind w:left="0"/>
              <w:jc w:val="left"/>
            </w:pPr>
            <w:r>
              <w:rPr>
                <w:rFonts w:ascii="Arial" w:hAnsi="Arial" w:eastAsia="等线" w:cs="Arial"/>
                <w:sz w:val="22"/>
              </w:rPr>
              <w:t>鼠饵站布设与维护</w:t>
            </w:r>
          </w:p>
        </w:tc>
        <w:tc>
          <w:tcPr>
            <w:tcW w:w="3946" w:type="dxa"/>
            <w:tcMar>
              <w:top w:w="60" w:type="dxa"/>
              <w:left w:w="120" w:type="dxa"/>
              <w:bottom w:w="30" w:type="dxa"/>
              <w:right w:w="120" w:type="dxa"/>
            </w:tcMar>
          </w:tcPr>
          <w:p w14:paraId="193557CB">
            <w:pPr>
              <w:spacing w:before="120" w:after="120" w:line="288" w:lineRule="auto"/>
              <w:ind w:left="0"/>
              <w:jc w:val="left"/>
            </w:pPr>
            <w:r>
              <w:rPr>
                <w:rFonts w:ascii="Arial" w:hAnsi="Arial" w:eastAsia="等线" w:cs="Arial"/>
                <w:sz w:val="22"/>
              </w:rPr>
              <w:t>全镇公共区域标准化鼠饵站安装、固定、编号、挂牌、清洁维护（重点区域每 30 米 1 个，全域合理布设）</w:t>
            </w:r>
          </w:p>
        </w:tc>
        <w:tc>
          <w:tcPr>
            <w:tcW w:w="1406" w:type="dxa"/>
            <w:tcMar>
              <w:top w:w="60" w:type="dxa"/>
              <w:left w:w="120" w:type="dxa"/>
              <w:bottom w:w="30" w:type="dxa"/>
              <w:right w:w="120" w:type="dxa"/>
            </w:tcMar>
          </w:tcPr>
          <w:p w14:paraId="2510A487">
            <w:pPr>
              <w:spacing w:before="120" w:after="120" w:line="288" w:lineRule="auto"/>
              <w:ind w:left="0"/>
              <w:jc w:val="left"/>
            </w:pPr>
            <w:r>
              <w:rPr>
                <w:rFonts w:ascii="Arial" w:hAnsi="Arial" w:eastAsia="等线" w:cs="Arial"/>
                <w:sz w:val="22"/>
              </w:rPr>
              <w:t>全年常态化</w:t>
            </w:r>
          </w:p>
        </w:tc>
        <w:tc>
          <w:tcPr>
            <w:tcW w:w="3281" w:type="dxa"/>
            <w:tcMar>
              <w:top w:w="60" w:type="dxa"/>
              <w:left w:w="120" w:type="dxa"/>
              <w:bottom w:w="30" w:type="dxa"/>
              <w:right w:w="120" w:type="dxa"/>
            </w:tcMar>
          </w:tcPr>
          <w:p w14:paraId="5E9D7184">
            <w:pPr>
              <w:spacing w:before="120" w:after="120" w:line="288" w:lineRule="auto"/>
              <w:ind w:left="0"/>
              <w:jc w:val="left"/>
            </w:pPr>
            <w:r>
              <w:rPr>
                <w:rFonts w:ascii="Arial" w:hAnsi="Arial" w:eastAsia="等线" w:cs="Arial"/>
                <w:sz w:val="22"/>
              </w:rPr>
              <w:t>含鼠饵站耗材、安装人工</w:t>
            </w:r>
          </w:p>
        </w:tc>
      </w:tr>
      <w:tr w14:paraId="037DBE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465183BA">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4DEC01AF">
            <w:pPr>
              <w:spacing w:before="120" w:after="120" w:line="288" w:lineRule="auto"/>
              <w:ind w:left="0"/>
              <w:jc w:val="left"/>
            </w:pPr>
            <w:r>
              <w:rPr>
                <w:rFonts w:ascii="Arial" w:hAnsi="Arial" w:eastAsia="等线" w:cs="Arial"/>
                <w:sz w:val="22"/>
              </w:rPr>
              <w:t>鼠饵检查补药</w:t>
            </w:r>
          </w:p>
        </w:tc>
        <w:tc>
          <w:tcPr>
            <w:tcW w:w="3946" w:type="dxa"/>
            <w:tcMar>
              <w:top w:w="60" w:type="dxa"/>
              <w:left w:w="120" w:type="dxa"/>
              <w:bottom w:w="30" w:type="dxa"/>
              <w:right w:w="120" w:type="dxa"/>
            </w:tcMar>
          </w:tcPr>
          <w:p w14:paraId="5E6E7705">
            <w:pPr>
              <w:spacing w:before="120" w:after="120" w:line="288" w:lineRule="auto"/>
              <w:ind w:left="0"/>
              <w:jc w:val="left"/>
            </w:pPr>
            <w:r>
              <w:rPr>
                <w:rFonts w:ascii="Arial" w:hAnsi="Arial" w:eastAsia="等线" w:cs="Arial"/>
                <w:sz w:val="22"/>
              </w:rPr>
              <w:t>每月定期巡查鼠饵站，更换、补充灭鼠饵料，清理鼠尸，封堵鼠洞</w:t>
            </w:r>
          </w:p>
        </w:tc>
        <w:tc>
          <w:tcPr>
            <w:tcW w:w="1406" w:type="dxa"/>
            <w:tcMar>
              <w:top w:w="60" w:type="dxa"/>
              <w:left w:w="120" w:type="dxa"/>
              <w:bottom w:w="30" w:type="dxa"/>
              <w:right w:w="120" w:type="dxa"/>
            </w:tcMar>
          </w:tcPr>
          <w:p w14:paraId="455AC370">
            <w:pPr>
              <w:spacing w:before="120" w:after="120" w:line="288" w:lineRule="auto"/>
              <w:ind w:left="0"/>
              <w:jc w:val="left"/>
            </w:pPr>
            <w:r>
              <w:rPr>
                <w:rFonts w:ascii="Arial" w:hAnsi="Arial" w:eastAsia="等线" w:cs="Arial"/>
                <w:sz w:val="22"/>
              </w:rPr>
              <w:t>每月 2 次</w:t>
            </w:r>
          </w:p>
        </w:tc>
        <w:tc>
          <w:tcPr>
            <w:tcW w:w="3281" w:type="dxa"/>
            <w:tcMar>
              <w:top w:w="60" w:type="dxa"/>
              <w:left w:w="120" w:type="dxa"/>
              <w:bottom w:w="30" w:type="dxa"/>
              <w:right w:w="120" w:type="dxa"/>
            </w:tcMar>
          </w:tcPr>
          <w:p w14:paraId="243F5A18">
            <w:pPr>
              <w:spacing w:before="120" w:after="120" w:line="288" w:lineRule="auto"/>
              <w:ind w:left="0"/>
              <w:jc w:val="left"/>
            </w:pPr>
            <w:r>
              <w:rPr>
                <w:rFonts w:ascii="Arial" w:hAnsi="Arial" w:eastAsia="等线" w:cs="Arial"/>
                <w:sz w:val="22"/>
              </w:rPr>
              <w:t>含专用灭鼠药、人工、交通</w:t>
            </w:r>
          </w:p>
        </w:tc>
      </w:tr>
      <w:tr w14:paraId="34080D3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641DA105">
            <w:pPr>
              <w:spacing w:before="120" w:after="120" w:line="288" w:lineRule="auto"/>
              <w:ind w:left="0"/>
              <w:jc w:val="left"/>
            </w:pPr>
            <w:r>
              <w:rPr>
                <w:rFonts w:ascii="Arial" w:hAnsi="Arial" w:eastAsia="等线" w:cs="Arial"/>
                <w:sz w:val="22"/>
              </w:rPr>
              <w:t>3</w:t>
            </w:r>
          </w:p>
        </w:tc>
        <w:tc>
          <w:tcPr>
            <w:tcW w:w="1172" w:type="dxa"/>
            <w:tcMar>
              <w:top w:w="60" w:type="dxa"/>
              <w:left w:w="120" w:type="dxa"/>
              <w:bottom w:w="30" w:type="dxa"/>
              <w:right w:w="120" w:type="dxa"/>
            </w:tcMar>
          </w:tcPr>
          <w:p w14:paraId="49C6C774">
            <w:pPr>
              <w:spacing w:before="120" w:after="120" w:line="288" w:lineRule="auto"/>
              <w:ind w:left="0"/>
              <w:jc w:val="left"/>
            </w:pPr>
            <w:r>
              <w:rPr>
                <w:rFonts w:ascii="Arial" w:hAnsi="Arial" w:eastAsia="等线" w:cs="Arial"/>
                <w:sz w:val="22"/>
              </w:rPr>
              <w:t>集中灭鼠消杀</w:t>
            </w:r>
          </w:p>
        </w:tc>
        <w:tc>
          <w:tcPr>
            <w:tcW w:w="3946" w:type="dxa"/>
            <w:tcMar>
              <w:top w:w="60" w:type="dxa"/>
              <w:left w:w="120" w:type="dxa"/>
              <w:bottom w:w="30" w:type="dxa"/>
              <w:right w:w="120" w:type="dxa"/>
            </w:tcMar>
          </w:tcPr>
          <w:p w14:paraId="1563EB0D">
            <w:pPr>
              <w:spacing w:before="120" w:after="120" w:line="288" w:lineRule="auto"/>
              <w:ind w:left="0"/>
              <w:jc w:val="left"/>
            </w:pPr>
            <w:r>
              <w:rPr>
                <w:rFonts w:ascii="Arial" w:hAnsi="Arial" w:eastAsia="等线" w:cs="Arial"/>
                <w:sz w:val="22"/>
              </w:rPr>
              <w:t>春秋季（3-4 月、9-10 月）全镇公共区域集中灭鼠，重点区域强化投药处置</w:t>
            </w:r>
          </w:p>
        </w:tc>
        <w:tc>
          <w:tcPr>
            <w:tcW w:w="1406" w:type="dxa"/>
            <w:tcMar>
              <w:top w:w="60" w:type="dxa"/>
              <w:left w:w="120" w:type="dxa"/>
              <w:bottom w:w="30" w:type="dxa"/>
              <w:right w:w="120" w:type="dxa"/>
            </w:tcMar>
          </w:tcPr>
          <w:p w14:paraId="22685D84">
            <w:pPr>
              <w:spacing w:before="120" w:after="120" w:line="288" w:lineRule="auto"/>
              <w:ind w:left="0"/>
              <w:jc w:val="left"/>
            </w:pPr>
            <w:r>
              <w:rPr>
                <w:rFonts w:ascii="Arial" w:hAnsi="Arial" w:eastAsia="等线" w:cs="Arial"/>
                <w:sz w:val="22"/>
              </w:rPr>
              <w:t>每年 2 轮</w:t>
            </w:r>
          </w:p>
        </w:tc>
        <w:tc>
          <w:tcPr>
            <w:tcW w:w="3281" w:type="dxa"/>
            <w:tcMar>
              <w:top w:w="60" w:type="dxa"/>
              <w:left w:w="120" w:type="dxa"/>
              <w:bottom w:w="30" w:type="dxa"/>
              <w:right w:w="120" w:type="dxa"/>
            </w:tcMar>
          </w:tcPr>
          <w:p w14:paraId="2CEA1088">
            <w:pPr>
              <w:spacing w:before="120" w:after="120" w:line="288" w:lineRule="auto"/>
              <w:ind w:left="0"/>
              <w:jc w:val="left"/>
            </w:pPr>
            <w:r>
              <w:rPr>
                <w:rFonts w:ascii="Arial" w:hAnsi="Arial" w:eastAsia="等线" w:cs="Arial"/>
                <w:sz w:val="22"/>
              </w:rPr>
              <w:t>含专项药剂、集中作业人工</w:t>
            </w:r>
          </w:p>
        </w:tc>
      </w:tr>
      <w:tr w14:paraId="20F499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1858483E">
            <w:pPr>
              <w:spacing w:before="120" w:after="120" w:line="288" w:lineRule="auto"/>
              <w:ind w:left="0"/>
              <w:jc w:val="left"/>
            </w:pPr>
            <w:r>
              <w:rPr>
                <w:rFonts w:ascii="Arial" w:hAnsi="Arial" w:eastAsia="等线" w:cs="Arial"/>
                <w:sz w:val="22"/>
              </w:rPr>
              <w:t>4</w:t>
            </w:r>
          </w:p>
        </w:tc>
        <w:tc>
          <w:tcPr>
            <w:tcW w:w="1172" w:type="dxa"/>
            <w:tcMar>
              <w:top w:w="60" w:type="dxa"/>
              <w:left w:w="120" w:type="dxa"/>
              <w:bottom w:w="30" w:type="dxa"/>
              <w:right w:w="120" w:type="dxa"/>
            </w:tcMar>
          </w:tcPr>
          <w:p w14:paraId="6F87CD5B">
            <w:pPr>
              <w:spacing w:before="120" w:after="120" w:line="288" w:lineRule="auto"/>
              <w:ind w:left="0"/>
              <w:jc w:val="left"/>
            </w:pPr>
            <w:r>
              <w:rPr>
                <w:rFonts w:ascii="Arial" w:hAnsi="Arial" w:eastAsia="等线" w:cs="Arial"/>
                <w:sz w:val="22"/>
              </w:rPr>
              <w:t>鼠迹密度监测</w:t>
            </w:r>
          </w:p>
        </w:tc>
        <w:tc>
          <w:tcPr>
            <w:tcW w:w="3946" w:type="dxa"/>
            <w:tcMar>
              <w:top w:w="60" w:type="dxa"/>
              <w:left w:w="120" w:type="dxa"/>
              <w:bottom w:w="30" w:type="dxa"/>
              <w:right w:w="120" w:type="dxa"/>
            </w:tcMar>
          </w:tcPr>
          <w:p w14:paraId="370CE1D0">
            <w:pPr>
              <w:spacing w:before="120" w:after="120" w:line="288" w:lineRule="auto"/>
              <w:ind w:left="0"/>
              <w:jc w:val="left"/>
            </w:pPr>
            <w:r>
              <w:rPr>
                <w:rFonts w:ascii="Arial" w:hAnsi="Arial" w:eastAsia="等线" w:cs="Arial"/>
                <w:sz w:val="22"/>
              </w:rPr>
              <w:t>每季度开展鼠迹、鼠密度调查，提交监测报告</w:t>
            </w:r>
          </w:p>
        </w:tc>
        <w:tc>
          <w:tcPr>
            <w:tcW w:w="1406" w:type="dxa"/>
            <w:tcMar>
              <w:top w:w="60" w:type="dxa"/>
              <w:left w:w="120" w:type="dxa"/>
              <w:bottom w:w="30" w:type="dxa"/>
              <w:right w:w="120" w:type="dxa"/>
            </w:tcMar>
          </w:tcPr>
          <w:p w14:paraId="5678FADE">
            <w:pPr>
              <w:spacing w:before="120" w:after="120" w:line="288" w:lineRule="auto"/>
              <w:ind w:left="0"/>
              <w:jc w:val="left"/>
            </w:pPr>
            <w:r>
              <w:rPr>
                <w:rFonts w:ascii="Arial" w:hAnsi="Arial" w:eastAsia="等线" w:cs="Arial"/>
                <w:sz w:val="22"/>
              </w:rPr>
              <w:t>每季度 1 次</w:t>
            </w:r>
          </w:p>
        </w:tc>
        <w:tc>
          <w:tcPr>
            <w:tcW w:w="3281" w:type="dxa"/>
            <w:tcMar>
              <w:top w:w="60" w:type="dxa"/>
              <w:left w:w="120" w:type="dxa"/>
              <w:bottom w:w="30" w:type="dxa"/>
              <w:right w:w="120" w:type="dxa"/>
            </w:tcMar>
          </w:tcPr>
          <w:p w14:paraId="2F80F267">
            <w:pPr>
              <w:spacing w:before="120" w:after="120" w:line="288" w:lineRule="auto"/>
              <w:ind w:left="0"/>
              <w:jc w:val="left"/>
            </w:pPr>
            <w:r>
              <w:rPr>
                <w:rFonts w:ascii="Arial" w:hAnsi="Arial" w:eastAsia="等线" w:cs="Arial"/>
                <w:sz w:val="22"/>
              </w:rPr>
              <w:t>含监测工具、人工</w:t>
            </w:r>
          </w:p>
        </w:tc>
      </w:tr>
      <w:tr w14:paraId="6B2DDB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32BC16EE">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二</w:t>
            </w:r>
          </w:p>
        </w:tc>
        <w:tc>
          <w:tcPr>
            <w:tcW w:w="1172" w:type="dxa"/>
            <w:tcMar>
              <w:top w:w="60" w:type="dxa"/>
              <w:left w:w="120" w:type="dxa"/>
              <w:bottom w:w="30" w:type="dxa"/>
              <w:right w:w="120" w:type="dxa"/>
            </w:tcMar>
          </w:tcPr>
          <w:p w14:paraId="5F22771A">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蚊类防治（灭蚊）</w:t>
            </w:r>
          </w:p>
        </w:tc>
        <w:tc>
          <w:tcPr>
            <w:tcW w:w="3946" w:type="dxa"/>
            <w:tcMar>
              <w:top w:w="60" w:type="dxa"/>
              <w:left w:w="120" w:type="dxa"/>
              <w:bottom w:w="30" w:type="dxa"/>
              <w:right w:w="120" w:type="dxa"/>
            </w:tcMar>
          </w:tcPr>
          <w:p w14:paraId="103BC4D4">
            <w:pPr>
              <w:spacing w:before="120" w:after="120" w:line="288" w:lineRule="auto"/>
              <w:ind w:left="0"/>
              <w:jc w:val="left"/>
            </w:pPr>
          </w:p>
        </w:tc>
        <w:tc>
          <w:tcPr>
            <w:tcW w:w="1406" w:type="dxa"/>
            <w:tcMar>
              <w:top w:w="60" w:type="dxa"/>
              <w:left w:w="120" w:type="dxa"/>
              <w:bottom w:w="30" w:type="dxa"/>
              <w:right w:w="120" w:type="dxa"/>
            </w:tcMar>
          </w:tcPr>
          <w:p w14:paraId="5424B39B">
            <w:pPr>
              <w:spacing w:before="120" w:after="120" w:line="288" w:lineRule="auto"/>
              <w:ind w:left="0"/>
              <w:jc w:val="left"/>
            </w:pPr>
          </w:p>
        </w:tc>
        <w:tc>
          <w:tcPr>
            <w:tcW w:w="3281" w:type="dxa"/>
            <w:tcMar>
              <w:top w:w="60" w:type="dxa"/>
              <w:left w:w="120" w:type="dxa"/>
              <w:bottom w:w="30" w:type="dxa"/>
              <w:right w:w="120" w:type="dxa"/>
            </w:tcMar>
          </w:tcPr>
          <w:p w14:paraId="5B2905AB">
            <w:pPr>
              <w:spacing w:before="120" w:after="120" w:line="288" w:lineRule="auto"/>
              <w:ind w:left="0"/>
              <w:jc w:val="left"/>
            </w:pPr>
          </w:p>
        </w:tc>
      </w:tr>
      <w:tr w14:paraId="30EC71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493A7BDD">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36E0D524">
            <w:pPr>
              <w:spacing w:before="120" w:after="120" w:line="288" w:lineRule="auto"/>
              <w:ind w:left="0"/>
              <w:jc w:val="left"/>
            </w:pPr>
            <w:r>
              <w:rPr>
                <w:rFonts w:ascii="Arial" w:hAnsi="Arial" w:eastAsia="等线" w:cs="Arial"/>
                <w:sz w:val="22"/>
              </w:rPr>
              <w:t>蚊虫孳生地清理</w:t>
            </w:r>
          </w:p>
        </w:tc>
        <w:tc>
          <w:tcPr>
            <w:tcW w:w="3946" w:type="dxa"/>
            <w:tcMar>
              <w:top w:w="60" w:type="dxa"/>
              <w:left w:w="120" w:type="dxa"/>
              <w:bottom w:w="30" w:type="dxa"/>
              <w:right w:w="120" w:type="dxa"/>
            </w:tcMar>
          </w:tcPr>
          <w:p w14:paraId="7F1E55EA">
            <w:pPr>
              <w:spacing w:before="120" w:after="120" w:line="288" w:lineRule="auto"/>
              <w:ind w:left="0"/>
              <w:jc w:val="left"/>
            </w:pPr>
            <w:r>
              <w:rPr>
                <w:rFonts w:ascii="Arial" w:hAnsi="Arial" w:eastAsia="等线" w:cs="Arial"/>
                <w:sz w:val="22"/>
              </w:rPr>
              <w:t>排查清理积水点位、疏通沟渠、填堵树洞、清理景观水体杂草，投放灭蚊幼药剂</w:t>
            </w:r>
          </w:p>
        </w:tc>
        <w:tc>
          <w:tcPr>
            <w:tcW w:w="1406" w:type="dxa"/>
            <w:tcMar>
              <w:top w:w="60" w:type="dxa"/>
              <w:left w:w="120" w:type="dxa"/>
              <w:bottom w:w="30" w:type="dxa"/>
              <w:right w:w="120" w:type="dxa"/>
            </w:tcMar>
          </w:tcPr>
          <w:p w14:paraId="5485F18B">
            <w:pPr>
              <w:spacing w:before="120" w:after="120" w:line="288" w:lineRule="auto"/>
              <w:ind w:left="0"/>
              <w:jc w:val="left"/>
            </w:pPr>
            <w:r>
              <w:rPr>
                <w:rFonts w:ascii="Arial" w:hAnsi="Arial" w:eastAsia="等线" w:cs="Arial"/>
                <w:sz w:val="22"/>
              </w:rPr>
              <w:t>每月 1 次</w:t>
            </w:r>
          </w:p>
        </w:tc>
        <w:tc>
          <w:tcPr>
            <w:tcW w:w="3281" w:type="dxa"/>
            <w:tcMar>
              <w:top w:w="60" w:type="dxa"/>
              <w:left w:w="120" w:type="dxa"/>
              <w:bottom w:w="30" w:type="dxa"/>
              <w:right w:w="120" w:type="dxa"/>
            </w:tcMar>
          </w:tcPr>
          <w:p w14:paraId="1574402F">
            <w:pPr>
              <w:spacing w:before="120" w:after="120" w:line="288" w:lineRule="auto"/>
              <w:ind w:left="0"/>
              <w:jc w:val="left"/>
            </w:pPr>
            <w:r>
              <w:rPr>
                <w:rFonts w:ascii="Arial" w:hAnsi="Arial" w:eastAsia="等线" w:cs="Arial"/>
                <w:sz w:val="22"/>
              </w:rPr>
              <w:t>含灭蚊幼剂、人工、清疏工具</w:t>
            </w:r>
          </w:p>
        </w:tc>
      </w:tr>
      <w:tr w14:paraId="50D0D5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3C9C8DF5">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72DF7268">
            <w:pPr>
              <w:spacing w:before="120" w:after="120" w:line="288" w:lineRule="auto"/>
              <w:ind w:left="0"/>
              <w:jc w:val="left"/>
            </w:pPr>
            <w:r>
              <w:rPr>
                <w:rFonts w:ascii="Arial" w:hAnsi="Arial" w:eastAsia="等线" w:cs="Arial"/>
                <w:sz w:val="22"/>
              </w:rPr>
              <w:t>常规滞留喷洒</w:t>
            </w:r>
          </w:p>
        </w:tc>
        <w:tc>
          <w:tcPr>
            <w:tcW w:w="3946" w:type="dxa"/>
            <w:tcMar>
              <w:top w:w="60" w:type="dxa"/>
              <w:left w:w="120" w:type="dxa"/>
              <w:bottom w:w="30" w:type="dxa"/>
              <w:right w:w="120" w:type="dxa"/>
            </w:tcMar>
          </w:tcPr>
          <w:p w14:paraId="3783E9E6">
            <w:pPr>
              <w:spacing w:before="120" w:after="120" w:line="288" w:lineRule="auto"/>
              <w:ind w:left="0"/>
              <w:jc w:val="left"/>
            </w:pPr>
            <w:r>
              <w:rPr>
                <w:rFonts w:ascii="Arial" w:hAnsi="Arial" w:eastAsia="等线" w:cs="Arial"/>
                <w:sz w:val="22"/>
              </w:rPr>
              <w:t>公共区域、绿化带、公厕、下水道口等，药物滞留喷洒灭成蚊</w:t>
            </w:r>
          </w:p>
        </w:tc>
        <w:tc>
          <w:tcPr>
            <w:tcW w:w="1406" w:type="dxa"/>
            <w:tcMar>
              <w:top w:w="60" w:type="dxa"/>
              <w:left w:w="120" w:type="dxa"/>
              <w:bottom w:w="30" w:type="dxa"/>
              <w:right w:w="120" w:type="dxa"/>
            </w:tcMar>
          </w:tcPr>
          <w:p w14:paraId="786C1CAC">
            <w:pPr>
              <w:spacing w:before="120" w:after="120" w:line="288" w:lineRule="auto"/>
              <w:ind w:left="0"/>
              <w:jc w:val="left"/>
            </w:pPr>
            <w:r>
              <w:rPr>
                <w:rFonts w:ascii="Arial" w:hAnsi="Arial" w:eastAsia="等线" w:cs="Arial"/>
                <w:sz w:val="22"/>
              </w:rPr>
              <w:t>每月 1 次</w:t>
            </w:r>
          </w:p>
        </w:tc>
        <w:tc>
          <w:tcPr>
            <w:tcW w:w="3281" w:type="dxa"/>
            <w:tcMar>
              <w:top w:w="60" w:type="dxa"/>
              <w:left w:w="120" w:type="dxa"/>
              <w:bottom w:w="30" w:type="dxa"/>
              <w:right w:w="120" w:type="dxa"/>
            </w:tcMar>
          </w:tcPr>
          <w:p w14:paraId="2365AE70">
            <w:pPr>
              <w:spacing w:before="120" w:after="120" w:line="288" w:lineRule="auto"/>
              <w:ind w:left="0"/>
              <w:jc w:val="left"/>
            </w:pPr>
            <w:r>
              <w:rPr>
                <w:rFonts w:ascii="Arial" w:hAnsi="Arial" w:eastAsia="等线" w:cs="Arial"/>
                <w:sz w:val="22"/>
              </w:rPr>
              <w:t>含环保消杀药剂、人工</w:t>
            </w:r>
          </w:p>
        </w:tc>
      </w:tr>
      <w:tr w14:paraId="21D2ED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B5F7930">
            <w:pPr>
              <w:spacing w:before="120" w:after="120" w:line="288" w:lineRule="auto"/>
              <w:ind w:left="0"/>
              <w:jc w:val="left"/>
            </w:pPr>
            <w:r>
              <w:rPr>
                <w:rFonts w:ascii="Arial" w:hAnsi="Arial" w:eastAsia="等线" w:cs="Arial"/>
                <w:sz w:val="22"/>
              </w:rPr>
              <w:t>3</w:t>
            </w:r>
          </w:p>
        </w:tc>
        <w:tc>
          <w:tcPr>
            <w:tcW w:w="1172" w:type="dxa"/>
            <w:tcMar>
              <w:top w:w="60" w:type="dxa"/>
              <w:left w:w="120" w:type="dxa"/>
              <w:bottom w:w="30" w:type="dxa"/>
              <w:right w:w="120" w:type="dxa"/>
            </w:tcMar>
          </w:tcPr>
          <w:p w14:paraId="00ADB5EC">
            <w:pPr>
              <w:spacing w:before="120" w:after="120" w:line="288" w:lineRule="auto"/>
              <w:ind w:left="0"/>
              <w:jc w:val="left"/>
            </w:pPr>
            <w:r>
              <w:rPr>
                <w:rFonts w:ascii="Arial" w:hAnsi="Arial" w:eastAsia="等线" w:cs="Arial"/>
                <w:sz w:val="22"/>
              </w:rPr>
              <w:t>蚊季专项消杀</w:t>
            </w:r>
          </w:p>
        </w:tc>
        <w:tc>
          <w:tcPr>
            <w:tcW w:w="3946" w:type="dxa"/>
            <w:tcMar>
              <w:top w:w="60" w:type="dxa"/>
              <w:left w:w="120" w:type="dxa"/>
              <w:bottom w:w="30" w:type="dxa"/>
              <w:right w:w="120" w:type="dxa"/>
            </w:tcMar>
          </w:tcPr>
          <w:p w14:paraId="627BBEC1">
            <w:pPr>
              <w:spacing w:before="120" w:after="120" w:line="288" w:lineRule="auto"/>
              <w:ind w:left="0"/>
              <w:jc w:val="left"/>
            </w:pPr>
            <w:r>
              <w:rPr>
                <w:rFonts w:ascii="Arial" w:hAnsi="Arial" w:eastAsia="等线" w:cs="Arial"/>
                <w:sz w:val="22"/>
              </w:rPr>
              <w:t>5-10 月蚊虫高发季，超低容量喷雾 / 烟雾机集中消杀，重点区域强化处置</w:t>
            </w:r>
          </w:p>
        </w:tc>
        <w:tc>
          <w:tcPr>
            <w:tcW w:w="1406" w:type="dxa"/>
            <w:tcMar>
              <w:top w:w="60" w:type="dxa"/>
              <w:left w:w="120" w:type="dxa"/>
              <w:bottom w:w="30" w:type="dxa"/>
              <w:right w:w="120" w:type="dxa"/>
            </w:tcMar>
          </w:tcPr>
          <w:p w14:paraId="1B6E1595">
            <w:pPr>
              <w:spacing w:before="120" w:after="120" w:line="288" w:lineRule="auto"/>
              <w:ind w:left="0"/>
              <w:jc w:val="left"/>
            </w:pPr>
            <w:r>
              <w:rPr>
                <w:rFonts w:ascii="Arial" w:hAnsi="Arial" w:eastAsia="等线" w:cs="Arial"/>
                <w:sz w:val="22"/>
              </w:rPr>
              <w:t>每月 2 次</w:t>
            </w:r>
          </w:p>
        </w:tc>
        <w:tc>
          <w:tcPr>
            <w:tcW w:w="3281" w:type="dxa"/>
            <w:tcMar>
              <w:top w:w="60" w:type="dxa"/>
              <w:left w:w="120" w:type="dxa"/>
              <w:bottom w:w="30" w:type="dxa"/>
              <w:right w:w="120" w:type="dxa"/>
            </w:tcMar>
          </w:tcPr>
          <w:p w14:paraId="77D94CDF">
            <w:pPr>
              <w:spacing w:before="120" w:after="120" w:line="288" w:lineRule="auto"/>
              <w:ind w:left="0"/>
              <w:jc w:val="left"/>
            </w:pPr>
            <w:r>
              <w:rPr>
                <w:rFonts w:ascii="Arial" w:hAnsi="Arial" w:eastAsia="等线" w:cs="Arial"/>
                <w:sz w:val="22"/>
              </w:rPr>
              <w:t>含专用消杀药剂、机械作业</w:t>
            </w:r>
          </w:p>
        </w:tc>
      </w:tr>
      <w:tr w14:paraId="1977A9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0E0D9C1">
            <w:pPr>
              <w:spacing w:before="120" w:after="120" w:line="288" w:lineRule="auto"/>
              <w:ind w:left="0"/>
              <w:jc w:val="left"/>
            </w:pPr>
            <w:r>
              <w:rPr>
                <w:rFonts w:ascii="Arial" w:hAnsi="Arial" w:eastAsia="等线" w:cs="Arial"/>
                <w:sz w:val="22"/>
              </w:rPr>
              <w:t>4</w:t>
            </w:r>
          </w:p>
        </w:tc>
        <w:tc>
          <w:tcPr>
            <w:tcW w:w="1172" w:type="dxa"/>
            <w:tcMar>
              <w:top w:w="60" w:type="dxa"/>
              <w:left w:w="120" w:type="dxa"/>
              <w:bottom w:w="30" w:type="dxa"/>
              <w:right w:w="120" w:type="dxa"/>
            </w:tcMar>
          </w:tcPr>
          <w:p w14:paraId="38063687">
            <w:pPr>
              <w:spacing w:before="120" w:after="120" w:line="288" w:lineRule="auto"/>
              <w:ind w:left="0"/>
              <w:jc w:val="left"/>
            </w:pPr>
            <w:r>
              <w:rPr>
                <w:rFonts w:ascii="Arial" w:hAnsi="Arial" w:eastAsia="等线" w:cs="Arial"/>
                <w:sz w:val="22"/>
              </w:rPr>
              <w:t>蚊虫密度监测</w:t>
            </w:r>
          </w:p>
        </w:tc>
        <w:tc>
          <w:tcPr>
            <w:tcW w:w="3946" w:type="dxa"/>
            <w:tcMar>
              <w:top w:w="60" w:type="dxa"/>
              <w:left w:w="120" w:type="dxa"/>
              <w:bottom w:w="30" w:type="dxa"/>
              <w:right w:w="120" w:type="dxa"/>
            </w:tcMar>
          </w:tcPr>
          <w:p w14:paraId="1F6A88D3">
            <w:pPr>
              <w:spacing w:before="120" w:after="120" w:line="288" w:lineRule="auto"/>
              <w:ind w:left="0"/>
              <w:jc w:val="left"/>
            </w:pPr>
            <w:r>
              <w:rPr>
                <w:rFonts w:ascii="Arial" w:hAnsi="Arial" w:eastAsia="等线" w:cs="Arial"/>
                <w:sz w:val="22"/>
              </w:rPr>
              <w:t>每季度开展蚊虫密度、孳生地监测，形成整改及防治报告</w:t>
            </w:r>
          </w:p>
        </w:tc>
        <w:tc>
          <w:tcPr>
            <w:tcW w:w="1406" w:type="dxa"/>
            <w:tcMar>
              <w:top w:w="60" w:type="dxa"/>
              <w:left w:w="120" w:type="dxa"/>
              <w:bottom w:w="30" w:type="dxa"/>
              <w:right w:w="120" w:type="dxa"/>
            </w:tcMar>
          </w:tcPr>
          <w:p w14:paraId="124DF828">
            <w:pPr>
              <w:spacing w:before="120" w:after="120" w:line="288" w:lineRule="auto"/>
              <w:ind w:left="0"/>
              <w:jc w:val="left"/>
            </w:pPr>
            <w:r>
              <w:rPr>
                <w:rFonts w:ascii="Arial" w:hAnsi="Arial" w:eastAsia="等线" w:cs="Arial"/>
                <w:sz w:val="22"/>
              </w:rPr>
              <w:t>每季度 1 次</w:t>
            </w:r>
          </w:p>
        </w:tc>
        <w:tc>
          <w:tcPr>
            <w:tcW w:w="3281" w:type="dxa"/>
            <w:tcMar>
              <w:top w:w="60" w:type="dxa"/>
              <w:left w:w="120" w:type="dxa"/>
              <w:bottom w:w="30" w:type="dxa"/>
              <w:right w:w="120" w:type="dxa"/>
            </w:tcMar>
          </w:tcPr>
          <w:p w14:paraId="37BFE3AA">
            <w:pPr>
              <w:spacing w:before="120" w:after="120" w:line="288" w:lineRule="auto"/>
              <w:ind w:left="0"/>
              <w:jc w:val="left"/>
            </w:pPr>
            <w:r>
              <w:rPr>
                <w:rFonts w:ascii="Arial" w:hAnsi="Arial" w:eastAsia="等线" w:cs="Arial"/>
                <w:sz w:val="22"/>
              </w:rPr>
              <w:t>含监测、人工</w:t>
            </w:r>
          </w:p>
        </w:tc>
      </w:tr>
      <w:tr w14:paraId="00F769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0B0DC3DF">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三</w:t>
            </w:r>
          </w:p>
        </w:tc>
        <w:tc>
          <w:tcPr>
            <w:tcW w:w="1172" w:type="dxa"/>
            <w:tcMar>
              <w:top w:w="60" w:type="dxa"/>
              <w:left w:w="120" w:type="dxa"/>
              <w:bottom w:w="30" w:type="dxa"/>
              <w:right w:w="120" w:type="dxa"/>
            </w:tcMar>
          </w:tcPr>
          <w:p w14:paraId="207EAD88">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蝇类防治（灭蝇）</w:t>
            </w:r>
          </w:p>
        </w:tc>
        <w:tc>
          <w:tcPr>
            <w:tcW w:w="3946" w:type="dxa"/>
            <w:tcMar>
              <w:top w:w="60" w:type="dxa"/>
              <w:left w:w="120" w:type="dxa"/>
              <w:bottom w:w="30" w:type="dxa"/>
              <w:right w:w="120" w:type="dxa"/>
            </w:tcMar>
          </w:tcPr>
          <w:p w14:paraId="459340AD">
            <w:pPr>
              <w:spacing w:before="120" w:after="120" w:line="288" w:lineRule="auto"/>
              <w:ind w:left="0"/>
              <w:jc w:val="left"/>
            </w:pPr>
          </w:p>
        </w:tc>
        <w:tc>
          <w:tcPr>
            <w:tcW w:w="1406" w:type="dxa"/>
            <w:tcMar>
              <w:top w:w="60" w:type="dxa"/>
              <w:left w:w="120" w:type="dxa"/>
              <w:bottom w:w="30" w:type="dxa"/>
              <w:right w:w="120" w:type="dxa"/>
            </w:tcMar>
          </w:tcPr>
          <w:p w14:paraId="6C7129D9">
            <w:pPr>
              <w:spacing w:before="120" w:after="120" w:line="288" w:lineRule="auto"/>
              <w:ind w:left="0"/>
              <w:jc w:val="left"/>
            </w:pPr>
          </w:p>
        </w:tc>
        <w:tc>
          <w:tcPr>
            <w:tcW w:w="3281" w:type="dxa"/>
            <w:tcMar>
              <w:top w:w="60" w:type="dxa"/>
              <w:left w:w="120" w:type="dxa"/>
              <w:bottom w:w="30" w:type="dxa"/>
              <w:right w:w="120" w:type="dxa"/>
            </w:tcMar>
          </w:tcPr>
          <w:p w14:paraId="77CA4235">
            <w:pPr>
              <w:spacing w:before="120" w:after="120" w:line="288" w:lineRule="auto"/>
              <w:ind w:left="0"/>
              <w:jc w:val="left"/>
            </w:pPr>
          </w:p>
        </w:tc>
      </w:tr>
      <w:tr w14:paraId="5BD565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076B20A8">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34016661">
            <w:pPr>
              <w:spacing w:before="120" w:after="120" w:line="288" w:lineRule="auto"/>
              <w:ind w:left="0"/>
              <w:jc w:val="left"/>
            </w:pPr>
            <w:r>
              <w:rPr>
                <w:rFonts w:ascii="Arial" w:hAnsi="Arial" w:eastAsia="等线" w:cs="Arial"/>
                <w:sz w:val="22"/>
              </w:rPr>
              <w:t>重点区域灭蝇</w:t>
            </w:r>
          </w:p>
        </w:tc>
        <w:tc>
          <w:tcPr>
            <w:tcW w:w="3946" w:type="dxa"/>
            <w:tcMar>
              <w:top w:w="60" w:type="dxa"/>
              <w:left w:w="120" w:type="dxa"/>
              <w:bottom w:w="30" w:type="dxa"/>
              <w:right w:w="120" w:type="dxa"/>
            </w:tcMar>
          </w:tcPr>
          <w:p w14:paraId="329B2158">
            <w:pPr>
              <w:spacing w:before="120" w:after="120" w:line="288" w:lineRule="auto"/>
              <w:ind w:left="0"/>
              <w:jc w:val="left"/>
            </w:pPr>
            <w:r>
              <w:rPr>
                <w:rFonts w:ascii="Arial" w:hAnsi="Arial" w:eastAsia="等线" w:cs="Arial"/>
                <w:sz w:val="22"/>
              </w:rPr>
              <w:t>垃圾中转站、公厕、农贸市场周边，药物滞留喷洒、灭蝇处理</w:t>
            </w:r>
          </w:p>
        </w:tc>
        <w:tc>
          <w:tcPr>
            <w:tcW w:w="1406" w:type="dxa"/>
            <w:tcMar>
              <w:top w:w="60" w:type="dxa"/>
              <w:left w:w="120" w:type="dxa"/>
              <w:bottom w:w="30" w:type="dxa"/>
              <w:right w:w="120" w:type="dxa"/>
            </w:tcMar>
          </w:tcPr>
          <w:p w14:paraId="2F2D57B9">
            <w:pPr>
              <w:spacing w:before="120" w:after="120" w:line="288" w:lineRule="auto"/>
              <w:ind w:left="0"/>
              <w:jc w:val="left"/>
            </w:pPr>
            <w:r>
              <w:rPr>
                <w:rFonts w:ascii="Arial" w:hAnsi="Arial" w:eastAsia="等线" w:cs="Arial"/>
                <w:sz w:val="22"/>
              </w:rPr>
              <w:t>每周 1 次</w:t>
            </w:r>
          </w:p>
        </w:tc>
        <w:tc>
          <w:tcPr>
            <w:tcW w:w="3281" w:type="dxa"/>
            <w:tcMar>
              <w:top w:w="60" w:type="dxa"/>
              <w:left w:w="120" w:type="dxa"/>
              <w:bottom w:w="30" w:type="dxa"/>
              <w:right w:w="120" w:type="dxa"/>
            </w:tcMar>
          </w:tcPr>
          <w:p w14:paraId="1F7AB5A6">
            <w:pPr>
              <w:spacing w:before="120" w:after="120" w:line="288" w:lineRule="auto"/>
              <w:ind w:left="0"/>
              <w:jc w:val="left"/>
            </w:pPr>
            <w:r>
              <w:rPr>
                <w:rFonts w:ascii="Arial" w:hAnsi="Arial" w:eastAsia="等线" w:cs="Arial"/>
                <w:sz w:val="22"/>
              </w:rPr>
              <w:t>含灭蝇药剂、人工</w:t>
            </w:r>
          </w:p>
        </w:tc>
      </w:tr>
      <w:tr w14:paraId="10B204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9265B19">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4F051CCE">
            <w:pPr>
              <w:spacing w:before="120" w:after="120" w:line="288" w:lineRule="auto"/>
              <w:ind w:left="0"/>
              <w:jc w:val="left"/>
            </w:pPr>
            <w:r>
              <w:rPr>
                <w:rFonts w:ascii="Arial" w:hAnsi="Arial" w:eastAsia="等线" w:cs="Arial"/>
                <w:sz w:val="22"/>
              </w:rPr>
              <w:t>全域灭蝇消杀</w:t>
            </w:r>
          </w:p>
        </w:tc>
        <w:tc>
          <w:tcPr>
            <w:tcW w:w="3946" w:type="dxa"/>
            <w:tcMar>
              <w:top w:w="60" w:type="dxa"/>
              <w:left w:w="120" w:type="dxa"/>
              <w:bottom w:w="30" w:type="dxa"/>
              <w:right w:w="120" w:type="dxa"/>
            </w:tcMar>
          </w:tcPr>
          <w:p w14:paraId="79A93868">
            <w:pPr>
              <w:spacing w:before="120" w:after="120" w:line="288" w:lineRule="auto"/>
              <w:ind w:left="0"/>
              <w:jc w:val="left"/>
            </w:pPr>
            <w:r>
              <w:rPr>
                <w:rFonts w:ascii="Arial" w:hAnsi="Arial" w:eastAsia="等线" w:cs="Arial"/>
                <w:sz w:val="22"/>
              </w:rPr>
              <w:t>全镇公共区域空间喷雾灭成蝇，降低蝇类密度</w:t>
            </w:r>
          </w:p>
        </w:tc>
        <w:tc>
          <w:tcPr>
            <w:tcW w:w="1406" w:type="dxa"/>
            <w:tcMar>
              <w:top w:w="60" w:type="dxa"/>
              <w:left w:w="120" w:type="dxa"/>
              <w:bottom w:w="30" w:type="dxa"/>
              <w:right w:w="120" w:type="dxa"/>
            </w:tcMar>
          </w:tcPr>
          <w:p w14:paraId="0979C7C9">
            <w:pPr>
              <w:spacing w:before="120" w:after="120" w:line="288" w:lineRule="auto"/>
              <w:ind w:left="0"/>
              <w:jc w:val="left"/>
            </w:pPr>
            <w:r>
              <w:rPr>
                <w:rFonts w:ascii="Arial" w:hAnsi="Arial" w:eastAsia="等线" w:cs="Arial"/>
                <w:sz w:val="22"/>
              </w:rPr>
              <w:t>每月 2 次</w:t>
            </w:r>
          </w:p>
        </w:tc>
        <w:tc>
          <w:tcPr>
            <w:tcW w:w="3281" w:type="dxa"/>
            <w:tcMar>
              <w:top w:w="60" w:type="dxa"/>
              <w:left w:w="120" w:type="dxa"/>
              <w:bottom w:w="30" w:type="dxa"/>
              <w:right w:w="120" w:type="dxa"/>
            </w:tcMar>
          </w:tcPr>
          <w:p w14:paraId="7C42DF90">
            <w:pPr>
              <w:spacing w:before="120" w:after="120" w:line="288" w:lineRule="auto"/>
              <w:ind w:left="0"/>
              <w:jc w:val="left"/>
            </w:pPr>
            <w:r>
              <w:rPr>
                <w:rFonts w:ascii="Arial" w:hAnsi="Arial" w:eastAsia="等线" w:cs="Arial"/>
                <w:sz w:val="22"/>
              </w:rPr>
              <w:t>含消杀药剂、机械作业</w:t>
            </w:r>
          </w:p>
        </w:tc>
      </w:tr>
      <w:tr w14:paraId="383AFE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40111D09">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四</w:t>
            </w:r>
          </w:p>
        </w:tc>
        <w:tc>
          <w:tcPr>
            <w:tcW w:w="1172" w:type="dxa"/>
            <w:tcMar>
              <w:top w:w="60" w:type="dxa"/>
              <w:left w:w="120" w:type="dxa"/>
              <w:bottom w:w="30" w:type="dxa"/>
              <w:right w:w="120" w:type="dxa"/>
            </w:tcMar>
          </w:tcPr>
          <w:p w14:paraId="28AB57D2">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蟑螂防治（灭蟑）</w:t>
            </w:r>
          </w:p>
        </w:tc>
        <w:tc>
          <w:tcPr>
            <w:tcW w:w="3946" w:type="dxa"/>
            <w:tcMar>
              <w:top w:w="60" w:type="dxa"/>
              <w:left w:w="120" w:type="dxa"/>
              <w:bottom w:w="30" w:type="dxa"/>
              <w:right w:w="120" w:type="dxa"/>
            </w:tcMar>
          </w:tcPr>
          <w:p w14:paraId="0CB51142">
            <w:pPr>
              <w:spacing w:before="120" w:after="120" w:line="288" w:lineRule="auto"/>
              <w:ind w:left="0"/>
              <w:jc w:val="left"/>
            </w:pPr>
          </w:p>
        </w:tc>
        <w:tc>
          <w:tcPr>
            <w:tcW w:w="1406" w:type="dxa"/>
            <w:tcMar>
              <w:top w:w="60" w:type="dxa"/>
              <w:left w:w="120" w:type="dxa"/>
              <w:bottom w:w="30" w:type="dxa"/>
              <w:right w:w="120" w:type="dxa"/>
            </w:tcMar>
          </w:tcPr>
          <w:p w14:paraId="51840260">
            <w:pPr>
              <w:spacing w:before="120" w:after="120" w:line="288" w:lineRule="auto"/>
              <w:ind w:left="0"/>
              <w:jc w:val="left"/>
            </w:pPr>
          </w:p>
        </w:tc>
        <w:tc>
          <w:tcPr>
            <w:tcW w:w="3281" w:type="dxa"/>
            <w:tcMar>
              <w:top w:w="60" w:type="dxa"/>
              <w:left w:w="120" w:type="dxa"/>
              <w:bottom w:w="30" w:type="dxa"/>
              <w:right w:w="120" w:type="dxa"/>
            </w:tcMar>
          </w:tcPr>
          <w:p w14:paraId="29858F65">
            <w:pPr>
              <w:spacing w:before="120" w:after="120" w:line="288" w:lineRule="auto"/>
              <w:ind w:left="0"/>
              <w:jc w:val="left"/>
            </w:pPr>
          </w:p>
        </w:tc>
      </w:tr>
      <w:tr w14:paraId="6A7B67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526DA041">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736E4927">
            <w:pPr>
              <w:spacing w:before="120" w:after="120" w:line="288" w:lineRule="auto"/>
              <w:ind w:left="0"/>
              <w:jc w:val="left"/>
            </w:pPr>
            <w:r>
              <w:rPr>
                <w:rFonts w:ascii="Arial" w:hAnsi="Arial" w:eastAsia="等线" w:cs="Arial"/>
                <w:sz w:val="22"/>
              </w:rPr>
              <w:t>公共区域灭蟑</w:t>
            </w:r>
          </w:p>
        </w:tc>
        <w:tc>
          <w:tcPr>
            <w:tcW w:w="3946" w:type="dxa"/>
            <w:tcMar>
              <w:top w:w="60" w:type="dxa"/>
              <w:left w:w="120" w:type="dxa"/>
              <w:bottom w:w="30" w:type="dxa"/>
              <w:right w:w="120" w:type="dxa"/>
            </w:tcMar>
          </w:tcPr>
          <w:p w14:paraId="605C0758">
            <w:pPr>
              <w:spacing w:before="120" w:after="120" w:line="288" w:lineRule="auto"/>
              <w:ind w:left="0"/>
              <w:jc w:val="left"/>
            </w:pPr>
            <w:r>
              <w:rPr>
                <w:rFonts w:ascii="Arial" w:hAnsi="Arial" w:eastAsia="等线" w:cs="Arial"/>
                <w:sz w:val="22"/>
              </w:rPr>
              <w:t>公厕、垃圾站、市政用房、地下管网等区域，灭蟑药物投放、滞留喷洒</w:t>
            </w:r>
          </w:p>
        </w:tc>
        <w:tc>
          <w:tcPr>
            <w:tcW w:w="1406" w:type="dxa"/>
            <w:tcMar>
              <w:top w:w="60" w:type="dxa"/>
              <w:left w:w="120" w:type="dxa"/>
              <w:bottom w:w="30" w:type="dxa"/>
              <w:right w:w="120" w:type="dxa"/>
            </w:tcMar>
          </w:tcPr>
          <w:p w14:paraId="1DA9BE49">
            <w:pPr>
              <w:spacing w:before="120" w:after="120" w:line="288" w:lineRule="auto"/>
              <w:ind w:left="0"/>
              <w:jc w:val="left"/>
            </w:pPr>
            <w:r>
              <w:rPr>
                <w:rFonts w:ascii="Arial" w:hAnsi="Arial" w:eastAsia="等线" w:cs="Arial"/>
                <w:sz w:val="22"/>
              </w:rPr>
              <w:t>每月 1 次</w:t>
            </w:r>
          </w:p>
        </w:tc>
        <w:tc>
          <w:tcPr>
            <w:tcW w:w="3281" w:type="dxa"/>
            <w:tcMar>
              <w:top w:w="60" w:type="dxa"/>
              <w:left w:w="120" w:type="dxa"/>
              <w:bottom w:w="30" w:type="dxa"/>
              <w:right w:w="120" w:type="dxa"/>
            </w:tcMar>
          </w:tcPr>
          <w:p w14:paraId="64895BF2">
            <w:pPr>
              <w:spacing w:before="120" w:after="120" w:line="288" w:lineRule="auto"/>
              <w:ind w:left="0"/>
              <w:jc w:val="left"/>
            </w:pPr>
            <w:r>
              <w:rPr>
                <w:rFonts w:ascii="Arial" w:hAnsi="Arial" w:eastAsia="等线" w:cs="Arial"/>
                <w:sz w:val="22"/>
              </w:rPr>
              <w:t>含灭蟑药剂、人工</w:t>
            </w:r>
          </w:p>
        </w:tc>
      </w:tr>
      <w:tr w14:paraId="34645EC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6FC08F23">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139757F9">
            <w:pPr>
              <w:spacing w:before="120" w:after="120" w:line="288" w:lineRule="auto"/>
              <w:ind w:left="0"/>
              <w:jc w:val="left"/>
            </w:pPr>
            <w:r>
              <w:rPr>
                <w:rFonts w:ascii="Arial" w:hAnsi="Arial" w:eastAsia="等线" w:cs="Arial"/>
                <w:sz w:val="22"/>
              </w:rPr>
              <w:t>蟑迹监测排查</w:t>
            </w:r>
          </w:p>
        </w:tc>
        <w:tc>
          <w:tcPr>
            <w:tcW w:w="3946" w:type="dxa"/>
            <w:tcMar>
              <w:top w:w="60" w:type="dxa"/>
              <w:left w:w="120" w:type="dxa"/>
              <w:bottom w:w="30" w:type="dxa"/>
              <w:right w:w="120" w:type="dxa"/>
            </w:tcMar>
          </w:tcPr>
          <w:p w14:paraId="48CA1C0D">
            <w:pPr>
              <w:spacing w:before="120" w:after="120" w:line="288" w:lineRule="auto"/>
              <w:ind w:left="0"/>
              <w:jc w:val="left"/>
            </w:pPr>
            <w:r>
              <w:rPr>
                <w:rFonts w:ascii="Arial" w:hAnsi="Arial" w:eastAsia="等线" w:cs="Arial"/>
                <w:sz w:val="22"/>
              </w:rPr>
              <w:t>每季度排查蟑迹、蟑密度，针对性强化防治</w:t>
            </w:r>
          </w:p>
        </w:tc>
        <w:tc>
          <w:tcPr>
            <w:tcW w:w="1406" w:type="dxa"/>
            <w:tcMar>
              <w:top w:w="60" w:type="dxa"/>
              <w:left w:w="120" w:type="dxa"/>
              <w:bottom w:w="30" w:type="dxa"/>
              <w:right w:w="120" w:type="dxa"/>
            </w:tcMar>
          </w:tcPr>
          <w:p w14:paraId="5975CE77">
            <w:pPr>
              <w:spacing w:before="120" w:after="120" w:line="288" w:lineRule="auto"/>
              <w:ind w:left="0"/>
              <w:jc w:val="left"/>
            </w:pPr>
            <w:r>
              <w:rPr>
                <w:rFonts w:ascii="Arial" w:hAnsi="Arial" w:eastAsia="等线" w:cs="Arial"/>
                <w:sz w:val="22"/>
              </w:rPr>
              <w:t>每季度 1 次</w:t>
            </w:r>
          </w:p>
        </w:tc>
        <w:tc>
          <w:tcPr>
            <w:tcW w:w="3281" w:type="dxa"/>
            <w:tcMar>
              <w:top w:w="60" w:type="dxa"/>
              <w:left w:w="120" w:type="dxa"/>
              <w:bottom w:w="30" w:type="dxa"/>
              <w:right w:w="120" w:type="dxa"/>
            </w:tcMar>
          </w:tcPr>
          <w:p w14:paraId="3B984DBE">
            <w:pPr>
              <w:spacing w:before="120" w:after="120" w:line="288" w:lineRule="auto"/>
              <w:ind w:left="0"/>
              <w:jc w:val="left"/>
            </w:pPr>
            <w:r>
              <w:rPr>
                <w:rFonts w:ascii="Arial" w:hAnsi="Arial" w:eastAsia="等线" w:cs="Arial"/>
                <w:sz w:val="22"/>
              </w:rPr>
              <w:t>含监测、人工、整改处置</w:t>
            </w:r>
          </w:p>
        </w:tc>
      </w:tr>
      <w:tr w14:paraId="6C20E3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6" w:hRule="atLeast"/>
        </w:trPr>
        <w:tc>
          <w:tcPr>
            <w:tcW w:w="493" w:type="dxa"/>
            <w:tcMar>
              <w:top w:w="60" w:type="dxa"/>
              <w:left w:w="120" w:type="dxa"/>
              <w:bottom w:w="30" w:type="dxa"/>
              <w:right w:w="120" w:type="dxa"/>
            </w:tcMar>
          </w:tcPr>
          <w:p w14:paraId="0EC45E82">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五</w:t>
            </w:r>
          </w:p>
        </w:tc>
        <w:tc>
          <w:tcPr>
            <w:tcW w:w="1172" w:type="dxa"/>
            <w:tcMar>
              <w:top w:w="60" w:type="dxa"/>
              <w:left w:w="120" w:type="dxa"/>
              <w:bottom w:w="30" w:type="dxa"/>
              <w:right w:w="120" w:type="dxa"/>
            </w:tcMar>
          </w:tcPr>
          <w:p w14:paraId="3C848BD2">
            <w:pPr>
              <w:spacing w:before="120" w:after="120" w:line="288" w:lineRule="auto"/>
              <w:ind w:left="0"/>
              <w:jc w:val="left"/>
              <w:rPr>
                <w:rFonts w:hint="eastAsia" w:ascii="方正黑体_GBK" w:hAnsi="方正黑体_GBK" w:eastAsia="方正黑体_GBK" w:cs="方正黑体_GBK"/>
              </w:rPr>
            </w:pPr>
            <w:r>
              <w:rPr>
                <w:rFonts w:hint="eastAsia" w:ascii="方正黑体_GBK" w:hAnsi="方正黑体_GBK" w:eastAsia="方正黑体_GBK" w:cs="方正黑体_GBK"/>
                <w:sz w:val="22"/>
              </w:rPr>
              <w:t>综合服务费用</w:t>
            </w:r>
          </w:p>
        </w:tc>
        <w:tc>
          <w:tcPr>
            <w:tcW w:w="3946" w:type="dxa"/>
            <w:tcMar>
              <w:top w:w="60" w:type="dxa"/>
              <w:left w:w="120" w:type="dxa"/>
              <w:bottom w:w="30" w:type="dxa"/>
              <w:right w:w="120" w:type="dxa"/>
            </w:tcMar>
          </w:tcPr>
          <w:p w14:paraId="712B0BBB">
            <w:pPr>
              <w:spacing w:before="120" w:after="120" w:line="288" w:lineRule="auto"/>
              <w:ind w:left="0"/>
              <w:jc w:val="left"/>
            </w:pPr>
          </w:p>
        </w:tc>
        <w:tc>
          <w:tcPr>
            <w:tcW w:w="1406" w:type="dxa"/>
            <w:tcMar>
              <w:top w:w="60" w:type="dxa"/>
              <w:left w:w="120" w:type="dxa"/>
              <w:bottom w:w="30" w:type="dxa"/>
              <w:right w:w="120" w:type="dxa"/>
            </w:tcMar>
          </w:tcPr>
          <w:p w14:paraId="09F1A5D2">
            <w:pPr>
              <w:spacing w:before="120" w:after="120" w:line="288" w:lineRule="auto"/>
              <w:ind w:left="0"/>
              <w:jc w:val="left"/>
            </w:pPr>
          </w:p>
        </w:tc>
        <w:tc>
          <w:tcPr>
            <w:tcW w:w="3281" w:type="dxa"/>
            <w:tcMar>
              <w:top w:w="60" w:type="dxa"/>
              <w:left w:w="120" w:type="dxa"/>
              <w:bottom w:w="30" w:type="dxa"/>
              <w:right w:w="120" w:type="dxa"/>
            </w:tcMar>
          </w:tcPr>
          <w:p w14:paraId="399A9DB4">
            <w:pPr>
              <w:spacing w:before="120" w:after="120" w:line="288" w:lineRule="auto"/>
              <w:ind w:left="0"/>
              <w:jc w:val="left"/>
            </w:pPr>
          </w:p>
        </w:tc>
      </w:tr>
      <w:tr w14:paraId="4B8078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745CC182">
            <w:pPr>
              <w:spacing w:before="120" w:after="120" w:line="288" w:lineRule="auto"/>
              <w:ind w:left="0"/>
              <w:jc w:val="left"/>
            </w:pPr>
            <w:r>
              <w:rPr>
                <w:rFonts w:ascii="Arial" w:hAnsi="Arial" w:eastAsia="等线" w:cs="Arial"/>
                <w:sz w:val="22"/>
              </w:rPr>
              <w:t>1</w:t>
            </w:r>
          </w:p>
        </w:tc>
        <w:tc>
          <w:tcPr>
            <w:tcW w:w="1172" w:type="dxa"/>
            <w:tcMar>
              <w:top w:w="60" w:type="dxa"/>
              <w:left w:w="120" w:type="dxa"/>
              <w:bottom w:w="30" w:type="dxa"/>
              <w:right w:w="120" w:type="dxa"/>
            </w:tcMar>
          </w:tcPr>
          <w:p w14:paraId="71D213DE">
            <w:pPr>
              <w:spacing w:before="120" w:after="120" w:line="288" w:lineRule="auto"/>
              <w:ind w:left="0"/>
              <w:jc w:val="left"/>
            </w:pPr>
            <w:r>
              <w:rPr>
                <w:rFonts w:ascii="Arial" w:hAnsi="Arial" w:eastAsia="等线" w:cs="Arial"/>
                <w:sz w:val="22"/>
              </w:rPr>
              <w:t>应急处置服务</w:t>
            </w:r>
          </w:p>
        </w:tc>
        <w:tc>
          <w:tcPr>
            <w:tcW w:w="3946" w:type="dxa"/>
            <w:tcMar>
              <w:top w:w="60" w:type="dxa"/>
              <w:left w:w="120" w:type="dxa"/>
              <w:bottom w:w="30" w:type="dxa"/>
              <w:right w:w="120" w:type="dxa"/>
            </w:tcMar>
          </w:tcPr>
          <w:p w14:paraId="4CB866C7">
            <w:pPr>
              <w:spacing w:before="120" w:after="120" w:line="288" w:lineRule="auto"/>
              <w:ind w:left="0"/>
              <w:jc w:val="left"/>
            </w:pPr>
            <w:r>
              <w:rPr>
                <w:rFonts w:ascii="Arial" w:hAnsi="Arial" w:eastAsia="等线" w:cs="Arial"/>
                <w:sz w:val="22"/>
              </w:rPr>
              <w:t>接到四害泛滥、突发消杀需求，24 小时内上门应急处置</w:t>
            </w:r>
          </w:p>
        </w:tc>
        <w:tc>
          <w:tcPr>
            <w:tcW w:w="1406" w:type="dxa"/>
            <w:tcMar>
              <w:top w:w="60" w:type="dxa"/>
              <w:left w:w="120" w:type="dxa"/>
              <w:bottom w:w="30" w:type="dxa"/>
              <w:right w:w="120" w:type="dxa"/>
            </w:tcMar>
          </w:tcPr>
          <w:p w14:paraId="007812C9">
            <w:pPr>
              <w:spacing w:before="120" w:after="120" w:line="288" w:lineRule="auto"/>
              <w:ind w:left="0"/>
              <w:jc w:val="left"/>
            </w:pPr>
            <w:r>
              <w:rPr>
                <w:rFonts w:ascii="Arial" w:hAnsi="Arial" w:eastAsia="等线" w:cs="Arial"/>
                <w:sz w:val="22"/>
              </w:rPr>
              <w:t>全年按需</w:t>
            </w:r>
          </w:p>
        </w:tc>
        <w:tc>
          <w:tcPr>
            <w:tcW w:w="3281" w:type="dxa"/>
            <w:tcMar>
              <w:top w:w="60" w:type="dxa"/>
              <w:left w:w="120" w:type="dxa"/>
              <w:bottom w:w="30" w:type="dxa"/>
              <w:right w:w="120" w:type="dxa"/>
            </w:tcMar>
          </w:tcPr>
          <w:p w14:paraId="0C22202E">
            <w:pPr>
              <w:spacing w:before="120" w:after="120" w:line="288" w:lineRule="auto"/>
              <w:ind w:left="0"/>
              <w:jc w:val="left"/>
            </w:pPr>
            <w:r>
              <w:rPr>
                <w:rFonts w:ascii="Arial" w:hAnsi="Arial" w:eastAsia="等线" w:cs="Arial"/>
                <w:sz w:val="22"/>
              </w:rPr>
              <w:t>免费应急，不计额外费用</w:t>
            </w:r>
          </w:p>
        </w:tc>
      </w:tr>
      <w:tr w14:paraId="375051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6" w:hRule="atLeast"/>
        </w:trPr>
        <w:tc>
          <w:tcPr>
            <w:tcW w:w="493" w:type="dxa"/>
            <w:tcMar>
              <w:top w:w="60" w:type="dxa"/>
              <w:left w:w="120" w:type="dxa"/>
              <w:bottom w:w="30" w:type="dxa"/>
              <w:right w:w="120" w:type="dxa"/>
            </w:tcMar>
          </w:tcPr>
          <w:p w14:paraId="4E60BDFB">
            <w:pPr>
              <w:spacing w:before="120" w:after="120" w:line="288" w:lineRule="auto"/>
              <w:ind w:left="0"/>
              <w:jc w:val="left"/>
            </w:pPr>
            <w:r>
              <w:rPr>
                <w:rFonts w:ascii="Arial" w:hAnsi="Arial" w:eastAsia="等线" w:cs="Arial"/>
                <w:sz w:val="22"/>
              </w:rPr>
              <w:t>2</w:t>
            </w:r>
          </w:p>
        </w:tc>
        <w:tc>
          <w:tcPr>
            <w:tcW w:w="1172" w:type="dxa"/>
            <w:tcMar>
              <w:top w:w="60" w:type="dxa"/>
              <w:left w:w="120" w:type="dxa"/>
              <w:bottom w:w="30" w:type="dxa"/>
              <w:right w:w="120" w:type="dxa"/>
            </w:tcMar>
          </w:tcPr>
          <w:p w14:paraId="21CB674B">
            <w:pPr>
              <w:spacing w:before="120" w:after="120" w:line="288" w:lineRule="auto"/>
              <w:ind w:left="0"/>
              <w:jc w:val="left"/>
            </w:pPr>
            <w:r>
              <w:rPr>
                <w:rFonts w:ascii="Arial" w:hAnsi="Arial" w:eastAsia="等线" w:cs="Arial"/>
                <w:sz w:val="22"/>
              </w:rPr>
              <w:t>资料与验收服务</w:t>
            </w:r>
          </w:p>
        </w:tc>
        <w:tc>
          <w:tcPr>
            <w:tcW w:w="3946" w:type="dxa"/>
            <w:tcMar>
              <w:top w:w="60" w:type="dxa"/>
              <w:left w:w="120" w:type="dxa"/>
              <w:bottom w:w="30" w:type="dxa"/>
              <w:right w:w="120" w:type="dxa"/>
            </w:tcMar>
          </w:tcPr>
          <w:p w14:paraId="415D703A">
            <w:pPr>
              <w:spacing w:before="120" w:after="120" w:line="288" w:lineRule="auto"/>
              <w:ind w:left="0"/>
              <w:jc w:val="left"/>
            </w:pPr>
            <w:r>
              <w:rPr>
                <w:rFonts w:ascii="Arial" w:hAnsi="Arial" w:eastAsia="等线" w:cs="Arial"/>
                <w:sz w:val="22"/>
              </w:rPr>
              <w:t>编制每月防治记录、季度监测报告、年终总结报告，配合镇级、区级考核验收</w:t>
            </w:r>
          </w:p>
        </w:tc>
        <w:tc>
          <w:tcPr>
            <w:tcW w:w="1406" w:type="dxa"/>
            <w:tcMar>
              <w:top w:w="60" w:type="dxa"/>
              <w:left w:w="120" w:type="dxa"/>
              <w:bottom w:w="30" w:type="dxa"/>
              <w:right w:w="120" w:type="dxa"/>
            </w:tcMar>
          </w:tcPr>
          <w:p w14:paraId="2C3EBEEB">
            <w:pPr>
              <w:spacing w:before="120" w:after="120" w:line="288" w:lineRule="auto"/>
              <w:ind w:left="0"/>
              <w:jc w:val="left"/>
            </w:pPr>
            <w:r>
              <w:rPr>
                <w:rFonts w:ascii="Arial" w:hAnsi="Arial" w:eastAsia="等线" w:cs="Arial"/>
                <w:sz w:val="22"/>
              </w:rPr>
              <w:t>全年</w:t>
            </w:r>
          </w:p>
        </w:tc>
        <w:tc>
          <w:tcPr>
            <w:tcW w:w="3281" w:type="dxa"/>
            <w:tcMar>
              <w:top w:w="60" w:type="dxa"/>
              <w:left w:w="120" w:type="dxa"/>
              <w:bottom w:w="30" w:type="dxa"/>
              <w:right w:w="120" w:type="dxa"/>
            </w:tcMar>
          </w:tcPr>
          <w:p w14:paraId="4949120B">
            <w:pPr>
              <w:spacing w:before="120" w:after="120" w:line="288" w:lineRule="auto"/>
              <w:ind w:left="0"/>
              <w:jc w:val="left"/>
            </w:pPr>
            <w:r>
              <w:rPr>
                <w:rFonts w:ascii="Arial" w:hAnsi="Arial" w:eastAsia="等线" w:cs="Arial"/>
                <w:sz w:val="22"/>
              </w:rPr>
              <w:t>含资料编制、验收配合</w:t>
            </w:r>
          </w:p>
        </w:tc>
      </w:tr>
      <w:tr w14:paraId="32768F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11" w:hRule="atLeast"/>
        </w:trPr>
        <w:tc>
          <w:tcPr>
            <w:tcW w:w="493" w:type="dxa"/>
            <w:tcMar>
              <w:top w:w="60" w:type="dxa"/>
              <w:left w:w="120" w:type="dxa"/>
              <w:bottom w:w="30" w:type="dxa"/>
              <w:right w:w="120" w:type="dxa"/>
            </w:tcMar>
          </w:tcPr>
          <w:p w14:paraId="2F22E0CE">
            <w:pPr>
              <w:spacing w:before="120" w:after="120" w:line="288" w:lineRule="auto"/>
              <w:ind w:left="0"/>
              <w:jc w:val="left"/>
            </w:pPr>
            <w:r>
              <w:rPr>
                <w:rFonts w:ascii="Arial" w:hAnsi="Arial" w:eastAsia="等线" w:cs="Arial"/>
                <w:sz w:val="22"/>
              </w:rPr>
              <w:t>3</w:t>
            </w:r>
          </w:p>
        </w:tc>
        <w:tc>
          <w:tcPr>
            <w:tcW w:w="1172" w:type="dxa"/>
            <w:tcMar>
              <w:top w:w="60" w:type="dxa"/>
              <w:left w:w="120" w:type="dxa"/>
              <w:bottom w:w="30" w:type="dxa"/>
              <w:right w:w="120" w:type="dxa"/>
            </w:tcMar>
          </w:tcPr>
          <w:p w14:paraId="558DBBD9">
            <w:pPr>
              <w:spacing w:before="120" w:after="120" w:line="288" w:lineRule="auto"/>
              <w:ind w:left="0"/>
              <w:jc w:val="left"/>
              <w:rPr>
                <w:rFonts w:hint="default" w:eastAsia="宋体"/>
                <w:lang w:val="en-US" w:eastAsia="zh-CN"/>
              </w:rPr>
            </w:pPr>
            <w:r>
              <w:rPr>
                <w:rFonts w:hint="eastAsia" w:ascii="Arial" w:hAnsi="Arial" w:eastAsia="等线" w:cs="Arial"/>
                <w:sz w:val="22"/>
                <w:lang w:val="en-US" w:eastAsia="zh-CN"/>
              </w:rPr>
              <w:t>管理费税费</w:t>
            </w:r>
          </w:p>
        </w:tc>
        <w:tc>
          <w:tcPr>
            <w:tcW w:w="3946" w:type="dxa"/>
            <w:tcMar>
              <w:top w:w="60" w:type="dxa"/>
              <w:left w:w="120" w:type="dxa"/>
              <w:bottom w:w="30" w:type="dxa"/>
              <w:right w:w="120" w:type="dxa"/>
            </w:tcMar>
          </w:tcPr>
          <w:p w14:paraId="4EFC0E6A">
            <w:pPr>
              <w:spacing w:before="120" w:after="120" w:line="288" w:lineRule="auto"/>
              <w:ind w:left="0"/>
              <w:jc w:val="left"/>
            </w:pPr>
            <w:r>
              <w:rPr>
                <w:rFonts w:ascii="Arial" w:hAnsi="Arial" w:eastAsia="等线" w:cs="Arial"/>
                <w:sz w:val="22"/>
              </w:rPr>
              <w:t>项目管理</w:t>
            </w:r>
            <w:r>
              <w:rPr>
                <w:rFonts w:hint="eastAsia" w:ascii="Arial" w:hAnsi="Arial" w:eastAsia="等线" w:cs="Arial"/>
                <w:sz w:val="22"/>
                <w:lang w:val="en-US" w:eastAsia="zh-CN"/>
              </w:rPr>
              <w:t>费、税费</w:t>
            </w:r>
          </w:p>
        </w:tc>
        <w:tc>
          <w:tcPr>
            <w:tcW w:w="1406" w:type="dxa"/>
            <w:tcMar>
              <w:top w:w="60" w:type="dxa"/>
              <w:left w:w="120" w:type="dxa"/>
              <w:bottom w:w="30" w:type="dxa"/>
              <w:right w:w="120" w:type="dxa"/>
            </w:tcMar>
          </w:tcPr>
          <w:p w14:paraId="45918B9E">
            <w:pPr>
              <w:spacing w:before="120" w:after="120" w:line="288" w:lineRule="auto"/>
              <w:ind w:left="0"/>
              <w:jc w:val="left"/>
            </w:pPr>
            <w:r>
              <w:rPr>
                <w:rFonts w:ascii="Arial" w:hAnsi="Arial" w:eastAsia="等线" w:cs="Arial"/>
                <w:sz w:val="22"/>
              </w:rPr>
              <w:t>全年</w:t>
            </w:r>
          </w:p>
        </w:tc>
        <w:tc>
          <w:tcPr>
            <w:tcW w:w="3281" w:type="dxa"/>
            <w:tcMar>
              <w:top w:w="60" w:type="dxa"/>
              <w:left w:w="120" w:type="dxa"/>
              <w:bottom w:w="30" w:type="dxa"/>
              <w:right w:w="120" w:type="dxa"/>
            </w:tcMar>
          </w:tcPr>
          <w:p w14:paraId="70730AF5">
            <w:pPr>
              <w:spacing w:before="120" w:after="120" w:line="288" w:lineRule="auto"/>
              <w:ind w:left="0"/>
              <w:jc w:val="left"/>
            </w:pPr>
            <w:r>
              <w:rPr>
                <w:rFonts w:ascii="Arial" w:hAnsi="Arial" w:eastAsia="等线" w:cs="Arial"/>
                <w:sz w:val="22"/>
              </w:rPr>
              <w:t>含人员、交通、设备、防护</w:t>
            </w:r>
          </w:p>
        </w:tc>
      </w:tr>
      <w:tr w14:paraId="0E05A5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79" w:hRule="atLeast"/>
        </w:trPr>
        <w:tc>
          <w:tcPr>
            <w:tcW w:w="493" w:type="dxa"/>
            <w:tcMar>
              <w:top w:w="60" w:type="dxa"/>
              <w:left w:w="120" w:type="dxa"/>
              <w:bottom w:w="30" w:type="dxa"/>
              <w:right w:w="120" w:type="dxa"/>
            </w:tcMar>
          </w:tcPr>
          <w:p w14:paraId="779FB7B2">
            <w:pPr>
              <w:spacing w:before="120" w:after="120" w:line="288" w:lineRule="auto"/>
              <w:ind w:left="0"/>
              <w:jc w:val="left"/>
            </w:pPr>
            <w:r>
              <w:rPr>
                <w:rFonts w:ascii="Arial" w:hAnsi="Arial" w:eastAsia="等线" w:cs="Arial"/>
                <w:b/>
                <w:sz w:val="22"/>
              </w:rPr>
              <w:t>合计</w:t>
            </w:r>
          </w:p>
        </w:tc>
        <w:tc>
          <w:tcPr>
            <w:tcW w:w="1172" w:type="dxa"/>
            <w:tcMar>
              <w:top w:w="60" w:type="dxa"/>
              <w:left w:w="120" w:type="dxa"/>
              <w:bottom w:w="30" w:type="dxa"/>
              <w:right w:w="120" w:type="dxa"/>
            </w:tcMar>
          </w:tcPr>
          <w:p w14:paraId="5A6ED53C">
            <w:pPr>
              <w:spacing w:before="120" w:after="120" w:line="288" w:lineRule="auto"/>
              <w:ind w:left="0"/>
              <w:jc w:val="left"/>
            </w:pPr>
            <w:r>
              <w:rPr>
                <w:rFonts w:ascii="Arial" w:hAnsi="Arial" w:eastAsia="等线" w:cs="Arial"/>
                <w:b/>
                <w:sz w:val="22"/>
              </w:rPr>
              <w:t>-</w:t>
            </w:r>
          </w:p>
        </w:tc>
        <w:tc>
          <w:tcPr>
            <w:tcW w:w="3946" w:type="dxa"/>
            <w:tcMar>
              <w:top w:w="60" w:type="dxa"/>
              <w:left w:w="120" w:type="dxa"/>
              <w:bottom w:w="30" w:type="dxa"/>
              <w:right w:w="120" w:type="dxa"/>
            </w:tcMar>
          </w:tcPr>
          <w:p w14:paraId="5871A378">
            <w:pPr>
              <w:spacing w:before="120" w:after="120" w:line="288" w:lineRule="auto"/>
              <w:ind w:left="0"/>
              <w:jc w:val="left"/>
            </w:pPr>
            <w:r>
              <w:rPr>
                <w:rFonts w:ascii="Arial" w:hAnsi="Arial" w:eastAsia="等线" w:cs="Arial"/>
                <w:b/>
                <w:sz w:val="22"/>
              </w:rPr>
              <w:t>-</w:t>
            </w:r>
          </w:p>
        </w:tc>
        <w:tc>
          <w:tcPr>
            <w:tcW w:w="1406" w:type="dxa"/>
            <w:tcMar>
              <w:top w:w="60" w:type="dxa"/>
              <w:left w:w="120" w:type="dxa"/>
              <w:bottom w:w="30" w:type="dxa"/>
              <w:right w:w="120" w:type="dxa"/>
            </w:tcMar>
          </w:tcPr>
          <w:p w14:paraId="466A12D7">
            <w:pPr>
              <w:spacing w:before="120" w:after="120" w:line="288" w:lineRule="auto"/>
              <w:ind w:left="0"/>
              <w:jc w:val="left"/>
            </w:pPr>
            <w:r>
              <w:rPr>
                <w:rFonts w:ascii="Arial" w:hAnsi="Arial" w:eastAsia="等线" w:cs="Arial"/>
                <w:b/>
                <w:sz w:val="22"/>
              </w:rPr>
              <w:t>-</w:t>
            </w:r>
          </w:p>
        </w:tc>
        <w:tc>
          <w:tcPr>
            <w:tcW w:w="3281" w:type="dxa"/>
            <w:tcMar>
              <w:top w:w="60" w:type="dxa"/>
              <w:left w:w="120" w:type="dxa"/>
              <w:bottom w:w="30" w:type="dxa"/>
              <w:right w:w="120" w:type="dxa"/>
            </w:tcMar>
          </w:tcPr>
          <w:p w14:paraId="368CBB85">
            <w:pPr>
              <w:spacing w:before="120" w:after="120" w:line="288" w:lineRule="auto"/>
              <w:ind w:left="0"/>
              <w:jc w:val="left"/>
            </w:pPr>
            <w:r>
              <w:rPr>
                <w:rFonts w:ascii="Arial" w:hAnsi="Arial" w:eastAsia="等线" w:cs="Arial"/>
                <w:b/>
                <w:sz w:val="22"/>
              </w:rPr>
              <w:t>全年总价包干，无额外费用</w:t>
            </w:r>
          </w:p>
        </w:tc>
      </w:tr>
    </w:tbl>
    <w:p w14:paraId="77CEA460">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所有消杀药剂均为符合国家环保标准、低毒高效的正规产品，具备产品合格证明，对人体、动植物、环境无害，严格按照规范投放使用。</w:t>
      </w:r>
    </w:p>
    <w:p w14:paraId="6AA35837">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消杀作业避开居民出行高峰，做好现场警示、围挡，保障公共安全，作业后及时清理现场。</w:t>
      </w:r>
    </w:p>
    <w:p w14:paraId="1917488F">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每月提交服务记录，全程留存影像资料，确保顺利通过病媒生物防制各项考核。</w:t>
      </w:r>
    </w:p>
    <w:p w14:paraId="30E7957C">
      <w:pPr>
        <w:wordWrap w:val="0"/>
        <w:spacing w:line="520" w:lineRule="exact"/>
        <w:ind w:left="14" w:leftChars="5" w:firstLine="543" w:firstLineChars="25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安排专属作业团队，固定人员驻场服务，响应及时，严格按照清单频次完成所有防治工作，确保四害密度达到国家控制标准。</w:t>
      </w:r>
    </w:p>
    <w:p w14:paraId="554BE7F3">
      <w:pPr>
        <w:numPr>
          <w:ilvl w:val="0"/>
          <w:numId w:val="0"/>
        </w:numPr>
        <w:rPr>
          <w:rFonts w:hint="eastAsia"/>
        </w:rPr>
      </w:pPr>
    </w:p>
    <w:p w14:paraId="14114419">
      <w:pPr>
        <w:snapToGrid w:val="0"/>
        <w:spacing w:line="360" w:lineRule="auto"/>
        <w:ind w:firstLine="638" w:firstLineChars="266"/>
        <w:textAlignment w:val="baseline"/>
        <w:rPr>
          <w:rStyle w:val="42"/>
          <w:rFonts w:ascii="宋体" w:hAnsi="宋体" w:cs="宋体"/>
          <w:sz w:val="24"/>
          <w:szCs w:val="24"/>
          <w:highlight w:val="none"/>
        </w:rPr>
      </w:pPr>
    </w:p>
    <w:p w14:paraId="73B33CB8">
      <w:pPr>
        <w:spacing w:line="360" w:lineRule="auto"/>
        <w:rPr>
          <w:rFonts w:ascii="宋体" w:hAnsi="宋体" w:cs="宋体"/>
          <w:sz w:val="36"/>
          <w:szCs w:val="30"/>
          <w:highlight w:val="none"/>
        </w:rPr>
      </w:pPr>
      <w:r>
        <w:rPr>
          <w:rFonts w:hint="eastAsia" w:ascii="宋体" w:hAnsi="宋体" w:cs="宋体"/>
          <w:sz w:val="36"/>
          <w:szCs w:val="30"/>
          <w:highlight w:val="none"/>
        </w:rPr>
        <w:br w:type="page"/>
      </w:r>
    </w:p>
    <w:p w14:paraId="393188C8">
      <w:pPr>
        <w:pStyle w:val="2"/>
        <w:spacing w:before="0" w:after="0" w:line="360" w:lineRule="auto"/>
        <w:jc w:val="center"/>
        <w:rPr>
          <w:rFonts w:ascii="宋体" w:hAnsi="宋体" w:cs="宋体"/>
          <w:b/>
          <w:bCs/>
          <w:color w:val="0C0C0C"/>
          <w:sz w:val="24"/>
          <w:szCs w:val="24"/>
          <w:highlight w:val="none"/>
        </w:rPr>
      </w:pPr>
      <w:bookmarkStart w:id="20" w:name="_Toc2036"/>
      <w:r>
        <w:rPr>
          <w:rFonts w:hint="eastAsia" w:ascii="宋体" w:hAnsi="宋体" w:cs="宋体"/>
          <w:b/>
          <w:bCs/>
          <w:sz w:val="36"/>
          <w:szCs w:val="30"/>
          <w:highlight w:val="none"/>
        </w:rPr>
        <w:t>第三篇  项目商务需求</w:t>
      </w:r>
      <w:bookmarkEnd w:id="20"/>
    </w:p>
    <w:p w14:paraId="7E53D4F6">
      <w:pPr>
        <w:spacing w:line="360" w:lineRule="auto"/>
        <w:jc w:val="left"/>
        <w:rPr>
          <w:rFonts w:ascii="宋体" w:hAnsi="宋体" w:cs="宋体"/>
          <w:b/>
          <w:bCs/>
          <w:sz w:val="21"/>
          <w:szCs w:val="21"/>
          <w:highlight w:val="none"/>
        </w:rPr>
      </w:pPr>
      <w:r>
        <w:rPr>
          <w:rFonts w:hint="eastAsia" w:ascii="宋体" w:hAnsi="宋体" w:cs="宋体"/>
          <w:b/>
          <w:bCs/>
          <w:sz w:val="21"/>
          <w:szCs w:val="21"/>
          <w:highlight w:val="none"/>
        </w:rPr>
        <w:t>本篇所有要求均为符合性审查中的实质性要求，允许正偏离。负偏离或不满足作符合性评审不通过处理。</w:t>
      </w:r>
    </w:p>
    <w:p w14:paraId="56B5B2E5">
      <w:pPr>
        <w:pStyle w:val="3"/>
        <w:adjustRightInd w:val="0"/>
        <w:snapToGrid w:val="0"/>
        <w:spacing w:before="0" w:after="0" w:line="360" w:lineRule="auto"/>
        <w:jc w:val="left"/>
        <w:rPr>
          <w:rFonts w:ascii="宋体" w:hAnsi="宋体" w:eastAsia="宋体" w:cs="宋体"/>
          <w:sz w:val="21"/>
          <w:szCs w:val="21"/>
          <w:highlight w:val="none"/>
        </w:rPr>
      </w:pPr>
      <w:bookmarkStart w:id="21" w:name="_Toc23956"/>
      <w:r>
        <w:rPr>
          <w:rFonts w:hint="eastAsia" w:ascii="宋体" w:hAnsi="宋体" w:eastAsia="宋体" w:cs="宋体"/>
          <w:sz w:val="21"/>
          <w:szCs w:val="21"/>
          <w:highlight w:val="none"/>
        </w:rPr>
        <w:t>一、服务期、地点及验收方式</w:t>
      </w:r>
      <w:bookmarkEnd w:id="21"/>
    </w:p>
    <w:p w14:paraId="7087E6E7">
      <w:pPr>
        <w:adjustRightInd w:val="0"/>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1、交</w:t>
      </w:r>
      <w:r>
        <w:rPr>
          <w:rFonts w:hint="eastAsia" w:ascii="宋体" w:hAnsi="宋体" w:eastAsia="宋体" w:cs="宋体"/>
          <w:sz w:val="21"/>
          <w:szCs w:val="21"/>
          <w:highlight w:val="none"/>
        </w:rPr>
        <w:t>货时间：12 个月。</w:t>
      </w:r>
    </w:p>
    <w:p w14:paraId="2E528BFD">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2、交货地点：采购人指定地点。</w:t>
      </w:r>
    </w:p>
    <w:p w14:paraId="4C7F9162">
      <w:pPr>
        <w:adjustRightInd w:val="0"/>
        <w:snapToGrid w:val="0"/>
        <w:spacing w:line="360" w:lineRule="auto"/>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3、验收方式</w:t>
      </w:r>
      <w:r>
        <w:rPr>
          <w:rFonts w:hint="eastAsia" w:ascii="宋体" w:hAnsi="宋体" w:cs="宋体"/>
          <w:sz w:val="21"/>
          <w:szCs w:val="21"/>
          <w:highlight w:val="none"/>
          <w:lang w:val="en-US" w:eastAsia="zh-CN"/>
        </w:rPr>
        <w:t>和规范</w:t>
      </w:r>
    </w:p>
    <w:p w14:paraId="687F3264">
      <w:pPr>
        <w:adjustRightInd w:val="0"/>
        <w:snapToGrid w:val="0"/>
        <w:spacing w:line="360" w:lineRule="auto"/>
        <w:ind w:firstLine="420" w:firstLineChars="200"/>
        <w:jc w:val="left"/>
        <w:rPr>
          <w:rFonts w:hint="default" w:ascii="宋体" w:hAnsi="宋体" w:eastAsia="宋体" w:cs="宋体"/>
          <w:sz w:val="21"/>
          <w:szCs w:val="21"/>
          <w:highlight w:val="none"/>
          <w:lang w:val="en-US" w:eastAsia="zh-CN"/>
        </w:rPr>
      </w:pPr>
      <w:bookmarkStart w:id="22" w:name="_Toc23362"/>
      <w:r>
        <w:rPr>
          <w:rFonts w:hint="eastAsia" w:ascii="宋体" w:hAnsi="宋体" w:eastAsia="宋体" w:cs="宋体"/>
          <w:sz w:val="21"/>
          <w:szCs w:val="21"/>
          <w:highlight w:val="none"/>
        </w:rPr>
        <w:t>符合《国家病媒生物密度控制水平标准》《重庆市病媒生物防制服务规范》，四害密度达标，通过区级、镇级考核验收。</w:t>
      </w:r>
    </w:p>
    <w:bookmarkEnd w:id="22"/>
    <w:p w14:paraId="6E780D57">
      <w:pPr>
        <w:pStyle w:val="3"/>
        <w:adjustRightInd w:val="0"/>
        <w:snapToGrid w:val="0"/>
        <w:spacing w:before="0" w:after="0" w:line="360" w:lineRule="auto"/>
        <w:jc w:val="left"/>
        <w:rPr>
          <w:rFonts w:ascii="宋体" w:hAnsi="宋体" w:eastAsia="宋体" w:cs="宋体"/>
          <w:sz w:val="21"/>
          <w:szCs w:val="21"/>
          <w:highlight w:val="none"/>
        </w:rPr>
      </w:pPr>
      <w:bookmarkStart w:id="23" w:name="_Toc10467"/>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结算</w:t>
      </w:r>
      <w:r>
        <w:rPr>
          <w:rFonts w:hint="eastAsia" w:ascii="宋体" w:hAnsi="宋体" w:eastAsia="宋体" w:cs="宋体"/>
          <w:sz w:val="21"/>
          <w:szCs w:val="21"/>
          <w:highlight w:val="none"/>
        </w:rPr>
        <w:t>方式</w:t>
      </w:r>
      <w:bookmarkEnd w:id="23"/>
    </w:p>
    <w:p w14:paraId="378413A4">
      <w:pPr>
        <w:adjustRightInd w:val="0"/>
        <w:snapToGrid w:val="0"/>
        <w:spacing w:line="360" w:lineRule="auto"/>
        <w:ind w:firstLine="420" w:firstLineChars="200"/>
        <w:jc w:val="left"/>
        <w:rPr>
          <w:rFonts w:hint="eastAsia" w:ascii="宋体" w:hAnsi="宋体" w:cs="宋体"/>
          <w:bCs/>
          <w:color w:val="000000" w:themeColor="text1"/>
          <w:sz w:val="21"/>
          <w:szCs w:val="21"/>
          <w:highlight w:val="none"/>
          <w14:textFill>
            <w14:solidFill>
              <w14:schemeClr w14:val="tx1"/>
            </w14:solidFill>
          </w14:textFill>
        </w:rPr>
      </w:pPr>
      <w:bookmarkStart w:id="24" w:name="_Toc227"/>
      <w:r>
        <w:rPr>
          <w:rFonts w:hint="eastAsia" w:ascii="宋体" w:hAnsi="宋体" w:cs="宋体"/>
          <w:bCs/>
          <w:color w:val="000000" w:themeColor="text1"/>
          <w:sz w:val="21"/>
          <w:szCs w:val="21"/>
          <w:highlight w:val="none"/>
          <w:lang w:val="en-US" w:eastAsia="zh-CN"/>
          <w14:textFill>
            <w14:solidFill>
              <w14:schemeClr w14:val="tx1"/>
            </w14:solidFill>
          </w14:textFill>
        </w:rPr>
        <w:t>按中标包干价结算</w:t>
      </w:r>
      <w:r>
        <w:rPr>
          <w:rFonts w:hint="eastAsia" w:ascii="宋体" w:hAnsi="宋体" w:cs="宋体"/>
          <w:bCs/>
          <w:color w:val="000000" w:themeColor="text1"/>
          <w:sz w:val="21"/>
          <w:szCs w:val="21"/>
          <w:highlight w:val="none"/>
          <w14:textFill>
            <w14:solidFill>
              <w14:schemeClr w14:val="tx1"/>
            </w14:solidFill>
          </w14:textFill>
        </w:rPr>
        <w:t>。</w:t>
      </w:r>
    </w:p>
    <w:p w14:paraId="62552AE6">
      <w:pPr>
        <w:pStyle w:val="3"/>
        <w:adjustRightInd w:val="0"/>
        <w:snapToGrid w:val="0"/>
        <w:spacing w:before="0" w:after="0"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w:t>
      </w:r>
      <w:bookmarkEnd w:id="24"/>
      <w:r>
        <w:rPr>
          <w:rFonts w:hint="eastAsia" w:ascii="宋体" w:hAnsi="宋体" w:eastAsia="宋体" w:cs="宋体"/>
          <w:sz w:val="21"/>
          <w:szCs w:val="21"/>
          <w:highlight w:val="none"/>
          <w:lang w:val="en-US" w:eastAsia="zh-CN"/>
        </w:rPr>
        <w:t>付款方式</w:t>
      </w:r>
    </w:p>
    <w:p w14:paraId="42F38B45">
      <w:pPr>
        <w:adjustRightInd w:val="0"/>
        <w:snapToGrid w:val="0"/>
        <w:spacing w:line="360" w:lineRule="auto"/>
        <w:ind w:firstLine="420" w:firstLineChars="200"/>
        <w:jc w:val="left"/>
        <w:rPr>
          <w:rFonts w:hint="eastAsia" w:ascii="宋体" w:hAnsi="宋体" w:cs="宋体"/>
          <w:bCs/>
          <w:color w:val="000000" w:themeColor="text1"/>
          <w:sz w:val="21"/>
          <w:szCs w:val="21"/>
          <w:highlight w:val="none"/>
          <w14:textFill>
            <w14:solidFill>
              <w14:schemeClr w14:val="tx1"/>
            </w14:solidFill>
          </w14:textFill>
        </w:rPr>
      </w:pPr>
      <w:bookmarkStart w:id="25" w:name="_Toc11513"/>
      <w:bookmarkStart w:id="26" w:name="_Toc30931"/>
      <w:bookmarkStart w:id="27" w:name="_Toc106034637"/>
      <w:bookmarkStart w:id="28" w:name="_Toc65660346"/>
      <w:bookmarkStart w:id="29" w:name="_Toc24751"/>
      <w:bookmarkStart w:id="30" w:name="_Toc29714"/>
      <w:bookmarkStart w:id="31" w:name="_Toc7228"/>
      <w:r>
        <w:rPr>
          <w:rFonts w:hint="eastAsia" w:ascii="宋体" w:hAnsi="宋体" w:cs="宋体"/>
          <w:bCs/>
          <w:color w:val="000000" w:themeColor="text1"/>
          <w:sz w:val="21"/>
          <w:szCs w:val="21"/>
          <w:highlight w:val="none"/>
          <w:lang w:val="en-US" w:eastAsia="zh-CN"/>
          <w14:textFill>
            <w14:solidFill>
              <w14:schemeClr w14:val="tx1"/>
            </w14:solidFill>
          </w14:textFill>
        </w:rPr>
        <w:t>12个月完成后并通过</w:t>
      </w:r>
      <w:r>
        <w:rPr>
          <w:rFonts w:hint="eastAsia" w:ascii="宋体" w:hAnsi="宋体" w:eastAsia="宋体" w:cs="宋体"/>
          <w:sz w:val="21"/>
          <w:szCs w:val="21"/>
          <w:highlight w:val="none"/>
        </w:rPr>
        <w:t>区级、镇级考核验收</w:t>
      </w:r>
      <w:r>
        <w:rPr>
          <w:rFonts w:hint="eastAsia" w:ascii="宋体" w:hAnsi="宋体" w:eastAsia="宋体" w:cs="宋体"/>
          <w:sz w:val="21"/>
          <w:szCs w:val="21"/>
          <w:highlight w:val="none"/>
          <w:lang w:val="en-US" w:eastAsia="zh-CN"/>
        </w:rPr>
        <w:t>后一次性付清</w:t>
      </w:r>
      <w:r>
        <w:rPr>
          <w:rFonts w:hint="eastAsia" w:ascii="宋体" w:hAnsi="宋体" w:cs="宋体"/>
          <w:bCs/>
          <w:color w:val="000000" w:themeColor="text1"/>
          <w:sz w:val="21"/>
          <w:szCs w:val="21"/>
          <w:highlight w:val="none"/>
          <w14:textFill>
            <w14:solidFill>
              <w14:schemeClr w14:val="tx1"/>
            </w14:solidFill>
          </w14:textFill>
        </w:rPr>
        <w:t>。付款时，成交供应商向采购人开具发票，由采购人一次性支付至成交供应商银行账户。</w:t>
      </w:r>
    </w:p>
    <w:bookmarkEnd w:id="25"/>
    <w:bookmarkEnd w:id="26"/>
    <w:bookmarkEnd w:id="27"/>
    <w:bookmarkEnd w:id="28"/>
    <w:bookmarkEnd w:id="29"/>
    <w:bookmarkEnd w:id="30"/>
    <w:bookmarkEnd w:id="31"/>
    <w:p w14:paraId="3823F86A">
      <w:pPr>
        <w:pStyle w:val="3"/>
        <w:adjustRightInd w:val="0"/>
        <w:snapToGrid w:val="0"/>
        <w:spacing w:before="0" w:after="0" w:line="360" w:lineRule="auto"/>
        <w:jc w:val="left"/>
        <w:rPr>
          <w:rFonts w:ascii="宋体" w:hAnsi="宋体" w:eastAsia="宋体" w:cs="宋体"/>
          <w:sz w:val="21"/>
          <w:szCs w:val="21"/>
          <w:highlight w:val="none"/>
        </w:rPr>
      </w:pPr>
      <w:bookmarkStart w:id="32" w:name="_Toc16101"/>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、违约责任</w:t>
      </w:r>
      <w:bookmarkEnd w:id="32"/>
    </w:p>
    <w:p w14:paraId="52F75699">
      <w:pPr>
        <w:adjustRightInd w:val="0"/>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1.成交人未按竞采文件规定的时间内与采购人签订合同的，采购人有权取消其成交资格；</w:t>
      </w:r>
    </w:p>
    <w:p w14:paraId="19147341">
      <w:pPr>
        <w:adjustRightInd w:val="0"/>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w:t>
      </w:r>
      <w:r>
        <w:rPr>
          <w:rFonts w:hint="eastAsia" w:ascii="宋体" w:hAnsi="宋体" w:cs="宋体"/>
          <w:sz w:val="21"/>
          <w:szCs w:val="21"/>
          <w:highlight w:val="none"/>
        </w:rPr>
        <w:t>成交人未</w:t>
      </w:r>
      <w:r>
        <w:rPr>
          <w:rFonts w:hint="eastAsia" w:ascii="宋体" w:hAnsi="宋体" w:cs="宋体"/>
          <w:sz w:val="21"/>
          <w:szCs w:val="21"/>
          <w:highlight w:val="none"/>
          <w:lang w:val="en-US" w:eastAsia="zh-CN"/>
        </w:rPr>
        <w:t>通过</w:t>
      </w:r>
      <w:r>
        <w:rPr>
          <w:rFonts w:hint="eastAsia" w:ascii="宋体" w:hAnsi="宋体" w:eastAsia="宋体" w:cs="宋体"/>
          <w:sz w:val="21"/>
          <w:szCs w:val="21"/>
          <w:highlight w:val="none"/>
        </w:rPr>
        <w:t>区级、镇级考核验收</w:t>
      </w:r>
      <w:r>
        <w:rPr>
          <w:rFonts w:hint="eastAsia" w:ascii="宋体" w:hAnsi="宋体" w:cs="宋体"/>
          <w:sz w:val="21"/>
          <w:szCs w:val="21"/>
          <w:highlight w:val="none"/>
        </w:rPr>
        <w:t>，采购人有权拒收并不支付，同时终止合同并不承担任何违约责任。</w:t>
      </w:r>
    </w:p>
    <w:p w14:paraId="17435C07">
      <w:pPr>
        <w:pStyle w:val="3"/>
        <w:adjustRightInd w:val="0"/>
        <w:snapToGrid w:val="0"/>
        <w:spacing w:before="0" w:after="0" w:line="360" w:lineRule="auto"/>
        <w:jc w:val="left"/>
        <w:rPr>
          <w:rFonts w:ascii="宋体" w:hAnsi="宋体" w:eastAsia="宋体" w:cs="宋体"/>
          <w:sz w:val="21"/>
          <w:szCs w:val="21"/>
          <w:highlight w:val="none"/>
        </w:rPr>
      </w:pPr>
      <w:bookmarkStart w:id="33" w:name="_Toc6652"/>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、其他</w:t>
      </w:r>
      <w:bookmarkEnd w:id="33"/>
    </w:p>
    <w:p w14:paraId="6ED30543">
      <w:pPr>
        <w:adjustRightInd w:val="0"/>
        <w:snapToGrid w:val="0"/>
        <w:spacing w:line="360" w:lineRule="auto"/>
        <w:ind w:firstLine="420" w:firstLineChars="200"/>
        <w:jc w:val="left"/>
        <w:rPr>
          <w:rFonts w:ascii="宋体" w:hAnsi="宋体" w:cs="宋体"/>
          <w:sz w:val="24"/>
          <w:szCs w:val="24"/>
          <w:highlight w:val="none"/>
        </w:rPr>
      </w:pPr>
      <w:r>
        <w:rPr>
          <w:rFonts w:hint="eastAsia" w:ascii="宋体" w:hAnsi="宋体" w:cs="宋体"/>
          <w:sz w:val="21"/>
          <w:szCs w:val="21"/>
          <w:highlight w:val="none"/>
        </w:rPr>
        <w:t>（一）其他未尽事宜由供需双方在采购合同中详细约定。</w:t>
      </w:r>
    </w:p>
    <w:p w14:paraId="6C004AB7">
      <w:pPr>
        <w:pStyle w:val="2"/>
        <w:pageBreakBefore/>
        <w:spacing w:before="0" w:after="0" w:line="360" w:lineRule="auto"/>
        <w:jc w:val="center"/>
        <w:rPr>
          <w:rFonts w:ascii="宋体" w:hAnsi="宋体" w:cs="宋体"/>
          <w:b/>
          <w:sz w:val="36"/>
          <w:szCs w:val="30"/>
          <w:highlight w:val="none"/>
        </w:rPr>
      </w:pPr>
      <w:bookmarkStart w:id="34" w:name="_Toc7168"/>
      <w:r>
        <w:rPr>
          <w:rFonts w:hint="eastAsia" w:ascii="宋体" w:hAnsi="宋体" w:cs="宋体"/>
          <w:b/>
          <w:sz w:val="36"/>
          <w:szCs w:val="30"/>
          <w:highlight w:val="none"/>
        </w:rPr>
        <w:t>第四篇  竞采程序、评审标准、无效响应和采购终止</w:t>
      </w:r>
      <w:bookmarkEnd w:id="34"/>
    </w:p>
    <w:p w14:paraId="4D302572">
      <w:pPr>
        <w:pStyle w:val="3"/>
        <w:adjustRightInd w:val="0"/>
        <w:snapToGrid w:val="0"/>
        <w:spacing w:before="0" w:after="0" w:line="420" w:lineRule="exact"/>
        <w:jc w:val="left"/>
        <w:rPr>
          <w:rFonts w:ascii="宋体" w:hAnsi="宋体" w:eastAsia="宋体" w:cs="宋体"/>
          <w:sz w:val="21"/>
          <w:szCs w:val="21"/>
          <w:highlight w:val="none"/>
        </w:rPr>
      </w:pPr>
      <w:bookmarkStart w:id="35" w:name="_Toc19083"/>
      <w:r>
        <w:rPr>
          <w:rFonts w:hint="eastAsia" w:ascii="宋体" w:hAnsi="宋体" w:eastAsia="宋体" w:cs="宋体"/>
          <w:sz w:val="21"/>
          <w:szCs w:val="21"/>
          <w:highlight w:val="none"/>
        </w:rPr>
        <w:t>一、网上竞采程序</w:t>
      </w:r>
      <w:bookmarkEnd w:id="35"/>
    </w:p>
    <w:p w14:paraId="2A5D9072">
      <w:pPr>
        <w:adjustRightInd w:val="0"/>
        <w:snapToGrid w:val="0"/>
        <w:spacing w:line="42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（一）报价截止后评审小组对各供应商的资格条件、响应文件的有效性、完整性和响应程度进行审查。各供应商只有在完全符合要求的前提下，才能参与正式采购。</w:t>
      </w:r>
    </w:p>
    <w:p w14:paraId="51B4E624">
      <w:pPr>
        <w:adjustRightInd w:val="0"/>
        <w:snapToGrid w:val="0"/>
        <w:spacing w:line="42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1.资格性检查。依据法律法规和网上竞采文件的规定，对响应文件中的资格证明等进行审查，以确定供应商是否具备采购资格。资格性检查资料表如下：</w:t>
      </w:r>
    </w:p>
    <w:tbl>
      <w:tblPr>
        <w:tblStyle w:val="25"/>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180E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6" w:type="dxa"/>
            <w:vAlign w:val="center"/>
          </w:tcPr>
          <w:p w14:paraId="25972D1F">
            <w:pPr>
              <w:spacing w:line="36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685" w:type="dxa"/>
            <w:gridSpan w:val="2"/>
            <w:vAlign w:val="center"/>
          </w:tcPr>
          <w:p w14:paraId="300EEA46">
            <w:pPr>
              <w:spacing w:line="36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检查因素</w:t>
            </w:r>
          </w:p>
        </w:tc>
        <w:tc>
          <w:tcPr>
            <w:tcW w:w="5155" w:type="dxa"/>
            <w:vAlign w:val="center"/>
          </w:tcPr>
          <w:p w14:paraId="4DAAB057">
            <w:pPr>
              <w:spacing w:line="36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检查内容</w:t>
            </w:r>
          </w:p>
        </w:tc>
      </w:tr>
      <w:tr w14:paraId="7B92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A27D3D2">
            <w:pPr>
              <w:spacing w:line="360" w:lineRule="auto"/>
              <w:jc w:val="center"/>
              <w:rPr>
                <w:rFonts w:ascii="宋体" w:hAnsi="宋体" w:cs="宋体"/>
                <w:sz w:val="21"/>
                <w:szCs w:val="21"/>
                <w:highlight w:val="none"/>
              </w:rPr>
            </w:pPr>
            <w:r>
              <w:rPr>
                <w:rFonts w:hint="eastAsia" w:ascii="宋体" w:hAnsi="宋体" w:cs="宋体"/>
                <w:sz w:val="21"/>
                <w:szCs w:val="21"/>
                <w:highlight w:val="none"/>
              </w:rPr>
              <w:t>1</w:t>
            </w:r>
          </w:p>
        </w:tc>
        <w:tc>
          <w:tcPr>
            <w:tcW w:w="709" w:type="dxa"/>
            <w:vMerge w:val="restart"/>
            <w:vAlign w:val="center"/>
          </w:tcPr>
          <w:p w14:paraId="09E6FD1E">
            <w:pPr>
              <w:spacing w:line="360" w:lineRule="auto"/>
              <w:rPr>
                <w:rFonts w:ascii="宋体" w:hAnsi="宋体" w:cs="宋体"/>
                <w:sz w:val="21"/>
                <w:szCs w:val="21"/>
                <w:highlight w:val="none"/>
                <w:lang w:val="zh-CN"/>
              </w:rPr>
            </w:pPr>
            <w:r>
              <w:rPr>
                <w:rFonts w:hint="eastAsia" w:ascii="宋体" w:hAnsi="宋体" w:cs="宋体"/>
                <w:sz w:val="21"/>
                <w:szCs w:val="21"/>
                <w:highlight w:val="none"/>
              </w:rPr>
              <w:t>供应商</w:t>
            </w:r>
            <w:r>
              <w:rPr>
                <w:rFonts w:hint="eastAsia" w:ascii="宋体" w:hAnsi="宋体" w:cs="宋体"/>
                <w:sz w:val="21"/>
                <w:szCs w:val="21"/>
                <w:highlight w:val="none"/>
                <w:lang w:val="zh-CN"/>
              </w:rPr>
              <w:t>应符合的基本资格条件</w:t>
            </w:r>
          </w:p>
        </w:tc>
        <w:tc>
          <w:tcPr>
            <w:tcW w:w="2976" w:type="dxa"/>
            <w:vAlign w:val="center"/>
          </w:tcPr>
          <w:p w14:paraId="7BCCC994">
            <w:pPr>
              <w:spacing w:line="360" w:lineRule="auto"/>
              <w:rPr>
                <w:rFonts w:ascii="宋体" w:hAnsi="宋体" w:cs="宋体"/>
                <w:sz w:val="21"/>
                <w:szCs w:val="21"/>
                <w:highlight w:val="none"/>
              </w:rPr>
            </w:pPr>
            <w:r>
              <w:rPr>
                <w:rFonts w:hint="eastAsia" w:ascii="宋体" w:hAnsi="宋体" w:cs="宋体"/>
                <w:sz w:val="21"/>
                <w:szCs w:val="21"/>
                <w:highlight w:val="none"/>
              </w:rPr>
              <w:t>（1）具有独立承担民事责任的能力</w:t>
            </w:r>
          </w:p>
        </w:tc>
        <w:tc>
          <w:tcPr>
            <w:tcW w:w="5155" w:type="dxa"/>
            <w:vAlign w:val="center"/>
          </w:tcPr>
          <w:p w14:paraId="1133F163">
            <w:pPr>
              <w:spacing w:line="360" w:lineRule="auto"/>
              <w:rPr>
                <w:rFonts w:ascii="宋体" w:hAnsi="宋体" w:cs="宋体"/>
                <w:sz w:val="21"/>
                <w:szCs w:val="21"/>
                <w:highlight w:val="none"/>
              </w:rPr>
            </w:pPr>
            <w:r>
              <w:rPr>
                <w:rFonts w:hint="eastAsia" w:ascii="宋体" w:hAnsi="宋体" w:cs="宋体"/>
                <w:sz w:val="21"/>
                <w:szCs w:val="21"/>
                <w:highlight w:val="none"/>
              </w:rPr>
              <w:t xml:space="preserve">1.供应商法人营业执照（副本）或事业单位法人证书（副本）或个体工商户营业执照或有效的自然人身份证明或社会团体法人登记证书（提供复印件）。 </w:t>
            </w:r>
          </w:p>
          <w:p w14:paraId="3D408095">
            <w:pPr>
              <w:spacing w:line="360" w:lineRule="auto"/>
              <w:rPr>
                <w:rFonts w:ascii="宋体" w:hAnsi="宋体" w:cs="宋体"/>
                <w:sz w:val="21"/>
                <w:szCs w:val="21"/>
                <w:highlight w:val="none"/>
              </w:rPr>
            </w:pPr>
            <w:r>
              <w:rPr>
                <w:rFonts w:hint="eastAsia" w:ascii="宋体" w:hAnsi="宋体" w:cs="宋体"/>
                <w:sz w:val="21"/>
                <w:szCs w:val="21"/>
                <w:highlight w:val="none"/>
              </w:rPr>
              <w:t>2.供应商法定代表人身份证明和法定代表人授权代表委托书。</w:t>
            </w:r>
          </w:p>
        </w:tc>
      </w:tr>
      <w:tr w14:paraId="44DB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E080AF6">
            <w:pPr>
              <w:spacing w:line="360" w:lineRule="auto"/>
              <w:jc w:val="center"/>
              <w:rPr>
                <w:rFonts w:ascii="宋体" w:hAnsi="宋体" w:cs="宋体"/>
                <w:sz w:val="21"/>
                <w:szCs w:val="21"/>
                <w:highlight w:val="none"/>
              </w:rPr>
            </w:pPr>
          </w:p>
        </w:tc>
        <w:tc>
          <w:tcPr>
            <w:tcW w:w="709" w:type="dxa"/>
            <w:vMerge w:val="continue"/>
            <w:vAlign w:val="center"/>
          </w:tcPr>
          <w:p w14:paraId="77AD6258">
            <w:pPr>
              <w:spacing w:line="360" w:lineRule="auto"/>
              <w:rPr>
                <w:rFonts w:ascii="宋体" w:hAnsi="宋体" w:cs="宋体"/>
                <w:sz w:val="21"/>
                <w:szCs w:val="21"/>
                <w:highlight w:val="none"/>
                <w:lang w:val="zh-CN"/>
              </w:rPr>
            </w:pPr>
          </w:p>
        </w:tc>
        <w:tc>
          <w:tcPr>
            <w:tcW w:w="2976" w:type="dxa"/>
            <w:vAlign w:val="center"/>
          </w:tcPr>
          <w:p w14:paraId="3FE9CB37">
            <w:pPr>
              <w:spacing w:line="360" w:lineRule="auto"/>
              <w:rPr>
                <w:rFonts w:ascii="宋体" w:hAnsi="宋体" w:cs="宋体"/>
                <w:sz w:val="21"/>
                <w:szCs w:val="21"/>
                <w:highlight w:val="none"/>
              </w:rPr>
            </w:pPr>
            <w:r>
              <w:rPr>
                <w:rFonts w:hint="eastAsia" w:ascii="宋体" w:hAnsi="宋体" w:cs="宋体"/>
                <w:sz w:val="21"/>
                <w:szCs w:val="21"/>
                <w:highlight w:val="none"/>
              </w:rPr>
              <w:t>（2）具有良好的商业信誉和健全的财务会计制度</w:t>
            </w:r>
          </w:p>
        </w:tc>
        <w:tc>
          <w:tcPr>
            <w:tcW w:w="5155" w:type="dxa"/>
            <w:vMerge w:val="restart"/>
            <w:vAlign w:val="center"/>
          </w:tcPr>
          <w:p w14:paraId="7DE2C8D4">
            <w:pPr>
              <w:spacing w:line="360" w:lineRule="auto"/>
              <w:rPr>
                <w:rFonts w:ascii="宋体" w:hAnsi="宋体" w:cs="宋体"/>
                <w:sz w:val="21"/>
                <w:szCs w:val="21"/>
                <w:highlight w:val="none"/>
              </w:rPr>
            </w:pPr>
            <w:r>
              <w:rPr>
                <w:rFonts w:hint="eastAsia" w:ascii="宋体" w:hAnsi="宋体" w:cs="宋体"/>
                <w:sz w:val="21"/>
                <w:szCs w:val="21"/>
                <w:highlight w:val="none"/>
              </w:rPr>
              <w:t>供应商提供“基本资格条件承诺函”（详见第七篇）。</w:t>
            </w:r>
          </w:p>
          <w:p w14:paraId="1E677F6A">
            <w:pPr>
              <w:spacing w:line="360" w:lineRule="auto"/>
              <w:rPr>
                <w:rFonts w:ascii="宋体" w:hAnsi="宋体" w:cs="宋体"/>
                <w:sz w:val="21"/>
                <w:szCs w:val="21"/>
                <w:highlight w:val="none"/>
              </w:rPr>
            </w:pPr>
          </w:p>
        </w:tc>
      </w:tr>
      <w:tr w14:paraId="582B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BDC31A3">
            <w:pPr>
              <w:spacing w:line="360" w:lineRule="auto"/>
              <w:jc w:val="center"/>
              <w:rPr>
                <w:rFonts w:ascii="宋体" w:hAnsi="宋体" w:cs="宋体"/>
                <w:sz w:val="21"/>
                <w:szCs w:val="21"/>
                <w:highlight w:val="none"/>
              </w:rPr>
            </w:pPr>
          </w:p>
        </w:tc>
        <w:tc>
          <w:tcPr>
            <w:tcW w:w="709" w:type="dxa"/>
            <w:vMerge w:val="continue"/>
            <w:vAlign w:val="center"/>
          </w:tcPr>
          <w:p w14:paraId="628E25DC">
            <w:pPr>
              <w:spacing w:line="360" w:lineRule="auto"/>
              <w:rPr>
                <w:rFonts w:ascii="宋体" w:hAnsi="宋体" w:cs="宋体"/>
                <w:sz w:val="21"/>
                <w:szCs w:val="21"/>
                <w:highlight w:val="none"/>
                <w:lang w:val="zh-CN"/>
              </w:rPr>
            </w:pPr>
          </w:p>
        </w:tc>
        <w:tc>
          <w:tcPr>
            <w:tcW w:w="2976" w:type="dxa"/>
            <w:vAlign w:val="center"/>
          </w:tcPr>
          <w:p w14:paraId="3DD45073">
            <w:pPr>
              <w:spacing w:line="360" w:lineRule="auto"/>
              <w:rPr>
                <w:rFonts w:ascii="宋体" w:hAnsi="宋体" w:cs="宋体"/>
                <w:sz w:val="21"/>
                <w:szCs w:val="21"/>
                <w:highlight w:val="none"/>
              </w:rPr>
            </w:pPr>
            <w:r>
              <w:rPr>
                <w:rFonts w:hint="eastAsia" w:ascii="宋体" w:hAnsi="宋体" w:cs="宋体"/>
                <w:sz w:val="21"/>
                <w:szCs w:val="21"/>
                <w:highlight w:val="none"/>
              </w:rPr>
              <w:t>（3）具有履行合同所必需的设备和专业技术能力</w:t>
            </w:r>
          </w:p>
        </w:tc>
        <w:tc>
          <w:tcPr>
            <w:tcW w:w="5155" w:type="dxa"/>
            <w:vMerge w:val="continue"/>
            <w:vAlign w:val="center"/>
          </w:tcPr>
          <w:p w14:paraId="14C1A908">
            <w:pPr>
              <w:spacing w:line="360" w:lineRule="auto"/>
              <w:rPr>
                <w:rFonts w:ascii="宋体" w:hAnsi="宋体" w:cs="宋体"/>
                <w:sz w:val="21"/>
                <w:szCs w:val="21"/>
                <w:highlight w:val="none"/>
              </w:rPr>
            </w:pPr>
          </w:p>
        </w:tc>
      </w:tr>
      <w:tr w14:paraId="4CCA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D0EA026">
            <w:pPr>
              <w:spacing w:line="360" w:lineRule="auto"/>
              <w:jc w:val="center"/>
              <w:rPr>
                <w:rFonts w:ascii="宋体" w:hAnsi="宋体" w:cs="宋体"/>
                <w:sz w:val="21"/>
                <w:szCs w:val="21"/>
                <w:highlight w:val="none"/>
              </w:rPr>
            </w:pPr>
          </w:p>
        </w:tc>
        <w:tc>
          <w:tcPr>
            <w:tcW w:w="709" w:type="dxa"/>
            <w:vMerge w:val="continue"/>
            <w:vAlign w:val="center"/>
          </w:tcPr>
          <w:p w14:paraId="272D54EE">
            <w:pPr>
              <w:spacing w:line="360" w:lineRule="auto"/>
              <w:rPr>
                <w:rFonts w:ascii="宋体" w:hAnsi="宋体" w:cs="宋体"/>
                <w:sz w:val="21"/>
                <w:szCs w:val="21"/>
                <w:highlight w:val="none"/>
                <w:lang w:val="zh-CN"/>
              </w:rPr>
            </w:pPr>
          </w:p>
        </w:tc>
        <w:tc>
          <w:tcPr>
            <w:tcW w:w="2976" w:type="dxa"/>
            <w:vAlign w:val="center"/>
          </w:tcPr>
          <w:p w14:paraId="15793E75">
            <w:pPr>
              <w:spacing w:line="360" w:lineRule="auto"/>
              <w:rPr>
                <w:rFonts w:ascii="宋体" w:hAnsi="宋体" w:cs="宋体"/>
                <w:sz w:val="21"/>
                <w:szCs w:val="21"/>
                <w:highlight w:val="none"/>
              </w:rPr>
            </w:pPr>
            <w:r>
              <w:rPr>
                <w:rFonts w:hint="eastAsia" w:ascii="宋体" w:hAnsi="宋体" w:cs="宋体"/>
                <w:sz w:val="21"/>
                <w:szCs w:val="21"/>
                <w:highlight w:val="none"/>
              </w:rPr>
              <w:t>（4）有依法缴纳税收和社会保障金的良好记录</w:t>
            </w:r>
          </w:p>
        </w:tc>
        <w:tc>
          <w:tcPr>
            <w:tcW w:w="5155" w:type="dxa"/>
            <w:vMerge w:val="continue"/>
            <w:vAlign w:val="center"/>
          </w:tcPr>
          <w:p w14:paraId="34D0F4C0">
            <w:pPr>
              <w:spacing w:line="360" w:lineRule="auto"/>
              <w:rPr>
                <w:rFonts w:ascii="宋体" w:hAnsi="宋体" w:cs="宋体"/>
                <w:sz w:val="21"/>
                <w:szCs w:val="21"/>
                <w:highlight w:val="none"/>
              </w:rPr>
            </w:pPr>
          </w:p>
        </w:tc>
      </w:tr>
      <w:tr w14:paraId="137D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15885C3">
            <w:pPr>
              <w:spacing w:line="360" w:lineRule="auto"/>
              <w:jc w:val="center"/>
              <w:rPr>
                <w:rFonts w:ascii="宋体" w:hAnsi="宋体" w:cs="宋体"/>
                <w:sz w:val="21"/>
                <w:szCs w:val="21"/>
                <w:highlight w:val="none"/>
              </w:rPr>
            </w:pPr>
          </w:p>
        </w:tc>
        <w:tc>
          <w:tcPr>
            <w:tcW w:w="709" w:type="dxa"/>
            <w:vMerge w:val="continue"/>
            <w:vAlign w:val="center"/>
          </w:tcPr>
          <w:p w14:paraId="6642EA08">
            <w:pPr>
              <w:spacing w:line="360" w:lineRule="auto"/>
              <w:rPr>
                <w:rFonts w:ascii="宋体" w:hAnsi="宋体" w:cs="宋体"/>
                <w:sz w:val="21"/>
                <w:szCs w:val="21"/>
                <w:highlight w:val="none"/>
                <w:lang w:val="zh-CN"/>
              </w:rPr>
            </w:pPr>
          </w:p>
        </w:tc>
        <w:tc>
          <w:tcPr>
            <w:tcW w:w="2976" w:type="dxa"/>
            <w:vAlign w:val="center"/>
          </w:tcPr>
          <w:p w14:paraId="4B3136D0">
            <w:pPr>
              <w:spacing w:line="360" w:lineRule="auto"/>
              <w:rPr>
                <w:rFonts w:ascii="宋体" w:hAnsi="宋体" w:cs="宋体"/>
                <w:sz w:val="21"/>
                <w:szCs w:val="21"/>
                <w:highlight w:val="none"/>
                <w:lang w:val="zh-CN"/>
              </w:rPr>
            </w:pPr>
            <w:r>
              <w:rPr>
                <w:rFonts w:hint="eastAsia" w:ascii="宋体" w:hAnsi="宋体" w:cs="宋体"/>
                <w:sz w:val="21"/>
                <w:szCs w:val="21"/>
                <w:highlight w:val="none"/>
              </w:rPr>
              <w:t>（5）参加政府采购活动前三年内，在经营活动中没有重大违法记录</w:t>
            </w:r>
          </w:p>
        </w:tc>
        <w:tc>
          <w:tcPr>
            <w:tcW w:w="5155" w:type="dxa"/>
            <w:vMerge w:val="continue"/>
            <w:vAlign w:val="center"/>
          </w:tcPr>
          <w:p w14:paraId="3953804D">
            <w:pPr>
              <w:spacing w:line="360" w:lineRule="auto"/>
              <w:rPr>
                <w:rFonts w:ascii="宋体" w:hAnsi="宋体" w:cs="宋体"/>
                <w:bCs/>
                <w:sz w:val="21"/>
                <w:szCs w:val="21"/>
                <w:highlight w:val="none"/>
              </w:rPr>
            </w:pPr>
          </w:p>
        </w:tc>
      </w:tr>
      <w:tr w14:paraId="45F7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E5043E3">
            <w:pPr>
              <w:spacing w:line="360" w:lineRule="auto"/>
              <w:jc w:val="center"/>
              <w:rPr>
                <w:rFonts w:ascii="宋体" w:hAnsi="宋体" w:cs="宋体"/>
                <w:sz w:val="21"/>
                <w:szCs w:val="21"/>
                <w:highlight w:val="none"/>
              </w:rPr>
            </w:pPr>
          </w:p>
        </w:tc>
        <w:tc>
          <w:tcPr>
            <w:tcW w:w="709" w:type="dxa"/>
            <w:vMerge w:val="continue"/>
            <w:vAlign w:val="center"/>
          </w:tcPr>
          <w:p w14:paraId="032CBDDF">
            <w:pPr>
              <w:spacing w:line="360" w:lineRule="auto"/>
              <w:rPr>
                <w:rFonts w:ascii="宋体" w:hAnsi="宋体" w:cs="宋体"/>
                <w:sz w:val="21"/>
                <w:szCs w:val="21"/>
                <w:highlight w:val="none"/>
                <w:lang w:val="zh-CN"/>
              </w:rPr>
            </w:pPr>
          </w:p>
        </w:tc>
        <w:tc>
          <w:tcPr>
            <w:tcW w:w="2976" w:type="dxa"/>
            <w:vAlign w:val="center"/>
          </w:tcPr>
          <w:p w14:paraId="73EF7CDA">
            <w:pPr>
              <w:spacing w:line="360" w:lineRule="auto"/>
              <w:rPr>
                <w:rFonts w:ascii="宋体" w:hAnsi="宋体" w:cs="宋体"/>
                <w:sz w:val="21"/>
                <w:szCs w:val="21"/>
                <w:highlight w:val="none"/>
              </w:rPr>
            </w:pPr>
            <w:r>
              <w:rPr>
                <w:rFonts w:hint="eastAsia" w:ascii="宋体" w:hAnsi="宋体" w:cs="宋体"/>
                <w:sz w:val="21"/>
                <w:szCs w:val="21"/>
                <w:highlight w:val="none"/>
              </w:rPr>
              <w:t>（6）法律、行政法规规定的其他条件</w:t>
            </w:r>
          </w:p>
        </w:tc>
        <w:tc>
          <w:tcPr>
            <w:tcW w:w="5155" w:type="dxa"/>
            <w:vAlign w:val="center"/>
          </w:tcPr>
          <w:p w14:paraId="28E6AF48">
            <w:pPr>
              <w:spacing w:line="360" w:lineRule="auto"/>
              <w:jc w:val="center"/>
              <w:rPr>
                <w:rFonts w:ascii="宋体" w:hAnsi="宋体" w:cs="宋体"/>
                <w:sz w:val="21"/>
                <w:szCs w:val="21"/>
                <w:highlight w:val="none"/>
              </w:rPr>
            </w:pPr>
            <w:r>
              <w:rPr>
                <w:rFonts w:hint="eastAsia" w:ascii="宋体" w:hAnsi="宋体" w:cs="宋体"/>
                <w:sz w:val="21"/>
                <w:szCs w:val="21"/>
                <w:highlight w:val="none"/>
              </w:rPr>
              <w:t>\</w:t>
            </w:r>
          </w:p>
        </w:tc>
      </w:tr>
      <w:tr w14:paraId="6AAE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5685DA57">
            <w:pPr>
              <w:spacing w:line="360" w:lineRule="auto"/>
              <w:jc w:val="center"/>
              <w:rPr>
                <w:rFonts w:ascii="宋体" w:hAnsi="宋体" w:cs="宋体"/>
                <w:sz w:val="21"/>
                <w:szCs w:val="21"/>
                <w:highlight w:val="none"/>
              </w:rPr>
            </w:pPr>
            <w:r>
              <w:rPr>
                <w:rFonts w:hint="eastAsia" w:ascii="宋体" w:hAnsi="宋体" w:cs="宋体"/>
                <w:sz w:val="21"/>
                <w:szCs w:val="21"/>
                <w:highlight w:val="none"/>
              </w:rPr>
              <w:t>2</w:t>
            </w:r>
          </w:p>
        </w:tc>
        <w:tc>
          <w:tcPr>
            <w:tcW w:w="3685" w:type="dxa"/>
            <w:gridSpan w:val="2"/>
            <w:vAlign w:val="center"/>
          </w:tcPr>
          <w:p w14:paraId="3126637F">
            <w:pPr>
              <w:spacing w:line="360" w:lineRule="auto"/>
              <w:rPr>
                <w:rFonts w:ascii="宋体" w:hAnsi="宋体" w:cs="宋体"/>
                <w:sz w:val="21"/>
                <w:szCs w:val="21"/>
                <w:highlight w:val="none"/>
              </w:rPr>
            </w:pPr>
            <w:r>
              <w:rPr>
                <w:rFonts w:hint="eastAsia" w:ascii="宋体" w:hAnsi="宋体" w:cs="宋体"/>
                <w:sz w:val="21"/>
                <w:szCs w:val="21"/>
                <w:highlight w:val="none"/>
              </w:rPr>
              <w:t>落实政府采购政策需满足的资格要求：</w:t>
            </w:r>
          </w:p>
        </w:tc>
        <w:tc>
          <w:tcPr>
            <w:tcW w:w="5155" w:type="dxa"/>
            <w:vAlign w:val="center"/>
          </w:tcPr>
          <w:p w14:paraId="2AB4E470">
            <w:pPr>
              <w:spacing w:line="360" w:lineRule="auto"/>
              <w:rPr>
                <w:rFonts w:ascii="宋体" w:hAnsi="宋体" w:cs="宋体"/>
                <w:sz w:val="21"/>
                <w:szCs w:val="21"/>
                <w:highlight w:val="none"/>
              </w:rPr>
            </w:pPr>
            <w:r>
              <w:rPr>
                <w:rFonts w:hint="eastAsia" w:ascii="宋体" w:hAnsi="宋体" w:cs="宋体"/>
                <w:sz w:val="21"/>
                <w:szCs w:val="21"/>
                <w:highlight w:val="none"/>
              </w:rPr>
              <w:t>按“第一篇三、资格条件（二）落实政府采购政策需满足的资格要求提交（如果有）</w:t>
            </w:r>
          </w:p>
        </w:tc>
      </w:tr>
      <w:tr w14:paraId="2787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448A0B2F">
            <w:pPr>
              <w:spacing w:line="360" w:lineRule="auto"/>
              <w:jc w:val="center"/>
              <w:rPr>
                <w:rFonts w:ascii="宋体" w:hAnsi="宋体" w:cs="宋体"/>
                <w:sz w:val="21"/>
                <w:szCs w:val="21"/>
                <w:highlight w:val="none"/>
              </w:rPr>
            </w:pPr>
            <w:r>
              <w:rPr>
                <w:rFonts w:hint="eastAsia" w:ascii="宋体" w:hAnsi="宋体" w:cs="宋体"/>
                <w:sz w:val="21"/>
                <w:szCs w:val="21"/>
                <w:highlight w:val="none"/>
              </w:rPr>
              <w:t>3</w:t>
            </w:r>
          </w:p>
        </w:tc>
        <w:tc>
          <w:tcPr>
            <w:tcW w:w="3685" w:type="dxa"/>
            <w:gridSpan w:val="2"/>
            <w:vAlign w:val="center"/>
          </w:tcPr>
          <w:p w14:paraId="642F6233">
            <w:pPr>
              <w:spacing w:line="360" w:lineRule="auto"/>
              <w:rPr>
                <w:rFonts w:ascii="宋体" w:hAnsi="宋体" w:cs="宋体"/>
                <w:sz w:val="21"/>
                <w:szCs w:val="21"/>
                <w:highlight w:val="none"/>
              </w:rPr>
            </w:pPr>
            <w:r>
              <w:rPr>
                <w:rFonts w:hint="eastAsia" w:ascii="宋体" w:hAnsi="宋体" w:cs="宋体"/>
                <w:sz w:val="21"/>
                <w:szCs w:val="21"/>
                <w:highlight w:val="none"/>
              </w:rPr>
              <w:t>特定资格条件</w:t>
            </w:r>
          </w:p>
        </w:tc>
        <w:tc>
          <w:tcPr>
            <w:tcW w:w="5155" w:type="dxa"/>
            <w:vAlign w:val="center"/>
          </w:tcPr>
          <w:p w14:paraId="68978B4D">
            <w:pPr>
              <w:spacing w:line="360" w:lineRule="auto"/>
              <w:rPr>
                <w:rFonts w:ascii="宋体" w:hAnsi="宋体" w:cs="宋体"/>
                <w:sz w:val="21"/>
                <w:szCs w:val="21"/>
                <w:highlight w:val="none"/>
              </w:rPr>
            </w:pPr>
            <w:r>
              <w:rPr>
                <w:rFonts w:hint="eastAsia" w:ascii="宋体" w:hAnsi="宋体" w:cs="宋体"/>
                <w:sz w:val="21"/>
                <w:szCs w:val="21"/>
                <w:highlight w:val="none"/>
              </w:rPr>
              <w:t>按“第一篇三、资格条件（三）本项目的特定资格要求”的要求提交（如果有）。</w:t>
            </w:r>
          </w:p>
        </w:tc>
      </w:tr>
    </w:tbl>
    <w:p w14:paraId="1DD6BB06">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BC2918B">
      <w:pPr>
        <w:adjustRightInd w:val="0"/>
        <w:snapToGrid w:val="0"/>
        <w:spacing w:line="42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3B9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DC8EE61">
            <w:pPr>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544" w:type="dxa"/>
            <w:gridSpan w:val="2"/>
            <w:vAlign w:val="center"/>
          </w:tcPr>
          <w:p w14:paraId="019F52BF">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评审因素</w:t>
            </w:r>
          </w:p>
        </w:tc>
        <w:tc>
          <w:tcPr>
            <w:tcW w:w="5409" w:type="dxa"/>
            <w:vAlign w:val="center"/>
          </w:tcPr>
          <w:p w14:paraId="71721774">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评审标准</w:t>
            </w:r>
          </w:p>
        </w:tc>
      </w:tr>
      <w:tr w14:paraId="3476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5" w:type="dxa"/>
            <w:vMerge w:val="restart"/>
            <w:vAlign w:val="center"/>
          </w:tcPr>
          <w:p w14:paraId="6361B238">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1560" w:type="dxa"/>
            <w:vMerge w:val="restart"/>
            <w:vAlign w:val="center"/>
          </w:tcPr>
          <w:p w14:paraId="1CE3D802">
            <w:pPr>
              <w:rPr>
                <w:rFonts w:ascii="宋体" w:hAnsi="宋体" w:cs="宋体"/>
                <w:kern w:val="0"/>
                <w:sz w:val="21"/>
                <w:szCs w:val="21"/>
                <w:highlight w:val="none"/>
              </w:rPr>
            </w:pPr>
            <w:r>
              <w:rPr>
                <w:rFonts w:hint="eastAsia" w:ascii="宋体" w:hAnsi="宋体" w:cs="宋体"/>
                <w:kern w:val="0"/>
                <w:sz w:val="21"/>
                <w:szCs w:val="21"/>
                <w:highlight w:val="none"/>
              </w:rPr>
              <w:t>有效性审查</w:t>
            </w:r>
          </w:p>
        </w:tc>
        <w:tc>
          <w:tcPr>
            <w:tcW w:w="1984" w:type="dxa"/>
            <w:vAlign w:val="center"/>
          </w:tcPr>
          <w:p w14:paraId="7EC1339C">
            <w:pPr>
              <w:jc w:val="center"/>
              <w:rPr>
                <w:rFonts w:ascii="宋体" w:hAnsi="宋体" w:cs="宋体"/>
                <w:kern w:val="0"/>
                <w:sz w:val="21"/>
                <w:szCs w:val="21"/>
                <w:highlight w:val="none"/>
              </w:rPr>
            </w:pPr>
            <w:r>
              <w:rPr>
                <w:rFonts w:hint="eastAsia" w:ascii="宋体" w:hAnsi="宋体" w:cs="宋体"/>
                <w:sz w:val="21"/>
                <w:szCs w:val="21"/>
                <w:highlight w:val="none"/>
              </w:rPr>
              <w:t>响应文件签署</w:t>
            </w:r>
          </w:p>
        </w:tc>
        <w:tc>
          <w:tcPr>
            <w:tcW w:w="5409" w:type="dxa"/>
            <w:vAlign w:val="center"/>
          </w:tcPr>
          <w:p w14:paraId="387E11DD">
            <w:pPr>
              <w:rPr>
                <w:rFonts w:ascii="宋体" w:hAnsi="宋体" w:cs="宋体"/>
                <w:kern w:val="0"/>
                <w:sz w:val="21"/>
                <w:szCs w:val="21"/>
                <w:highlight w:val="none"/>
              </w:rPr>
            </w:pPr>
            <w:r>
              <w:rPr>
                <w:rFonts w:hint="eastAsia" w:ascii="宋体" w:hAnsi="宋体" w:cs="宋体"/>
                <w:sz w:val="21"/>
                <w:szCs w:val="21"/>
                <w:highlight w:val="none"/>
              </w:rPr>
              <w:t>响应文件上法定代表人或其授权代表人的签字齐全。</w:t>
            </w:r>
          </w:p>
        </w:tc>
      </w:tr>
      <w:tr w14:paraId="7EA4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5" w:type="dxa"/>
            <w:vMerge w:val="continue"/>
            <w:vAlign w:val="center"/>
          </w:tcPr>
          <w:p w14:paraId="10F67127">
            <w:pPr>
              <w:spacing w:line="240" w:lineRule="exact"/>
              <w:jc w:val="center"/>
              <w:rPr>
                <w:rFonts w:ascii="宋体" w:hAnsi="宋体" w:cs="宋体"/>
                <w:kern w:val="0"/>
                <w:sz w:val="21"/>
                <w:szCs w:val="21"/>
                <w:highlight w:val="none"/>
              </w:rPr>
            </w:pPr>
          </w:p>
        </w:tc>
        <w:tc>
          <w:tcPr>
            <w:tcW w:w="1560" w:type="dxa"/>
            <w:vMerge w:val="continue"/>
            <w:vAlign w:val="center"/>
          </w:tcPr>
          <w:p w14:paraId="6A0896D7">
            <w:pPr>
              <w:spacing w:line="240" w:lineRule="exact"/>
              <w:rPr>
                <w:rFonts w:ascii="宋体" w:hAnsi="宋体" w:cs="宋体"/>
                <w:kern w:val="0"/>
                <w:sz w:val="21"/>
                <w:szCs w:val="21"/>
                <w:highlight w:val="none"/>
              </w:rPr>
            </w:pPr>
          </w:p>
        </w:tc>
        <w:tc>
          <w:tcPr>
            <w:tcW w:w="1984" w:type="dxa"/>
            <w:vAlign w:val="center"/>
          </w:tcPr>
          <w:p w14:paraId="177B6183">
            <w:pPr>
              <w:jc w:val="center"/>
              <w:rPr>
                <w:rFonts w:ascii="宋体" w:hAnsi="宋体" w:cs="宋体"/>
                <w:sz w:val="21"/>
                <w:szCs w:val="21"/>
                <w:highlight w:val="none"/>
              </w:rPr>
            </w:pPr>
            <w:r>
              <w:rPr>
                <w:rFonts w:hint="eastAsia" w:ascii="宋体" w:hAnsi="宋体" w:cs="宋体"/>
                <w:sz w:val="21"/>
                <w:szCs w:val="21"/>
                <w:highlight w:val="none"/>
              </w:rPr>
              <w:t>法定代表人身份证明及授权委托书</w:t>
            </w:r>
          </w:p>
        </w:tc>
        <w:tc>
          <w:tcPr>
            <w:tcW w:w="5409" w:type="dxa"/>
            <w:vAlign w:val="center"/>
          </w:tcPr>
          <w:p w14:paraId="122B6411">
            <w:pPr>
              <w:rPr>
                <w:rFonts w:ascii="宋体" w:hAnsi="宋体" w:cs="宋体"/>
                <w:sz w:val="21"/>
                <w:szCs w:val="21"/>
                <w:highlight w:val="none"/>
              </w:rPr>
            </w:pPr>
            <w:r>
              <w:rPr>
                <w:rFonts w:hint="eastAsia" w:ascii="宋体" w:hAnsi="宋体" w:cs="宋体"/>
                <w:sz w:val="21"/>
                <w:szCs w:val="21"/>
                <w:highlight w:val="none"/>
              </w:rPr>
              <w:t>法定代表人身份证明及授权委托书有效，符合网上竞采文件规定的格式，签字或盖章齐全。</w:t>
            </w:r>
          </w:p>
        </w:tc>
      </w:tr>
      <w:tr w14:paraId="303B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Merge w:val="continue"/>
            <w:vAlign w:val="center"/>
          </w:tcPr>
          <w:p w14:paraId="301AD9F6">
            <w:pPr>
              <w:spacing w:line="240" w:lineRule="exact"/>
              <w:jc w:val="center"/>
              <w:rPr>
                <w:rFonts w:ascii="宋体" w:hAnsi="宋体" w:cs="宋体"/>
                <w:kern w:val="0"/>
                <w:sz w:val="21"/>
                <w:szCs w:val="21"/>
                <w:highlight w:val="none"/>
              </w:rPr>
            </w:pPr>
          </w:p>
        </w:tc>
        <w:tc>
          <w:tcPr>
            <w:tcW w:w="1560" w:type="dxa"/>
            <w:vMerge w:val="continue"/>
            <w:vAlign w:val="center"/>
          </w:tcPr>
          <w:p w14:paraId="260BBBA2">
            <w:pPr>
              <w:spacing w:line="240" w:lineRule="exact"/>
              <w:rPr>
                <w:rFonts w:ascii="宋体" w:hAnsi="宋体" w:cs="宋体"/>
                <w:kern w:val="0"/>
                <w:sz w:val="21"/>
                <w:szCs w:val="21"/>
                <w:highlight w:val="none"/>
              </w:rPr>
            </w:pPr>
          </w:p>
        </w:tc>
        <w:tc>
          <w:tcPr>
            <w:tcW w:w="1984" w:type="dxa"/>
            <w:vAlign w:val="center"/>
          </w:tcPr>
          <w:p w14:paraId="45A83BDB">
            <w:pPr>
              <w:jc w:val="center"/>
              <w:rPr>
                <w:rFonts w:ascii="宋体" w:hAnsi="宋体" w:cs="宋体"/>
                <w:sz w:val="21"/>
                <w:szCs w:val="21"/>
                <w:highlight w:val="none"/>
                <w:lang w:val="zh-CN"/>
              </w:rPr>
            </w:pP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c>
          <w:tcPr>
            <w:tcW w:w="5409" w:type="dxa"/>
            <w:vAlign w:val="center"/>
          </w:tcPr>
          <w:p w14:paraId="1AD75BB9">
            <w:pPr>
              <w:rPr>
                <w:rFonts w:ascii="宋体" w:hAnsi="宋体" w:cs="宋体"/>
                <w:kern w:val="0"/>
                <w:sz w:val="21"/>
                <w:szCs w:val="21"/>
                <w:highlight w:val="none"/>
              </w:rPr>
            </w:pPr>
            <w:r>
              <w:rPr>
                <w:rFonts w:hint="eastAsia" w:ascii="宋体" w:hAnsi="宋体" w:cs="宋体"/>
                <w:sz w:val="21"/>
                <w:szCs w:val="21"/>
                <w:highlight w:val="none"/>
                <w:lang w:val="zh-CN"/>
              </w:rPr>
              <w:t>每个分包只能有一个</w:t>
            </w: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r>
      <w:tr w14:paraId="228C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5" w:type="dxa"/>
            <w:vMerge w:val="continue"/>
            <w:vAlign w:val="center"/>
          </w:tcPr>
          <w:p w14:paraId="05FB645C">
            <w:pPr>
              <w:spacing w:line="240" w:lineRule="exact"/>
              <w:jc w:val="center"/>
              <w:rPr>
                <w:rFonts w:ascii="宋体" w:hAnsi="宋体" w:cs="宋体"/>
                <w:kern w:val="0"/>
                <w:sz w:val="21"/>
                <w:szCs w:val="21"/>
                <w:highlight w:val="none"/>
              </w:rPr>
            </w:pPr>
          </w:p>
        </w:tc>
        <w:tc>
          <w:tcPr>
            <w:tcW w:w="1560" w:type="dxa"/>
            <w:vMerge w:val="continue"/>
            <w:vAlign w:val="center"/>
          </w:tcPr>
          <w:p w14:paraId="3779A5BF">
            <w:pPr>
              <w:spacing w:line="240" w:lineRule="exact"/>
              <w:rPr>
                <w:rFonts w:ascii="宋体" w:hAnsi="宋体" w:cs="宋体"/>
                <w:kern w:val="0"/>
                <w:sz w:val="21"/>
                <w:szCs w:val="21"/>
                <w:highlight w:val="none"/>
              </w:rPr>
            </w:pPr>
          </w:p>
        </w:tc>
        <w:tc>
          <w:tcPr>
            <w:tcW w:w="1984" w:type="dxa"/>
            <w:vAlign w:val="center"/>
          </w:tcPr>
          <w:p w14:paraId="5DCDCF3C">
            <w:pPr>
              <w:jc w:val="center"/>
              <w:rPr>
                <w:rFonts w:ascii="宋体" w:hAnsi="宋体" w:cs="宋体"/>
                <w:sz w:val="21"/>
                <w:szCs w:val="21"/>
                <w:highlight w:val="none"/>
                <w:lang w:val="zh-CN"/>
              </w:rPr>
            </w:pPr>
            <w:r>
              <w:rPr>
                <w:rFonts w:hint="eastAsia" w:ascii="宋体" w:hAnsi="宋体" w:cs="宋体"/>
                <w:sz w:val="21"/>
                <w:szCs w:val="21"/>
                <w:highlight w:val="none"/>
              </w:rPr>
              <w:t>报价唯一</w:t>
            </w:r>
          </w:p>
        </w:tc>
        <w:tc>
          <w:tcPr>
            <w:tcW w:w="5409" w:type="dxa"/>
            <w:vAlign w:val="center"/>
          </w:tcPr>
          <w:p w14:paraId="2A2E0646">
            <w:pPr>
              <w:rPr>
                <w:rFonts w:ascii="宋体" w:hAnsi="宋体" w:cs="宋体"/>
                <w:kern w:val="0"/>
                <w:sz w:val="21"/>
                <w:szCs w:val="21"/>
                <w:highlight w:val="none"/>
              </w:rPr>
            </w:pPr>
            <w:r>
              <w:rPr>
                <w:rFonts w:hint="eastAsia" w:ascii="宋体" w:hAnsi="宋体" w:cs="宋体"/>
                <w:sz w:val="21"/>
                <w:szCs w:val="21"/>
                <w:highlight w:val="none"/>
              </w:rPr>
              <w:t>只能有一个有效报价，不得提交选择性报价。</w:t>
            </w:r>
          </w:p>
        </w:tc>
      </w:tr>
      <w:tr w14:paraId="70BC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restart"/>
            <w:vAlign w:val="center"/>
          </w:tcPr>
          <w:p w14:paraId="6238A749">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1560" w:type="dxa"/>
            <w:vMerge w:val="restart"/>
            <w:vAlign w:val="center"/>
          </w:tcPr>
          <w:p w14:paraId="2C3AE096">
            <w:pPr>
              <w:rPr>
                <w:rFonts w:ascii="宋体" w:hAnsi="宋体" w:cs="宋体"/>
                <w:kern w:val="0"/>
                <w:sz w:val="21"/>
                <w:szCs w:val="21"/>
                <w:highlight w:val="none"/>
              </w:rPr>
            </w:pPr>
            <w:r>
              <w:rPr>
                <w:rFonts w:hint="eastAsia" w:ascii="宋体" w:hAnsi="宋体" w:cs="宋体"/>
                <w:kern w:val="0"/>
                <w:sz w:val="21"/>
                <w:szCs w:val="21"/>
                <w:highlight w:val="none"/>
              </w:rPr>
              <w:t>完整性审查</w:t>
            </w:r>
          </w:p>
        </w:tc>
        <w:tc>
          <w:tcPr>
            <w:tcW w:w="1984" w:type="dxa"/>
            <w:vAlign w:val="center"/>
          </w:tcPr>
          <w:p w14:paraId="6AE35D70">
            <w:pPr>
              <w:jc w:val="center"/>
              <w:rPr>
                <w:rFonts w:ascii="宋体" w:hAnsi="宋体" w:cs="宋体"/>
                <w:kern w:val="0"/>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w:t>
            </w:r>
            <w:r>
              <w:rPr>
                <w:rFonts w:hint="eastAsia" w:ascii="宋体" w:hAnsi="宋体" w:cs="宋体"/>
                <w:sz w:val="21"/>
                <w:szCs w:val="21"/>
                <w:highlight w:val="none"/>
              </w:rPr>
              <w:t>格式</w:t>
            </w:r>
          </w:p>
        </w:tc>
        <w:tc>
          <w:tcPr>
            <w:tcW w:w="5409" w:type="dxa"/>
            <w:vAlign w:val="center"/>
          </w:tcPr>
          <w:p w14:paraId="60722186">
            <w:pPr>
              <w:rPr>
                <w:rFonts w:ascii="宋体" w:hAnsi="宋体" w:cs="宋体"/>
                <w:kern w:val="0"/>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w:t>
            </w:r>
            <w:r>
              <w:rPr>
                <w:rFonts w:hint="eastAsia" w:ascii="宋体" w:hAnsi="宋体" w:cs="宋体"/>
                <w:sz w:val="21"/>
                <w:szCs w:val="21"/>
                <w:highlight w:val="none"/>
              </w:rPr>
              <w:t>格式</w:t>
            </w:r>
            <w:r>
              <w:rPr>
                <w:rFonts w:hint="eastAsia" w:ascii="宋体" w:hAnsi="宋体" w:cs="宋体"/>
                <w:sz w:val="21"/>
                <w:szCs w:val="21"/>
                <w:highlight w:val="none"/>
                <w:lang w:val="zh-CN"/>
              </w:rPr>
              <w:t>符合</w:t>
            </w:r>
            <w:r>
              <w:rPr>
                <w:rFonts w:hint="eastAsia" w:ascii="宋体" w:hAnsi="宋体" w:cs="宋体"/>
                <w:sz w:val="21"/>
                <w:szCs w:val="21"/>
                <w:highlight w:val="none"/>
              </w:rPr>
              <w:t>网上竞采文件</w:t>
            </w:r>
            <w:r>
              <w:rPr>
                <w:rFonts w:hint="eastAsia" w:ascii="宋体" w:hAnsi="宋体" w:cs="宋体"/>
                <w:sz w:val="21"/>
                <w:szCs w:val="21"/>
                <w:highlight w:val="none"/>
                <w:lang w:val="zh-CN"/>
              </w:rPr>
              <w:t>要求。</w:t>
            </w:r>
          </w:p>
        </w:tc>
      </w:tr>
      <w:tr w14:paraId="0682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75" w:type="dxa"/>
            <w:vMerge w:val="continue"/>
            <w:vAlign w:val="center"/>
          </w:tcPr>
          <w:p w14:paraId="7C41EA4C">
            <w:pPr>
              <w:spacing w:line="240" w:lineRule="exact"/>
              <w:jc w:val="center"/>
              <w:rPr>
                <w:rFonts w:ascii="宋体" w:hAnsi="宋体" w:cs="宋体"/>
                <w:kern w:val="0"/>
                <w:sz w:val="21"/>
                <w:szCs w:val="21"/>
                <w:highlight w:val="none"/>
              </w:rPr>
            </w:pPr>
          </w:p>
        </w:tc>
        <w:tc>
          <w:tcPr>
            <w:tcW w:w="1560" w:type="dxa"/>
            <w:vMerge w:val="continue"/>
            <w:vAlign w:val="center"/>
          </w:tcPr>
          <w:p w14:paraId="0C1CA560">
            <w:pPr>
              <w:rPr>
                <w:rFonts w:ascii="宋体" w:hAnsi="宋体" w:cs="宋体"/>
                <w:kern w:val="0"/>
                <w:sz w:val="21"/>
                <w:szCs w:val="21"/>
                <w:highlight w:val="none"/>
              </w:rPr>
            </w:pPr>
          </w:p>
        </w:tc>
        <w:tc>
          <w:tcPr>
            <w:tcW w:w="1984" w:type="dxa"/>
            <w:vAlign w:val="center"/>
          </w:tcPr>
          <w:p w14:paraId="7534D55B">
            <w:pPr>
              <w:jc w:val="center"/>
              <w:rPr>
                <w:rFonts w:ascii="宋体" w:hAnsi="宋体" w:cs="宋体"/>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文件内容</w:t>
            </w:r>
          </w:p>
        </w:tc>
        <w:tc>
          <w:tcPr>
            <w:tcW w:w="5409" w:type="dxa"/>
            <w:vAlign w:val="center"/>
          </w:tcPr>
          <w:p w14:paraId="32654BDB">
            <w:pPr>
              <w:rPr>
                <w:rFonts w:ascii="宋体" w:hAnsi="宋体" w:cs="宋体"/>
                <w:sz w:val="21"/>
                <w:szCs w:val="21"/>
                <w:highlight w:val="none"/>
              </w:rPr>
            </w:pPr>
            <w:r>
              <w:rPr>
                <w:rFonts w:hint="eastAsia" w:ascii="宋体" w:hAnsi="宋体" w:cs="宋体"/>
                <w:sz w:val="21"/>
                <w:szCs w:val="21"/>
                <w:highlight w:val="none"/>
              </w:rPr>
              <w:t>响应</w:t>
            </w:r>
            <w:r>
              <w:rPr>
                <w:rFonts w:hint="eastAsia" w:ascii="宋体" w:hAnsi="宋体" w:cs="宋体"/>
                <w:sz w:val="21"/>
                <w:szCs w:val="21"/>
                <w:highlight w:val="none"/>
                <w:lang w:val="zh-CN"/>
              </w:rPr>
              <w:t>文件内容齐全、无遗漏。</w:t>
            </w:r>
          </w:p>
        </w:tc>
      </w:tr>
      <w:tr w14:paraId="32D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restart"/>
            <w:vAlign w:val="center"/>
          </w:tcPr>
          <w:p w14:paraId="650A2F2D">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1560" w:type="dxa"/>
            <w:vMerge w:val="restart"/>
            <w:vAlign w:val="center"/>
          </w:tcPr>
          <w:p w14:paraId="7DC6BB3D">
            <w:pPr>
              <w:rPr>
                <w:rFonts w:ascii="宋体" w:hAnsi="宋体" w:cs="宋体"/>
                <w:sz w:val="21"/>
                <w:szCs w:val="21"/>
                <w:highlight w:val="none"/>
                <w:lang w:val="zh-CN"/>
              </w:rPr>
            </w:pPr>
            <w:r>
              <w:rPr>
                <w:rFonts w:hint="eastAsia" w:ascii="宋体" w:hAnsi="宋体" w:cs="宋体"/>
                <w:kern w:val="0"/>
                <w:sz w:val="21"/>
                <w:szCs w:val="21"/>
                <w:highlight w:val="none"/>
              </w:rPr>
              <w:t>网上竞采文件的响应程度审查</w:t>
            </w:r>
          </w:p>
        </w:tc>
        <w:tc>
          <w:tcPr>
            <w:tcW w:w="1984" w:type="dxa"/>
            <w:vAlign w:val="center"/>
          </w:tcPr>
          <w:p w14:paraId="334B9863">
            <w:pPr>
              <w:jc w:val="center"/>
              <w:rPr>
                <w:rFonts w:ascii="宋体" w:hAnsi="宋体" w:cs="宋体"/>
                <w:kern w:val="0"/>
                <w:sz w:val="21"/>
                <w:szCs w:val="21"/>
                <w:highlight w:val="none"/>
              </w:rPr>
            </w:pPr>
            <w:r>
              <w:rPr>
                <w:rFonts w:hint="eastAsia" w:ascii="宋体" w:hAnsi="宋体" w:cs="宋体"/>
                <w:kern w:val="0"/>
                <w:sz w:val="21"/>
                <w:szCs w:val="21"/>
                <w:highlight w:val="none"/>
              </w:rPr>
              <w:t>技术响应</w:t>
            </w:r>
          </w:p>
        </w:tc>
        <w:tc>
          <w:tcPr>
            <w:tcW w:w="5409" w:type="dxa"/>
            <w:vAlign w:val="center"/>
          </w:tcPr>
          <w:p w14:paraId="6F8B9993">
            <w:pPr>
              <w:pStyle w:val="14"/>
              <w:rPr>
                <w:rFonts w:ascii="宋体" w:hAnsi="宋体" w:cs="宋体"/>
                <w:kern w:val="0"/>
                <w:sz w:val="21"/>
                <w:szCs w:val="21"/>
                <w:highlight w:val="none"/>
              </w:rPr>
            </w:pPr>
            <w:r>
              <w:rPr>
                <w:rFonts w:hint="eastAsia" w:ascii="宋体" w:hAnsi="宋体" w:cs="宋体"/>
                <w:sz w:val="21"/>
                <w:szCs w:val="21"/>
                <w:highlight w:val="none"/>
              </w:rPr>
              <w:t>对本网上竞采文件第二篇标注“※”的条款作出响应。</w:t>
            </w:r>
          </w:p>
        </w:tc>
      </w:tr>
      <w:tr w14:paraId="5911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continue"/>
            <w:vAlign w:val="center"/>
          </w:tcPr>
          <w:p w14:paraId="2DAE474E">
            <w:pPr>
              <w:spacing w:line="240" w:lineRule="exact"/>
              <w:jc w:val="center"/>
              <w:rPr>
                <w:rFonts w:ascii="宋体" w:hAnsi="宋体" w:cs="宋体"/>
                <w:kern w:val="0"/>
                <w:sz w:val="21"/>
                <w:szCs w:val="21"/>
                <w:highlight w:val="none"/>
              </w:rPr>
            </w:pPr>
          </w:p>
        </w:tc>
        <w:tc>
          <w:tcPr>
            <w:tcW w:w="1560" w:type="dxa"/>
            <w:vMerge w:val="continue"/>
            <w:vAlign w:val="center"/>
          </w:tcPr>
          <w:p w14:paraId="66C580FC">
            <w:pPr>
              <w:rPr>
                <w:rFonts w:ascii="宋体" w:hAnsi="宋体" w:cs="宋体"/>
                <w:kern w:val="0"/>
                <w:sz w:val="21"/>
                <w:szCs w:val="21"/>
                <w:highlight w:val="none"/>
              </w:rPr>
            </w:pPr>
          </w:p>
        </w:tc>
        <w:tc>
          <w:tcPr>
            <w:tcW w:w="1984" w:type="dxa"/>
            <w:vAlign w:val="center"/>
          </w:tcPr>
          <w:p w14:paraId="3A844CBB">
            <w:pPr>
              <w:jc w:val="center"/>
              <w:rPr>
                <w:rFonts w:ascii="宋体" w:hAnsi="宋体" w:cs="宋体"/>
                <w:kern w:val="0"/>
                <w:sz w:val="21"/>
                <w:szCs w:val="21"/>
                <w:highlight w:val="none"/>
              </w:rPr>
            </w:pPr>
            <w:r>
              <w:rPr>
                <w:rFonts w:hint="eastAsia" w:ascii="宋体" w:hAnsi="宋体" w:cs="宋体"/>
                <w:kern w:val="0"/>
                <w:sz w:val="21"/>
                <w:szCs w:val="21"/>
                <w:highlight w:val="none"/>
              </w:rPr>
              <w:t>商务响应</w:t>
            </w:r>
          </w:p>
        </w:tc>
        <w:tc>
          <w:tcPr>
            <w:tcW w:w="5409" w:type="dxa"/>
            <w:vAlign w:val="center"/>
          </w:tcPr>
          <w:p w14:paraId="794345F5">
            <w:pPr>
              <w:pStyle w:val="14"/>
              <w:rPr>
                <w:rFonts w:ascii="宋体" w:hAnsi="宋体" w:cs="宋体"/>
                <w:sz w:val="21"/>
                <w:szCs w:val="21"/>
                <w:highlight w:val="none"/>
              </w:rPr>
            </w:pPr>
            <w:r>
              <w:rPr>
                <w:rFonts w:hint="eastAsia" w:ascii="宋体" w:hAnsi="宋体" w:cs="宋体"/>
                <w:sz w:val="21"/>
                <w:szCs w:val="21"/>
                <w:highlight w:val="none"/>
              </w:rPr>
              <w:t>对本网上竞采文件第三篇标注“※”的条款作出响应。</w:t>
            </w:r>
          </w:p>
        </w:tc>
      </w:tr>
      <w:tr w14:paraId="5113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5" w:type="dxa"/>
            <w:vMerge w:val="continue"/>
            <w:vAlign w:val="center"/>
          </w:tcPr>
          <w:p w14:paraId="4B044A0E">
            <w:pPr>
              <w:spacing w:line="240" w:lineRule="exact"/>
              <w:jc w:val="center"/>
              <w:rPr>
                <w:rFonts w:ascii="宋体" w:hAnsi="宋体" w:cs="宋体"/>
                <w:kern w:val="0"/>
                <w:sz w:val="21"/>
                <w:szCs w:val="21"/>
                <w:highlight w:val="none"/>
              </w:rPr>
            </w:pPr>
          </w:p>
        </w:tc>
        <w:tc>
          <w:tcPr>
            <w:tcW w:w="1560" w:type="dxa"/>
            <w:vMerge w:val="continue"/>
            <w:vAlign w:val="center"/>
          </w:tcPr>
          <w:p w14:paraId="1963A8CD">
            <w:pPr>
              <w:spacing w:line="240" w:lineRule="exact"/>
              <w:rPr>
                <w:rFonts w:ascii="宋体" w:hAnsi="宋体" w:cs="宋体"/>
                <w:sz w:val="21"/>
                <w:szCs w:val="21"/>
                <w:highlight w:val="none"/>
                <w:lang w:val="zh-CN"/>
              </w:rPr>
            </w:pPr>
          </w:p>
        </w:tc>
        <w:tc>
          <w:tcPr>
            <w:tcW w:w="1984" w:type="dxa"/>
            <w:vAlign w:val="center"/>
          </w:tcPr>
          <w:p w14:paraId="7EFDCA86">
            <w:pPr>
              <w:jc w:val="center"/>
              <w:rPr>
                <w:rFonts w:ascii="宋体" w:hAnsi="宋体" w:cs="宋体"/>
                <w:kern w:val="0"/>
                <w:sz w:val="21"/>
                <w:szCs w:val="21"/>
                <w:highlight w:val="none"/>
              </w:rPr>
            </w:pPr>
            <w:r>
              <w:rPr>
                <w:rFonts w:hint="eastAsia" w:ascii="宋体" w:hAnsi="宋体" w:cs="宋体"/>
                <w:kern w:val="0"/>
                <w:sz w:val="21"/>
                <w:szCs w:val="21"/>
                <w:highlight w:val="none"/>
              </w:rPr>
              <w:t>竞采有效期</w:t>
            </w:r>
          </w:p>
        </w:tc>
        <w:tc>
          <w:tcPr>
            <w:tcW w:w="5409" w:type="dxa"/>
            <w:vAlign w:val="center"/>
          </w:tcPr>
          <w:p w14:paraId="4E5F4B78">
            <w:pPr>
              <w:rPr>
                <w:rFonts w:ascii="宋体" w:hAnsi="宋体" w:cs="宋体"/>
                <w:kern w:val="0"/>
                <w:sz w:val="21"/>
                <w:szCs w:val="21"/>
                <w:highlight w:val="none"/>
              </w:rPr>
            </w:pPr>
            <w:r>
              <w:rPr>
                <w:rFonts w:hint="eastAsia" w:ascii="宋体" w:hAnsi="宋体" w:cs="宋体"/>
                <w:kern w:val="0"/>
                <w:sz w:val="21"/>
                <w:szCs w:val="21"/>
                <w:highlight w:val="none"/>
              </w:rPr>
              <w:t>满足网上竞采文件</w:t>
            </w:r>
            <w:r>
              <w:rPr>
                <w:rFonts w:hint="eastAsia" w:ascii="宋体" w:hAnsi="宋体" w:cs="宋体"/>
                <w:sz w:val="21"/>
                <w:szCs w:val="21"/>
                <w:highlight w:val="none"/>
                <w:lang w:val="zh-CN"/>
              </w:rPr>
              <w:t>规定。</w:t>
            </w:r>
          </w:p>
        </w:tc>
      </w:tr>
    </w:tbl>
    <w:p w14:paraId="0B244030">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3.评选方法：综合评分法。</w:t>
      </w:r>
    </w:p>
    <w:p w14:paraId="69C60185">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综合评分法，是指响应文件满足网上竞采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1"/>
          <w:szCs w:val="21"/>
          <w:highlight w:val="none"/>
        </w:rPr>
        <w:t>。</w:t>
      </w:r>
    </w:p>
    <w:p w14:paraId="69E866E6">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评审小组按评审后得分由高到低的排列顺序推荐综合得分排名前三的供应商为本项目成交候选供应商，排名第一的为第一成交候选供应商。得分相同的，按投标报价由低到高顺序排列。得分且投标报价相同的，按照技术（服务）部分得分由高到低顺序排列推荐。以上都相同的，由评审小组抽签确定排序。技术（服务）部分得分为0分的供应商，将失去成为成交候选供应商的资格。</w:t>
      </w:r>
    </w:p>
    <w:p w14:paraId="671C88E3">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445854">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AF69647">
      <w:pPr>
        <w:adjustRightInd w:val="0"/>
        <w:snapToGrid w:val="0"/>
        <w:spacing w:line="42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（四）在网上竞采过程中网上竞采的任何一方不得向他人透露与网上竞采有关的服务资料、价格或其他信息。</w:t>
      </w:r>
    </w:p>
    <w:p w14:paraId="0A8F45D7">
      <w:pPr>
        <w:adjustRightInd w:val="0"/>
        <w:snapToGrid w:val="0"/>
        <w:spacing w:line="360" w:lineRule="auto"/>
        <w:ind w:firstLine="420" w:firstLineChars="200"/>
        <w:jc w:val="left"/>
        <w:rPr>
          <w:rFonts w:ascii="宋体" w:hAnsi="宋体" w:cs="宋体"/>
          <w:color w:val="000000"/>
          <w:sz w:val="21"/>
          <w:szCs w:val="21"/>
          <w:highlight w:val="none"/>
        </w:rPr>
      </w:pPr>
      <w:r>
        <w:rPr>
          <w:rFonts w:hint="eastAsia" w:ascii="宋体" w:hAnsi="宋体" w:cs="宋体"/>
          <w:sz w:val="21"/>
          <w:szCs w:val="21"/>
          <w:highlight w:val="none"/>
        </w:rPr>
        <w:t>（五）供应商在网上竞采时作出的所有书面承诺须由法定代表人或其授权代表签字。</w:t>
      </w:r>
    </w:p>
    <w:p w14:paraId="4D14AD61">
      <w:pPr>
        <w:pStyle w:val="3"/>
        <w:adjustRightInd w:val="0"/>
        <w:snapToGrid w:val="0"/>
        <w:spacing w:before="0" w:after="0" w:line="420" w:lineRule="exact"/>
        <w:jc w:val="left"/>
        <w:rPr>
          <w:rFonts w:ascii="宋体" w:hAnsi="宋体" w:eastAsia="宋体" w:cs="宋体"/>
          <w:sz w:val="21"/>
          <w:szCs w:val="21"/>
          <w:highlight w:val="none"/>
        </w:rPr>
      </w:pPr>
      <w:bookmarkStart w:id="36" w:name="_Toc5593"/>
      <w:r>
        <w:rPr>
          <w:rFonts w:hint="eastAsia" w:ascii="宋体" w:hAnsi="宋体" w:eastAsia="宋体" w:cs="宋体"/>
          <w:sz w:val="21"/>
          <w:szCs w:val="21"/>
          <w:highlight w:val="none"/>
        </w:rPr>
        <w:t>二、评审标准</w:t>
      </w:r>
      <w:bookmarkEnd w:id="36"/>
    </w:p>
    <w:p w14:paraId="438F736D">
      <w:pPr>
        <w:rPr>
          <w:highlight w:val="none"/>
        </w:rPr>
      </w:pPr>
      <w:r>
        <w:rPr>
          <w:rFonts w:hint="eastAsia" w:ascii="宋体" w:hAnsi="宋体" w:cs="宋体"/>
          <w:sz w:val="21"/>
          <w:szCs w:val="21"/>
          <w:highlight w:val="none"/>
        </w:rPr>
        <w:t>（一）评分办法</w:t>
      </w:r>
    </w:p>
    <w:tbl>
      <w:tblPr>
        <w:tblStyle w:val="25"/>
        <w:tblW w:w="9779" w:type="dxa"/>
        <w:tblInd w:w="-9" w:type="dxa"/>
        <w:tblLayout w:type="fixed"/>
        <w:tblCellMar>
          <w:top w:w="0" w:type="dxa"/>
          <w:left w:w="14" w:type="dxa"/>
          <w:bottom w:w="0" w:type="dxa"/>
          <w:right w:w="14" w:type="dxa"/>
        </w:tblCellMar>
      </w:tblPr>
      <w:tblGrid>
        <w:gridCol w:w="480"/>
        <w:gridCol w:w="1260"/>
        <w:gridCol w:w="1321"/>
        <w:gridCol w:w="5038"/>
        <w:gridCol w:w="1680"/>
      </w:tblGrid>
      <w:tr w14:paraId="030FBE5A">
        <w:tblPrEx>
          <w:tblCellMar>
            <w:top w:w="0" w:type="dxa"/>
            <w:left w:w="14" w:type="dxa"/>
            <w:bottom w:w="0" w:type="dxa"/>
            <w:right w:w="14" w:type="dxa"/>
          </w:tblCellMar>
        </w:tblPrEx>
        <w:trPr>
          <w:trHeight w:val="90" w:hRule="atLeast"/>
        </w:trPr>
        <w:tc>
          <w:tcPr>
            <w:tcW w:w="480" w:type="dxa"/>
            <w:tcBorders>
              <w:top w:val="single" w:color="auto" w:sz="4" w:space="0"/>
              <w:left w:val="single" w:color="auto" w:sz="4" w:space="0"/>
              <w:bottom w:val="single" w:color="auto" w:sz="4" w:space="0"/>
              <w:right w:val="single" w:color="auto" w:sz="4" w:space="0"/>
            </w:tcBorders>
            <w:vAlign w:val="center"/>
          </w:tcPr>
          <w:p w14:paraId="6E1D14C3">
            <w:pPr>
              <w:snapToGrid w:val="0"/>
              <w:jc w:val="center"/>
              <w:rPr>
                <w:rFonts w:ascii="宋体" w:hAnsi="宋体" w:cs="宋体"/>
                <w:sz w:val="21"/>
                <w:szCs w:val="21"/>
                <w:highlight w:val="none"/>
              </w:rPr>
            </w:pPr>
            <w:bookmarkStart w:id="37" w:name="_Toc26397"/>
            <w:bookmarkStart w:id="38" w:name="_Toc8422"/>
            <w:r>
              <w:rPr>
                <w:rFonts w:hint="eastAsia" w:ascii="宋体" w:hAnsi="宋体" w:cs="宋体"/>
                <w:sz w:val="21"/>
                <w:szCs w:val="21"/>
                <w:highlight w:val="none"/>
              </w:rPr>
              <w:t>序号</w:t>
            </w:r>
          </w:p>
        </w:tc>
        <w:tc>
          <w:tcPr>
            <w:tcW w:w="1260" w:type="dxa"/>
            <w:tcBorders>
              <w:top w:val="single" w:color="auto" w:sz="4" w:space="0"/>
              <w:left w:val="nil"/>
              <w:bottom w:val="single" w:color="auto" w:sz="4" w:space="0"/>
              <w:right w:val="single" w:color="auto" w:sz="4" w:space="0"/>
            </w:tcBorders>
            <w:vAlign w:val="center"/>
          </w:tcPr>
          <w:p w14:paraId="49A9464B">
            <w:pPr>
              <w:snapToGrid w:val="0"/>
              <w:jc w:val="center"/>
              <w:rPr>
                <w:rFonts w:ascii="宋体" w:hAnsi="宋体" w:cs="宋体"/>
                <w:sz w:val="21"/>
                <w:szCs w:val="21"/>
                <w:highlight w:val="none"/>
              </w:rPr>
            </w:pPr>
            <w:r>
              <w:rPr>
                <w:rFonts w:hint="eastAsia" w:ascii="宋体" w:hAnsi="宋体" w:cs="宋体"/>
                <w:sz w:val="21"/>
                <w:szCs w:val="21"/>
                <w:highlight w:val="none"/>
              </w:rPr>
              <w:t>评分因素及权值</w:t>
            </w:r>
          </w:p>
        </w:tc>
        <w:tc>
          <w:tcPr>
            <w:tcW w:w="1321" w:type="dxa"/>
            <w:tcBorders>
              <w:top w:val="single" w:color="auto" w:sz="4" w:space="0"/>
              <w:left w:val="nil"/>
              <w:bottom w:val="single" w:color="auto" w:sz="4" w:space="0"/>
              <w:right w:val="single" w:color="auto" w:sz="4" w:space="0"/>
            </w:tcBorders>
            <w:vAlign w:val="center"/>
          </w:tcPr>
          <w:p w14:paraId="05D0C059">
            <w:pPr>
              <w:snapToGrid w:val="0"/>
              <w:jc w:val="center"/>
              <w:rPr>
                <w:rFonts w:ascii="宋体" w:hAnsi="宋体" w:cs="宋体"/>
                <w:sz w:val="21"/>
                <w:szCs w:val="21"/>
                <w:highlight w:val="none"/>
              </w:rPr>
            </w:pPr>
            <w:r>
              <w:rPr>
                <w:rFonts w:hint="eastAsia" w:ascii="宋体" w:hAnsi="宋体" w:cs="宋体"/>
                <w:sz w:val="21"/>
                <w:szCs w:val="21"/>
                <w:highlight w:val="none"/>
              </w:rPr>
              <w:t>分值</w:t>
            </w:r>
          </w:p>
        </w:tc>
        <w:tc>
          <w:tcPr>
            <w:tcW w:w="5038" w:type="dxa"/>
            <w:tcBorders>
              <w:top w:val="single" w:color="auto" w:sz="4" w:space="0"/>
              <w:left w:val="nil"/>
              <w:bottom w:val="single" w:color="auto" w:sz="4" w:space="0"/>
              <w:right w:val="single" w:color="auto" w:sz="4" w:space="0"/>
            </w:tcBorders>
            <w:vAlign w:val="center"/>
          </w:tcPr>
          <w:p w14:paraId="71FFD809">
            <w:pPr>
              <w:snapToGrid w:val="0"/>
              <w:jc w:val="center"/>
              <w:rPr>
                <w:rFonts w:ascii="宋体" w:hAnsi="宋体" w:cs="宋体"/>
                <w:sz w:val="21"/>
                <w:szCs w:val="21"/>
                <w:highlight w:val="none"/>
              </w:rPr>
            </w:pPr>
            <w:r>
              <w:rPr>
                <w:rFonts w:hint="eastAsia" w:ascii="宋体" w:hAnsi="宋体" w:cs="宋体"/>
                <w:sz w:val="21"/>
                <w:szCs w:val="21"/>
                <w:highlight w:val="none"/>
              </w:rPr>
              <w:t>评分标准</w:t>
            </w:r>
          </w:p>
        </w:tc>
        <w:tc>
          <w:tcPr>
            <w:tcW w:w="1680" w:type="dxa"/>
            <w:tcBorders>
              <w:top w:val="single" w:color="auto" w:sz="4" w:space="0"/>
              <w:left w:val="nil"/>
              <w:bottom w:val="single" w:color="auto" w:sz="4" w:space="0"/>
              <w:right w:val="single" w:color="auto" w:sz="4" w:space="0"/>
            </w:tcBorders>
            <w:vAlign w:val="center"/>
          </w:tcPr>
          <w:p w14:paraId="6E95C709">
            <w:pPr>
              <w:snapToGrid w:val="0"/>
              <w:jc w:val="center"/>
              <w:rPr>
                <w:rFonts w:ascii="宋体" w:hAnsi="宋体" w:cs="宋体"/>
                <w:sz w:val="21"/>
                <w:szCs w:val="21"/>
                <w:highlight w:val="none"/>
              </w:rPr>
            </w:pPr>
            <w:r>
              <w:rPr>
                <w:rFonts w:hint="eastAsia" w:ascii="宋体" w:hAnsi="宋体" w:cs="宋体"/>
                <w:sz w:val="21"/>
                <w:szCs w:val="21"/>
                <w:highlight w:val="none"/>
              </w:rPr>
              <w:t>说明</w:t>
            </w:r>
          </w:p>
        </w:tc>
      </w:tr>
      <w:tr w14:paraId="4FED709A">
        <w:tblPrEx>
          <w:tblCellMar>
            <w:top w:w="0" w:type="dxa"/>
            <w:left w:w="14" w:type="dxa"/>
            <w:bottom w:w="0" w:type="dxa"/>
            <w:right w:w="14" w:type="dxa"/>
          </w:tblCellMar>
        </w:tblPrEx>
        <w:trPr>
          <w:trHeight w:val="90" w:hRule="atLeast"/>
        </w:trPr>
        <w:tc>
          <w:tcPr>
            <w:tcW w:w="480" w:type="dxa"/>
            <w:tcBorders>
              <w:top w:val="nil"/>
              <w:left w:val="single" w:color="auto" w:sz="4" w:space="0"/>
              <w:bottom w:val="single" w:color="auto" w:sz="4" w:space="0"/>
              <w:right w:val="single" w:color="auto" w:sz="4" w:space="0"/>
            </w:tcBorders>
            <w:vAlign w:val="center"/>
          </w:tcPr>
          <w:p w14:paraId="05338B5A">
            <w:pPr>
              <w:snapToGrid w:val="0"/>
              <w:jc w:val="center"/>
              <w:rPr>
                <w:rFonts w:ascii="宋体" w:hAnsi="宋体" w:cs="宋体"/>
                <w:sz w:val="21"/>
                <w:szCs w:val="21"/>
                <w:highlight w:val="none"/>
              </w:rPr>
            </w:pPr>
            <w:r>
              <w:rPr>
                <w:rFonts w:hint="eastAsia" w:ascii="宋体" w:hAnsi="宋体" w:cs="宋体"/>
                <w:sz w:val="21"/>
                <w:szCs w:val="21"/>
                <w:highlight w:val="none"/>
              </w:rPr>
              <w:t>1</w:t>
            </w:r>
          </w:p>
        </w:tc>
        <w:tc>
          <w:tcPr>
            <w:tcW w:w="1260" w:type="dxa"/>
            <w:tcBorders>
              <w:top w:val="nil"/>
              <w:left w:val="nil"/>
              <w:bottom w:val="single" w:color="auto" w:sz="4" w:space="0"/>
              <w:right w:val="single" w:color="auto" w:sz="4" w:space="0"/>
            </w:tcBorders>
            <w:vAlign w:val="center"/>
          </w:tcPr>
          <w:p w14:paraId="539577BA">
            <w:pPr>
              <w:snapToGrid w:val="0"/>
              <w:jc w:val="center"/>
              <w:rPr>
                <w:rFonts w:ascii="宋体" w:hAnsi="宋体" w:cs="宋体"/>
                <w:sz w:val="21"/>
                <w:szCs w:val="21"/>
                <w:highlight w:val="none"/>
              </w:rPr>
            </w:pPr>
            <w:r>
              <w:rPr>
                <w:rFonts w:hint="eastAsia" w:ascii="宋体" w:hAnsi="宋体" w:cs="宋体"/>
                <w:sz w:val="21"/>
                <w:szCs w:val="21"/>
                <w:highlight w:val="none"/>
              </w:rPr>
              <w:t>竞采报价</w:t>
            </w:r>
          </w:p>
          <w:p w14:paraId="319DAB64">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p>
        </w:tc>
        <w:tc>
          <w:tcPr>
            <w:tcW w:w="1321" w:type="dxa"/>
            <w:tcBorders>
              <w:top w:val="nil"/>
              <w:left w:val="nil"/>
              <w:bottom w:val="single" w:color="auto" w:sz="4" w:space="0"/>
              <w:right w:val="single" w:color="auto" w:sz="4" w:space="0"/>
            </w:tcBorders>
            <w:vAlign w:val="center"/>
          </w:tcPr>
          <w:p w14:paraId="7DF4477A">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5038" w:type="dxa"/>
            <w:tcBorders>
              <w:top w:val="nil"/>
              <w:left w:val="nil"/>
              <w:bottom w:val="single" w:color="auto" w:sz="4" w:space="0"/>
              <w:right w:val="single" w:color="auto" w:sz="4" w:space="0"/>
            </w:tcBorders>
            <w:vAlign w:val="center"/>
          </w:tcPr>
          <w:p w14:paraId="353EC5D2">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满足竞采文件要求且竞采报价最低的供应商的价格为竞采基准价，其价格分为满分，其他供应商的价格分按照下列公式计算。</w:t>
            </w:r>
          </w:p>
          <w:p w14:paraId="59C83AD4">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竞采报价得分＝（竞采基准价/竞采报价）×权重×100。</w:t>
            </w:r>
          </w:p>
        </w:tc>
        <w:tc>
          <w:tcPr>
            <w:tcW w:w="1680" w:type="dxa"/>
            <w:tcBorders>
              <w:top w:val="nil"/>
              <w:left w:val="nil"/>
              <w:bottom w:val="single" w:color="auto" w:sz="4" w:space="0"/>
              <w:right w:val="single" w:color="auto" w:sz="4" w:space="0"/>
            </w:tcBorders>
            <w:vAlign w:val="center"/>
          </w:tcPr>
          <w:p w14:paraId="2D9DA47B">
            <w:pPr>
              <w:snapToGrid w:val="0"/>
              <w:rPr>
                <w:rFonts w:ascii="宋体" w:hAnsi="宋体" w:cs="宋体"/>
                <w:sz w:val="21"/>
                <w:szCs w:val="21"/>
                <w:highlight w:val="none"/>
              </w:rPr>
            </w:pPr>
          </w:p>
        </w:tc>
      </w:tr>
      <w:tr w14:paraId="2597B6FF">
        <w:tblPrEx>
          <w:tblCellMar>
            <w:top w:w="0" w:type="dxa"/>
            <w:left w:w="14" w:type="dxa"/>
            <w:bottom w:w="0" w:type="dxa"/>
            <w:right w:w="14" w:type="dxa"/>
          </w:tblCellMar>
        </w:tblPrEx>
        <w:trPr>
          <w:trHeight w:val="407" w:hRule="atLeast"/>
        </w:trPr>
        <w:tc>
          <w:tcPr>
            <w:tcW w:w="480" w:type="dxa"/>
            <w:vMerge w:val="restart"/>
            <w:tcBorders>
              <w:top w:val="single" w:color="auto" w:sz="4" w:space="0"/>
              <w:left w:val="single" w:color="auto" w:sz="4" w:space="0"/>
              <w:bottom w:val="single" w:color="auto" w:sz="4" w:space="0"/>
              <w:right w:val="single" w:color="auto" w:sz="4" w:space="0"/>
            </w:tcBorders>
            <w:vAlign w:val="center"/>
          </w:tcPr>
          <w:p w14:paraId="0B7B7023">
            <w:pPr>
              <w:snapToGrid w:val="0"/>
              <w:jc w:val="center"/>
              <w:rPr>
                <w:rFonts w:ascii="宋体" w:hAnsi="宋体" w:cs="宋体"/>
                <w:sz w:val="21"/>
                <w:szCs w:val="21"/>
                <w:highlight w:val="none"/>
              </w:rPr>
            </w:pPr>
            <w:r>
              <w:rPr>
                <w:rFonts w:hint="eastAsia" w:ascii="宋体" w:hAnsi="宋体" w:cs="宋体"/>
                <w:sz w:val="21"/>
                <w:szCs w:val="21"/>
                <w:highlight w:val="none"/>
              </w:rPr>
              <w:t>2</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54D4C9C">
            <w:pPr>
              <w:snapToGrid w:val="0"/>
              <w:jc w:val="center"/>
              <w:rPr>
                <w:rFonts w:ascii="宋体" w:hAnsi="宋体" w:cs="宋体"/>
                <w:sz w:val="21"/>
                <w:szCs w:val="21"/>
                <w:highlight w:val="none"/>
              </w:rPr>
            </w:pPr>
            <w:r>
              <w:rPr>
                <w:rFonts w:hint="eastAsia" w:ascii="宋体" w:hAnsi="宋体" w:cs="宋体"/>
                <w:sz w:val="21"/>
                <w:szCs w:val="21"/>
                <w:highlight w:val="none"/>
              </w:rPr>
              <w:t>技术部分</w:t>
            </w:r>
          </w:p>
          <w:p w14:paraId="7A86D4FA">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0%）</w:t>
            </w:r>
          </w:p>
        </w:tc>
        <w:tc>
          <w:tcPr>
            <w:tcW w:w="1321" w:type="dxa"/>
            <w:tcBorders>
              <w:top w:val="single" w:color="auto" w:sz="4" w:space="0"/>
              <w:left w:val="single" w:color="auto" w:sz="4" w:space="0"/>
              <w:bottom w:val="single" w:color="auto" w:sz="4" w:space="0"/>
              <w:right w:val="single" w:color="auto" w:sz="4" w:space="0"/>
            </w:tcBorders>
            <w:vAlign w:val="center"/>
          </w:tcPr>
          <w:p w14:paraId="1B27EE13">
            <w:pPr>
              <w:snapToGrid w:val="0"/>
              <w:jc w:val="center"/>
              <w:rPr>
                <w:rFonts w:ascii="宋体" w:hAnsi="宋体" w:cs="宋体"/>
                <w:sz w:val="21"/>
                <w:szCs w:val="21"/>
                <w:highlight w:val="none"/>
              </w:rPr>
            </w:pPr>
            <w:r>
              <w:rPr>
                <w:rFonts w:hint="eastAsia" w:ascii="宋体" w:hAnsi="宋体" w:cs="宋体"/>
                <w:sz w:val="21"/>
                <w:szCs w:val="21"/>
                <w:highlight w:val="none"/>
              </w:rPr>
              <w:t>实施方案</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5038" w:type="dxa"/>
            <w:tcBorders>
              <w:top w:val="single" w:color="auto" w:sz="4" w:space="0"/>
              <w:left w:val="single" w:color="auto" w:sz="4" w:space="0"/>
              <w:bottom w:val="single" w:color="auto" w:sz="4" w:space="0"/>
              <w:right w:val="single" w:color="auto" w:sz="4" w:space="0"/>
            </w:tcBorders>
            <w:vAlign w:val="center"/>
          </w:tcPr>
          <w:p w14:paraId="58F63570">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供应商提供针对本项目的实施方案，方案包含不限于</w:t>
            </w:r>
            <w:r>
              <w:rPr>
                <w:rFonts w:hint="eastAsia" w:ascii="宋体" w:hAnsi="宋体" w:cs="宋体"/>
                <w:sz w:val="21"/>
                <w:szCs w:val="21"/>
                <w:highlight w:val="none"/>
                <w:lang w:val="en-US" w:eastAsia="zh-CN"/>
              </w:rPr>
              <w:t>实施框架、实施组织</w:t>
            </w:r>
            <w:r>
              <w:rPr>
                <w:rFonts w:hint="eastAsia" w:ascii="宋体" w:hAnsi="宋体" w:cs="宋体"/>
                <w:sz w:val="21"/>
                <w:szCs w:val="21"/>
                <w:highlight w:val="none"/>
              </w:rPr>
              <w:t>等内容，根据方案内容进行评分。</w:t>
            </w:r>
          </w:p>
          <w:p w14:paraId="051EFEE7">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p w14:paraId="0AE0E455">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16</w:t>
            </w:r>
            <w:r>
              <w:rPr>
                <w:rFonts w:hint="eastAsia" w:ascii="宋体" w:hAnsi="宋体" w:cs="宋体"/>
                <w:sz w:val="21"/>
                <w:szCs w:val="21"/>
                <w:highlight w:val="none"/>
              </w:rPr>
              <w:t>分；</w:t>
            </w:r>
          </w:p>
          <w:p w14:paraId="275A27D0">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19B257F5">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6063903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7FAFF79E">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restart"/>
            <w:tcBorders>
              <w:top w:val="single" w:color="auto" w:sz="4" w:space="0"/>
              <w:left w:val="single" w:color="auto" w:sz="4" w:space="0"/>
              <w:bottom w:val="single" w:color="auto" w:sz="4" w:space="0"/>
              <w:right w:val="single" w:color="auto" w:sz="4" w:space="0"/>
            </w:tcBorders>
            <w:vAlign w:val="center"/>
          </w:tcPr>
          <w:p w14:paraId="2D68538E">
            <w:pPr>
              <w:snapToGrid w:val="0"/>
              <w:ind w:firstLine="210" w:firstLineChars="100"/>
              <w:rPr>
                <w:highlight w:val="none"/>
              </w:rPr>
            </w:pPr>
            <w:r>
              <w:rPr>
                <w:rFonts w:hint="eastAsia" w:ascii="宋体" w:hAnsi="宋体" w:cs="宋体"/>
                <w:sz w:val="21"/>
                <w:szCs w:val="21"/>
                <w:highlight w:val="none"/>
                <w:lang w:val="zh-CN"/>
              </w:rPr>
              <w:t>1.提供对应方案，格式自拟。由评审小组成员根据</w:t>
            </w:r>
            <w:r>
              <w:rPr>
                <w:rFonts w:hint="eastAsia" w:ascii="宋体" w:hAnsi="宋体" w:cs="宋体"/>
                <w:sz w:val="21"/>
                <w:szCs w:val="21"/>
                <w:highlight w:val="none"/>
              </w:rPr>
              <w:t>评审</w:t>
            </w:r>
            <w:r>
              <w:rPr>
                <w:rFonts w:hint="eastAsia" w:ascii="宋体" w:hAnsi="宋体" w:cs="宋体"/>
                <w:sz w:val="21"/>
                <w:szCs w:val="21"/>
                <w:highlight w:val="none"/>
                <w:lang w:val="zh-CN"/>
              </w:rPr>
              <w:t>标准独立评审。</w:t>
            </w:r>
            <w:r>
              <w:rPr>
                <w:rFonts w:hint="eastAsia" w:ascii="宋体" w:hAnsi="宋体" w:cs="宋体"/>
                <w:sz w:val="21"/>
                <w:szCs w:val="21"/>
                <w:highlight w:val="none"/>
              </w:rPr>
              <w:t>供应商得分取评审小组成员打分平均值（保留2位小数）</w:t>
            </w:r>
          </w:p>
          <w:p w14:paraId="0E5AC0B2">
            <w:pPr>
              <w:snapToGrid w:val="0"/>
              <w:ind w:firstLine="210" w:firstLineChars="100"/>
              <w:rPr>
                <w:rFonts w:ascii="宋体" w:hAnsi="宋体" w:cs="宋体"/>
                <w:sz w:val="21"/>
                <w:szCs w:val="21"/>
                <w:highlight w:val="none"/>
                <w:lang w:val="zh-CN"/>
              </w:rPr>
            </w:pPr>
            <w:r>
              <w:rPr>
                <w:rFonts w:hint="eastAsia" w:ascii="宋体" w:hAnsi="宋体" w:cs="宋体"/>
                <w:sz w:val="21"/>
                <w:szCs w:val="21"/>
                <w:highlight w:val="none"/>
                <w:lang w:val="zh-CN"/>
              </w:rPr>
              <w:t>2</w:t>
            </w:r>
            <w:r>
              <w:rPr>
                <w:rFonts w:hint="eastAsia" w:ascii="宋体" w:hAnsi="宋体" w:cs="宋体"/>
                <w:sz w:val="21"/>
                <w:szCs w:val="21"/>
                <w:highlight w:val="none"/>
              </w:rPr>
              <w:t>.</w:t>
            </w:r>
            <w:r>
              <w:rPr>
                <w:rFonts w:hint="eastAsia" w:ascii="宋体" w:hAnsi="宋体" w:cs="宋体"/>
                <w:sz w:val="21"/>
                <w:szCs w:val="21"/>
                <w:highlight w:val="none"/>
                <w:lang w:val="zh-CN"/>
              </w:rPr>
              <w:t>本项内容中所称的“瑕疵”指以下任意一种情形：</w:t>
            </w:r>
          </w:p>
          <w:p w14:paraId="6054DC5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（1）方案内容缺项、内容表述不完整或缺少关键分析点；</w:t>
            </w:r>
          </w:p>
          <w:p w14:paraId="7BB2F33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（2）方案内容表述前后矛盾、无连贯性；</w:t>
            </w:r>
          </w:p>
          <w:p w14:paraId="5CA3245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（3）内容存在逻辑漏洞、常识错误；</w:t>
            </w:r>
          </w:p>
          <w:p w14:paraId="69BFD438">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（4）方案内容不具有先进思路或时效性低下或安全性低或缺乏稳定可靠的相关保障措施、流程或进度或不合理、不具有可行性或具体措施不适用本项目特性或非专门针对本项目制定；</w:t>
            </w:r>
          </w:p>
          <w:p w14:paraId="09AE610B">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（5）方案中提出的措施举措不利于本项目目标的实现；</w:t>
            </w:r>
          </w:p>
          <w:p w14:paraId="259BEDE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（6）现有技术条件下不可能出现的情形。</w:t>
            </w:r>
          </w:p>
          <w:p w14:paraId="0B90FC9F">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（7）方案长篇累述，无重点。</w:t>
            </w:r>
          </w:p>
        </w:tc>
      </w:tr>
      <w:tr w14:paraId="721DC89E">
        <w:tblPrEx>
          <w:tblCellMar>
            <w:top w:w="0" w:type="dxa"/>
            <w:left w:w="14" w:type="dxa"/>
            <w:bottom w:w="0" w:type="dxa"/>
            <w:right w:w="14" w:type="dxa"/>
          </w:tblCellMar>
        </w:tblPrEx>
        <w:trPr>
          <w:trHeight w:val="407"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5C4707EB">
            <w:pPr>
              <w:snapToGrid w:val="0"/>
              <w:jc w:val="center"/>
              <w:rPr>
                <w:rFonts w:ascii="宋体" w:hAnsi="宋体" w:cs="宋体"/>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C3A32F8">
            <w:pPr>
              <w:snapToGrid w:val="0"/>
              <w:jc w:val="center"/>
              <w:rPr>
                <w:rFonts w:ascii="宋体" w:hAnsi="宋体" w:cs="宋体"/>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FD82059">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cs="宋体"/>
                <w:sz w:val="21"/>
                <w:szCs w:val="21"/>
                <w:highlight w:val="none"/>
              </w:rPr>
              <w:t>保障方案</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038" w:type="dxa"/>
            <w:tcBorders>
              <w:top w:val="single" w:color="auto" w:sz="4" w:space="0"/>
              <w:left w:val="single" w:color="auto" w:sz="4" w:space="0"/>
              <w:bottom w:val="single" w:color="auto" w:sz="4" w:space="0"/>
              <w:right w:val="single" w:color="auto" w:sz="4" w:space="0"/>
            </w:tcBorders>
            <w:vAlign w:val="center"/>
          </w:tcPr>
          <w:p w14:paraId="06F1D22B">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供应商提供针对本项目的质量保障方案，方案包含不限于</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保障措施、</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管理体系、应急处理预案等内容，根据方案内容进行评分。</w:t>
            </w:r>
          </w:p>
          <w:p w14:paraId="2F67070B">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1428645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6E85F438">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p w14:paraId="4F0828B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2B36417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0FB14EB4">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00897848">
            <w:pPr>
              <w:snapToGrid w:val="0"/>
              <w:jc w:val="left"/>
              <w:rPr>
                <w:rFonts w:ascii="宋体" w:hAnsi="宋体" w:cs="宋体"/>
                <w:sz w:val="21"/>
                <w:szCs w:val="21"/>
                <w:highlight w:val="none"/>
              </w:rPr>
            </w:pPr>
          </w:p>
        </w:tc>
      </w:tr>
      <w:tr w14:paraId="22ECC778">
        <w:tblPrEx>
          <w:tblCellMar>
            <w:top w:w="0" w:type="dxa"/>
            <w:left w:w="14" w:type="dxa"/>
            <w:bottom w:w="0" w:type="dxa"/>
            <w:right w:w="14" w:type="dxa"/>
          </w:tblCellMar>
        </w:tblPrEx>
        <w:trPr>
          <w:trHeight w:val="968"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176A4D45">
            <w:pPr>
              <w:snapToGrid w:val="0"/>
              <w:jc w:val="center"/>
              <w:rPr>
                <w:rFonts w:ascii="宋体" w:hAnsi="宋体" w:cs="宋体"/>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6BAD481">
            <w:pPr>
              <w:snapToGrid w:val="0"/>
              <w:jc w:val="center"/>
              <w:rPr>
                <w:rFonts w:ascii="宋体" w:hAnsi="宋体" w:cs="宋体"/>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7836CB0C">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cs="宋体"/>
                <w:sz w:val="21"/>
                <w:szCs w:val="21"/>
                <w:highlight w:val="none"/>
              </w:rPr>
              <w:t>计划方案</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038" w:type="dxa"/>
            <w:tcBorders>
              <w:top w:val="single" w:color="auto" w:sz="4" w:space="0"/>
              <w:left w:val="single" w:color="auto" w:sz="4" w:space="0"/>
              <w:bottom w:val="single" w:color="auto" w:sz="4" w:space="0"/>
              <w:right w:val="single" w:color="auto" w:sz="4" w:space="0"/>
            </w:tcBorders>
            <w:vAlign w:val="center"/>
          </w:tcPr>
          <w:p w14:paraId="1CA80F02">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供应商提供针对本项目的进度计划方案，方案</w:t>
            </w:r>
            <w:r>
              <w:rPr>
                <w:rFonts w:hint="eastAsia" w:ascii="宋体" w:hAnsi="宋体" w:cs="宋体"/>
                <w:sz w:val="21"/>
                <w:szCs w:val="21"/>
                <w:highlight w:val="none"/>
                <w:lang w:val="en-GB"/>
              </w:rPr>
              <w:t>包含不限于</w:t>
            </w:r>
            <w:r>
              <w:rPr>
                <w:rFonts w:hint="eastAsia" w:ascii="宋体" w:hAnsi="宋体" w:cs="宋体"/>
                <w:sz w:val="21"/>
                <w:szCs w:val="21"/>
                <w:highlight w:val="none"/>
              </w:rPr>
              <w:t>时间节点、工作计划、人员安排等内容，根据方案内容进行评分。</w:t>
            </w:r>
          </w:p>
          <w:p w14:paraId="6671F074">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0B2E4CE1">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68E8758A">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p w14:paraId="1F426D0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54CDD286">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6038352F">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1786872">
            <w:pPr>
              <w:snapToGrid w:val="0"/>
              <w:jc w:val="left"/>
              <w:rPr>
                <w:rFonts w:ascii="宋体" w:hAnsi="宋体" w:cs="宋体"/>
                <w:sz w:val="21"/>
                <w:szCs w:val="21"/>
                <w:highlight w:val="none"/>
              </w:rPr>
            </w:pPr>
          </w:p>
        </w:tc>
      </w:tr>
      <w:tr w14:paraId="3A8CCC57">
        <w:tblPrEx>
          <w:tblCellMar>
            <w:top w:w="0" w:type="dxa"/>
            <w:left w:w="14" w:type="dxa"/>
            <w:bottom w:w="0" w:type="dxa"/>
            <w:right w:w="14" w:type="dxa"/>
          </w:tblCellMar>
        </w:tblPrEx>
        <w:trPr>
          <w:trHeight w:val="1898" w:hRule="atLeast"/>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3199DBA5">
            <w:pPr>
              <w:snapToGrid w:val="0"/>
              <w:jc w:val="center"/>
              <w:rPr>
                <w:rFonts w:ascii="宋体" w:hAnsi="宋体" w:cs="宋体"/>
                <w:sz w:val="21"/>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4559C2E">
            <w:pPr>
              <w:snapToGrid w:val="0"/>
              <w:jc w:val="center"/>
              <w:rPr>
                <w:rFonts w:ascii="宋体" w:hAnsi="宋体" w:cs="宋体"/>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3455F77F">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服务响应</w:t>
            </w:r>
            <w:r>
              <w:rPr>
                <w:rFonts w:hint="eastAsia" w:ascii="宋体" w:hAnsi="宋体" w:cs="宋体"/>
                <w:sz w:val="21"/>
                <w:szCs w:val="21"/>
                <w:highlight w:val="none"/>
              </w:rPr>
              <w:t>方案</w:t>
            </w:r>
          </w:p>
          <w:p w14:paraId="6B4D9BF7">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5038" w:type="dxa"/>
            <w:tcBorders>
              <w:top w:val="single" w:color="auto" w:sz="4" w:space="0"/>
              <w:left w:val="single" w:color="auto" w:sz="4" w:space="0"/>
              <w:bottom w:val="single" w:color="auto" w:sz="4" w:space="0"/>
              <w:right w:val="single" w:color="auto" w:sz="4" w:space="0"/>
            </w:tcBorders>
            <w:vAlign w:val="center"/>
          </w:tcPr>
          <w:p w14:paraId="745B35FC">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供应商提供针对本项目的</w:t>
            </w:r>
            <w:r>
              <w:rPr>
                <w:rFonts w:hint="eastAsia" w:ascii="宋体" w:hAnsi="宋体" w:cs="宋体"/>
                <w:sz w:val="21"/>
                <w:szCs w:val="21"/>
                <w:highlight w:val="none"/>
                <w:lang w:val="en-US" w:eastAsia="zh-CN"/>
              </w:rPr>
              <w:t>服务响应</w:t>
            </w:r>
            <w:r>
              <w:rPr>
                <w:rFonts w:hint="eastAsia" w:ascii="宋体" w:hAnsi="宋体" w:cs="宋体"/>
                <w:sz w:val="21"/>
                <w:szCs w:val="21"/>
                <w:highlight w:val="none"/>
              </w:rPr>
              <w:t>方案，方案包含不限于服务处理流程、服务方式、</w:t>
            </w:r>
            <w:r>
              <w:rPr>
                <w:rFonts w:hint="eastAsia" w:ascii="宋体" w:hAnsi="宋体" w:cs="宋体"/>
                <w:sz w:val="21"/>
                <w:szCs w:val="21"/>
                <w:highlight w:val="none"/>
                <w:lang w:val="en-US" w:eastAsia="zh-CN"/>
              </w:rPr>
              <w:t>服务时效</w:t>
            </w:r>
            <w:r>
              <w:rPr>
                <w:rFonts w:hint="eastAsia" w:ascii="宋体" w:hAnsi="宋体" w:cs="宋体"/>
                <w:sz w:val="21"/>
                <w:szCs w:val="21"/>
                <w:highlight w:val="none"/>
              </w:rPr>
              <w:t>等内容，根据方案内容进行评分。</w:t>
            </w:r>
          </w:p>
          <w:p w14:paraId="3743A91F">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方案内容不存在瑕疵，得</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p w14:paraId="6AE50951">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方案内容存在1处瑕疵，得</w:t>
            </w:r>
            <w:r>
              <w:rPr>
                <w:rFonts w:hint="eastAsia" w:ascii="宋体" w:hAnsi="宋体" w:cs="宋体"/>
                <w:sz w:val="21"/>
                <w:szCs w:val="21"/>
                <w:highlight w:val="none"/>
                <w:lang w:val="en-US" w:eastAsia="zh-CN"/>
              </w:rPr>
              <w:t>16</w:t>
            </w:r>
            <w:r>
              <w:rPr>
                <w:rFonts w:hint="eastAsia" w:ascii="宋体" w:hAnsi="宋体" w:cs="宋体"/>
                <w:sz w:val="21"/>
                <w:szCs w:val="21"/>
                <w:highlight w:val="none"/>
              </w:rPr>
              <w:t>分；</w:t>
            </w:r>
          </w:p>
          <w:p w14:paraId="66A89373">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方案内容存在2处瑕疵，得</w:t>
            </w:r>
            <w:r>
              <w:rPr>
                <w:rFonts w:hint="eastAsia" w:ascii="宋体" w:hAnsi="宋体" w:cs="宋体"/>
                <w:sz w:val="21"/>
                <w:szCs w:val="21"/>
                <w:highlight w:val="none"/>
                <w:lang w:val="en-US" w:eastAsia="zh-CN"/>
              </w:rPr>
              <w:t>12</w:t>
            </w:r>
            <w:r>
              <w:rPr>
                <w:rFonts w:hint="eastAsia" w:ascii="宋体" w:hAnsi="宋体" w:cs="宋体"/>
                <w:sz w:val="21"/>
                <w:szCs w:val="21"/>
                <w:highlight w:val="none"/>
              </w:rPr>
              <w:t>分；</w:t>
            </w:r>
          </w:p>
          <w:p w14:paraId="31C46788">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方案内容存在3处瑕疵，得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p>
          <w:p w14:paraId="764E9219">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方案内容存在4处瑕疵，得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656DD41D">
            <w:pPr>
              <w:snapToGrid w:val="0"/>
              <w:ind w:firstLine="420" w:firstLineChars="200"/>
              <w:rPr>
                <w:rFonts w:ascii="宋体" w:hAnsi="宋体" w:cs="宋体"/>
                <w:sz w:val="21"/>
                <w:szCs w:val="21"/>
                <w:highlight w:val="none"/>
              </w:rPr>
            </w:pPr>
            <w:r>
              <w:rPr>
                <w:rFonts w:hint="eastAsia" w:ascii="宋体" w:hAnsi="宋体" w:cs="宋体"/>
                <w:sz w:val="21"/>
                <w:szCs w:val="21"/>
                <w:highlight w:val="none"/>
              </w:rPr>
              <w:t xml:space="preserve">方案内容存在5处及以上瑕疵或未提供方案得0分。  </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4B0371DB">
            <w:pPr>
              <w:snapToGrid w:val="0"/>
              <w:ind w:firstLine="420" w:firstLineChars="200"/>
              <w:jc w:val="center"/>
              <w:rPr>
                <w:rFonts w:ascii="宋体" w:hAnsi="宋体" w:cs="宋体"/>
                <w:sz w:val="21"/>
                <w:szCs w:val="21"/>
                <w:highlight w:val="none"/>
              </w:rPr>
            </w:pPr>
          </w:p>
        </w:tc>
      </w:tr>
      <w:tr w14:paraId="5B9D9000">
        <w:tblPrEx>
          <w:tblCellMar>
            <w:top w:w="0" w:type="dxa"/>
            <w:left w:w="14" w:type="dxa"/>
            <w:bottom w:w="0" w:type="dxa"/>
            <w:right w:w="14" w:type="dxa"/>
          </w:tblCellMar>
        </w:tblPrEx>
        <w:trPr>
          <w:trHeight w:val="1898" w:hRule="atLeast"/>
        </w:trPr>
        <w:tc>
          <w:tcPr>
            <w:tcW w:w="480" w:type="dxa"/>
            <w:tcBorders>
              <w:top w:val="single" w:color="auto" w:sz="4" w:space="0"/>
              <w:left w:val="single" w:color="auto" w:sz="4" w:space="0"/>
              <w:bottom w:val="single" w:color="auto" w:sz="4" w:space="0"/>
              <w:right w:val="single" w:color="auto" w:sz="4" w:space="0"/>
            </w:tcBorders>
            <w:vAlign w:val="center"/>
          </w:tcPr>
          <w:p w14:paraId="1F9AC0D6">
            <w:pPr>
              <w:snapToGrid w:val="0"/>
              <w:jc w:val="center"/>
              <w:rPr>
                <w:rFonts w:ascii="宋体" w:hAnsi="宋体" w:cs="宋体"/>
                <w:sz w:val="21"/>
                <w:szCs w:val="21"/>
                <w:highlight w:val="none"/>
              </w:rPr>
            </w:pPr>
            <w:r>
              <w:rPr>
                <w:rFonts w:hint="eastAsia" w:ascii="宋体" w:hAnsi="宋体" w:cs="宋体"/>
                <w:sz w:val="21"/>
                <w:szCs w:val="21"/>
                <w:highlight w:val="none"/>
              </w:rPr>
              <w:t>3</w:t>
            </w:r>
          </w:p>
        </w:tc>
        <w:tc>
          <w:tcPr>
            <w:tcW w:w="1260" w:type="dxa"/>
            <w:tcBorders>
              <w:top w:val="single" w:color="auto" w:sz="4" w:space="0"/>
              <w:left w:val="single" w:color="auto" w:sz="4" w:space="0"/>
              <w:bottom w:val="single" w:color="auto" w:sz="4" w:space="0"/>
              <w:right w:val="single" w:color="auto" w:sz="4" w:space="0"/>
            </w:tcBorders>
            <w:vAlign w:val="center"/>
          </w:tcPr>
          <w:p w14:paraId="50ADFB89">
            <w:pPr>
              <w:snapToGrid w:val="0"/>
              <w:jc w:val="center"/>
              <w:rPr>
                <w:rFonts w:ascii="宋体" w:hAnsi="宋体" w:cs="宋体"/>
                <w:sz w:val="21"/>
                <w:szCs w:val="21"/>
                <w:highlight w:val="none"/>
              </w:rPr>
            </w:pPr>
            <w:r>
              <w:rPr>
                <w:rFonts w:hint="eastAsia" w:ascii="宋体" w:hAnsi="宋体" w:cs="宋体"/>
                <w:sz w:val="21"/>
                <w:szCs w:val="21"/>
                <w:highlight w:val="none"/>
              </w:rPr>
              <w:t>商务部分</w:t>
            </w:r>
          </w:p>
          <w:p w14:paraId="1094A592">
            <w:pPr>
              <w:snapToGrid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p>
        </w:tc>
        <w:tc>
          <w:tcPr>
            <w:tcW w:w="1321" w:type="dxa"/>
            <w:tcBorders>
              <w:top w:val="single" w:color="auto" w:sz="4" w:space="0"/>
              <w:left w:val="single" w:color="auto" w:sz="4" w:space="0"/>
              <w:bottom w:val="single" w:color="auto" w:sz="4" w:space="0"/>
              <w:right w:val="single" w:color="auto" w:sz="4" w:space="0"/>
            </w:tcBorders>
            <w:vAlign w:val="center"/>
          </w:tcPr>
          <w:p w14:paraId="10AAA72E">
            <w:pPr>
              <w:snapToGrid w:val="0"/>
              <w:jc w:val="center"/>
              <w:rPr>
                <w:rFonts w:ascii="宋体" w:hAnsi="宋体" w:cs="宋体"/>
                <w:sz w:val="21"/>
                <w:szCs w:val="21"/>
                <w:highlight w:val="none"/>
              </w:rPr>
            </w:pPr>
            <w:r>
              <w:rPr>
                <w:rFonts w:hint="eastAsia" w:ascii="宋体" w:hAnsi="宋体" w:cs="宋体"/>
                <w:sz w:val="21"/>
                <w:szCs w:val="21"/>
                <w:highlight w:val="none"/>
              </w:rPr>
              <w:t>业绩</w:t>
            </w:r>
          </w:p>
          <w:p w14:paraId="60B51024">
            <w:pPr>
              <w:snapToGrid w:val="0"/>
              <w:jc w:val="center"/>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5038" w:type="dxa"/>
            <w:tcBorders>
              <w:top w:val="single" w:color="auto" w:sz="4" w:space="0"/>
              <w:left w:val="single" w:color="auto" w:sz="4" w:space="0"/>
              <w:bottom w:val="single" w:color="auto" w:sz="4" w:space="0"/>
              <w:right w:val="single" w:color="auto" w:sz="4" w:space="0"/>
            </w:tcBorders>
            <w:vAlign w:val="center"/>
          </w:tcPr>
          <w:p w14:paraId="520DDA00">
            <w:pPr>
              <w:widowControl/>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2023年1月1日至今（以合同签订时间为准）有过类似</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业绩的，每提供一个得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分，本项最多</w:t>
            </w:r>
            <w:r>
              <w:rPr>
                <w:rFonts w:hint="eastAsia" w:ascii="宋体" w:hAnsi="宋体" w:cs="宋体"/>
                <w:sz w:val="21"/>
                <w:szCs w:val="21"/>
                <w:highlight w:val="none"/>
                <w:lang w:val="en-US" w:eastAsia="zh-CN"/>
              </w:rPr>
              <w:t>2</w:t>
            </w:r>
            <w:r>
              <w:rPr>
                <w:rFonts w:hint="eastAsia" w:ascii="宋体" w:hAnsi="宋体" w:cs="宋体"/>
                <w:sz w:val="21"/>
                <w:szCs w:val="21"/>
                <w:highlight w:val="none"/>
              </w:rPr>
              <w:t>0分。</w:t>
            </w:r>
          </w:p>
        </w:tc>
        <w:tc>
          <w:tcPr>
            <w:tcW w:w="1680" w:type="dxa"/>
            <w:tcBorders>
              <w:top w:val="single" w:color="auto" w:sz="4" w:space="0"/>
              <w:left w:val="single" w:color="auto" w:sz="4" w:space="0"/>
              <w:bottom w:val="single" w:color="auto" w:sz="4" w:space="0"/>
              <w:right w:val="single" w:color="auto" w:sz="4" w:space="0"/>
            </w:tcBorders>
            <w:vAlign w:val="center"/>
          </w:tcPr>
          <w:p w14:paraId="14121E4E">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提供</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合同扫描件和对应发票复印件并加盖供应商公章。</w:t>
            </w:r>
          </w:p>
        </w:tc>
      </w:tr>
      <w:bookmarkEnd w:id="37"/>
      <w:bookmarkEnd w:id="38"/>
    </w:tbl>
    <w:p w14:paraId="0557B611">
      <w:pPr>
        <w:adjustRightInd w:val="0"/>
        <w:snapToGrid w:val="0"/>
        <w:spacing w:line="360" w:lineRule="auto"/>
        <w:ind w:firstLine="420" w:firstLineChars="200"/>
        <w:jc w:val="left"/>
        <w:rPr>
          <w:rFonts w:ascii="宋体" w:hAnsi="宋体" w:cs="宋体"/>
          <w:sz w:val="21"/>
          <w:szCs w:val="21"/>
          <w:highlight w:val="none"/>
        </w:rPr>
      </w:pPr>
    </w:p>
    <w:p w14:paraId="2A534BF5">
      <w:pPr>
        <w:snapToGrid w:val="0"/>
        <w:spacing w:line="360" w:lineRule="auto"/>
        <w:rPr>
          <w:rFonts w:ascii="宋体" w:hAnsi="宋体" w:cs="宋体"/>
          <w:b w:val="0"/>
          <w:bCs w:val="0"/>
          <w:sz w:val="21"/>
          <w:szCs w:val="21"/>
          <w:highlight w:val="none"/>
        </w:rPr>
      </w:pPr>
      <w:r>
        <w:rPr>
          <w:rFonts w:hint="eastAsia" w:ascii="宋体" w:hAnsi="宋体" w:cs="宋体"/>
          <w:b w:val="0"/>
          <w:bCs w:val="0"/>
          <w:color w:val="000000"/>
          <w:sz w:val="21"/>
          <w:szCs w:val="21"/>
          <w:highlight w:val="none"/>
        </w:rPr>
        <w:t>（二）</w:t>
      </w:r>
      <w:r>
        <w:rPr>
          <w:rFonts w:hint="eastAsia" w:ascii="宋体" w:hAnsi="宋体" w:cs="宋体"/>
          <w:b w:val="0"/>
          <w:bCs w:val="0"/>
          <w:sz w:val="21"/>
          <w:szCs w:val="21"/>
          <w:highlight w:val="none"/>
        </w:rPr>
        <w:t>异常低价：参照《关于推动解决政府采购异常低价问题的通知》规定，评审中出现下列情形之一的，竞采小组应当启动异常低价投标(响应)审查程序：</w:t>
      </w:r>
    </w:p>
    <w:p w14:paraId="1B478E33">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1.投标（响应）报价低于全部通过符合性审查供应商投标(响应)报价平均值</w:t>
      </w:r>
      <w:r>
        <w:rPr>
          <w:rFonts w:hint="eastAsia" w:ascii="宋体" w:hAnsi="宋体" w:cs="宋体"/>
          <w:b w:val="0"/>
          <w:bCs w:val="0"/>
          <w:sz w:val="21"/>
          <w:szCs w:val="21"/>
          <w:highlight w:val="none"/>
          <w:lang w:val="en-US" w:eastAsia="zh-CN"/>
        </w:rPr>
        <w:t>50</w:t>
      </w:r>
      <w:r>
        <w:rPr>
          <w:rFonts w:hint="eastAsia" w:ascii="宋体" w:hAnsi="宋体" w:cs="宋体"/>
          <w:b w:val="0"/>
          <w:bCs w:val="0"/>
          <w:sz w:val="21"/>
          <w:szCs w:val="21"/>
          <w:highlight w:val="none"/>
        </w:rPr>
        <w:t>%的，即投标(响应)报价&lt;全部通过符合性审查供应商投标(响应)报价平均值×</w:t>
      </w:r>
      <w:r>
        <w:rPr>
          <w:rFonts w:hint="eastAsia" w:ascii="宋体" w:hAnsi="宋体" w:cs="宋体"/>
          <w:b w:val="0"/>
          <w:bCs w:val="0"/>
          <w:sz w:val="21"/>
          <w:szCs w:val="21"/>
          <w:highlight w:val="none"/>
          <w:lang w:val="en-US" w:eastAsia="zh-CN"/>
        </w:rPr>
        <w:t>50</w:t>
      </w:r>
      <w:r>
        <w:rPr>
          <w:rFonts w:hint="eastAsia" w:ascii="宋体" w:hAnsi="宋体" w:cs="宋体"/>
          <w:b w:val="0"/>
          <w:bCs w:val="0"/>
          <w:sz w:val="21"/>
          <w:szCs w:val="21"/>
          <w:highlight w:val="none"/>
        </w:rPr>
        <w:t>%;</w:t>
      </w:r>
    </w:p>
    <w:p w14:paraId="1DA35E5E">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2.投标（响应）报价低于通过符合性审查的次低报价供应商投标(响应)报价50%的，即投标(响应)报价&lt;通过符合性审查的次低报价供应商投标(响应)报价×</w:t>
      </w:r>
      <w:r>
        <w:rPr>
          <w:rFonts w:hint="eastAsia" w:ascii="宋体" w:hAnsi="宋体" w:cs="宋体"/>
          <w:b w:val="0"/>
          <w:bCs w:val="0"/>
          <w:sz w:val="21"/>
          <w:szCs w:val="21"/>
          <w:highlight w:val="none"/>
          <w:lang w:val="en-US" w:eastAsia="zh-CN"/>
        </w:rPr>
        <w:t>50</w:t>
      </w:r>
      <w:r>
        <w:rPr>
          <w:rFonts w:hint="eastAsia" w:ascii="宋体" w:hAnsi="宋体" w:cs="宋体"/>
          <w:b w:val="0"/>
          <w:bCs w:val="0"/>
          <w:sz w:val="21"/>
          <w:szCs w:val="21"/>
          <w:highlight w:val="none"/>
        </w:rPr>
        <w:t>%;</w:t>
      </w:r>
    </w:p>
    <w:p w14:paraId="0085BD26">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3.投标（响应）报价低于采购项目最高限价</w:t>
      </w:r>
      <w:r>
        <w:rPr>
          <w:rFonts w:hint="eastAsia" w:ascii="宋体" w:hAnsi="宋体" w:cs="宋体"/>
          <w:b w:val="0"/>
          <w:bCs w:val="0"/>
          <w:sz w:val="21"/>
          <w:szCs w:val="21"/>
          <w:highlight w:val="none"/>
          <w:lang w:val="en-US" w:eastAsia="zh-CN"/>
        </w:rPr>
        <w:t>45</w:t>
      </w:r>
      <w:r>
        <w:rPr>
          <w:rFonts w:hint="eastAsia" w:ascii="宋体" w:hAnsi="宋体" w:cs="宋体"/>
          <w:b w:val="0"/>
          <w:bCs w:val="0"/>
          <w:sz w:val="21"/>
          <w:szCs w:val="21"/>
          <w:highlight w:val="none"/>
        </w:rPr>
        <w:t>%的，即投标(响应)报价&lt;采购项目最高限价×</w:t>
      </w:r>
      <w:r>
        <w:rPr>
          <w:rFonts w:hint="eastAsia" w:ascii="宋体" w:hAnsi="宋体" w:cs="宋体"/>
          <w:b w:val="0"/>
          <w:bCs w:val="0"/>
          <w:sz w:val="21"/>
          <w:szCs w:val="21"/>
          <w:highlight w:val="none"/>
          <w:lang w:val="en-US" w:eastAsia="zh-CN"/>
        </w:rPr>
        <w:t>4</w:t>
      </w:r>
      <w:r>
        <w:rPr>
          <w:rFonts w:hint="eastAsia" w:ascii="宋体" w:hAnsi="宋体" w:cs="宋体"/>
          <w:b w:val="0"/>
          <w:bCs w:val="0"/>
          <w:sz w:val="21"/>
          <w:szCs w:val="21"/>
          <w:highlight w:val="none"/>
        </w:rPr>
        <w:t>5%;</w:t>
      </w:r>
    </w:p>
    <w:p w14:paraId="1ED49A03">
      <w:pPr>
        <w:snapToGrid w:val="0"/>
        <w:spacing w:line="360" w:lineRule="auto"/>
        <w:rPr>
          <w:rFonts w:ascii="宋体" w:hAnsi="宋体" w:cs="宋体"/>
          <w:b w:val="0"/>
          <w:bCs w:val="0"/>
          <w:sz w:val="21"/>
          <w:szCs w:val="21"/>
          <w:highlight w:val="none"/>
        </w:rPr>
      </w:pPr>
      <w:r>
        <w:rPr>
          <w:rFonts w:hint="eastAsia" w:ascii="宋体" w:hAnsi="宋体" w:cs="宋体"/>
          <w:b w:val="0"/>
          <w:bCs w:val="0"/>
          <w:sz w:val="21"/>
          <w:szCs w:val="21"/>
          <w:highlight w:val="none"/>
        </w:rPr>
        <w:t>4.评审委员会基于专业判断，认为供应商报价过低，有可能影响产品质量或者不能诚信履约的其他情形。</w:t>
      </w:r>
    </w:p>
    <w:p w14:paraId="10DEAE62">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竞采小组可以要求其在合理的时间内（提出澄清通知30分钟内）提供书面说明，必要时提交相关证明材料；供应商不能证明其报价合理性的，竞采小组应当将其作为无效响应处理。供应商不得以提供下列事由证明其报价合理性:</w:t>
      </w:r>
    </w:p>
    <w:p w14:paraId="6F81AAE3">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1）亏本让利(包含但不限于:1.供应商自身亏本让利；2.供应商与第三方服务商或供应商签定的服务或材料设备协议约定亏本让利或低于成本价或明显低于市场价的；3自有闲置设备、货物、自有劳务人员低价占领市场等理由进行解释。)</w:t>
      </w:r>
    </w:p>
    <w:p w14:paraId="3EF69015">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（2）企业市场拓展或者品牌宣传；</w:t>
      </w:r>
    </w:p>
    <w:p w14:paraId="4FE7185C">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（3）降低或者改变原服务内容、服务标准、服务时间、售后标准；</w:t>
      </w:r>
    </w:p>
    <w:p w14:paraId="1B1E0C78">
      <w:pPr>
        <w:snapToGrid w:val="0"/>
        <w:spacing w:line="360" w:lineRule="auto"/>
        <w:ind w:firstLine="465"/>
        <w:rPr>
          <w:rFonts w:ascii="宋体" w:hAnsi="宋体" w:cs="宋体"/>
          <w:b w:val="0"/>
          <w:bCs w:val="0"/>
          <w:sz w:val="21"/>
          <w:szCs w:val="21"/>
          <w:highlight w:val="none"/>
        </w:rPr>
      </w:pPr>
      <w:r>
        <w:rPr>
          <w:rFonts w:hint="eastAsia" w:ascii="宋体" w:hAnsi="宋体" w:cs="宋体"/>
          <w:b w:val="0"/>
          <w:bCs w:val="0"/>
          <w:sz w:val="21"/>
          <w:szCs w:val="21"/>
          <w:highlight w:val="none"/>
        </w:rPr>
        <w:t>（4）为取得类似项目业绩；</w:t>
      </w:r>
    </w:p>
    <w:p w14:paraId="59635F72">
      <w:pPr>
        <w:adjustRightInd w:val="0"/>
        <w:snapToGrid w:val="0"/>
        <w:spacing w:line="360" w:lineRule="auto"/>
        <w:ind w:firstLine="420" w:firstLineChars="200"/>
        <w:jc w:val="left"/>
        <w:rPr>
          <w:rFonts w:ascii="宋体" w:hAnsi="宋体" w:cs="宋体"/>
          <w:b w:val="0"/>
          <w:bCs w:val="0"/>
          <w:sz w:val="21"/>
          <w:szCs w:val="21"/>
          <w:highlight w:val="none"/>
        </w:rPr>
      </w:pPr>
      <w:r>
        <w:rPr>
          <w:rFonts w:hint="eastAsia" w:ascii="宋体" w:hAnsi="宋体" w:cs="宋体"/>
          <w:b w:val="0"/>
          <w:bCs w:val="0"/>
          <w:sz w:val="21"/>
          <w:szCs w:val="21"/>
          <w:highlight w:val="none"/>
        </w:rPr>
        <w:t>（5）评审小组认为其他不具有实质性的内容的事由。</w:t>
      </w:r>
    </w:p>
    <w:p w14:paraId="37A70A90">
      <w:pPr>
        <w:pStyle w:val="3"/>
        <w:adjustRightInd w:val="0"/>
        <w:snapToGrid w:val="0"/>
        <w:spacing w:before="0" w:after="0" w:line="420" w:lineRule="exact"/>
        <w:jc w:val="left"/>
        <w:rPr>
          <w:rFonts w:ascii="宋体" w:hAnsi="宋体" w:eastAsia="宋体" w:cs="宋体"/>
          <w:sz w:val="21"/>
          <w:szCs w:val="21"/>
          <w:highlight w:val="none"/>
        </w:rPr>
      </w:pPr>
      <w:bookmarkStart w:id="39" w:name="_Toc4367"/>
      <w:r>
        <w:rPr>
          <w:rFonts w:hint="eastAsia" w:ascii="宋体" w:hAnsi="宋体" w:eastAsia="宋体" w:cs="宋体"/>
          <w:sz w:val="21"/>
          <w:szCs w:val="21"/>
          <w:highlight w:val="none"/>
        </w:rPr>
        <w:t>三、无效响应</w:t>
      </w:r>
      <w:bookmarkEnd w:id="39"/>
    </w:p>
    <w:p w14:paraId="1C2A457B">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供应商发生以下条款情况之一者，视为无效报价：</w:t>
      </w:r>
    </w:p>
    <w:p w14:paraId="47EAE996">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（一）供应商不符合规定的资格条件的；</w:t>
      </w:r>
    </w:p>
    <w:p w14:paraId="5951D7C5">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（二）供应商未通过实质性响应审查的；</w:t>
      </w:r>
    </w:p>
    <w:p w14:paraId="28A1181C">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（三）供应商所提交的响应文件未按“第七篇响应文件格式要求”要求签署或盖章的；</w:t>
      </w:r>
    </w:p>
    <w:p w14:paraId="0BA47B35">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（四）供应商的报价超过采购预算或最高限价的；</w:t>
      </w:r>
    </w:p>
    <w:p w14:paraId="3E482B27">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（五）单位负责人为同一人或者存在直接控股、管理关系的不同供应商，参加同一合同项（包）报价的；</w:t>
      </w:r>
    </w:p>
    <w:p w14:paraId="264897F4">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（六）为采购项目提供整体设计、规范编制或者项目管理、监理、检测等服务的供应商再参加该采购项目的其他采购活动的；</w:t>
      </w:r>
    </w:p>
    <w:p w14:paraId="2FF7FE1B">
      <w:pPr>
        <w:pStyle w:val="15"/>
        <w:adjustRightIn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（七）法律、法规和竞采邀请书规定的其他无效情形。</w:t>
      </w:r>
    </w:p>
    <w:p w14:paraId="7BF331A5">
      <w:pPr>
        <w:pStyle w:val="3"/>
        <w:adjustRightInd w:val="0"/>
        <w:snapToGrid w:val="0"/>
        <w:spacing w:before="0" w:after="0" w:line="420" w:lineRule="exact"/>
        <w:jc w:val="left"/>
        <w:rPr>
          <w:rFonts w:ascii="宋体" w:hAnsi="宋体" w:eastAsia="宋体" w:cs="宋体"/>
          <w:sz w:val="21"/>
          <w:szCs w:val="21"/>
          <w:highlight w:val="none"/>
        </w:rPr>
      </w:pPr>
      <w:bookmarkStart w:id="40" w:name="_Toc8763"/>
      <w:r>
        <w:rPr>
          <w:rFonts w:hint="eastAsia" w:ascii="宋体" w:hAnsi="宋体" w:eastAsia="宋体" w:cs="宋体"/>
          <w:sz w:val="21"/>
          <w:szCs w:val="21"/>
          <w:highlight w:val="none"/>
        </w:rPr>
        <w:t>四、采购终止</w:t>
      </w:r>
      <w:bookmarkEnd w:id="40"/>
    </w:p>
    <w:p w14:paraId="315651DD">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出现下列情形之一的，采购人或者采购代理机构应当终止采购活动，发布项目终止公告并说明原因，重新开展采购活动：</w:t>
      </w:r>
    </w:p>
    <w:p w14:paraId="1DAD753F">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（一）因情况变化，不再符合规定的采购方式适用情形的；</w:t>
      </w:r>
    </w:p>
    <w:p w14:paraId="24F060C6">
      <w:pPr>
        <w:adjustRightInd w:val="0"/>
        <w:snapToGrid w:val="0"/>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（二）出现影响采购公正的违法、违规行为的；</w:t>
      </w:r>
    </w:p>
    <w:p w14:paraId="24604900">
      <w:pPr>
        <w:adjustRightInd w:val="0"/>
        <w:snapToGrid w:val="0"/>
        <w:spacing w:line="360" w:lineRule="auto"/>
        <w:ind w:firstLine="420" w:firstLineChars="200"/>
        <w:jc w:val="left"/>
        <w:rPr>
          <w:rFonts w:ascii="宋体" w:hAnsi="宋体" w:cs="宋体"/>
          <w:bCs/>
          <w:sz w:val="21"/>
          <w:szCs w:val="21"/>
          <w:highlight w:val="none"/>
          <w:u w:val="single"/>
        </w:rPr>
      </w:pPr>
      <w:r>
        <w:rPr>
          <w:rFonts w:hint="eastAsia" w:ascii="宋体" w:hAnsi="宋体" w:cs="宋体"/>
          <w:bCs/>
          <w:sz w:val="21"/>
          <w:szCs w:val="21"/>
          <w:highlight w:val="none"/>
        </w:rPr>
        <w:t>（三）在采购过程中符合竞争要求的供应商或者报价未超过采购预算的供应商不足3家的；</w:t>
      </w:r>
    </w:p>
    <w:p w14:paraId="1860DFF6">
      <w:pPr>
        <w:pStyle w:val="6"/>
        <w:adjustRightInd w:val="0"/>
        <w:snapToGrid w:val="0"/>
        <w:spacing w:line="360" w:lineRule="auto"/>
        <w:ind w:left="0" w:leftChars="0" w:firstLine="420" w:firstLineChars="200"/>
        <w:jc w:val="left"/>
        <w:rPr>
          <w:rFonts w:ascii="宋体" w:hAnsi="宋体" w:cs="宋体"/>
          <w:bCs/>
          <w:sz w:val="21"/>
          <w:szCs w:val="21"/>
          <w:highlight w:val="none"/>
        </w:rPr>
      </w:pPr>
      <w:r>
        <w:rPr>
          <w:rFonts w:hint="eastAsia" w:ascii="宋体" w:hAnsi="宋体" w:cs="宋体"/>
          <w:bCs/>
          <w:sz w:val="21"/>
          <w:szCs w:val="21"/>
          <w:highlight w:val="none"/>
        </w:rPr>
        <w:t>（四）项目出现其他实质性影响，可能导致项目无法正常开展的情形。</w:t>
      </w:r>
    </w:p>
    <w:p w14:paraId="50DEC4D6">
      <w:pPr>
        <w:snapToGrid w:val="0"/>
        <w:spacing w:line="360" w:lineRule="auto"/>
        <w:ind w:firstLine="465"/>
        <w:rPr>
          <w:rFonts w:ascii="宋体" w:hAnsi="宋体" w:cs="宋体"/>
          <w:sz w:val="21"/>
          <w:szCs w:val="21"/>
          <w:highlight w:val="none"/>
        </w:rPr>
      </w:pPr>
    </w:p>
    <w:p w14:paraId="2A430505">
      <w:pPr>
        <w:rPr>
          <w:rFonts w:ascii="宋体" w:hAnsi="宋体" w:cs="宋体"/>
          <w:b/>
          <w:sz w:val="36"/>
          <w:szCs w:val="30"/>
          <w:highlight w:val="none"/>
        </w:rPr>
      </w:pPr>
      <w:r>
        <w:rPr>
          <w:rFonts w:hint="eastAsia" w:ascii="宋体" w:hAnsi="宋体" w:cs="宋体"/>
          <w:b/>
          <w:sz w:val="36"/>
          <w:szCs w:val="30"/>
          <w:highlight w:val="none"/>
        </w:rPr>
        <w:br w:type="page"/>
      </w:r>
    </w:p>
    <w:p w14:paraId="022FC12B">
      <w:pPr>
        <w:pStyle w:val="2"/>
        <w:spacing w:after="0" w:line="360" w:lineRule="auto"/>
        <w:jc w:val="center"/>
        <w:rPr>
          <w:rFonts w:ascii="宋体" w:hAnsi="宋体" w:cs="宋体"/>
          <w:b/>
          <w:szCs w:val="30"/>
          <w:highlight w:val="none"/>
        </w:rPr>
      </w:pPr>
      <w:bookmarkStart w:id="41" w:name="_Toc22461"/>
      <w:r>
        <w:rPr>
          <w:rFonts w:hint="eastAsia" w:ascii="宋体" w:hAnsi="宋体" w:cs="宋体"/>
          <w:b/>
          <w:sz w:val="36"/>
          <w:szCs w:val="30"/>
          <w:highlight w:val="none"/>
        </w:rPr>
        <w:t>第五篇  供应商须知</w:t>
      </w:r>
      <w:bookmarkEnd w:id="41"/>
    </w:p>
    <w:p w14:paraId="546C38EF">
      <w:pPr>
        <w:snapToGrid w:val="0"/>
        <w:spacing w:line="360" w:lineRule="auto"/>
        <w:outlineLvl w:val="1"/>
        <w:rPr>
          <w:rFonts w:ascii="宋体" w:hAnsi="宋体" w:cs="宋体"/>
          <w:b/>
          <w:bCs/>
          <w:sz w:val="21"/>
          <w:szCs w:val="21"/>
          <w:highlight w:val="none"/>
        </w:rPr>
      </w:pPr>
      <w:bookmarkStart w:id="42" w:name="_Toc26578"/>
      <w:r>
        <w:rPr>
          <w:rFonts w:hint="eastAsia" w:ascii="宋体" w:hAnsi="宋体" w:cs="宋体"/>
          <w:b/>
          <w:bCs/>
          <w:sz w:val="21"/>
          <w:szCs w:val="21"/>
          <w:highlight w:val="none"/>
        </w:rPr>
        <w:t>一、网上竞采说明</w:t>
      </w:r>
      <w:bookmarkEnd w:id="42"/>
    </w:p>
    <w:p w14:paraId="2FBF8E63">
      <w:pPr>
        <w:pStyle w:val="34"/>
        <w:spacing w:line="360" w:lineRule="auto"/>
        <w:ind w:firstLine="420" w:firstLineChars="200"/>
        <w:rPr>
          <w:rFonts w:hAnsi="宋体" w:cs="宋体"/>
          <w:szCs w:val="21"/>
          <w:highlight w:val="none"/>
        </w:rPr>
      </w:pPr>
      <w:r>
        <w:rPr>
          <w:rFonts w:hint="eastAsia" w:hAnsi="宋体" w:cs="宋体"/>
          <w:szCs w:val="21"/>
          <w:highlight w:val="none"/>
        </w:rPr>
        <w:t>1、本项目为限额下非政府采购项目，由采购人自主实施。本竞采文件符合采购人实际需求，不适用《中华人民共和国政府采购法》及其实施条例的有关规定，由采购人按照公开、公平、公正、高效廉洁的原则自行组织实施。</w:t>
      </w:r>
    </w:p>
    <w:p w14:paraId="00768900">
      <w:pPr>
        <w:pStyle w:val="34"/>
        <w:spacing w:line="360" w:lineRule="auto"/>
        <w:ind w:firstLine="420" w:firstLineChars="200"/>
        <w:rPr>
          <w:rFonts w:hAnsi="宋体" w:cs="宋体"/>
          <w:szCs w:val="21"/>
          <w:highlight w:val="none"/>
        </w:rPr>
      </w:pPr>
      <w:r>
        <w:rPr>
          <w:rFonts w:hint="eastAsia" w:hAnsi="宋体" w:cs="宋体"/>
          <w:szCs w:val="21"/>
          <w:highlight w:val="none"/>
        </w:rPr>
        <w:t>2、参与竞采的供应商应对本项目竞采文件仔细阅读并对采购人需求、现场情况进行了解，采购人不因成交供应商的任何理由提高结算比例及不额外支付任何费用。</w:t>
      </w:r>
    </w:p>
    <w:p w14:paraId="24DAD409">
      <w:pPr>
        <w:pStyle w:val="34"/>
        <w:spacing w:line="360" w:lineRule="auto"/>
        <w:ind w:firstLine="420" w:firstLineChars="200"/>
        <w:rPr>
          <w:rFonts w:hAnsi="宋体" w:cs="宋体"/>
          <w:szCs w:val="21"/>
          <w:highlight w:val="none"/>
        </w:rPr>
      </w:pPr>
      <w:r>
        <w:rPr>
          <w:rFonts w:hint="eastAsia" w:hAnsi="宋体" w:cs="宋体"/>
          <w:szCs w:val="21"/>
          <w:highlight w:val="none"/>
        </w:rPr>
        <w:t>3、参与竞采的供应商应承担其编制响应文件与递交响应文件所涉及的一切费用，不论竞采结果如何，采购人在任何情况下无义务也无责任承担这些费用。</w:t>
      </w:r>
    </w:p>
    <w:p w14:paraId="55196983">
      <w:pPr>
        <w:snapToGrid w:val="0"/>
        <w:spacing w:line="360" w:lineRule="auto"/>
        <w:outlineLvl w:val="1"/>
        <w:rPr>
          <w:rFonts w:ascii="宋体" w:hAnsi="宋体" w:cs="宋体"/>
          <w:b/>
          <w:bCs/>
          <w:sz w:val="21"/>
          <w:szCs w:val="21"/>
          <w:highlight w:val="none"/>
        </w:rPr>
      </w:pPr>
      <w:bookmarkStart w:id="43" w:name="_Toc8885"/>
      <w:r>
        <w:rPr>
          <w:rFonts w:hint="eastAsia" w:ascii="宋体" w:hAnsi="宋体" w:cs="宋体"/>
          <w:b/>
          <w:bCs/>
          <w:sz w:val="21"/>
          <w:szCs w:val="21"/>
          <w:highlight w:val="none"/>
        </w:rPr>
        <w:t>二、网上竞采通知书</w:t>
      </w:r>
      <w:bookmarkEnd w:id="43"/>
      <w:r>
        <w:rPr>
          <w:rFonts w:hint="eastAsia" w:ascii="宋体" w:hAnsi="宋体" w:cs="宋体"/>
          <w:b/>
          <w:bCs/>
          <w:sz w:val="21"/>
          <w:szCs w:val="21"/>
          <w:highlight w:val="none"/>
        </w:rPr>
        <w:tab/>
      </w:r>
    </w:p>
    <w:p w14:paraId="252998F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一）网上竞采通知书由网上竞采邀请书、网上竞采项目技术（服务）需求、网上竞采项目商务需求、采购程序、评定成交的标准、无效报价及采购终止、供应商须知、合同草案条款、响应文件格式要求七部分组成。</w:t>
      </w:r>
    </w:p>
    <w:p w14:paraId="22F38662">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（二）采购人（或采购代理机构）所作的一切有效的书面通知、修改及补充，都是网上竞采通知书不可分割的部分。</w:t>
      </w:r>
    </w:p>
    <w:p w14:paraId="68D0C8B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（三）竞采文件的解释</w:t>
      </w:r>
    </w:p>
    <w:p w14:paraId="4D852BA3">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1、供应商如对竞采文件有疑问，必须以书面形式在提交响应文件截止时间前1个工作日北京时间12：00前向采购代理机构要求澄清，采购代理机构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p>
    <w:p w14:paraId="23E066BC">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2、供应商下载本项目竞采文件、工程量清单（如有）、施工图后（如有），应认真核对，如有疑问请于报价开始时间之前以书面形式与向采购代理机构提出质疑。报价开始后，供应商的投标报价视为履行完本项目的所有费用，若因工程量清单（如有）与施工图（如有）漏项，采购人不再额外支付任何费用，供应商必须按要求完成所有采购内容。</w:t>
      </w:r>
    </w:p>
    <w:p w14:paraId="5AF6D81C">
      <w:pPr>
        <w:snapToGrid w:val="0"/>
        <w:spacing w:line="360" w:lineRule="auto"/>
        <w:outlineLvl w:val="1"/>
        <w:rPr>
          <w:rFonts w:ascii="宋体" w:hAnsi="宋体" w:cs="宋体"/>
          <w:b/>
          <w:bCs/>
          <w:sz w:val="21"/>
          <w:szCs w:val="21"/>
          <w:highlight w:val="none"/>
        </w:rPr>
      </w:pPr>
      <w:bookmarkStart w:id="44" w:name="_Toc31193"/>
      <w:r>
        <w:rPr>
          <w:rFonts w:hint="eastAsia" w:ascii="宋体" w:hAnsi="宋体" w:cs="宋体"/>
          <w:b/>
          <w:bCs/>
          <w:sz w:val="21"/>
          <w:szCs w:val="21"/>
          <w:highlight w:val="none"/>
        </w:rPr>
        <w:t>三、网上竞采要求</w:t>
      </w:r>
      <w:bookmarkEnd w:id="44"/>
    </w:p>
    <w:p w14:paraId="031ECA3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（一）响应文件</w:t>
      </w:r>
    </w:p>
    <w:p w14:paraId="18AA5EC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供应商应当按照网上竞采文件的要求编制响应文件，并对网上竞采文件提出的要求和条件作出实质性响应，响应文件原则上采用软面订本。</w:t>
      </w:r>
    </w:p>
    <w:p w14:paraId="48DBCAC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1.响应文件组成</w:t>
      </w:r>
    </w:p>
    <w:p w14:paraId="2DEB3E3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EF1A1F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2.竞采有效期：响应文件及有关承诺文件有效期为提交响应文件截止时间起90天。</w:t>
      </w:r>
    </w:p>
    <w:p w14:paraId="1A4539DD">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（二）保证金：无。</w:t>
      </w:r>
    </w:p>
    <w:p w14:paraId="6A7B351A">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（三）评审</w:t>
      </w:r>
    </w:p>
    <w:p w14:paraId="40CEE58D">
      <w:pPr>
        <w:pStyle w:val="23"/>
        <w:rPr>
          <w:rFonts w:cs="宋体"/>
          <w:sz w:val="21"/>
          <w:szCs w:val="21"/>
          <w:highlight w:val="none"/>
        </w:rPr>
      </w:pPr>
      <w:r>
        <w:rPr>
          <w:rFonts w:hint="eastAsia" w:cs="宋体"/>
          <w:sz w:val="21"/>
          <w:szCs w:val="21"/>
          <w:highlight w:val="none"/>
        </w:rPr>
        <w:t>1.本项目为网上竞采，以供应商网上报价及上传的响应文件为评审依据，不组织开标会。</w:t>
      </w:r>
    </w:p>
    <w:p w14:paraId="3565523A">
      <w:pPr>
        <w:pStyle w:val="23"/>
        <w:rPr>
          <w:rFonts w:cs="宋体"/>
          <w:sz w:val="21"/>
          <w:szCs w:val="21"/>
          <w:highlight w:val="none"/>
        </w:rPr>
      </w:pPr>
      <w:r>
        <w:rPr>
          <w:rFonts w:hint="eastAsia" w:cs="宋体"/>
          <w:sz w:val="21"/>
          <w:szCs w:val="21"/>
          <w:highlight w:val="none"/>
        </w:rPr>
        <w:t>2.根据采购人时间安排，在网上竞采有效时间内组织竞采评审；</w:t>
      </w:r>
    </w:p>
    <w:p w14:paraId="2C3886F7">
      <w:pPr>
        <w:pStyle w:val="23"/>
        <w:rPr>
          <w:rFonts w:cs="宋体"/>
          <w:highlight w:val="none"/>
        </w:rPr>
      </w:pPr>
      <w:r>
        <w:rPr>
          <w:rFonts w:hint="eastAsia" w:cs="宋体"/>
          <w:sz w:val="21"/>
          <w:szCs w:val="21"/>
          <w:highlight w:val="none"/>
        </w:rPr>
        <w:t>3.竞采评审小组由采购人参照政府采购相关要求组建。</w:t>
      </w:r>
    </w:p>
    <w:p w14:paraId="3B7DF665">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（四）修正错误</w:t>
      </w:r>
    </w:p>
    <w:p w14:paraId="75B5B8C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若供应商所递交的响应文件或报价中的价格出现大写金额和小写金额不一致的错误，以大写金额修正为准。明细报价合计与总报价不一致的，按无效报价处理。</w:t>
      </w:r>
    </w:p>
    <w:p w14:paraId="525EBC1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网上竞采评审小组或采购人按上述修正错误的原则及方法修正供应商的报价，供应商同意并签署确认后，修正后的报价对供应商具有约束作用。如果供应商不接受修正后的价格，将视为无效报价。</w:t>
      </w:r>
    </w:p>
    <w:p w14:paraId="65BD223B">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（四）提交响应文件的份数</w:t>
      </w:r>
    </w:p>
    <w:p w14:paraId="0A767C8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1.供应商线上报价时上传加盖公章后的完整的响应文件电子档一份（响应文件须签字盖章后的正本扫描成一个PDF格式文件）。未按要求制作、上传的，按无效响应处理。</w:t>
      </w:r>
    </w:p>
    <w:p w14:paraId="16D5064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 2.供应商线下递交响应文件：无。</w:t>
      </w:r>
    </w:p>
    <w:p w14:paraId="7CB539A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3.在响应文件正本中，竞采文件第七篇响应文件格式中规定签字、盖章的地方必须按其规定签字、盖章。</w:t>
      </w:r>
    </w:p>
    <w:p w14:paraId="5DF9636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4.响应文件内容除签名外，其余均为打印。若供应商对响应文件的错处作必要修改，则应在修改处加盖供应商公章或由法定代表人或法定代表人授权代表签字确认。</w:t>
      </w:r>
    </w:p>
    <w:p w14:paraId="4A4C893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5.电报、电话、传真形式的响应文件概不接受。</w:t>
      </w:r>
    </w:p>
    <w:p w14:paraId="40BCF20A">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（五）响应文件上传及线下递交要求</w:t>
      </w:r>
    </w:p>
    <w:p w14:paraId="44F0B788">
      <w:pPr>
        <w:wordWrap w:val="0"/>
        <w:spacing w:line="360" w:lineRule="auto"/>
        <w:ind w:firstLine="571" w:firstLineChars="272"/>
        <w:rPr>
          <w:rFonts w:ascii="宋体" w:hAnsi="宋体" w:cs="宋体"/>
          <w:sz w:val="21"/>
          <w:szCs w:val="21"/>
          <w:highlight w:val="none"/>
        </w:rPr>
      </w:pPr>
      <w:r>
        <w:rPr>
          <w:rFonts w:hint="eastAsia" w:ascii="宋体" w:hAnsi="宋体" w:cs="宋体"/>
          <w:sz w:val="21"/>
          <w:szCs w:val="21"/>
          <w:highlight w:val="none"/>
        </w:rPr>
        <w:t>1.线上报价时间：按本项目网上公告规定的报价截止时间为准。</w:t>
      </w:r>
    </w:p>
    <w:p w14:paraId="7CBEAC7A">
      <w:pPr>
        <w:wordWrap w:val="0"/>
        <w:spacing w:line="360" w:lineRule="auto"/>
        <w:ind w:firstLine="571" w:firstLineChars="272"/>
        <w:rPr>
          <w:rFonts w:ascii="宋体" w:hAnsi="宋体" w:cs="宋体"/>
          <w:sz w:val="21"/>
          <w:szCs w:val="21"/>
          <w:highlight w:val="none"/>
        </w:rPr>
      </w:pPr>
      <w:r>
        <w:rPr>
          <w:rFonts w:hint="eastAsia" w:ascii="宋体" w:hAnsi="宋体" w:cs="宋体"/>
          <w:sz w:val="21"/>
          <w:szCs w:val="21"/>
          <w:highlight w:val="none"/>
        </w:rPr>
        <w:t>2.线上报价要求：按本项目规定的时间在公告发布网站上进行网上报价，并在规定的时间内上传响应文件电子文档（响应文件须签字盖章后的正本扫描成一个PDF格式文件）。未在规定时间内报价和上传响应文件电子文档的供应商不具备竞标资格。</w:t>
      </w:r>
    </w:p>
    <w:p w14:paraId="50F96660">
      <w:pPr>
        <w:wordWrap w:val="0"/>
        <w:spacing w:line="360" w:lineRule="auto"/>
        <w:ind w:firstLine="571" w:firstLineChars="272"/>
        <w:rPr>
          <w:rFonts w:ascii="宋体" w:hAnsi="宋体" w:cs="宋体"/>
          <w:sz w:val="21"/>
          <w:szCs w:val="21"/>
          <w:highlight w:val="none"/>
        </w:rPr>
      </w:pPr>
      <w:r>
        <w:rPr>
          <w:rFonts w:hint="eastAsia" w:ascii="宋体" w:hAnsi="宋体" w:cs="宋体"/>
          <w:sz w:val="21"/>
          <w:szCs w:val="21"/>
          <w:highlight w:val="none"/>
        </w:rPr>
        <w:t>3.供应商线下递交响应文件：无。</w:t>
      </w:r>
    </w:p>
    <w:p w14:paraId="0EDC6584">
      <w:pPr>
        <w:snapToGrid w:val="0"/>
        <w:spacing w:line="360" w:lineRule="auto"/>
        <w:ind w:firstLine="315" w:firstLineChars="150"/>
        <w:rPr>
          <w:rFonts w:ascii="宋体" w:hAnsi="宋体" w:cs="宋体"/>
          <w:sz w:val="21"/>
          <w:szCs w:val="21"/>
          <w:highlight w:val="none"/>
        </w:rPr>
      </w:pPr>
      <w:r>
        <w:rPr>
          <w:rFonts w:hint="eastAsia" w:ascii="宋体" w:hAnsi="宋体" w:cs="宋体"/>
          <w:sz w:val="21"/>
          <w:szCs w:val="21"/>
          <w:highlight w:val="none"/>
        </w:rPr>
        <w:t>（六）递交时间及地点：网上递交。</w:t>
      </w:r>
    </w:p>
    <w:p w14:paraId="7F60F4C4">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（七）供应商参与人员：无。</w:t>
      </w:r>
    </w:p>
    <w:p w14:paraId="112AF01A">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（八）开标评标会</w:t>
      </w:r>
    </w:p>
    <w:p w14:paraId="5E7E0A34">
      <w:pPr>
        <w:snapToGrid w:val="0"/>
        <w:spacing w:line="360" w:lineRule="auto"/>
        <w:ind w:firstLine="630" w:firstLineChars="300"/>
        <w:rPr>
          <w:rFonts w:ascii="宋体" w:hAnsi="宋体" w:cs="宋体"/>
          <w:sz w:val="21"/>
          <w:szCs w:val="21"/>
          <w:highlight w:val="none"/>
        </w:rPr>
      </w:pPr>
      <w:r>
        <w:rPr>
          <w:rFonts w:hint="eastAsia" w:ascii="宋体" w:hAnsi="宋体" w:cs="宋体"/>
          <w:sz w:val="21"/>
          <w:szCs w:val="21"/>
          <w:highlight w:val="none"/>
        </w:rPr>
        <w:t>1.本项目为网上竞采，无开标会。</w:t>
      </w:r>
    </w:p>
    <w:p w14:paraId="4E9C341F">
      <w:pPr>
        <w:snapToGrid w:val="0"/>
        <w:spacing w:line="360" w:lineRule="auto"/>
        <w:ind w:firstLine="630" w:firstLineChars="300"/>
        <w:rPr>
          <w:rFonts w:ascii="宋体" w:hAnsi="宋体" w:cs="宋体"/>
          <w:sz w:val="21"/>
          <w:szCs w:val="21"/>
          <w:highlight w:val="none"/>
        </w:rPr>
      </w:pPr>
      <w:r>
        <w:rPr>
          <w:rFonts w:hint="eastAsia" w:ascii="宋体" w:hAnsi="宋体" w:cs="宋体"/>
          <w:sz w:val="21"/>
          <w:szCs w:val="21"/>
          <w:highlight w:val="none"/>
        </w:rPr>
        <w:t>2.评审小组按竞采文件的规定对供应商的响应文件及样品进行评审。</w:t>
      </w:r>
    </w:p>
    <w:p w14:paraId="49BD3890">
      <w:pPr>
        <w:snapToGrid w:val="0"/>
        <w:spacing w:line="360" w:lineRule="auto"/>
        <w:outlineLvl w:val="1"/>
        <w:rPr>
          <w:rFonts w:ascii="宋体" w:hAnsi="宋体" w:cs="宋体"/>
          <w:b/>
          <w:bCs/>
          <w:sz w:val="21"/>
          <w:szCs w:val="21"/>
          <w:highlight w:val="none"/>
        </w:rPr>
      </w:pPr>
      <w:bookmarkStart w:id="45" w:name="_Toc16755"/>
      <w:r>
        <w:rPr>
          <w:rFonts w:hint="eastAsia" w:ascii="宋体" w:hAnsi="宋体" w:cs="宋体"/>
          <w:b/>
          <w:bCs/>
          <w:sz w:val="21"/>
          <w:szCs w:val="21"/>
          <w:highlight w:val="none"/>
        </w:rPr>
        <w:t>四、成交供应商的确定和变更</w:t>
      </w:r>
      <w:bookmarkEnd w:id="45"/>
    </w:p>
    <w:p w14:paraId="65B86D17">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采购代理机构应当在评审结束后2个工作日内将评审报告送采购人确认。采购人应当在收到评审报告后5个工作日内，从评审报告提出的成交候选人中，确定排序第一的为成交供应商，也可以书面授权网上竞采小组直接确定成交供应商。采购人逾期未确定成交供应商且不提出异议的，视为确定评审报告提出的排序第一的供应商为成交供应商。</w:t>
      </w:r>
    </w:p>
    <w:p w14:paraId="101BE354">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（二）成交供应商的变更</w:t>
      </w:r>
    </w:p>
    <w:p w14:paraId="4311A973">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成交供应商拒绝签订采购合同的，剩余的有效供应商大于或等于3名的，采购人可以按照评审报告推荐的成交候选人顺序，确定排名下一位的候选人为成交供应商，也可以重新开展竞采活动。剩余的有效供应商小于等于2名的，采购人将重新开展竞采活动或根据其相关制度直接确定供应商。拒绝签订采购合同的成交供应商不得参加对该项目重新开展的采购活动。</w:t>
      </w:r>
    </w:p>
    <w:p w14:paraId="4C64D8C6">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2.成交供应商无充分理由放弃成交的，采购人将向同级财政部门报告，财政部门将根据相关法律法规的规定进行处理。</w:t>
      </w:r>
    </w:p>
    <w:p w14:paraId="0CE4BCAE">
      <w:pPr>
        <w:snapToGrid w:val="0"/>
        <w:spacing w:line="360" w:lineRule="auto"/>
        <w:outlineLvl w:val="1"/>
        <w:rPr>
          <w:rFonts w:ascii="宋体" w:hAnsi="宋体" w:cs="宋体"/>
          <w:b/>
          <w:bCs/>
          <w:sz w:val="21"/>
          <w:szCs w:val="21"/>
          <w:highlight w:val="none"/>
        </w:rPr>
      </w:pPr>
      <w:bookmarkStart w:id="46" w:name="_Toc5703"/>
      <w:r>
        <w:rPr>
          <w:rFonts w:hint="eastAsia" w:ascii="宋体" w:hAnsi="宋体" w:cs="宋体"/>
          <w:b/>
          <w:bCs/>
          <w:sz w:val="21"/>
          <w:szCs w:val="21"/>
          <w:highlight w:val="none"/>
        </w:rPr>
        <w:t>五、成交通知</w:t>
      </w:r>
      <w:bookmarkEnd w:id="46"/>
    </w:p>
    <w:p w14:paraId="6F3B317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（一）采购人依法确定成交人后，在成交结果公告发布同时，采购代理机构以书面形式发出成交通知书。</w:t>
      </w:r>
    </w:p>
    <w:p w14:paraId="01199A5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（二）成交通知书发出后，采购人改变成交结果，或者成交人放弃成交，应当承担相应的法律责任。</w:t>
      </w:r>
    </w:p>
    <w:p w14:paraId="7E87B7BA">
      <w:pPr>
        <w:snapToGrid w:val="0"/>
        <w:spacing w:line="360" w:lineRule="auto"/>
        <w:outlineLvl w:val="1"/>
        <w:rPr>
          <w:rFonts w:ascii="宋体" w:hAnsi="宋体" w:cs="宋体"/>
          <w:b/>
          <w:bCs/>
          <w:sz w:val="21"/>
          <w:szCs w:val="21"/>
          <w:highlight w:val="none"/>
        </w:rPr>
      </w:pPr>
      <w:bookmarkStart w:id="47" w:name="_Toc7382"/>
      <w:r>
        <w:rPr>
          <w:rFonts w:hint="eastAsia" w:ascii="宋体" w:hAnsi="宋体" w:cs="宋体"/>
          <w:b/>
          <w:bCs/>
          <w:sz w:val="21"/>
          <w:szCs w:val="21"/>
          <w:highlight w:val="none"/>
        </w:rPr>
        <w:t>六、关于质疑和投诉</w:t>
      </w:r>
      <w:bookmarkEnd w:id="47"/>
    </w:p>
    <w:p w14:paraId="12268505">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(一）质疑内容、时限</w:t>
      </w:r>
    </w:p>
    <w:p w14:paraId="05408B4E">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1.供应商对竞采文件如有异议，必须以书面形式在竞采文件发布之日起提交响应文件截止时间前1个工作日北京时间12：00以书面形式向釆购代理机构提出质疑，并附相关证明材料。</w:t>
      </w:r>
    </w:p>
    <w:p w14:paraId="58AC310A">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2.供应商对中标结果有异议的，应当在成交结果公示发布之日起一个工作日北京时间17：00内以书面形式向购代理机构提出质疑，并附相关证明材料。</w:t>
      </w:r>
    </w:p>
    <w:p w14:paraId="520ABD73">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(二）质疑答复时限</w:t>
      </w:r>
    </w:p>
    <w:p w14:paraId="2DC8F915">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采购代理机构在收到供应商书面质疑后三个工作日内，对质疑内容作出答复。</w:t>
      </w:r>
    </w:p>
    <w:p w14:paraId="7167F3E4">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(三）质疑答复方式</w:t>
      </w:r>
    </w:p>
    <w:p w14:paraId="5DE82213">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采购代理机构将以书面形式对质疑答复内容进行答复。</w:t>
      </w:r>
    </w:p>
    <w:p w14:paraId="183B1BED">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(四）不予受理或暂缓受理</w:t>
      </w:r>
    </w:p>
    <w:p w14:paraId="74B61351">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1.质疑有下列情形之一的，不予受理：</w:t>
      </w:r>
    </w:p>
    <w:p w14:paraId="1BA4687F">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1.1质疑供应商未参与竞采活动的；</w:t>
      </w:r>
    </w:p>
    <w:p w14:paraId="4443840C">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1.2质疑供应商参与了投标活动后，再对竞采文件内容提出质疑的；</w:t>
      </w:r>
    </w:p>
    <w:p w14:paraId="3D50A687">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1.3质疑超过竞采文件规定期限的；</w:t>
      </w:r>
    </w:p>
    <w:p w14:paraId="1D7C2BF9">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1.4对同一事项重复质疑的。</w:t>
      </w:r>
    </w:p>
    <w:p w14:paraId="38D4F911">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2.质疑有下列情形之一的，应暂不受理并告知供应商补充材料。供应商及时补充材料的，应予受理；逾期未补充的，不予受理：</w:t>
      </w:r>
    </w:p>
    <w:p w14:paraId="0B62A8E9">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2.1质疑书内容不属于本项目采购内容的；</w:t>
      </w:r>
    </w:p>
    <w:p w14:paraId="684E19AE">
      <w:pPr>
        <w:snapToGrid w:val="0"/>
        <w:spacing w:line="360" w:lineRule="auto"/>
        <w:ind w:firstLine="558" w:firstLineChars="266"/>
        <w:rPr>
          <w:rFonts w:ascii="宋体" w:hAnsi="宋体" w:cs="宋体"/>
          <w:sz w:val="21"/>
          <w:szCs w:val="21"/>
          <w:highlight w:val="none"/>
        </w:rPr>
      </w:pPr>
      <w:r>
        <w:rPr>
          <w:rFonts w:hint="eastAsia" w:ascii="宋体" w:hAnsi="宋体" w:cs="宋体"/>
          <w:sz w:val="21"/>
          <w:szCs w:val="21"/>
          <w:highlight w:val="none"/>
        </w:rPr>
        <w:t>2.2质疑书提供的依据或证明材料不全的；</w:t>
      </w:r>
    </w:p>
    <w:p w14:paraId="7B2C1E8B">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(五）投诉</w:t>
      </w:r>
    </w:p>
    <w:p w14:paraId="22B51B2F">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1.供应商对购代理机构的答复不满意或者购代理机构未在规定时间内答复的，可在答复期满后五个工作日内，向采购人投诉。</w:t>
      </w:r>
    </w:p>
    <w:p w14:paraId="68F8A2F6">
      <w:p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2.在提出投诉时，应附送相关证明材料。投诉书及证明材料为外文的，应同时提供其中文译本；中文与外文意思不一致的，以中文为准。</w:t>
      </w:r>
    </w:p>
    <w:p w14:paraId="1D07B0C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3.在确定受理投诉后，采购人自受理投诉之日起三十个工作日内对投诉事项做出处理决定，并将投诉处理决定书送达投诉人、被投诉人和其他与投诉处理决定有利害关系的相关当事人。</w:t>
      </w:r>
    </w:p>
    <w:p w14:paraId="702EA603">
      <w:pPr>
        <w:snapToGrid w:val="0"/>
        <w:spacing w:line="360" w:lineRule="auto"/>
        <w:outlineLvl w:val="1"/>
        <w:rPr>
          <w:rFonts w:ascii="宋体" w:hAnsi="宋体" w:cs="宋体"/>
          <w:b/>
          <w:bCs/>
          <w:sz w:val="21"/>
          <w:szCs w:val="21"/>
          <w:highlight w:val="none"/>
        </w:rPr>
      </w:pPr>
      <w:bookmarkStart w:id="48" w:name="_Toc8756"/>
      <w:r>
        <w:rPr>
          <w:rFonts w:hint="eastAsia" w:ascii="宋体" w:hAnsi="宋体" w:cs="宋体"/>
          <w:b/>
          <w:bCs/>
          <w:sz w:val="21"/>
          <w:szCs w:val="21"/>
          <w:highlight w:val="none"/>
        </w:rPr>
        <w:t>七、签订合同</w:t>
      </w:r>
      <w:bookmarkEnd w:id="48"/>
    </w:p>
    <w:p w14:paraId="71299C92">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一）采购人原则上应在结果公告发出之日起10个工作日内和成交供应商签订采购合同。双方无正当理由不得拒绝或拖延合同签订。成交人在合同中提出采购人无法接受的条件或在成交通知书发出之日起30日历天内（含30天）拒不签订采购合同的，采购人有权取消其成交资格。</w:t>
      </w:r>
    </w:p>
    <w:p w14:paraId="52B1E757">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（二）所签订的合同不得对竞采文件和供应商的响应文件作实质性修改。其他未尽事宜由采购人和成交供应商在采购合同中详细约定。</w:t>
      </w:r>
    </w:p>
    <w:p w14:paraId="727B5568">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（三）竞采文件、供应商的响应文件及澄清文件、成交通知书等，均为签订采购合同的依据。</w:t>
      </w:r>
    </w:p>
    <w:p w14:paraId="39FF83C4">
      <w:pPr>
        <w:pStyle w:val="37"/>
        <w:adjustRightInd w:val="0"/>
        <w:snapToGrid w:val="0"/>
        <w:spacing w:before="0" w:after="0"/>
        <w:ind w:firstLine="420"/>
        <w:rPr>
          <w:rFonts w:ascii="宋体" w:hAnsi="宋体" w:cs="宋体"/>
          <w:kern w:val="2"/>
          <w:sz w:val="21"/>
          <w:szCs w:val="21"/>
          <w:highlight w:val="none"/>
        </w:rPr>
      </w:pPr>
      <w:r>
        <w:rPr>
          <w:rFonts w:hint="eastAsia" w:ascii="宋体" w:hAnsi="宋体" w:cs="宋体"/>
          <w:kern w:val="2"/>
          <w:sz w:val="21"/>
          <w:szCs w:val="21"/>
          <w:highlight w:val="none"/>
        </w:rPr>
        <w:t>（四）合同生效条款由供需双方约定，法律、行政法规规定应当办理批准、登记等手续后生效的合同，依照其规定。</w:t>
      </w:r>
    </w:p>
    <w:p w14:paraId="3C316B9F">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（五）合同原则上应按照竞采文件合同范本签订，合同版本不适用的，按采购人相关单位要求适用其他合同格式版本的，应按其要求另行签订合同。</w:t>
      </w:r>
    </w:p>
    <w:p w14:paraId="4DCE6AD3">
      <w:pPr>
        <w:snapToGrid w:val="0"/>
        <w:spacing w:line="360" w:lineRule="auto"/>
        <w:outlineLvl w:val="1"/>
        <w:rPr>
          <w:rFonts w:ascii="宋体" w:hAnsi="宋体" w:cs="宋体"/>
          <w:b/>
          <w:bCs/>
          <w:sz w:val="21"/>
          <w:szCs w:val="21"/>
          <w:highlight w:val="none"/>
        </w:rPr>
      </w:pPr>
      <w:bookmarkStart w:id="49" w:name="_Toc3690"/>
      <w:r>
        <w:rPr>
          <w:rFonts w:hint="eastAsia" w:ascii="宋体" w:hAnsi="宋体" w:cs="宋体"/>
          <w:b/>
          <w:bCs/>
          <w:sz w:val="21"/>
          <w:szCs w:val="21"/>
          <w:highlight w:val="none"/>
        </w:rPr>
        <w:t>八、采购代理服务费</w:t>
      </w:r>
      <w:bookmarkEnd w:id="49"/>
    </w:p>
    <w:p w14:paraId="54403201">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代理服务费：本项目代理服务费由成交供应商在领取成交（中标）通知书之前向采购代理机构缴纳，本项目代理服务费：</w:t>
      </w:r>
      <w:r>
        <w:rPr>
          <w:rFonts w:hint="eastAsia" w:ascii="宋体" w:hAnsi="宋体" w:cs="宋体"/>
          <w:sz w:val="21"/>
          <w:szCs w:val="21"/>
          <w:highlight w:val="none"/>
          <w:u w:val="single"/>
          <w:lang w:val="en-US" w:eastAsia="zh-CN"/>
        </w:rPr>
        <w:t>3000.00</w:t>
      </w:r>
      <w:r>
        <w:rPr>
          <w:rFonts w:hint="eastAsia" w:ascii="宋体" w:hAnsi="宋体" w:cs="宋体"/>
          <w:sz w:val="21"/>
          <w:szCs w:val="21"/>
          <w:highlight w:val="none"/>
          <w:u w:val="single"/>
        </w:rPr>
        <w:t>元</w:t>
      </w:r>
      <w:r>
        <w:rPr>
          <w:rFonts w:hint="eastAsia" w:ascii="宋体" w:hAnsi="宋体" w:cs="宋体"/>
          <w:sz w:val="21"/>
          <w:szCs w:val="21"/>
          <w:highlight w:val="none"/>
          <w:u w:val="single"/>
          <w:lang w:val="en-US" w:eastAsia="zh-CN"/>
        </w:rPr>
        <w:t>和第一次招标专家费2400元</w:t>
      </w:r>
      <w:r>
        <w:rPr>
          <w:rFonts w:hint="eastAsia" w:ascii="宋体" w:hAnsi="宋体" w:cs="宋体"/>
          <w:sz w:val="21"/>
          <w:szCs w:val="21"/>
          <w:highlight w:val="none"/>
        </w:rPr>
        <w:t>。</w:t>
      </w:r>
    </w:p>
    <w:p w14:paraId="244276F6">
      <w:pPr>
        <w:pStyle w:val="37"/>
        <w:adjustRightInd w:val="0"/>
        <w:snapToGrid w:val="0"/>
        <w:spacing w:before="0" w:after="0"/>
        <w:ind w:firstLine="420"/>
        <w:rPr>
          <w:rFonts w:ascii="宋体" w:hAnsi="宋体" w:cs="宋体"/>
          <w:kern w:val="2"/>
          <w:sz w:val="21"/>
          <w:szCs w:val="21"/>
          <w:highlight w:val="none"/>
        </w:rPr>
      </w:pPr>
    </w:p>
    <w:p w14:paraId="1BD50F6C">
      <w:pPr>
        <w:pStyle w:val="2"/>
        <w:spacing w:before="0" w:after="0" w:line="360" w:lineRule="auto"/>
        <w:jc w:val="center"/>
        <w:rPr>
          <w:rFonts w:ascii="宋体" w:hAnsi="宋体" w:cs="宋体"/>
          <w:b/>
          <w:sz w:val="36"/>
          <w:szCs w:val="30"/>
          <w:highlight w:val="none"/>
        </w:rPr>
      </w:pPr>
      <w:r>
        <w:rPr>
          <w:rFonts w:hint="eastAsia" w:ascii="宋体" w:hAnsi="宋体" w:cs="宋体"/>
          <w:sz w:val="36"/>
          <w:szCs w:val="30"/>
          <w:highlight w:val="none"/>
        </w:rPr>
        <w:br w:type="page"/>
      </w:r>
      <w:bookmarkStart w:id="50" w:name="_Toc16012"/>
      <w:r>
        <w:rPr>
          <w:rFonts w:hint="eastAsia" w:ascii="宋体" w:hAnsi="宋体" w:cs="宋体"/>
          <w:b/>
          <w:sz w:val="36"/>
          <w:szCs w:val="30"/>
          <w:highlight w:val="none"/>
        </w:rPr>
        <w:t>第六篇  网上竞采合同（参考模板）</w:t>
      </w:r>
      <w:bookmarkEnd w:id="50"/>
    </w:p>
    <w:p w14:paraId="7BA3722C">
      <w:pPr>
        <w:spacing w:line="5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病媒生物防制服务合同</w:t>
      </w:r>
    </w:p>
    <w:p w14:paraId="6D046C7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    方：</w:t>
      </w:r>
      <w:r>
        <w:rPr>
          <w:rFonts w:hint="eastAsia" w:ascii="宋体" w:hAnsi="宋体" w:cs="宋体"/>
          <w:color w:val="auto"/>
          <w:sz w:val="21"/>
          <w:szCs w:val="21"/>
          <w:u w:val="single"/>
          <w:lang w:val="en-US" w:eastAsia="zh-CN"/>
        </w:rPr>
        <w:t>重庆市九龙坡区金凤</w:t>
      </w:r>
      <w:r>
        <w:rPr>
          <w:rFonts w:hint="eastAsia" w:ascii="宋体" w:hAnsi="宋体" w:eastAsia="宋体" w:cs="宋体"/>
          <w:color w:val="auto"/>
          <w:sz w:val="21"/>
          <w:szCs w:val="21"/>
          <w:u w:val="single"/>
        </w:rPr>
        <w:t>镇人民政府</w:t>
      </w:r>
    </w:p>
    <w:p w14:paraId="5F55458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1"/>
          <w:szCs w:val="21"/>
          <w:u w:val="single"/>
          <w:lang w:val="en-US" w:eastAsia="zh-CN"/>
        </w:rPr>
      </w:pPr>
      <w:r>
        <w:rPr>
          <w:rFonts w:hint="eastAsia" w:ascii="宋体" w:hAnsi="宋体" w:eastAsia="宋体" w:cs="宋体"/>
          <w:color w:val="auto"/>
          <w:sz w:val="21"/>
          <w:szCs w:val="21"/>
        </w:rPr>
        <w:t>乙    方：</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p>
    <w:p w14:paraId="1A245CE5">
      <w:pPr>
        <w:keepNext w:val="0"/>
        <w:keepLines w:val="0"/>
        <w:pageBreakBefore w:val="0"/>
        <w:widowControl w:val="0"/>
        <w:kinsoku/>
        <w:wordWrap/>
        <w:overflowPunct/>
        <w:topLinePunct w:val="0"/>
        <w:autoSpaceDE/>
        <w:autoSpaceDN/>
        <w:bidi w:val="0"/>
        <w:adjustRightInd/>
        <w:snapToGrid/>
        <w:spacing w:line="540" w:lineRule="exact"/>
        <w:ind w:firstLine="413" w:firstLineChars="196"/>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rPr>
        <w:t>一、服务区域范围</w:t>
      </w:r>
    </w:p>
    <w:p w14:paraId="6F67C28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金凤镇全域公共区域（市政道路、公园广场、绿化带、公厕、垃圾中转站、下水道、背街小巷、农贸市场周边、河道沟渠等）等范围。 </w:t>
      </w:r>
    </w:p>
    <w:p w14:paraId="7CFA1FD1">
      <w:pPr>
        <w:keepNext w:val="0"/>
        <w:keepLines w:val="0"/>
        <w:pageBreakBefore w:val="0"/>
        <w:widowControl w:val="0"/>
        <w:kinsoku/>
        <w:wordWrap/>
        <w:overflowPunct/>
        <w:topLinePunct w:val="0"/>
        <w:autoSpaceDE/>
        <w:autoSpaceDN/>
        <w:bidi w:val="0"/>
        <w:adjustRightInd/>
        <w:snapToGrid/>
        <w:spacing w:line="5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二、服务内容</w:t>
      </w:r>
    </w:p>
    <w:p w14:paraId="09C806F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金凤</w:t>
      </w:r>
      <w:r>
        <w:rPr>
          <w:rFonts w:hint="eastAsia" w:ascii="宋体" w:hAnsi="宋体" w:eastAsia="宋体" w:cs="宋体"/>
          <w:color w:val="auto"/>
          <w:sz w:val="21"/>
          <w:szCs w:val="21"/>
        </w:rPr>
        <w:t>镇政府公共环境鼠、蟑、蚊、蝇孳生地控制技术服务。</w:t>
      </w:r>
    </w:p>
    <w:p w14:paraId="1E817DC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、病媒生物防制的培训以及配合开展病媒生物防制的宣传等，具体培训、宣传要件以甲方要求为准。</w:t>
      </w:r>
    </w:p>
    <w:p w14:paraId="11B4959A">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default" w:ascii="宋体" w:hAnsi="宋体" w:cs="宋体"/>
          <w:color w:val="auto"/>
          <w:sz w:val="21"/>
          <w:szCs w:val="21"/>
          <w:lang w:val="en-US" w:eastAsia="zh-CN"/>
        </w:rPr>
        <w:t>3</w:t>
      </w:r>
      <w:r>
        <w:rPr>
          <w:rFonts w:hint="eastAsia" w:ascii="宋体" w:hAnsi="宋体" w:eastAsia="宋体" w:cs="宋体"/>
          <w:color w:val="auto"/>
          <w:sz w:val="21"/>
          <w:szCs w:val="21"/>
        </w:rPr>
        <w:t>、建立健全病媒生物防制服务技术档案，所有档案资料整理并加盖乙方公章后交甲方一份。</w:t>
      </w:r>
    </w:p>
    <w:p w14:paraId="418B56FD">
      <w:pPr>
        <w:keepNext w:val="0"/>
        <w:keepLines w:val="0"/>
        <w:pageBreakBefore w:val="0"/>
        <w:widowControl w:val="0"/>
        <w:kinsoku/>
        <w:wordWrap/>
        <w:overflowPunct/>
        <w:topLinePunct w:val="0"/>
        <w:autoSpaceDE/>
        <w:autoSpaceDN/>
        <w:bidi w:val="0"/>
        <w:adjustRightInd/>
        <w:snapToGrid/>
        <w:spacing w:line="5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三、技术要求</w:t>
      </w:r>
    </w:p>
    <w:p w14:paraId="16F8647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rPr>
      </w:pPr>
    </w:p>
    <w:tbl>
      <w:tblPr>
        <w:tblStyle w:val="25"/>
        <w:tblW w:w="12984" w:type="dxa"/>
        <w:tblInd w:w="-241"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611"/>
        <w:gridCol w:w="1691"/>
        <w:gridCol w:w="3938"/>
        <w:gridCol w:w="930"/>
        <w:gridCol w:w="5814"/>
      </w:tblGrid>
      <w:tr w14:paraId="433001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5D8B967">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一</w:t>
            </w:r>
          </w:p>
        </w:tc>
        <w:tc>
          <w:tcPr>
            <w:tcW w:w="1691" w:type="dxa"/>
            <w:noWrap w:val="0"/>
            <w:tcMar>
              <w:top w:w="60" w:type="dxa"/>
              <w:left w:w="120" w:type="dxa"/>
              <w:bottom w:w="30" w:type="dxa"/>
              <w:right w:w="120" w:type="dxa"/>
            </w:tcMar>
            <w:vAlign w:val="top"/>
          </w:tcPr>
          <w:p w14:paraId="48931729">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鼠类防治（灭鼠）</w:t>
            </w:r>
          </w:p>
        </w:tc>
        <w:tc>
          <w:tcPr>
            <w:tcW w:w="3938" w:type="dxa"/>
            <w:noWrap w:val="0"/>
            <w:tcMar>
              <w:top w:w="60" w:type="dxa"/>
              <w:left w:w="120" w:type="dxa"/>
              <w:bottom w:w="30" w:type="dxa"/>
              <w:right w:w="120" w:type="dxa"/>
            </w:tcMar>
            <w:vAlign w:val="top"/>
          </w:tcPr>
          <w:p w14:paraId="33DC2758">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59701BE2">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6D569E99">
            <w:pPr>
              <w:spacing w:before="120" w:after="120" w:line="288" w:lineRule="auto"/>
              <w:ind w:left="0"/>
              <w:jc w:val="left"/>
              <w:rPr>
                <w:sz w:val="21"/>
                <w:szCs w:val="21"/>
              </w:rPr>
            </w:pPr>
          </w:p>
        </w:tc>
      </w:tr>
      <w:tr w14:paraId="22DF1B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18DA0BD">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776637CB">
            <w:pPr>
              <w:spacing w:before="120" w:after="120" w:line="288" w:lineRule="auto"/>
              <w:ind w:left="0"/>
              <w:jc w:val="left"/>
              <w:rPr>
                <w:sz w:val="21"/>
                <w:szCs w:val="21"/>
              </w:rPr>
            </w:pPr>
            <w:r>
              <w:rPr>
                <w:rFonts w:ascii="Arial" w:hAnsi="Arial" w:eastAsia="等线" w:cs="Arial"/>
                <w:sz w:val="21"/>
                <w:szCs w:val="21"/>
              </w:rPr>
              <w:t>鼠饵站布设与维护</w:t>
            </w:r>
          </w:p>
        </w:tc>
        <w:tc>
          <w:tcPr>
            <w:tcW w:w="3938" w:type="dxa"/>
            <w:noWrap w:val="0"/>
            <w:tcMar>
              <w:top w:w="60" w:type="dxa"/>
              <w:left w:w="120" w:type="dxa"/>
              <w:bottom w:w="30" w:type="dxa"/>
              <w:right w:w="120" w:type="dxa"/>
            </w:tcMar>
            <w:vAlign w:val="top"/>
          </w:tcPr>
          <w:p w14:paraId="3C9F0F51">
            <w:pPr>
              <w:spacing w:before="120" w:after="120" w:line="288" w:lineRule="auto"/>
              <w:ind w:left="0"/>
              <w:jc w:val="left"/>
              <w:rPr>
                <w:sz w:val="21"/>
                <w:szCs w:val="21"/>
              </w:rPr>
            </w:pPr>
            <w:r>
              <w:rPr>
                <w:rFonts w:ascii="Arial" w:hAnsi="Arial" w:eastAsia="等线" w:cs="Arial"/>
                <w:sz w:val="21"/>
                <w:szCs w:val="21"/>
              </w:rPr>
              <w:t>全镇公共区域标准化鼠饵站安装、固定、编号、挂牌、清洁维护（重点区域每 30 米 1 个，全域合理布设）</w:t>
            </w:r>
          </w:p>
        </w:tc>
        <w:tc>
          <w:tcPr>
            <w:tcW w:w="930" w:type="dxa"/>
            <w:noWrap w:val="0"/>
            <w:tcMar>
              <w:top w:w="60" w:type="dxa"/>
              <w:left w:w="120" w:type="dxa"/>
              <w:bottom w:w="30" w:type="dxa"/>
              <w:right w:w="120" w:type="dxa"/>
            </w:tcMar>
            <w:vAlign w:val="top"/>
          </w:tcPr>
          <w:p w14:paraId="1741F7A5">
            <w:pPr>
              <w:spacing w:before="120" w:after="120" w:line="288" w:lineRule="auto"/>
              <w:ind w:left="0"/>
              <w:jc w:val="left"/>
              <w:rPr>
                <w:sz w:val="21"/>
                <w:szCs w:val="21"/>
              </w:rPr>
            </w:pPr>
            <w:r>
              <w:rPr>
                <w:rFonts w:ascii="Arial" w:hAnsi="Arial" w:eastAsia="等线" w:cs="Arial"/>
                <w:sz w:val="21"/>
                <w:szCs w:val="21"/>
              </w:rPr>
              <w:t>全年常态化</w:t>
            </w:r>
          </w:p>
        </w:tc>
        <w:tc>
          <w:tcPr>
            <w:tcW w:w="5814" w:type="dxa"/>
            <w:noWrap w:val="0"/>
            <w:tcMar>
              <w:top w:w="60" w:type="dxa"/>
              <w:left w:w="120" w:type="dxa"/>
              <w:bottom w:w="30" w:type="dxa"/>
              <w:right w:w="120" w:type="dxa"/>
            </w:tcMar>
            <w:vAlign w:val="top"/>
          </w:tcPr>
          <w:p w14:paraId="54E4A8AD">
            <w:pPr>
              <w:spacing w:before="120" w:after="120" w:line="288" w:lineRule="auto"/>
              <w:ind w:left="0"/>
              <w:jc w:val="left"/>
              <w:rPr>
                <w:sz w:val="21"/>
                <w:szCs w:val="21"/>
              </w:rPr>
            </w:pPr>
            <w:r>
              <w:rPr>
                <w:rFonts w:ascii="Arial" w:hAnsi="Arial" w:eastAsia="等线" w:cs="Arial"/>
                <w:sz w:val="21"/>
                <w:szCs w:val="21"/>
              </w:rPr>
              <w:t>含鼠饵站耗材、安装人工</w:t>
            </w:r>
          </w:p>
        </w:tc>
      </w:tr>
      <w:tr w14:paraId="2F28C6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5A9BCFDC">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7B26457B">
            <w:pPr>
              <w:spacing w:before="120" w:after="120" w:line="288" w:lineRule="auto"/>
              <w:ind w:left="0"/>
              <w:jc w:val="left"/>
              <w:rPr>
                <w:sz w:val="21"/>
                <w:szCs w:val="21"/>
              </w:rPr>
            </w:pPr>
            <w:r>
              <w:rPr>
                <w:rFonts w:ascii="Arial" w:hAnsi="Arial" w:eastAsia="等线" w:cs="Arial"/>
                <w:sz w:val="21"/>
                <w:szCs w:val="21"/>
              </w:rPr>
              <w:t>鼠饵检查补药</w:t>
            </w:r>
          </w:p>
        </w:tc>
        <w:tc>
          <w:tcPr>
            <w:tcW w:w="3938" w:type="dxa"/>
            <w:noWrap w:val="0"/>
            <w:tcMar>
              <w:top w:w="60" w:type="dxa"/>
              <w:left w:w="120" w:type="dxa"/>
              <w:bottom w:w="30" w:type="dxa"/>
              <w:right w:w="120" w:type="dxa"/>
            </w:tcMar>
            <w:vAlign w:val="top"/>
          </w:tcPr>
          <w:p w14:paraId="7FB8A420">
            <w:pPr>
              <w:spacing w:before="120" w:after="120" w:line="288" w:lineRule="auto"/>
              <w:ind w:left="0"/>
              <w:jc w:val="left"/>
              <w:rPr>
                <w:sz w:val="21"/>
                <w:szCs w:val="21"/>
              </w:rPr>
            </w:pPr>
            <w:r>
              <w:rPr>
                <w:rFonts w:ascii="Arial" w:hAnsi="Arial" w:eastAsia="等线" w:cs="Arial"/>
                <w:sz w:val="21"/>
                <w:szCs w:val="21"/>
              </w:rPr>
              <w:t>每月定期巡查鼠饵站，更换、补充灭鼠饵料，清理鼠尸，封堵鼠洞</w:t>
            </w:r>
          </w:p>
        </w:tc>
        <w:tc>
          <w:tcPr>
            <w:tcW w:w="930" w:type="dxa"/>
            <w:noWrap w:val="0"/>
            <w:tcMar>
              <w:top w:w="60" w:type="dxa"/>
              <w:left w:w="120" w:type="dxa"/>
              <w:bottom w:w="30" w:type="dxa"/>
              <w:right w:w="120" w:type="dxa"/>
            </w:tcMar>
            <w:vAlign w:val="top"/>
          </w:tcPr>
          <w:p w14:paraId="10B11F06">
            <w:pPr>
              <w:spacing w:before="120" w:after="120" w:line="288" w:lineRule="auto"/>
              <w:ind w:left="0"/>
              <w:jc w:val="left"/>
              <w:rPr>
                <w:sz w:val="21"/>
                <w:szCs w:val="21"/>
              </w:rPr>
            </w:pPr>
            <w:r>
              <w:rPr>
                <w:rFonts w:ascii="Arial" w:hAnsi="Arial" w:eastAsia="等线" w:cs="Arial"/>
                <w:sz w:val="21"/>
                <w:szCs w:val="21"/>
              </w:rPr>
              <w:t>每月 2 次</w:t>
            </w:r>
          </w:p>
        </w:tc>
        <w:tc>
          <w:tcPr>
            <w:tcW w:w="5814" w:type="dxa"/>
            <w:noWrap w:val="0"/>
            <w:tcMar>
              <w:top w:w="60" w:type="dxa"/>
              <w:left w:w="120" w:type="dxa"/>
              <w:bottom w:w="30" w:type="dxa"/>
              <w:right w:w="120" w:type="dxa"/>
            </w:tcMar>
            <w:vAlign w:val="top"/>
          </w:tcPr>
          <w:p w14:paraId="5B21FE65">
            <w:pPr>
              <w:spacing w:before="120" w:after="120" w:line="288" w:lineRule="auto"/>
              <w:ind w:left="0"/>
              <w:jc w:val="left"/>
              <w:rPr>
                <w:sz w:val="21"/>
                <w:szCs w:val="21"/>
              </w:rPr>
            </w:pPr>
            <w:r>
              <w:rPr>
                <w:rFonts w:ascii="Arial" w:hAnsi="Arial" w:eastAsia="等线" w:cs="Arial"/>
                <w:sz w:val="21"/>
                <w:szCs w:val="21"/>
              </w:rPr>
              <w:t>含专用灭鼠药、人工、交通</w:t>
            </w:r>
          </w:p>
        </w:tc>
      </w:tr>
      <w:tr w14:paraId="2B6ACF3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6DC8165">
            <w:pPr>
              <w:spacing w:before="120" w:after="120" w:line="288" w:lineRule="auto"/>
              <w:ind w:left="0"/>
              <w:jc w:val="left"/>
              <w:rPr>
                <w:sz w:val="21"/>
                <w:szCs w:val="21"/>
              </w:rPr>
            </w:pPr>
            <w:r>
              <w:rPr>
                <w:rFonts w:ascii="Arial" w:hAnsi="Arial" w:eastAsia="等线" w:cs="Arial"/>
                <w:sz w:val="21"/>
                <w:szCs w:val="21"/>
              </w:rPr>
              <w:t>3</w:t>
            </w:r>
          </w:p>
        </w:tc>
        <w:tc>
          <w:tcPr>
            <w:tcW w:w="1691" w:type="dxa"/>
            <w:noWrap w:val="0"/>
            <w:tcMar>
              <w:top w:w="60" w:type="dxa"/>
              <w:left w:w="120" w:type="dxa"/>
              <w:bottom w:w="30" w:type="dxa"/>
              <w:right w:w="120" w:type="dxa"/>
            </w:tcMar>
            <w:vAlign w:val="top"/>
          </w:tcPr>
          <w:p w14:paraId="51DD946D">
            <w:pPr>
              <w:spacing w:before="120" w:after="120" w:line="288" w:lineRule="auto"/>
              <w:ind w:left="0"/>
              <w:jc w:val="left"/>
              <w:rPr>
                <w:sz w:val="21"/>
                <w:szCs w:val="21"/>
              </w:rPr>
            </w:pPr>
            <w:r>
              <w:rPr>
                <w:rFonts w:ascii="Arial" w:hAnsi="Arial" w:eastAsia="等线" w:cs="Arial"/>
                <w:sz w:val="21"/>
                <w:szCs w:val="21"/>
              </w:rPr>
              <w:t>集中灭鼠消杀</w:t>
            </w:r>
          </w:p>
        </w:tc>
        <w:tc>
          <w:tcPr>
            <w:tcW w:w="3938" w:type="dxa"/>
            <w:noWrap w:val="0"/>
            <w:tcMar>
              <w:top w:w="60" w:type="dxa"/>
              <w:left w:w="120" w:type="dxa"/>
              <w:bottom w:w="30" w:type="dxa"/>
              <w:right w:w="120" w:type="dxa"/>
            </w:tcMar>
            <w:vAlign w:val="top"/>
          </w:tcPr>
          <w:p w14:paraId="3AAB4324">
            <w:pPr>
              <w:spacing w:before="120" w:after="120" w:line="288" w:lineRule="auto"/>
              <w:ind w:left="0"/>
              <w:jc w:val="left"/>
              <w:rPr>
                <w:sz w:val="21"/>
                <w:szCs w:val="21"/>
              </w:rPr>
            </w:pPr>
            <w:r>
              <w:rPr>
                <w:rFonts w:ascii="Arial" w:hAnsi="Arial" w:eastAsia="等线" w:cs="Arial"/>
                <w:sz w:val="21"/>
                <w:szCs w:val="21"/>
              </w:rPr>
              <w:t>春秋季（3-4 月、9-10 月）全镇公共区域集中灭鼠，重点区域强化投药处置</w:t>
            </w:r>
          </w:p>
        </w:tc>
        <w:tc>
          <w:tcPr>
            <w:tcW w:w="930" w:type="dxa"/>
            <w:noWrap w:val="0"/>
            <w:tcMar>
              <w:top w:w="60" w:type="dxa"/>
              <w:left w:w="120" w:type="dxa"/>
              <w:bottom w:w="30" w:type="dxa"/>
              <w:right w:w="120" w:type="dxa"/>
            </w:tcMar>
            <w:vAlign w:val="top"/>
          </w:tcPr>
          <w:p w14:paraId="2D255208">
            <w:pPr>
              <w:spacing w:before="120" w:after="120" w:line="288" w:lineRule="auto"/>
              <w:ind w:left="0"/>
              <w:jc w:val="left"/>
              <w:rPr>
                <w:sz w:val="21"/>
                <w:szCs w:val="21"/>
              </w:rPr>
            </w:pPr>
            <w:r>
              <w:rPr>
                <w:rFonts w:ascii="Arial" w:hAnsi="Arial" w:eastAsia="等线" w:cs="Arial"/>
                <w:sz w:val="21"/>
                <w:szCs w:val="21"/>
              </w:rPr>
              <w:t>每年 2 轮</w:t>
            </w:r>
          </w:p>
        </w:tc>
        <w:tc>
          <w:tcPr>
            <w:tcW w:w="5814" w:type="dxa"/>
            <w:noWrap w:val="0"/>
            <w:tcMar>
              <w:top w:w="60" w:type="dxa"/>
              <w:left w:w="120" w:type="dxa"/>
              <w:bottom w:w="30" w:type="dxa"/>
              <w:right w:w="120" w:type="dxa"/>
            </w:tcMar>
            <w:vAlign w:val="top"/>
          </w:tcPr>
          <w:p w14:paraId="40F88221">
            <w:pPr>
              <w:spacing w:before="120" w:after="120" w:line="288" w:lineRule="auto"/>
              <w:ind w:left="0"/>
              <w:jc w:val="left"/>
              <w:rPr>
                <w:sz w:val="21"/>
                <w:szCs w:val="21"/>
              </w:rPr>
            </w:pPr>
            <w:r>
              <w:rPr>
                <w:rFonts w:ascii="Arial" w:hAnsi="Arial" w:eastAsia="等线" w:cs="Arial"/>
                <w:sz w:val="21"/>
                <w:szCs w:val="21"/>
              </w:rPr>
              <w:t>含专项药剂、集中作业人工</w:t>
            </w:r>
          </w:p>
        </w:tc>
      </w:tr>
      <w:tr w14:paraId="6FA8C4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EE61C69">
            <w:pPr>
              <w:spacing w:before="120" w:after="120" w:line="288" w:lineRule="auto"/>
              <w:ind w:left="0"/>
              <w:jc w:val="left"/>
              <w:rPr>
                <w:sz w:val="21"/>
                <w:szCs w:val="21"/>
              </w:rPr>
            </w:pPr>
            <w:r>
              <w:rPr>
                <w:rFonts w:ascii="Arial" w:hAnsi="Arial" w:eastAsia="等线" w:cs="Arial"/>
                <w:sz w:val="21"/>
                <w:szCs w:val="21"/>
              </w:rPr>
              <w:t>4</w:t>
            </w:r>
          </w:p>
        </w:tc>
        <w:tc>
          <w:tcPr>
            <w:tcW w:w="1691" w:type="dxa"/>
            <w:noWrap w:val="0"/>
            <w:tcMar>
              <w:top w:w="60" w:type="dxa"/>
              <w:left w:w="120" w:type="dxa"/>
              <w:bottom w:w="30" w:type="dxa"/>
              <w:right w:w="120" w:type="dxa"/>
            </w:tcMar>
            <w:vAlign w:val="top"/>
          </w:tcPr>
          <w:p w14:paraId="528CEFB5">
            <w:pPr>
              <w:spacing w:before="120" w:after="120" w:line="288" w:lineRule="auto"/>
              <w:ind w:left="0"/>
              <w:jc w:val="left"/>
              <w:rPr>
                <w:sz w:val="21"/>
                <w:szCs w:val="21"/>
              </w:rPr>
            </w:pPr>
            <w:r>
              <w:rPr>
                <w:rFonts w:ascii="Arial" w:hAnsi="Arial" w:eastAsia="等线" w:cs="Arial"/>
                <w:sz w:val="21"/>
                <w:szCs w:val="21"/>
              </w:rPr>
              <w:t>鼠迹密度监测</w:t>
            </w:r>
          </w:p>
        </w:tc>
        <w:tc>
          <w:tcPr>
            <w:tcW w:w="3938" w:type="dxa"/>
            <w:noWrap w:val="0"/>
            <w:tcMar>
              <w:top w:w="60" w:type="dxa"/>
              <w:left w:w="120" w:type="dxa"/>
              <w:bottom w:w="30" w:type="dxa"/>
              <w:right w:w="120" w:type="dxa"/>
            </w:tcMar>
            <w:vAlign w:val="top"/>
          </w:tcPr>
          <w:p w14:paraId="2C3256FC">
            <w:pPr>
              <w:spacing w:before="120" w:after="120" w:line="288" w:lineRule="auto"/>
              <w:ind w:left="0"/>
              <w:jc w:val="left"/>
              <w:rPr>
                <w:sz w:val="21"/>
                <w:szCs w:val="21"/>
              </w:rPr>
            </w:pPr>
            <w:r>
              <w:rPr>
                <w:rFonts w:ascii="Arial" w:hAnsi="Arial" w:eastAsia="等线" w:cs="Arial"/>
                <w:sz w:val="21"/>
                <w:szCs w:val="21"/>
              </w:rPr>
              <w:t>每季度开展鼠迹、鼠密度调查，提交监测报告</w:t>
            </w:r>
          </w:p>
        </w:tc>
        <w:tc>
          <w:tcPr>
            <w:tcW w:w="930" w:type="dxa"/>
            <w:noWrap w:val="0"/>
            <w:tcMar>
              <w:top w:w="60" w:type="dxa"/>
              <w:left w:w="120" w:type="dxa"/>
              <w:bottom w:w="30" w:type="dxa"/>
              <w:right w:w="120" w:type="dxa"/>
            </w:tcMar>
            <w:vAlign w:val="top"/>
          </w:tcPr>
          <w:p w14:paraId="48EDC103">
            <w:pPr>
              <w:spacing w:before="120" w:after="120" w:line="288" w:lineRule="auto"/>
              <w:ind w:left="0"/>
              <w:jc w:val="left"/>
              <w:rPr>
                <w:sz w:val="21"/>
                <w:szCs w:val="21"/>
              </w:rPr>
            </w:pPr>
            <w:r>
              <w:rPr>
                <w:rFonts w:ascii="Arial" w:hAnsi="Arial" w:eastAsia="等线" w:cs="Arial"/>
                <w:sz w:val="21"/>
                <w:szCs w:val="21"/>
              </w:rPr>
              <w:t>每季度 1 次</w:t>
            </w:r>
          </w:p>
        </w:tc>
        <w:tc>
          <w:tcPr>
            <w:tcW w:w="5814" w:type="dxa"/>
            <w:noWrap w:val="0"/>
            <w:tcMar>
              <w:top w:w="60" w:type="dxa"/>
              <w:left w:w="120" w:type="dxa"/>
              <w:bottom w:w="30" w:type="dxa"/>
              <w:right w:w="120" w:type="dxa"/>
            </w:tcMar>
            <w:vAlign w:val="top"/>
          </w:tcPr>
          <w:p w14:paraId="225EE0FF">
            <w:pPr>
              <w:spacing w:before="120" w:after="120" w:line="288" w:lineRule="auto"/>
              <w:ind w:left="0"/>
              <w:jc w:val="left"/>
              <w:rPr>
                <w:sz w:val="21"/>
                <w:szCs w:val="21"/>
              </w:rPr>
            </w:pPr>
            <w:r>
              <w:rPr>
                <w:rFonts w:ascii="Arial" w:hAnsi="Arial" w:eastAsia="等线" w:cs="Arial"/>
                <w:sz w:val="21"/>
                <w:szCs w:val="21"/>
              </w:rPr>
              <w:t>含监测工具、人工</w:t>
            </w:r>
          </w:p>
        </w:tc>
      </w:tr>
      <w:tr w14:paraId="66CEB9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2C8AA4AF">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二</w:t>
            </w:r>
          </w:p>
        </w:tc>
        <w:tc>
          <w:tcPr>
            <w:tcW w:w="1691" w:type="dxa"/>
            <w:noWrap w:val="0"/>
            <w:tcMar>
              <w:top w:w="60" w:type="dxa"/>
              <w:left w:w="120" w:type="dxa"/>
              <w:bottom w:w="30" w:type="dxa"/>
              <w:right w:w="120" w:type="dxa"/>
            </w:tcMar>
            <w:vAlign w:val="top"/>
          </w:tcPr>
          <w:p w14:paraId="1F809CFA">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蚊类防治（灭蚊）</w:t>
            </w:r>
          </w:p>
        </w:tc>
        <w:tc>
          <w:tcPr>
            <w:tcW w:w="3938" w:type="dxa"/>
            <w:noWrap w:val="0"/>
            <w:tcMar>
              <w:top w:w="60" w:type="dxa"/>
              <w:left w:w="120" w:type="dxa"/>
              <w:bottom w:w="30" w:type="dxa"/>
              <w:right w:w="120" w:type="dxa"/>
            </w:tcMar>
            <w:vAlign w:val="top"/>
          </w:tcPr>
          <w:p w14:paraId="2E91A979">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443E0673">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5E9DB3AD">
            <w:pPr>
              <w:spacing w:before="120" w:after="120" w:line="288" w:lineRule="auto"/>
              <w:ind w:left="0"/>
              <w:jc w:val="left"/>
              <w:rPr>
                <w:sz w:val="21"/>
                <w:szCs w:val="21"/>
              </w:rPr>
            </w:pPr>
          </w:p>
        </w:tc>
      </w:tr>
      <w:tr w14:paraId="0D60B4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02D51AD9">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6B1CBDBC">
            <w:pPr>
              <w:spacing w:before="120" w:after="120" w:line="288" w:lineRule="auto"/>
              <w:ind w:left="0"/>
              <w:jc w:val="left"/>
              <w:rPr>
                <w:sz w:val="21"/>
                <w:szCs w:val="21"/>
              </w:rPr>
            </w:pPr>
            <w:r>
              <w:rPr>
                <w:rFonts w:ascii="Arial" w:hAnsi="Arial" w:eastAsia="等线" w:cs="Arial"/>
                <w:sz w:val="21"/>
                <w:szCs w:val="21"/>
              </w:rPr>
              <w:t>蚊虫孳生地清理</w:t>
            </w:r>
          </w:p>
        </w:tc>
        <w:tc>
          <w:tcPr>
            <w:tcW w:w="3938" w:type="dxa"/>
            <w:noWrap w:val="0"/>
            <w:tcMar>
              <w:top w:w="60" w:type="dxa"/>
              <w:left w:w="120" w:type="dxa"/>
              <w:bottom w:w="30" w:type="dxa"/>
              <w:right w:w="120" w:type="dxa"/>
            </w:tcMar>
            <w:vAlign w:val="top"/>
          </w:tcPr>
          <w:p w14:paraId="3B019C69">
            <w:pPr>
              <w:spacing w:before="120" w:after="120" w:line="288" w:lineRule="auto"/>
              <w:ind w:left="0"/>
              <w:jc w:val="left"/>
              <w:rPr>
                <w:sz w:val="21"/>
                <w:szCs w:val="21"/>
              </w:rPr>
            </w:pPr>
            <w:r>
              <w:rPr>
                <w:rFonts w:ascii="Arial" w:hAnsi="Arial" w:eastAsia="等线" w:cs="Arial"/>
                <w:sz w:val="21"/>
                <w:szCs w:val="21"/>
              </w:rPr>
              <w:t>排查清理积水点位、疏通沟渠、填堵树洞、清理景观水体杂草，投放灭蚊幼药剂</w:t>
            </w:r>
          </w:p>
        </w:tc>
        <w:tc>
          <w:tcPr>
            <w:tcW w:w="930" w:type="dxa"/>
            <w:noWrap w:val="0"/>
            <w:tcMar>
              <w:top w:w="60" w:type="dxa"/>
              <w:left w:w="120" w:type="dxa"/>
              <w:bottom w:w="30" w:type="dxa"/>
              <w:right w:w="120" w:type="dxa"/>
            </w:tcMar>
            <w:vAlign w:val="top"/>
          </w:tcPr>
          <w:p w14:paraId="5683CD7D">
            <w:pPr>
              <w:spacing w:before="120" w:after="120" w:line="288" w:lineRule="auto"/>
              <w:ind w:left="0"/>
              <w:jc w:val="left"/>
              <w:rPr>
                <w:sz w:val="21"/>
                <w:szCs w:val="21"/>
              </w:rPr>
            </w:pPr>
            <w:r>
              <w:rPr>
                <w:rFonts w:ascii="Arial" w:hAnsi="Arial" w:eastAsia="等线" w:cs="Arial"/>
                <w:sz w:val="21"/>
                <w:szCs w:val="21"/>
              </w:rPr>
              <w:t>每月 1 次</w:t>
            </w:r>
          </w:p>
        </w:tc>
        <w:tc>
          <w:tcPr>
            <w:tcW w:w="5814" w:type="dxa"/>
            <w:noWrap w:val="0"/>
            <w:tcMar>
              <w:top w:w="60" w:type="dxa"/>
              <w:left w:w="120" w:type="dxa"/>
              <w:bottom w:w="30" w:type="dxa"/>
              <w:right w:w="120" w:type="dxa"/>
            </w:tcMar>
            <w:vAlign w:val="top"/>
          </w:tcPr>
          <w:p w14:paraId="5728BAD0">
            <w:pPr>
              <w:spacing w:before="120" w:after="120" w:line="288" w:lineRule="auto"/>
              <w:ind w:left="0"/>
              <w:jc w:val="left"/>
              <w:rPr>
                <w:sz w:val="21"/>
                <w:szCs w:val="21"/>
              </w:rPr>
            </w:pPr>
            <w:r>
              <w:rPr>
                <w:rFonts w:ascii="Arial" w:hAnsi="Arial" w:eastAsia="等线" w:cs="Arial"/>
                <w:sz w:val="21"/>
                <w:szCs w:val="21"/>
              </w:rPr>
              <w:t>含灭蚊幼剂、人工、清疏工具</w:t>
            </w:r>
          </w:p>
        </w:tc>
      </w:tr>
      <w:tr w14:paraId="60DE1D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68DDC78B">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6A1CEF90">
            <w:pPr>
              <w:spacing w:before="120" w:after="120" w:line="288" w:lineRule="auto"/>
              <w:ind w:left="0"/>
              <w:jc w:val="left"/>
              <w:rPr>
                <w:sz w:val="21"/>
                <w:szCs w:val="21"/>
              </w:rPr>
            </w:pPr>
            <w:r>
              <w:rPr>
                <w:rFonts w:ascii="Arial" w:hAnsi="Arial" w:eastAsia="等线" w:cs="Arial"/>
                <w:sz w:val="21"/>
                <w:szCs w:val="21"/>
              </w:rPr>
              <w:t>常规滞留喷洒</w:t>
            </w:r>
          </w:p>
        </w:tc>
        <w:tc>
          <w:tcPr>
            <w:tcW w:w="3938" w:type="dxa"/>
            <w:noWrap w:val="0"/>
            <w:tcMar>
              <w:top w:w="60" w:type="dxa"/>
              <w:left w:w="120" w:type="dxa"/>
              <w:bottom w:w="30" w:type="dxa"/>
              <w:right w:w="120" w:type="dxa"/>
            </w:tcMar>
            <w:vAlign w:val="top"/>
          </w:tcPr>
          <w:p w14:paraId="5DF071CC">
            <w:pPr>
              <w:spacing w:before="120" w:after="120" w:line="288" w:lineRule="auto"/>
              <w:ind w:left="0"/>
              <w:jc w:val="left"/>
              <w:rPr>
                <w:sz w:val="21"/>
                <w:szCs w:val="21"/>
              </w:rPr>
            </w:pPr>
            <w:r>
              <w:rPr>
                <w:rFonts w:ascii="Arial" w:hAnsi="Arial" w:eastAsia="等线" w:cs="Arial"/>
                <w:sz w:val="21"/>
                <w:szCs w:val="21"/>
              </w:rPr>
              <w:t>公共区域、绿化带、公厕、下水道口等，药物滞留喷洒灭成蚊</w:t>
            </w:r>
          </w:p>
        </w:tc>
        <w:tc>
          <w:tcPr>
            <w:tcW w:w="930" w:type="dxa"/>
            <w:noWrap w:val="0"/>
            <w:tcMar>
              <w:top w:w="60" w:type="dxa"/>
              <w:left w:w="120" w:type="dxa"/>
              <w:bottom w:w="30" w:type="dxa"/>
              <w:right w:w="120" w:type="dxa"/>
            </w:tcMar>
            <w:vAlign w:val="top"/>
          </w:tcPr>
          <w:p w14:paraId="71C7AD3D">
            <w:pPr>
              <w:spacing w:before="120" w:after="120" w:line="288" w:lineRule="auto"/>
              <w:ind w:left="0"/>
              <w:jc w:val="left"/>
              <w:rPr>
                <w:sz w:val="21"/>
                <w:szCs w:val="21"/>
              </w:rPr>
            </w:pPr>
            <w:r>
              <w:rPr>
                <w:rFonts w:ascii="Arial" w:hAnsi="Arial" w:eastAsia="等线" w:cs="Arial"/>
                <w:sz w:val="21"/>
                <w:szCs w:val="21"/>
              </w:rPr>
              <w:t>每月 1 次</w:t>
            </w:r>
          </w:p>
        </w:tc>
        <w:tc>
          <w:tcPr>
            <w:tcW w:w="5814" w:type="dxa"/>
            <w:noWrap w:val="0"/>
            <w:tcMar>
              <w:top w:w="60" w:type="dxa"/>
              <w:left w:w="120" w:type="dxa"/>
              <w:bottom w:w="30" w:type="dxa"/>
              <w:right w:w="120" w:type="dxa"/>
            </w:tcMar>
            <w:vAlign w:val="top"/>
          </w:tcPr>
          <w:p w14:paraId="4CFC438E">
            <w:pPr>
              <w:spacing w:before="120" w:after="120" w:line="288" w:lineRule="auto"/>
              <w:ind w:left="0"/>
              <w:jc w:val="left"/>
              <w:rPr>
                <w:sz w:val="21"/>
                <w:szCs w:val="21"/>
              </w:rPr>
            </w:pPr>
            <w:r>
              <w:rPr>
                <w:rFonts w:ascii="Arial" w:hAnsi="Arial" w:eastAsia="等线" w:cs="Arial"/>
                <w:sz w:val="21"/>
                <w:szCs w:val="21"/>
              </w:rPr>
              <w:t>含环保消杀药剂、人工</w:t>
            </w:r>
          </w:p>
        </w:tc>
      </w:tr>
      <w:tr w14:paraId="432AC5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6CC30CFB">
            <w:pPr>
              <w:spacing w:before="120" w:after="120" w:line="288" w:lineRule="auto"/>
              <w:ind w:left="0"/>
              <w:jc w:val="left"/>
              <w:rPr>
                <w:sz w:val="21"/>
                <w:szCs w:val="21"/>
              </w:rPr>
            </w:pPr>
            <w:r>
              <w:rPr>
                <w:rFonts w:ascii="Arial" w:hAnsi="Arial" w:eastAsia="等线" w:cs="Arial"/>
                <w:sz w:val="21"/>
                <w:szCs w:val="21"/>
              </w:rPr>
              <w:t>3</w:t>
            </w:r>
          </w:p>
        </w:tc>
        <w:tc>
          <w:tcPr>
            <w:tcW w:w="1691" w:type="dxa"/>
            <w:noWrap w:val="0"/>
            <w:tcMar>
              <w:top w:w="60" w:type="dxa"/>
              <w:left w:w="120" w:type="dxa"/>
              <w:bottom w:w="30" w:type="dxa"/>
              <w:right w:w="120" w:type="dxa"/>
            </w:tcMar>
            <w:vAlign w:val="top"/>
          </w:tcPr>
          <w:p w14:paraId="5FA1C661">
            <w:pPr>
              <w:spacing w:before="120" w:after="120" w:line="288" w:lineRule="auto"/>
              <w:ind w:left="0"/>
              <w:jc w:val="left"/>
              <w:rPr>
                <w:sz w:val="21"/>
                <w:szCs w:val="21"/>
              </w:rPr>
            </w:pPr>
            <w:r>
              <w:rPr>
                <w:rFonts w:ascii="Arial" w:hAnsi="Arial" w:eastAsia="等线" w:cs="Arial"/>
                <w:sz w:val="21"/>
                <w:szCs w:val="21"/>
              </w:rPr>
              <w:t>蚊季专项消杀</w:t>
            </w:r>
          </w:p>
        </w:tc>
        <w:tc>
          <w:tcPr>
            <w:tcW w:w="3938" w:type="dxa"/>
            <w:noWrap w:val="0"/>
            <w:tcMar>
              <w:top w:w="60" w:type="dxa"/>
              <w:left w:w="120" w:type="dxa"/>
              <w:bottom w:w="30" w:type="dxa"/>
              <w:right w:w="120" w:type="dxa"/>
            </w:tcMar>
            <w:vAlign w:val="top"/>
          </w:tcPr>
          <w:p w14:paraId="52466739">
            <w:pPr>
              <w:spacing w:before="120" w:after="120" w:line="288" w:lineRule="auto"/>
              <w:ind w:left="0"/>
              <w:jc w:val="left"/>
              <w:rPr>
                <w:sz w:val="21"/>
                <w:szCs w:val="21"/>
              </w:rPr>
            </w:pPr>
            <w:r>
              <w:rPr>
                <w:rFonts w:ascii="Arial" w:hAnsi="Arial" w:eastAsia="等线" w:cs="Arial"/>
                <w:sz w:val="21"/>
                <w:szCs w:val="21"/>
              </w:rPr>
              <w:t>5-10 月蚊虫高发季，超低容量喷雾 / 烟雾机集中消杀，重点区域强化处置</w:t>
            </w:r>
          </w:p>
        </w:tc>
        <w:tc>
          <w:tcPr>
            <w:tcW w:w="930" w:type="dxa"/>
            <w:noWrap w:val="0"/>
            <w:tcMar>
              <w:top w:w="60" w:type="dxa"/>
              <w:left w:w="120" w:type="dxa"/>
              <w:bottom w:w="30" w:type="dxa"/>
              <w:right w:w="120" w:type="dxa"/>
            </w:tcMar>
            <w:vAlign w:val="top"/>
          </w:tcPr>
          <w:p w14:paraId="09DE9C72">
            <w:pPr>
              <w:spacing w:before="120" w:after="120" w:line="288" w:lineRule="auto"/>
              <w:ind w:left="0"/>
              <w:jc w:val="left"/>
              <w:rPr>
                <w:sz w:val="21"/>
                <w:szCs w:val="21"/>
              </w:rPr>
            </w:pPr>
            <w:r>
              <w:rPr>
                <w:rFonts w:ascii="Arial" w:hAnsi="Arial" w:eastAsia="等线" w:cs="Arial"/>
                <w:sz w:val="21"/>
                <w:szCs w:val="21"/>
              </w:rPr>
              <w:t>每月 2 次</w:t>
            </w:r>
          </w:p>
        </w:tc>
        <w:tc>
          <w:tcPr>
            <w:tcW w:w="5814" w:type="dxa"/>
            <w:noWrap w:val="0"/>
            <w:tcMar>
              <w:top w:w="60" w:type="dxa"/>
              <w:left w:w="120" w:type="dxa"/>
              <w:bottom w:w="30" w:type="dxa"/>
              <w:right w:w="120" w:type="dxa"/>
            </w:tcMar>
            <w:vAlign w:val="top"/>
          </w:tcPr>
          <w:p w14:paraId="1278BE87">
            <w:pPr>
              <w:spacing w:before="120" w:after="120" w:line="288" w:lineRule="auto"/>
              <w:ind w:left="0"/>
              <w:jc w:val="left"/>
              <w:rPr>
                <w:sz w:val="21"/>
                <w:szCs w:val="21"/>
              </w:rPr>
            </w:pPr>
            <w:r>
              <w:rPr>
                <w:rFonts w:ascii="Arial" w:hAnsi="Arial" w:eastAsia="等线" w:cs="Arial"/>
                <w:sz w:val="21"/>
                <w:szCs w:val="21"/>
              </w:rPr>
              <w:t>含专用消杀药剂、机械作业</w:t>
            </w:r>
          </w:p>
        </w:tc>
      </w:tr>
      <w:tr w14:paraId="1F8250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0B92055D">
            <w:pPr>
              <w:spacing w:before="120" w:after="120" w:line="288" w:lineRule="auto"/>
              <w:ind w:left="0"/>
              <w:jc w:val="left"/>
              <w:rPr>
                <w:sz w:val="21"/>
                <w:szCs w:val="21"/>
              </w:rPr>
            </w:pPr>
            <w:r>
              <w:rPr>
                <w:rFonts w:ascii="Arial" w:hAnsi="Arial" w:eastAsia="等线" w:cs="Arial"/>
                <w:sz w:val="21"/>
                <w:szCs w:val="21"/>
              </w:rPr>
              <w:t>4</w:t>
            </w:r>
          </w:p>
        </w:tc>
        <w:tc>
          <w:tcPr>
            <w:tcW w:w="1691" w:type="dxa"/>
            <w:noWrap w:val="0"/>
            <w:tcMar>
              <w:top w:w="60" w:type="dxa"/>
              <w:left w:w="120" w:type="dxa"/>
              <w:bottom w:w="30" w:type="dxa"/>
              <w:right w:w="120" w:type="dxa"/>
            </w:tcMar>
            <w:vAlign w:val="top"/>
          </w:tcPr>
          <w:p w14:paraId="25F2F616">
            <w:pPr>
              <w:spacing w:before="120" w:after="120" w:line="288" w:lineRule="auto"/>
              <w:ind w:left="0"/>
              <w:jc w:val="left"/>
              <w:rPr>
                <w:sz w:val="21"/>
                <w:szCs w:val="21"/>
              </w:rPr>
            </w:pPr>
            <w:r>
              <w:rPr>
                <w:rFonts w:ascii="Arial" w:hAnsi="Arial" w:eastAsia="等线" w:cs="Arial"/>
                <w:sz w:val="21"/>
                <w:szCs w:val="21"/>
              </w:rPr>
              <w:t>蚊虫密度监测</w:t>
            </w:r>
          </w:p>
        </w:tc>
        <w:tc>
          <w:tcPr>
            <w:tcW w:w="3938" w:type="dxa"/>
            <w:noWrap w:val="0"/>
            <w:tcMar>
              <w:top w:w="60" w:type="dxa"/>
              <w:left w:w="120" w:type="dxa"/>
              <w:bottom w:w="30" w:type="dxa"/>
              <w:right w:w="120" w:type="dxa"/>
            </w:tcMar>
            <w:vAlign w:val="top"/>
          </w:tcPr>
          <w:p w14:paraId="5AC34E0A">
            <w:pPr>
              <w:spacing w:before="120" w:after="120" w:line="288" w:lineRule="auto"/>
              <w:ind w:left="0"/>
              <w:jc w:val="left"/>
              <w:rPr>
                <w:sz w:val="21"/>
                <w:szCs w:val="21"/>
              </w:rPr>
            </w:pPr>
            <w:r>
              <w:rPr>
                <w:rFonts w:ascii="Arial" w:hAnsi="Arial" w:eastAsia="等线" w:cs="Arial"/>
                <w:sz w:val="21"/>
                <w:szCs w:val="21"/>
              </w:rPr>
              <w:t>每季度开展蚊虫密度、孳生地监测，形成整改及防治报告</w:t>
            </w:r>
          </w:p>
        </w:tc>
        <w:tc>
          <w:tcPr>
            <w:tcW w:w="930" w:type="dxa"/>
            <w:noWrap w:val="0"/>
            <w:tcMar>
              <w:top w:w="60" w:type="dxa"/>
              <w:left w:w="120" w:type="dxa"/>
              <w:bottom w:w="30" w:type="dxa"/>
              <w:right w:w="120" w:type="dxa"/>
            </w:tcMar>
            <w:vAlign w:val="top"/>
          </w:tcPr>
          <w:p w14:paraId="0AC7E2C3">
            <w:pPr>
              <w:spacing w:before="120" w:after="120" w:line="288" w:lineRule="auto"/>
              <w:ind w:left="0"/>
              <w:jc w:val="left"/>
              <w:rPr>
                <w:sz w:val="21"/>
                <w:szCs w:val="21"/>
              </w:rPr>
            </w:pPr>
            <w:r>
              <w:rPr>
                <w:rFonts w:ascii="Arial" w:hAnsi="Arial" w:eastAsia="等线" w:cs="Arial"/>
                <w:sz w:val="21"/>
                <w:szCs w:val="21"/>
              </w:rPr>
              <w:t>每季度 1 次</w:t>
            </w:r>
          </w:p>
        </w:tc>
        <w:tc>
          <w:tcPr>
            <w:tcW w:w="5814" w:type="dxa"/>
            <w:noWrap w:val="0"/>
            <w:tcMar>
              <w:top w:w="60" w:type="dxa"/>
              <w:left w:w="120" w:type="dxa"/>
              <w:bottom w:w="30" w:type="dxa"/>
              <w:right w:w="120" w:type="dxa"/>
            </w:tcMar>
            <w:vAlign w:val="top"/>
          </w:tcPr>
          <w:p w14:paraId="39A7D4A8">
            <w:pPr>
              <w:spacing w:before="120" w:after="120" w:line="288" w:lineRule="auto"/>
              <w:ind w:left="0"/>
              <w:jc w:val="left"/>
              <w:rPr>
                <w:sz w:val="21"/>
                <w:szCs w:val="21"/>
              </w:rPr>
            </w:pPr>
            <w:r>
              <w:rPr>
                <w:rFonts w:ascii="Arial" w:hAnsi="Arial" w:eastAsia="等线" w:cs="Arial"/>
                <w:sz w:val="21"/>
                <w:szCs w:val="21"/>
              </w:rPr>
              <w:t>含监测、人工</w:t>
            </w:r>
          </w:p>
        </w:tc>
      </w:tr>
      <w:tr w14:paraId="73FA2A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CB61DA1">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三</w:t>
            </w:r>
          </w:p>
        </w:tc>
        <w:tc>
          <w:tcPr>
            <w:tcW w:w="1691" w:type="dxa"/>
            <w:noWrap w:val="0"/>
            <w:tcMar>
              <w:top w:w="60" w:type="dxa"/>
              <w:left w:w="120" w:type="dxa"/>
              <w:bottom w:w="30" w:type="dxa"/>
              <w:right w:w="120" w:type="dxa"/>
            </w:tcMar>
            <w:vAlign w:val="top"/>
          </w:tcPr>
          <w:p w14:paraId="74500092">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蝇类防治（灭蝇）</w:t>
            </w:r>
          </w:p>
        </w:tc>
        <w:tc>
          <w:tcPr>
            <w:tcW w:w="3938" w:type="dxa"/>
            <w:noWrap w:val="0"/>
            <w:tcMar>
              <w:top w:w="60" w:type="dxa"/>
              <w:left w:w="120" w:type="dxa"/>
              <w:bottom w:w="30" w:type="dxa"/>
              <w:right w:w="120" w:type="dxa"/>
            </w:tcMar>
            <w:vAlign w:val="top"/>
          </w:tcPr>
          <w:p w14:paraId="5B1AD6DD">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509A9A31">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12A35DC6">
            <w:pPr>
              <w:spacing w:before="120" w:after="120" w:line="288" w:lineRule="auto"/>
              <w:ind w:left="0"/>
              <w:jc w:val="left"/>
              <w:rPr>
                <w:sz w:val="21"/>
                <w:szCs w:val="21"/>
              </w:rPr>
            </w:pPr>
          </w:p>
        </w:tc>
      </w:tr>
      <w:tr w14:paraId="5C0BA2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458DB7DB">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3DE76D3E">
            <w:pPr>
              <w:spacing w:before="120" w:after="120" w:line="288" w:lineRule="auto"/>
              <w:ind w:left="0"/>
              <w:jc w:val="left"/>
              <w:rPr>
                <w:sz w:val="21"/>
                <w:szCs w:val="21"/>
              </w:rPr>
            </w:pPr>
            <w:r>
              <w:rPr>
                <w:rFonts w:ascii="Arial" w:hAnsi="Arial" w:eastAsia="等线" w:cs="Arial"/>
                <w:sz w:val="21"/>
                <w:szCs w:val="21"/>
              </w:rPr>
              <w:t>重点区域灭蝇</w:t>
            </w:r>
          </w:p>
        </w:tc>
        <w:tc>
          <w:tcPr>
            <w:tcW w:w="3938" w:type="dxa"/>
            <w:noWrap w:val="0"/>
            <w:tcMar>
              <w:top w:w="60" w:type="dxa"/>
              <w:left w:w="120" w:type="dxa"/>
              <w:bottom w:w="30" w:type="dxa"/>
              <w:right w:w="120" w:type="dxa"/>
            </w:tcMar>
            <w:vAlign w:val="top"/>
          </w:tcPr>
          <w:p w14:paraId="723AECF6">
            <w:pPr>
              <w:spacing w:before="120" w:after="120" w:line="288" w:lineRule="auto"/>
              <w:ind w:left="0"/>
              <w:jc w:val="left"/>
              <w:rPr>
                <w:sz w:val="21"/>
                <w:szCs w:val="21"/>
              </w:rPr>
            </w:pPr>
            <w:r>
              <w:rPr>
                <w:rFonts w:ascii="Arial" w:hAnsi="Arial" w:eastAsia="等线" w:cs="Arial"/>
                <w:sz w:val="21"/>
                <w:szCs w:val="21"/>
              </w:rPr>
              <w:t>垃圾中转站、公厕、农贸市场周边，药物滞留喷洒、灭蝇处理</w:t>
            </w:r>
          </w:p>
        </w:tc>
        <w:tc>
          <w:tcPr>
            <w:tcW w:w="930" w:type="dxa"/>
            <w:noWrap w:val="0"/>
            <w:tcMar>
              <w:top w:w="60" w:type="dxa"/>
              <w:left w:w="120" w:type="dxa"/>
              <w:bottom w:w="30" w:type="dxa"/>
              <w:right w:w="120" w:type="dxa"/>
            </w:tcMar>
            <w:vAlign w:val="top"/>
          </w:tcPr>
          <w:p w14:paraId="3DCE4975">
            <w:pPr>
              <w:spacing w:before="120" w:after="120" w:line="288" w:lineRule="auto"/>
              <w:ind w:left="0"/>
              <w:jc w:val="left"/>
              <w:rPr>
                <w:sz w:val="21"/>
                <w:szCs w:val="21"/>
              </w:rPr>
            </w:pPr>
            <w:r>
              <w:rPr>
                <w:rFonts w:ascii="Arial" w:hAnsi="Arial" w:eastAsia="等线" w:cs="Arial"/>
                <w:sz w:val="21"/>
                <w:szCs w:val="21"/>
              </w:rPr>
              <w:t>每周 1 次</w:t>
            </w:r>
          </w:p>
        </w:tc>
        <w:tc>
          <w:tcPr>
            <w:tcW w:w="5814" w:type="dxa"/>
            <w:noWrap w:val="0"/>
            <w:tcMar>
              <w:top w:w="60" w:type="dxa"/>
              <w:left w:w="120" w:type="dxa"/>
              <w:bottom w:w="30" w:type="dxa"/>
              <w:right w:w="120" w:type="dxa"/>
            </w:tcMar>
            <w:vAlign w:val="top"/>
          </w:tcPr>
          <w:p w14:paraId="6ED8C500">
            <w:pPr>
              <w:spacing w:before="120" w:after="120" w:line="288" w:lineRule="auto"/>
              <w:ind w:left="0"/>
              <w:jc w:val="left"/>
              <w:rPr>
                <w:sz w:val="21"/>
                <w:szCs w:val="21"/>
              </w:rPr>
            </w:pPr>
            <w:r>
              <w:rPr>
                <w:rFonts w:ascii="Arial" w:hAnsi="Arial" w:eastAsia="等线" w:cs="Arial"/>
                <w:sz w:val="21"/>
                <w:szCs w:val="21"/>
              </w:rPr>
              <w:t>含灭蝇药剂、人工</w:t>
            </w:r>
          </w:p>
        </w:tc>
      </w:tr>
      <w:tr w14:paraId="35A500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21785725">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3BC7ABD2">
            <w:pPr>
              <w:spacing w:before="120" w:after="120" w:line="288" w:lineRule="auto"/>
              <w:ind w:left="0"/>
              <w:jc w:val="left"/>
              <w:rPr>
                <w:sz w:val="21"/>
                <w:szCs w:val="21"/>
              </w:rPr>
            </w:pPr>
            <w:r>
              <w:rPr>
                <w:rFonts w:ascii="Arial" w:hAnsi="Arial" w:eastAsia="等线" w:cs="Arial"/>
                <w:sz w:val="21"/>
                <w:szCs w:val="21"/>
              </w:rPr>
              <w:t>全域灭蝇消杀</w:t>
            </w:r>
          </w:p>
        </w:tc>
        <w:tc>
          <w:tcPr>
            <w:tcW w:w="3938" w:type="dxa"/>
            <w:noWrap w:val="0"/>
            <w:tcMar>
              <w:top w:w="60" w:type="dxa"/>
              <w:left w:w="120" w:type="dxa"/>
              <w:bottom w:w="30" w:type="dxa"/>
              <w:right w:w="120" w:type="dxa"/>
            </w:tcMar>
            <w:vAlign w:val="top"/>
          </w:tcPr>
          <w:p w14:paraId="39D63C6B">
            <w:pPr>
              <w:spacing w:before="120" w:after="120" w:line="288" w:lineRule="auto"/>
              <w:ind w:left="0"/>
              <w:jc w:val="left"/>
              <w:rPr>
                <w:sz w:val="21"/>
                <w:szCs w:val="21"/>
              </w:rPr>
            </w:pPr>
            <w:r>
              <w:rPr>
                <w:rFonts w:ascii="Arial" w:hAnsi="Arial" w:eastAsia="等线" w:cs="Arial"/>
                <w:sz w:val="21"/>
                <w:szCs w:val="21"/>
              </w:rPr>
              <w:t>全镇公共区域空间喷雾灭成蝇，降低蝇类密度</w:t>
            </w:r>
          </w:p>
        </w:tc>
        <w:tc>
          <w:tcPr>
            <w:tcW w:w="930" w:type="dxa"/>
            <w:noWrap w:val="0"/>
            <w:tcMar>
              <w:top w:w="60" w:type="dxa"/>
              <w:left w:w="120" w:type="dxa"/>
              <w:bottom w:w="30" w:type="dxa"/>
              <w:right w:w="120" w:type="dxa"/>
            </w:tcMar>
            <w:vAlign w:val="top"/>
          </w:tcPr>
          <w:p w14:paraId="0CBAFF60">
            <w:pPr>
              <w:spacing w:before="120" w:after="120" w:line="288" w:lineRule="auto"/>
              <w:ind w:left="0"/>
              <w:jc w:val="left"/>
              <w:rPr>
                <w:sz w:val="21"/>
                <w:szCs w:val="21"/>
              </w:rPr>
            </w:pPr>
            <w:r>
              <w:rPr>
                <w:rFonts w:ascii="Arial" w:hAnsi="Arial" w:eastAsia="等线" w:cs="Arial"/>
                <w:sz w:val="21"/>
                <w:szCs w:val="21"/>
              </w:rPr>
              <w:t>每月 2 次</w:t>
            </w:r>
          </w:p>
        </w:tc>
        <w:tc>
          <w:tcPr>
            <w:tcW w:w="5814" w:type="dxa"/>
            <w:noWrap w:val="0"/>
            <w:tcMar>
              <w:top w:w="60" w:type="dxa"/>
              <w:left w:w="120" w:type="dxa"/>
              <w:bottom w:w="30" w:type="dxa"/>
              <w:right w:w="120" w:type="dxa"/>
            </w:tcMar>
            <w:vAlign w:val="top"/>
          </w:tcPr>
          <w:p w14:paraId="43D16CDE">
            <w:pPr>
              <w:spacing w:before="120" w:after="120" w:line="288" w:lineRule="auto"/>
              <w:ind w:left="0"/>
              <w:jc w:val="left"/>
              <w:rPr>
                <w:sz w:val="21"/>
                <w:szCs w:val="21"/>
              </w:rPr>
            </w:pPr>
            <w:r>
              <w:rPr>
                <w:rFonts w:ascii="Arial" w:hAnsi="Arial" w:eastAsia="等线" w:cs="Arial"/>
                <w:sz w:val="21"/>
                <w:szCs w:val="21"/>
              </w:rPr>
              <w:t>含消杀药剂、机械作业</w:t>
            </w:r>
          </w:p>
        </w:tc>
      </w:tr>
      <w:tr w14:paraId="40B2A46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520F5815">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四</w:t>
            </w:r>
          </w:p>
        </w:tc>
        <w:tc>
          <w:tcPr>
            <w:tcW w:w="1691" w:type="dxa"/>
            <w:noWrap w:val="0"/>
            <w:tcMar>
              <w:top w:w="60" w:type="dxa"/>
              <w:left w:w="120" w:type="dxa"/>
              <w:bottom w:w="30" w:type="dxa"/>
              <w:right w:w="120" w:type="dxa"/>
            </w:tcMar>
            <w:vAlign w:val="top"/>
          </w:tcPr>
          <w:p w14:paraId="14DE7D79">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蟑螂防治（灭蟑）</w:t>
            </w:r>
          </w:p>
        </w:tc>
        <w:tc>
          <w:tcPr>
            <w:tcW w:w="3938" w:type="dxa"/>
            <w:noWrap w:val="0"/>
            <w:tcMar>
              <w:top w:w="60" w:type="dxa"/>
              <w:left w:w="120" w:type="dxa"/>
              <w:bottom w:w="30" w:type="dxa"/>
              <w:right w:w="120" w:type="dxa"/>
            </w:tcMar>
            <w:vAlign w:val="top"/>
          </w:tcPr>
          <w:p w14:paraId="3A11F9BE">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60326A2C">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013F3078">
            <w:pPr>
              <w:spacing w:before="120" w:after="120" w:line="288" w:lineRule="auto"/>
              <w:ind w:left="0"/>
              <w:jc w:val="left"/>
              <w:rPr>
                <w:sz w:val="21"/>
                <w:szCs w:val="21"/>
              </w:rPr>
            </w:pPr>
          </w:p>
        </w:tc>
      </w:tr>
      <w:tr w14:paraId="0A10016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6CA44D93">
            <w:pPr>
              <w:spacing w:before="120" w:after="120" w:line="288" w:lineRule="auto"/>
              <w:ind w:left="0"/>
              <w:jc w:val="left"/>
              <w:rPr>
                <w:sz w:val="21"/>
                <w:szCs w:val="21"/>
              </w:rPr>
            </w:pPr>
            <w:r>
              <w:rPr>
                <w:rFonts w:ascii="Arial" w:hAnsi="Arial" w:eastAsia="等线" w:cs="Arial"/>
                <w:sz w:val="21"/>
                <w:szCs w:val="21"/>
              </w:rPr>
              <w:t>1</w:t>
            </w:r>
          </w:p>
        </w:tc>
        <w:tc>
          <w:tcPr>
            <w:tcW w:w="1691" w:type="dxa"/>
            <w:noWrap w:val="0"/>
            <w:tcMar>
              <w:top w:w="60" w:type="dxa"/>
              <w:left w:w="120" w:type="dxa"/>
              <w:bottom w:w="30" w:type="dxa"/>
              <w:right w:w="120" w:type="dxa"/>
            </w:tcMar>
            <w:vAlign w:val="top"/>
          </w:tcPr>
          <w:p w14:paraId="1C8D3323">
            <w:pPr>
              <w:spacing w:before="120" w:after="120" w:line="288" w:lineRule="auto"/>
              <w:ind w:left="0"/>
              <w:jc w:val="left"/>
              <w:rPr>
                <w:sz w:val="21"/>
                <w:szCs w:val="21"/>
              </w:rPr>
            </w:pPr>
            <w:r>
              <w:rPr>
                <w:rFonts w:ascii="Arial" w:hAnsi="Arial" w:eastAsia="等线" w:cs="Arial"/>
                <w:sz w:val="21"/>
                <w:szCs w:val="21"/>
              </w:rPr>
              <w:t>公共区域灭蟑</w:t>
            </w:r>
          </w:p>
        </w:tc>
        <w:tc>
          <w:tcPr>
            <w:tcW w:w="3938" w:type="dxa"/>
            <w:noWrap w:val="0"/>
            <w:tcMar>
              <w:top w:w="60" w:type="dxa"/>
              <w:left w:w="120" w:type="dxa"/>
              <w:bottom w:w="30" w:type="dxa"/>
              <w:right w:w="120" w:type="dxa"/>
            </w:tcMar>
            <w:vAlign w:val="top"/>
          </w:tcPr>
          <w:p w14:paraId="7EB31AA3">
            <w:pPr>
              <w:spacing w:before="120" w:after="120" w:line="288" w:lineRule="auto"/>
              <w:ind w:left="0"/>
              <w:jc w:val="left"/>
              <w:rPr>
                <w:sz w:val="21"/>
                <w:szCs w:val="21"/>
              </w:rPr>
            </w:pPr>
            <w:r>
              <w:rPr>
                <w:rFonts w:ascii="Arial" w:hAnsi="Arial" w:eastAsia="等线" w:cs="Arial"/>
                <w:sz w:val="21"/>
                <w:szCs w:val="21"/>
              </w:rPr>
              <w:t>公厕、垃圾站、市政用房、地下管网等区域，灭蟑药物投放、滞留喷洒</w:t>
            </w:r>
          </w:p>
        </w:tc>
        <w:tc>
          <w:tcPr>
            <w:tcW w:w="930" w:type="dxa"/>
            <w:noWrap w:val="0"/>
            <w:tcMar>
              <w:top w:w="60" w:type="dxa"/>
              <w:left w:w="120" w:type="dxa"/>
              <w:bottom w:w="30" w:type="dxa"/>
              <w:right w:w="120" w:type="dxa"/>
            </w:tcMar>
            <w:vAlign w:val="top"/>
          </w:tcPr>
          <w:p w14:paraId="7F3F0278">
            <w:pPr>
              <w:spacing w:before="120" w:after="120" w:line="288" w:lineRule="auto"/>
              <w:ind w:left="0"/>
              <w:jc w:val="left"/>
              <w:rPr>
                <w:sz w:val="21"/>
                <w:szCs w:val="21"/>
              </w:rPr>
            </w:pPr>
            <w:r>
              <w:rPr>
                <w:rFonts w:ascii="Arial" w:hAnsi="Arial" w:eastAsia="等线" w:cs="Arial"/>
                <w:sz w:val="21"/>
                <w:szCs w:val="21"/>
              </w:rPr>
              <w:t>每月 1 次</w:t>
            </w:r>
          </w:p>
        </w:tc>
        <w:tc>
          <w:tcPr>
            <w:tcW w:w="5814" w:type="dxa"/>
            <w:noWrap w:val="0"/>
            <w:tcMar>
              <w:top w:w="60" w:type="dxa"/>
              <w:left w:w="120" w:type="dxa"/>
              <w:bottom w:w="30" w:type="dxa"/>
              <w:right w:w="120" w:type="dxa"/>
            </w:tcMar>
            <w:vAlign w:val="top"/>
          </w:tcPr>
          <w:p w14:paraId="6F45C113">
            <w:pPr>
              <w:spacing w:before="120" w:after="120" w:line="288" w:lineRule="auto"/>
              <w:ind w:left="0"/>
              <w:jc w:val="left"/>
              <w:rPr>
                <w:sz w:val="21"/>
                <w:szCs w:val="21"/>
              </w:rPr>
            </w:pPr>
            <w:r>
              <w:rPr>
                <w:rFonts w:ascii="Arial" w:hAnsi="Arial" w:eastAsia="等线" w:cs="Arial"/>
                <w:sz w:val="21"/>
                <w:szCs w:val="21"/>
              </w:rPr>
              <w:t>含灭蟑药剂、人工</w:t>
            </w:r>
          </w:p>
        </w:tc>
      </w:tr>
      <w:tr w14:paraId="47CB3E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E9FF8E4">
            <w:pPr>
              <w:spacing w:before="120" w:after="120" w:line="288" w:lineRule="auto"/>
              <w:ind w:left="0"/>
              <w:jc w:val="left"/>
              <w:rPr>
                <w:sz w:val="21"/>
                <w:szCs w:val="21"/>
              </w:rPr>
            </w:pPr>
            <w:r>
              <w:rPr>
                <w:rFonts w:ascii="Arial" w:hAnsi="Arial" w:eastAsia="等线" w:cs="Arial"/>
                <w:sz w:val="21"/>
                <w:szCs w:val="21"/>
              </w:rPr>
              <w:t>2</w:t>
            </w:r>
          </w:p>
        </w:tc>
        <w:tc>
          <w:tcPr>
            <w:tcW w:w="1691" w:type="dxa"/>
            <w:noWrap w:val="0"/>
            <w:tcMar>
              <w:top w:w="60" w:type="dxa"/>
              <w:left w:w="120" w:type="dxa"/>
              <w:bottom w:w="30" w:type="dxa"/>
              <w:right w:w="120" w:type="dxa"/>
            </w:tcMar>
            <w:vAlign w:val="top"/>
          </w:tcPr>
          <w:p w14:paraId="1B4EED92">
            <w:pPr>
              <w:spacing w:before="120" w:after="120" w:line="288" w:lineRule="auto"/>
              <w:ind w:left="0"/>
              <w:jc w:val="left"/>
              <w:rPr>
                <w:sz w:val="21"/>
                <w:szCs w:val="21"/>
              </w:rPr>
            </w:pPr>
            <w:r>
              <w:rPr>
                <w:rFonts w:ascii="Arial" w:hAnsi="Arial" w:eastAsia="等线" w:cs="Arial"/>
                <w:sz w:val="21"/>
                <w:szCs w:val="21"/>
              </w:rPr>
              <w:t>蟑迹监测排查</w:t>
            </w:r>
          </w:p>
        </w:tc>
        <w:tc>
          <w:tcPr>
            <w:tcW w:w="3938" w:type="dxa"/>
            <w:noWrap w:val="0"/>
            <w:tcMar>
              <w:top w:w="60" w:type="dxa"/>
              <w:left w:w="120" w:type="dxa"/>
              <w:bottom w:w="30" w:type="dxa"/>
              <w:right w:w="120" w:type="dxa"/>
            </w:tcMar>
            <w:vAlign w:val="top"/>
          </w:tcPr>
          <w:p w14:paraId="7279EA71">
            <w:pPr>
              <w:spacing w:before="120" w:after="120" w:line="288" w:lineRule="auto"/>
              <w:ind w:left="0"/>
              <w:jc w:val="left"/>
              <w:rPr>
                <w:sz w:val="21"/>
                <w:szCs w:val="21"/>
              </w:rPr>
            </w:pPr>
            <w:r>
              <w:rPr>
                <w:rFonts w:ascii="Arial" w:hAnsi="Arial" w:eastAsia="等线" w:cs="Arial"/>
                <w:sz w:val="21"/>
                <w:szCs w:val="21"/>
              </w:rPr>
              <w:t>每季度排查蟑迹、蟑密度，针对性强化防治</w:t>
            </w:r>
          </w:p>
        </w:tc>
        <w:tc>
          <w:tcPr>
            <w:tcW w:w="930" w:type="dxa"/>
            <w:noWrap w:val="0"/>
            <w:tcMar>
              <w:top w:w="60" w:type="dxa"/>
              <w:left w:w="120" w:type="dxa"/>
              <w:bottom w:w="30" w:type="dxa"/>
              <w:right w:w="120" w:type="dxa"/>
            </w:tcMar>
            <w:vAlign w:val="top"/>
          </w:tcPr>
          <w:p w14:paraId="72A47931">
            <w:pPr>
              <w:spacing w:before="120" w:after="120" w:line="288" w:lineRule="auto"/>
              <w:ind w:left="0"/>
              <w:jc w:val="left"/>
              <w:rPr>
                <w:sz w:val="21"/>
                <w:szCs w:val="21"/>
              </w:rPr>
            </w:pPr>
            <w:r>
              <w:rPr>
                <w:rFonts w:ascii="Arial" w:hAnsi="Arial" w:eastAsia="等线" w:cs="Arial"/>
                <w:sz w:val="21"/>
                <w:szCs w:val="21"/>
              </w:rPr>
              <w:t>每季度 1 次</w:t>
            </w:r>
          </w:p>
        </w:tc>
        <w:tc>
          <w:tcPr>
            <w:tcW w:w="5814" w:type="dxa"/>
            <w:noWrap w:val="0"/>
            <w:tcMar>
              <w:top w:w="60" w:type="dxa"/>
              <w:left w:w="120" w:type="dxa"/>
              <w:bottom w:w="30" w:type="dxa"/>
              <w:right w:w="120" w:type="dxa"/>
            </w:tcMar>
            <w:vAlign w:val="top"/>
          </w:tcPr>
          <w:p w14:paraId="11C4FBEF">
            <w:pPr>
              <w:spacing w:before="120" w:after="120" w:line="288" w:lineRule="auto"/>
              <w:ind w:left="0"/>
              <w:jc w:val="left"/>
              <w:rPr>
                <w:sz w:val="21"/>
                <w:szCs w:val="21"/>
              </w:rPr>
            </w:pPr>
            <w:r>
              <w:rPr>
                <w:rFonts w:ascii="Arial" w:hAnsi="Arial" w:eastAsia="等线" w:cs="Arial"/>
                <w:sz w:val="21"/>
                <w:szCs w:val="21"/>
              </w:rPr>
              <w:t>含监测、人工、整改处置</w:t>
            </w:r>
          </w:p>
        </w:tc>
      </w:tr>
      <w:tr w14:paraId="1234F2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5177D5B4">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五</w:t>
            </w:r>
          </w:p>
        </w:tc>
        <w:tc>
          <w:tcPr>
            <w:tcW w:w="1691" w:type="dxa"/>
            <w:noWrap w:val="0"/>
            <w:tcMar>
              <w:top w:w="60" w:type="dxa"/>
              <w:left w:w="120" w:type="dxa"/>
              <w:bottom w:w="30" w:type="dxa"/>
              <w:right w:w="120" w:type="dxa"/>
            </w:tcMar>
            <w:vAlign w:val="top"/>
          </w:tcPr>
          <w:p w14:paraId="33429461">
            <w:pPr>
              <w:spacing w:before="120" w:after="120" w:line="288" w:lineRule="auto"/>
              <w:ind w:left="0"/>
              <w:jc w:val="left"/>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综合服务费用</w:t>
            </w:r>
          </w:p>
        </w:tc>
        <w:tc>
          <w:tcPr>
            <w:tcW w:w="3938" w:type="dxa"/>
            <w:noWrap w:val="0"/>
            <w:tcMar>
              <w:top w:w="60" w:type="dxa"/>
              <w:left w:w="120" w:type="dxa"/>
              <w:bottom w:w="30" w:type="dxa"/>
              <w:right w:w="120" w:type="dxa"/>
            </w:tcMar>
            <w:vAlign w:val="top"/>
          </w:tcPr>
          <w:p w14:paraId="278EEFB4">
            <w:pPr>
              <w:spacing w:before="120" w:after="120" w:line="288" w:lineRule="auto"/>
              <w:ind w:left="0"/>
              <w:jc w:val="left"/>
              <w:rPr>
                <w:sz w:val="21"/>
                <w:szCs w:val="21"/>
              </w:rPr>
            </w:pPr>
          </w:p>
        </w:tc>
        <w:tc>
          <w:tcPr>
            <w:tcW w:w="930" w:type="dxa"/>
            <w:noWrap w:val="0"/>
            <w:tcMar>
              <w:top w:w="60" w:type="dxa"/>
              <w:left w:w="120" w:type="dxa"/>
              <w:bottom w:w="30" w:type="dxa"/>
              <w:right w:w="120" w:type="dxa"/>
            </w:tcMar>
            <w:vAlign w:val="top"/>
          </w:tcPr>
          <w:p w14:paraId="36933C73">
            <w:pPr>
              <w:spacing w:before="120" w:after="120" w:line="288" w:lineRule="auto"/>
              <w:ind w:left="0"/>
              <w:jc w:val="left"/>
              <w:rPr>
                <w:sz w:val="21"/>
                <w:szCs w:val="21"/>
              </w:rPr>
            </w:pPr>
          </w:p>
        </w:tc>
        <w:tc>
          <w:tcPr>
            <w:tcW w:w="5814" w:type="dxa"/>
            <w:noWrap w:val="0"/>
            <w:tcMar>
              <w:top w:w="60" w:type="dxa"/>
              <w:left w:w="120" w:type="dxa"/>
              <w:bottom w:w="30" w:type="dxa"/>
              <w:right w:w="120" w:type="dxa"/>
            </w:tcMar>
            <w:vAlign w:val="top"/>
          </w:tcPr>
          <w:p w14:paraId="0BDDD9E9">
            <w:pPr>
              <w:spacing w:before="120" w:after="120" w:line="288" w:lineRule="auto"/>
              <w:ind w:left="0"/>
              <w:jc w:val="left"/>
              <w:rPr>
                <w:sz w:val="21"/>
                <w:szCs w:val="21"/>
              </w:rPr>
            </w:pPr>
          </w:p>
        </w:tc>
      </w:tr>
      <w:tr w14:paraId="687644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007D4821">
            <w:pPr>
              <w:spacing w:before="120" w:after="120" w:line="288" w:lineRule="auto"/>
              <w:ind w:left="0"/>
              <w:jc w:val="left"/>
              <w:rPr>
                <w:rFonts w:hint="eastAsia" w:eastAsia="宋体"/>
                <w:sz w:val="21"/>
                <w:szCs w:val="21"/>
                <w:lang w:val="en-US" w:eastAsia="zh-CN"/>
              </w:rPr>
            </w:pPr>
            <w:r>
              <w:rPr>
                <w:rFonts w:hint="eastAsia"/>
                <w:sz w:val="21"/>
                <w:szCs w:val="21"/>
                <w:lang w:val="en-US" w:eastAsia="zh-CN"/>
              </w:rPr>
              <w:t>1</w:t>
            </w:r>
          </w:p>
        </w:tc>
        <w:tc>
          <w:tcPr>
            <w:tcW w:w="1691" w:type="dxa"/>
            <w:noWrap w:val="0"/>
            <w:tcMar>
              <w:top w:w="60" w:type="dxa"/>
              <w:left w:w="120" w:type="dxa"/>
              <w:bottom w:w="30" w:type="dxa"/>
              <w:right w:w="120" w:type="dxa"/>
            </w:tcMar>
            <w:vAlign w:val="top"/>
          </w:tcPr>
          <w:p w14:paraId="3B8B967E">
            <w:pPr>
              <w:spacing w:before="120" w:after="120" w:line="288" w:lineRule="auto"/>
              <w:ind w:left="0"/>
              <w:jc w:val="left"/>
              <w:rPr>
                <w:sz w:val="21"/>
                <w:szCs w:val="21"/>
              </w:rPr>
            </w:pPr>
            <w:r>
              <w:rPr>
                <w:rFonts w:ascii="Arial" w:hAnsi="Arial" w:eastAsia="等线" w:cs="Arial"/>
                <w:sz w:val="21"/>
                <w:szCs w:val="21"/>
              </w:rPr>
              <w:t>资料与验收服务</w:t>
            </w:r>
          </w:p>
        </w:tc>
        <w:tc>
          <w:tcPr>
            <w:tcW w:w="3938" w:type="dxa"/>
            <w:noWrap w:val="0"/>
            <w:tcMar>
              <w:top w:w="60" w:type="dxa"/>
              <w:left w:w="120" w:type="dxa"/>
              <w:bottom w:w="30" w:type="dxa"/>
              <w:right w:w="120" w:type="dxa"/>
            </w:tcMar>
            <w:vAlign w:val="top"/>
          </w:tcPr>
          <w:p w14:paraId="0BFFA0A3">
            <w:pPr>
              <w:spacing w:before="120" w:after="120" w:line="288" w:lineRule="auto"/>
              <w:ind w:left="0"/>
              <w:jc w:val="left"/>
              <w:rPr>
                <w:sz w:val="21"/>
                <w:szCs w:val="21"/>
              </w:rPr>
            </w:pPr>
            <w:r>
              <w:rPr>
                <w:rFonts w:ascii="Arial" w:hAnsi="Arial" w:eastAsia="等线" w:cs="Arial"/>
                <w:sz w:val="21"/>
                <w:szCs w:val="21"/>
              </w:rPr>
              <w:t>编制每月防治记录、季度监测报告、年终总结报告，配合镇级、区级考核验收</w:t>
            </w:r>
          </w:p>
        </w:tc>
        <w:tc>
          <w:tcPr>
            <w:tcW w:w="930" w:type="dxa"/>
            <w:noWrap w:val="0"/>
            <w:tcMar>
              <w:top w:w="60" w:type="dxa"/>
              <w:left w:w="120" w:type="dxa"/>
              <w:bottom w:w="30" w:type="dxa"/>
              <w:right w:w="120" w:type="dxa"/>
            </w:tcMar>
            <w:vAlign w:val="top"/>
          </w:tcPr>
          <w:p w14:paraId="4E60316B">
            <w:pPr>
              <w:spacing w:before="120" w:after="120" w:line="288" w:lineRule="auto"/>
              <w:ind w:left="0"/>
              <w:jc w:val="left"/>
              <w:rPr>
                <w:sz w:val="21"/>
                <w:szCs w:val="21"/>
              </w:rPr>
            </w:pPr>
            <w:r>
              <w:rPr>
                <w:rFonts w:ascii="Arial" w:hAnsi="Arial" w:eastAsia="等线" w:cs="Arial"/>
                <w:sz w:val="21"/>
                <w:szCs w:val="21"/>
              </w:rPr>
              <w:t>全年</w:t>
            </w:r>
          </w:p>
        </w:tc>
        <w:tc>
          <w:tcPr>
            <w:tcW w:w="5814" w:type="dxa"/>
            <w:noWrap w:val="0"/>
            <w:tcMar>
              <w:top w:w="60" w:type="dxa"/>
              <w:left w:w="120" w:type="dxa"/>
              <w:bottom w:w="30" w:type="dxa"/>
              <w:right w:w="120" w:type="dxa"/>
            </w:tcMar>
            <w:vAlign w:val="top"/>
          </w:tcPr>
          <w:p w14:paraId="1F393D9C">
            <w:pPr>
              <w:spacing w:before="120" w:after="120" w:line="288" w:lineRule="auto"/>
              <w:ind w:left="0"/>
              <w:jc w:val="left"/>
              <w:rPr>
                <w:sz w:val="21"/>
                <w:szCs w:val="21"/>
              </w:rPr>
            </w:pPr>
            <w:r>
              <w:rPr>
                <w:rFonts w:ascii="Arial" w:hAnsi="Arial" w:eastAsia="等线" w:cs="Arial"/>
                <w:sz w:val="21"/>
                <w:szCs w:val="21"/>
              </w:rPr>
              <w:t>含资料编制、验收配合</w:t>
            </w:r>
          </w:p>
        </w:tc>
      </w:tr>
      <w:tr w14:paraId="6D2977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11" w:type="dxa"/>
            <w:noWrap w:val="0"/>
            <w:tcMar>
              <w:top w:w="60" w:type="dxa"/>
              <w:left w:w="120" w:type="dxa"/>
              <w:bottom w:w="30" w:type="dxa"/>
              <w:right w:w="120" w:type="dxa"/>
            </w:tcMar>
            <w:vAlign w:val="top"/>
          </w:tcPr>
          <w:p w14:paraId="190F1F36">
            <w:pPr>
              <w:spacing w:before="120" w:after="120" w:line="288" w:lineRule="auto"/>
              <w:ind w:left="0"/>
              <w:jc w:val="left"/>
              <w:rPr>
                <w:rFonts w:hint="eastAsia" w:eastAsia="宋体"/>
                <w:sz w:val="21"/>
                <w:szCs w:val="21"/>
                <w:lang w:val="en-US" w:eastAsia="zh-CN"/>
              </w:rPr>
            </w:pPr>
            <w:r>
              <w:rPr>
                <w:rFonts w:hint="eastAsia"/>
                <w:sz w:val="21"/>
                <w:szCs w:val="21"/>
                <w:lang w:val="en-US" w:eastAsia="zh-CN"/>
              </w:rPr>
              <w:t>2</w:t>
            </w:r>
          </w:p>
        </w:tc>
        <w:tc>
          <w:tcPr>
            <w:tcW w:w="1691" w:type="dxa"/>
            <w:noWrap w:val="0"/>
            <w:tcMar>
              <w:top w:w="60" w:type="dxa"/>
              <w:left w:w="120" w:type="dxa"/>
              <w:bottom w:w="30" w:type="dxa"/>
              <w:right w:w="120" w:type="dxa"/>
            </w:tcMar>
            <w:vAlign w:val="top"/>
          </w:tcPr>
          <w:p w14:paraId="6861CF25">
            <w:pPr>
              <w:spacing w:before="120" w:after="120" w:line="288" w:lineRule="auto"/>
              <w:ind w:left="0"/>
              <w:jc w:val="left"/>
              <w:rPr>
                <w:rFonts w:hint="default" w:eastAsia="宋体"/>
                <w:sz w:val="21"/>
                <w:szCs w:val="21"/>
                <w:lang w:val="en-US" w:eastAsia="zh-CN"/>
              </w:rPr>
            </w:pPr>
            <w:r>
              <w:rPr>
                <w:rFonts w:hint="eastAsia" w:ascii="Arial" w:hAnsi="Arial" w:eastAsia="等线" w:cs="Arial"/>
                <w:sz w:val="21"/>
                <w:szCs w:val="21"/>
                <w:lang w:val="en-US" w:eastAsia="zh-CN"/>
              </w:rPr>
              <w:t>管理费税费</w:t>
            </w:r>
          </w:p>
        </w:tc>
        <w:tc>
          <w:tcPr>
            <w:tcW w:w="3938" w:type="dxa"/>
            <w:noWrap w:val="0"/>
            <w:tcMar>
              <w:top w:w="60" w:type="dxa"/>
              <w:left w:w="120" w:type="dxa"/>
              <w:bottom w:w="30" w:type="dxa"/>
              <w:right w:w="120" w:type="dxa"/>
            </w:tcMar>
            <w:vAlign w:val="top"/>
          </w:tcPr>
          <w:p w14:paraId="03096B77">
            <w:pPr>
              <w:spacing w:before="120" w:after="120" w:line="288" w:lineRule="auto"/>
              <w:ind w:left="0"/>
              <w:jc w:val="left"/>
              <w:rPr>
                <w:sz w:val="21"/>
                <w:szCs w:val="21"/>
              </w:rPr>
            </w:pPr>
            <w:r>
              <w:rPr>
                <w:rFonts w:ascii="Arial" w:hAnsi="Arial" w:eastAsia="等线" w:cs="Arial"/>
                <w:sz w:val="21"/>
                <w:szCs w:val="21"/>
              </w:rPr>
              <w:t>项目管理</w:t>
            </w:r>
            <w:r>
              <w:rPr>
                <w:rFonts w:hint="eastAsia" w:ascii="Arial" w:hAnsi="Arial" w:eastAsia="等线" w:cs="Arial"/>
                <w:sz w:val="21"/>
                <w:szCs w:val="21"/>
                <w:lang w:val="en-US" w:eastAsia="zh-CN"/>
              </w:rPr>
              <w:t>费、税费</w:t>
            </w:r>
          </w:p>
        </w:tc>
        <w:tc>
          <w:tcPr>
            <w:tcW w:w="930" w:type="dxa"/>
            <w:noWrap w:val="0"/>
            <w:tcMar>
              <w:top w:w="60" w:type="dxa"/>
              <w:left w:w="120" w:type="dxa"/>
              <w:bottom w:w="30" w:type="dxa"/>
              <w:right w:w="120" w:type="dxa"/>
            </w:tcMar>
            <w:vAlign w:val="top"/>
          </w:tcPr>
          <w:p w14:paraId="1355E728">
            <w:pPr>
              <w:spacing w:before="120" w:after="120" w:line="288" w:lineRule="auto"/>
              <w:ind w:left="0"/>
              <w:jc w:val="left"/>
              <w:rPr>
                <w:sz w:val="21"/>
                <w:szCs w:val="21"/>
              </w:rPr>
            </w:pPr>
            <w:r>
              <w:rPr>
                <w:rFonts w:ascii="Arial" w:hAnsi="Arial" w:eastAsia="等线" w:cs="Arial"/>
                <w:sz w:val="21"/>
                <w:szCs w:val="21"/>
              </w:rPr>
              <w:t>全年</w:t>
            </w:r>
          </w:p>
        </w:tc>
        <w:tc>
          <w:tcPr>
            <w:tcW w:w="5814" w:type="dxa"/>
            <w:noWrap w:val="0"/>
            <w:tcMar>
              <w:top w:w="60" w:type="dxa"/>
              <w:left w:w="120" w:type="dxa"/>
              <w:bottom w:w="30" w:type="dxa"/>
              <w:right w:w="120" w:type="dxa"/>
            </w:tcMar>
            <w:vAlign w:val="top"/>
          </w:tcPr>
          <w:p w14:paraId="02FB06E7">
            <w:pPr>
              <w:spacing w:before="120" w:after="120" w:line="288" w:lineRule="auto"/>
              <w:ind w:left="0"/>
              <w:jc w:val="left"/>
              <w:rPr>
                <w:sz w:val="21"/>
                <w:szCs w:val="21"/>
              </w:rPr>
            </w:pPr>
            <w:r>
              <w:rPr>
                <w:rFonts w:ascii="Arial" w:hAnsi="Arial" w:eastAsia="等线" w:cs="Arial"/>
                <w:sz w:val="21"/>
                <w:szCs w:val="21"/>
              </w:rPr>
              <w:t>含人员、交通、设备、防护</w:t>
            </w:r>
          </w:p>
        </w:tc>
      </w:tr>
    </w:tbl>
    <w:p w14:paraId="5B40DD69">
      <w:pPr>
        <w:keepNext w:val="0"/>
        <w:keepLines w:val="0"/>
        <w:pageBreakBefore w:val="0"/>
        <w:widowControl w:val="0"/>
        <w:numPr>
          <w:ilvl w:val="0"/>
          <w:numId w:val="2"/>
        </w:numPr>
        <w:kinsoku/>
        <w:wordWrap/>
        <w:overflowPunct/>
        <w:topLinePunct w:val="0"/>
        <w:autoSpaceDE/>
        <w:autoSpaceDN/>
        <w:bidi w:val="0"/>
        <w:adjustRightInd/>
        <w:snapToGrid/>
        <w:spacing w:before="120" w:after="120" w:line="288" w:lineRule="auto"/>
        <w:ind w:left="0"/>
        <w:jc w:val="left"/>
        <w:textAlignment w:val="auto"/>
        <w:rPr>
          <w:rFonts w:hint="eastAsia" w:ascii="宋体" w:hAnsi="宋体" w:eastAsia="宋体" w:cs="宋体"/>
          <w:b/>
          <w:bCs/>
          <w:color w:val="auto"/>
          <w:sz w:val="21"/>
          <w:szCs w:val="21"/>
        </w:rPr>
      </w:pPr>
      <w:bookmarkStart w:id="51" w:name="heading_0"/>
      <w:r>
        <w:rPr>
          <w:rFonts w:hint="eastAsia" w:ascii="宋体" w:hAnsi="宋体" w:eastAsia="宋体" w:cs="宋体"/>
          <w:b/>
          <w:bCs/>
          <w:color w:val="auto"/>
          <w:sz w:val="21"/>
          <w:szCs w:val="21"/>
        </w:rPr>
        <w:t>项目服务要求</w:t>
      </w:r>
      <w:bookmarkEnd w:id="51"/>
    </w:p>
    <w:p w14:paraId="5CC1B3E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所有消杀药剂均为符合国家环保标准、低毒高效的正规产品，具备产品合格证明，对人体、动植物、环境无害，严格按照规范投放使用。</w:t>
      </w:r>
    </w:p>
    <w:p w14:paraId="1F2F6E8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消杀作业避开居民出行高峰，做好现场警示、围挡，保障公共安全，作业后及时清理现场。</w:t>
      </w:r>
    </w:p>
    <w:p w14:paraId="240286F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每月提交服务记录，全程留存影像资料，确保顺利通过病媒生物防制各项考核。</w:t>
      </w:r>
    </w:p>
    <w:p w14:paraId="4A8D024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安排专属作业团队，固定人员驻场服务，响应及时，严格按照清单频次完成所有防治工作，确保四害密度达到国家控制标准。</w:t>
      </w:r>
    </w:p>
    <w:p w14:paraId="1D0D9CA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5、遇紧急情况时，在</w:t>
      </w:r>
      <w:r>
        <w:rPr>
          <w:rFonts w:hint="eastAsia" w:ascii="宋体" w:hAnsi="宋体" w:eastAsia="宋体" w:cs="宋体"/>
          <w:color w:val="auto"/>
          <w:sz w:val="21"/>
          <w:szCs w:val="21"/>
        </w:rPr>
        <w:t>接到应急消杀通知后</w:t>
      </w:r>
      <w:r>
        <w:rPr>
          <w:rFonts w:hint="eastAsia" w:ascii="宋体" w:hAnsi="宋体" w:cs="宋体"/>
          <w:color w:val="auto"/>
          <w:sz w:val="21"/>
          <w:szCs w:val="21"/>
          <w:u w:val="single"/>
          <w:lang w:val="en-US" w:eastAsia="zh-CN"/>
        </w:rPr>
        <w:t xml:space="preserve">2 </w:t>
      </w:r>
      <w:r>
        <w:rPr>
          <w:rFonts w:hint="eastAsia" w:ascii="宋体" w:hAnsi="宋体" w:eastAsia="宋体" w:cs="宋体"/>
          <w:color w:val="auto"/>
          <w:sz w:val="21"/>
          <w:szCs w:val="21"/>
        </w:rPr>
        <w:t>小时内到场处置</w:t>
      </w:r>
      <w:r>
        <w:rPr>
          <w:rFonts w:hint="eastAsia" w:ascii="宋体" w:hAnsi="宋体" w:cs="宋体"/>
          <w:color w:val="auto"/>
          <w:sz w:val="21"/>
          <w:szCs w:val="21"/>
          <w:lang w:eastAsia="zh-CN"/>
        </w:rPr>
        <w:t>。</w:t>
      </w:r>
    </w:p>
    <w:p w14:paraId="02AAFC49">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配合甲方完成市/区病媒生物防制考核、迎检、督办整改等。</w:t>
      </w:r>
    </w:p>
    <w:p w14:paraId="0ADE8292">
      <w:pPr>
        <w:keepNext w:val="0"/>
        <w:keepLines w:val="0"/>
        <w:pageBreakBefore w:val="0"/>
        <w:widowControl w:val="0"/>
        <w:numPr>
          <w:ilvl w:val="0"/>
          <w:numId w:val="2"/>
        </w:numPr>
        <w:kinsoku/>
        <w:wordWrap/>
        <w:overflowPunct/>
        <w:topLinePunct w:val="0"/>
        <w:autoSpaceDE/>
        <w:autoSpaceDN/>
        <w:bidi w:val="0"/>
        <w:adjustRightInd/>
        <w:snapToGrid/>
        <w:spacing w:before="120" w:after="120" w:line="288" w:lineRule="auto"/>
        <w:ind w:left="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执行标准：</w:t>
      </w:r>
    </w:p>
    <w:p w14:paraId="2297CAC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符合《国家病媒生物密度控制水平标准》《重庆市病媒生物防制服务规范》，四害密度达标，通过区级、镇级考核验收</w:t>
      </w:r>
    </w:p>
    <w:p w14:paraId="1C11495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rPr>
        <w:t>、服务承诺</w:t>
      </w:r>
    </w:p>
    <w:p w14:paraId="1BE6359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1、补充毒饵站（≦100个），并将所布点位用书面形式告之</w:t>
      </w:r>
      <w:r>
        <w:rPr>
          <w:rFonts w:hint="eastAsia" w:ascii="宋体" w:hAnsi="宋体" w:cs="宋体"/>
          <w:color w:val="auto"/>
          <w:sz w:val="21"/>
          <w:szCs w:val="21"/>
          <w:lang w:val="en-US" w:eastAsia="zh-CN"/>
        </w:rPr>
        <w:t>金凤</w:t>
      </w:r>
      <w:r>
        <w:rPr>
          <w:rFonts w:hint="eastAsia" w:ascii="宋体" w:hAnsi="宋体" w:eastAsia="宋体" w:cs="宋体"/>
          <w:color w:val="auto"/>
          <w:sz w:val="21"/>
          <w:szCs w:val="21"/>
        </w:rPr>
        <w:t>镇民政和社会事务办公室。乙方自行承担含安装、人工、物料工具、税费及一切设施设备（告示牌、制服、材料、所需药剂）等费用。</w:t>
      </w:r>
    </w:p>
    <w:p w14:paraId="001D04C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2、乙方自行承担含人员工资、劳保福利、保险、一切人身意外伤害等与之服务相关的一切费用。</w:t>
      </w:r>
    </w:p>
    <w:p w14:paraId="51A39CA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乙方安排固定专职团队驻场服务，人员持证上岗，未经甲方同意不得更换</w:t>
      </w:r>
      <w:r>
        <w:rPr>
          <w:rFonts w:hint="eastAsia" w:ascii="宋体" w:hAnsi="宋体" w:cs="宋体"/>
          <w:color w:val="auto"/>
          <w:sz w:val="21"/>
          <w:szCs w:val="21"/>
          <w:lang w:eastAsia="zh-CN"/>
        </w:rPr>
        <w:t>。</w:t>
      </w:r>
    </w:p>
    <w:p w14:paraId="343C3D5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乙方不得转包、分包本项目</w:t>
      </w:r>
      <w:r>
        <w:rPr>
          <w:rFonts w:hint="eastAsia" w:ascii="宋体" w:hAnsi="宋体" w:cs="宋体"/>
          <w:color w:val="auto"/>
          <w:sz w:val="21"/>
          <w:szCs w:val="21"/>
          <w:lang w:eastAsia="zh-CN"/>
        </w:rPr>
        <w:t>。</w:t>
      </w:r>
    </w:p>
    <w:p w14:paraId="6AFDF3A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七</w:t>
      </w:r>
      <w:r>
        <w:rPr>
          <w:rFonts w:hint="eastAsia" w:ascii="宋体" w:hAnsi="宋体" w:eastAsia="宋体" w:cs="宋体"/>
          <w:b/>
          <w:bCs/>
          <w:color w:val="auto"/>
          <w:sz w:val="21"/>
          <w:szCs w:val="21"/>
        </w:rPr>
        <w:t>、服务费用、服务期限</w:t>
      </w:r>
    </w:p>
    <w:p w14:paraId="6072326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1、服务费用：</w:t>
      </w:r>
    </w:p>
    <w:p w14:paraId="5EA69E0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2、服务期限：</w:t>
      </w:r>
      <w:r>
        <w:rPr>
          <w:rFonts w:hint="eastAsia" w:ascii="宋体" w:hAnsi="宋体" w:cs="宋体"/>
          <w:color w:val="auto"/>
          <w:sz w:val="21"/>
          <w:szCs w:val="21"/>
          <w:lang w:val="en-US" w:eastAsia="zh-CN"/>
        </w:rPr>
        <w:t>12个月</w:t>
      </w:r>
    </w:p>
    <w:p w14:paraId="513545B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3、乙方指定收款账户信息如下：</w:t>
      </w:r>
    </w:p>
    <w:p w14:paraId="106EDAB8">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账户户名：                   </w:t>
      </w:r>
    </w:p>
    <w:p w14:paraId="68B8978C">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                    </w:t>
      </w:r>
    </w:p>
    <w:p w14:paraId="07C81764">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账   号：            </w:t>
      </w:r>
    </w:p>
    <w:p w14:paraId="0C9356FC">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乙方对其指定的上述收款账户的真实性、安全性、准确性承担责任。若乙方变更其收款账户的，应提前10日书面通知甲方；否则，甲方按照上述账户信息支付款项的，即视为甲方已完成本合同约定的付款义务。</w:t>
      </w:r>
    </w:p>
    <w:p w14:paraId="2E9CFED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八</w:t>
      </w:r>
      <w:r>
        <w:rPr>
          <w:rFonts w:hint="eastAsia" w:ascii="宋体" w:hAnsi="宋体" w:eastAsia="宋体" w:cs="宋体"/>
          <w:b/>
          <w:bCs/>
          <w:color w:val="auto"/>
          <w:sz w:val="21"/>
          <w:szCs w:val="21"/>
        </w:rPr>
        <w:t>、服务费用拨付</w:t>
      </w:r>
    </w:p>
    <w:p w14:paraId="3555B049">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12个月完成后并通过区级、镇级考核验收后一次性付清。</w:t>
      </w:r>
      <w:r>
        <w:rPr>
          <w:rFonts w:hint="eastAsia" w:ascii="宋体" w:hAnsi="宋体" w:cs="宋体"/>
          <w:color w:val="000000"/>
          <w:sz w:val="21"/>
          <w:szCs w:val="21"/>
          <w:lang w:val="en-US" w:eastAsia="zh-CN"/>
        </w:rPr>
        <w:t>通过验收后，甲方通知乙方</w:t>
      </w:r>
      <w:r>
        <w:rPr>
          <w:rFonts w:hint="eastAsia" w:ascii="宋体" w:hAnsi="宋体" w:eastAsia="宋体" w:cs="宋体"/>
          <w:color w:val="000000"/>
          <w:sz w:val="21"/>
          <w:szCs w:val="21"/>
        </w:rPr>
        <w:t>开具发票，</w:t>
      </w:r>
      <w:r>
        <w:rPr>
          <w:rFonts w:hint="eastAsia" w:ascii="宋体" w:hAnsi="宋体" w:cs="宋体"/>
          <w:color w:val="000000"/>
          <w:sz w:val="21"/>
          <w:szCs w:val="21"/>
          <w:lang w:val="en-US" w:eastAsia="zh-CN"/>
        </w:rPr>
        <w:t>甲方在收到乙方提交的等额有效发票后</w:t>
      </w:r>
      <w:r>
        <w:rPr>
          <w:rFonts w:hint="eastAsia" w:ascii="宋体" w:hAnsi="宋体" w:eastAsia="宋体" w:cs="宋体"/>
          <w:color w:val="000000"/>
          <w:sz w:val="21"/>
          <w:szCs w:val="21"/>
        </w:rPr>
        <w:t>支付。</w:t>
      </w:r>
      <w:r>
        <w:rPr>
          <w:rFonts w:hint="eastAsia" w:ascii="宋体" w:hAnsi="宋体" w:cs="宋体"/>
          <w:color w:val="000000"/>
          <w:sz w:val="21"/>
          <w:szCs w:val="21"/>
          <w:lang w:val="en-US" w:eastAsia="zh-CN"/>
        </w:rPr>
        <w:t>乙方未提供有效发票的</w:t>
      </w:r>
      <w:r>
        <w:rPr>
          <w:rFonts w:hint="eastAsia" w:ascii="宋体" w:hAnsi="宋体" w:eastAsia="宋体" w:cs="宋体"/>
          <w:color w:val="auto"/>
          <w:sz w:val="21"/>
          <w:szCs w:val="21"/>
        </w:rPr>
        <w:t>，甲方有权拒绝/延期付款，且不视为违约。</w:t>
      </w:r>
    </w:p>
    <w:p w14:paraId="3379806A">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rPr>
        <w:t>、违约责任</w:t>
      </w:r>
    </w:p>
    <w:p w14:paraId="624E5A7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1、乙方逾期提供服务的，每逾期一日，应按照全部服务费用的</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1%向甲方支付违约金，累计计算，逾期超过五日的，甲方有权单方解除合同，</w:t>
      </w:r>
      <w:r>
        <w:rPr>
          <w:rFonts w:hint="eastAsia" w:ascii="宋体" w:hAnsi="宋体" w:cs="宋体"/>
          <w:color w:val="auto"/>
          <w:sz w:val="21"/>
          <w:szCs w:val="21"/>
          <w:lang w:val="en-US" w:eastAsia="zh-CN"/>
        </w:rPr>
        <w:t>乙方需按</w:t>
      </w:r>
      <w:r>
        <w:rPr>
          <w:rFonts w:hint="eastAsia" w:ascii="宋体" w:hAnsi="宋体" w:eastAsia="宋体" w:cs="宋体"/>
          <w:color w:val="auto"/>
          <w:sz w:val="21"/>
          <w:szCs w:val="21"/>
        </w:rPr>
        <w:t>全部服务费用的</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%向甲方支付违约金， 违约金不足以弥补甲方损失的，乙方还应补足，同时，乙方应退还甲方已支付的所有费用。</w:t>
      </w:r>
    </w:p>
    <w:p w14:paraId="7A10F611">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采取化学方式灭虫，提供的化学药品质量不合格，或者提供假劣化学药品，造成甲方或任何第三方人身损害或财产损失的，乙方应当赔偿甲方所有损失，包括但不限于由此产生的损失赔偿、医药费、鉴定费、诉讼费、律师费等费用。</w:t>
      </w:r>
    </w:p>
    <w:p w14:paraId="25B2DCFF">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3、因乙方用于灭虫的化学药品发生使用事故的，责任属于乙方的，乙方应赔偿受害者一切损失。除此以外，乙方还应向甲方支付全部服务费用的20%作为违约金，违约金不足以弥补甲方损失的，还应补足。</w:t>
      </w:r>
    </w:p>
    <w:p w14:paraId="39F02165">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4、乙方擅自解除本合同的，应支付全部服务费用的20%作为违约金，违约金不足以弥补甲方损失的，乙方还应补足。</w:t>
      </w:r>
    </w:p>
    <w:p w14:paraId="1F19C1F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5、乙方存在其他违反合同约定的行为的，应在甲方要求的期限内整改至符合合同约定，否则，甲方可解除合同，并要求乙方支付合同价款20%的违约金，并退还甲方所支付的所有费用，并赔偿损失。</w:t>
      </w:r>
    </w:p>
    <w:p w14:paraId="52C935B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6、乙方</w:t>
      </w:r>
      <w:r>
        <w:rPr>
          <w:rFonts w:hint="eastAsia" w:ascii="宋体" w:hAnsi="宋体" w:eastAsia="宋体" w:cs="宋体"/>
          <w:color w:val="auto"/>
          <w:sz w:val="21"/>
          <w:szCs w:val="21"/>
        </w:rPr>
        <w:t>未按实施方案、技术方案严格执行，未达到质量要求的，</w:t>
      </w:r>
      <w:r>
        <w:rPr>
          <w:rFonts w:hint="eastAsia" w:ascii="宋体" w:hAnsi="宋体" w:cs="宋体"/>
          <w:color w:val="auto"/>
          <w:sz w:val="21"/>
          <w:szCs w:val="21"/>
          <w:lang w:val="en-US" w:eastAsia="zh-CN"/>
        </w:rPr>
        <w:t>甲方有权</w:t>
      </w:r>
      <w:r>
        <w:rPr>
          <w:rFonts w:hint="eastAsia" w:ascii="宋体" w:hAnsi="宋体" w:eastAsia="宋体" w:cs="宋体"/>
          <w:color w:val="auto"/>
          <w:sz w:val="21"/>
          <w:szCs w:val="21"/>
        </w:rPr>
        <w:t>提出警告、限期改正，</w:t>
      </w:r>
      <w:r>
        <w:rPr>
          <w:rFonts w:hint="eastAsia" w:ascii="宋体" w:hAnsi="宋体" w:cs="宋体"/>
          <w:color w:val="auto"/>
          <w:sz w:val="21"/>
          <w:szCs w:val="21"/>
          <w:lang w:val="en-US" w:eastAsia="zh-CN"/>
        </w:rPr>
        <w:t>若</w:t>
      </w:r>
      <w:r>
        <w:rPr>
          <w:rFonts w:hint="eastAsia" w:ascii="宋体" w:hAnsi="宋体" w:eastAsia="宋体" w:cs="宋体"/>
          <w:color w:val="auto"/>
          <w:sz w:val="21"/>
          <w:szCs w:val="21"/>
        </w:rPr>
        <w:t>警告后未在限期内改正，</w:t>
      </w:r>
      <w:r>
        <w:rPr>
          <w:rFonts w:hint="eastAsia" w:ascii="宋体" w:hAnsi="宋体" w:cs="宋体"/>
          <w:color w:val="auto"/>
          <w:sz w:val="21"/>
          <w:szCs w:val="21"/>
          <w:lang w:val="en-US" w:eastAsia="zh-CN"/>
        </w:rPr>
        <w:t>甲方有权解除本合同，乙方</w:t>
      </w:r>
      <w:r>
        <w:rPr>
          <w:rFonts w:hint="eastAsia" w:ascii="宋体" w:hAnsi="宋体" w:eastAsia="宋体" w:cs="宋体"/>
          <w:color w:val="auto"/>
          <w:sz w:val="21"/>
          <w:szCs w:val="21"/>
        </w:rPr>
        <w:t>应向甲方支付合同总金额20%的违约金，</w:t>
      </w:r>
      <w:r>
        <w:rPr>
          <w:rFonts w:hint="eastAsia" w:ascii="宋体" w:hAnsi="宋体" w:cs="宋体"/>
          <w:color w:val="auto"/>
          <w:sz w:val="21"/>
          <w:szCs w:val="21"/>
          <w:lang w:val="en-US" w:eastAsia="zh-CN"/>
        </w:rPr>
        <w:t>同时赔偿甲方的一切损失</w:t>
      </w:r>
      <w:r>
        <w:rPr>
          <w:rFonts w:hint="eastAsia" w:ascii="宋体" w:hAnsi="宋体" w:eastAsia="宋体" w:cs="宋体"/>
          <w:color w:val="auto"/>
          <w:sz w:val="21"/>
          <w:szCs w:val="21"/>
        </w:rPr>
        <w:t>且</w:t>
      </w:r>
      <w:r>
        <w:rPr>
          <w:rFonts w:hint="eastAsia" w:ascii="宋体" w:hAnsi="宋体" w:cs="宋体"/>
          <w:color w:val="auto"/>
          <w:sz w:val="21"/>
          <w:szCs w:val="21"/>
          <w:lang w:val="en-US" w:eastAsia="zh-CN"/>
        </w:rPr>
        <w:t>甲方有权</w:t>
      </w:r>
      <w:r>
        <w:rPr>
          <w:rFonts w:hint="eastAsia" w:ascii="宋体" w:hAnsi="宋体" w:eastAsia="宋体" w:cs="宋体"/>
          <w:color w:val="auto"/>
          <w:sz w:val="21"/>
          <w:szCs w:val="21"/>
        </w:rPr>
        <w:t>。</w:t>
      </w:r>
    </w:p>
    <w:p w14:paraId="4C75C790">
      <w:pPr>
        <w:adjustRightInd w:val="0"/>
        <w:snapToGrid w:val="0"/>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未</w:t>
      </w:r>
      <w:r>
        <w:rPr>
          <w:rFonts w:hint="eastAsia" w:ascii="宋体" w:hAnsi="宋体" w:cs="宋体"/>
          <w:color w:val="auto"/>
          <w:sz w:val="21"/>
          <w:szCs w:val="21"/>
          <w:lang w:val="en-US" w:eastAsia="zh-CN"/>
        </w:rPr>
        <w:t>通过</w:t>
      </w:r>
      <w:r>
        <w:rPr>
          <w:rFonts w:hint="eastAsia" w:ascii="宋体" w:hAnsi="宋体" w:eastAsia="宋体" w:cs="宋体"/>
          <w:color w:val="auto"/>
          <w:sz w:val="21"/>
          <w:szCs w:val="21"/>
        </w:rPr>
        <w:t>区级、镇级考核验收</w:t>
      </w:r>
      <w:r>
        <w:rPr>
          <w:rFonts w:hint="eastAsia" w:ascii="宋体" w:hAnsi="宋体" w:cs="宋体"/>
          <w:color w:val="auto"/>
          <w:sz w:val="21"/>
          <w:szCs w:val="21"/>
          <w:lang w:val="en-US" w:eastAsia="zh-CN"/>
        </w:rPr>
        <w:t>的</w:t>
      </w:r>
      <w:r>
        <w:rPr>
          <w:rFonts w:hint="eastAsia" w:ascii="宋体" w:hAnsi="宋体" w:cs="宋体"/>
          <w:color w:val="auto"/>
          <w:sz w:val="21"/>
          <w:szCs w:val="21"/>
        </w:rPr>
        <w:t>，采购人有权拒收并不支付</w:t>
      </w:r>
      <w:r>
        <w:rPr>
          <w:rFonts w:hint="eastAsia" w:ascii="宋体" w:hAnsi="宋体" w:cs="宋体"/>
          <w:color w:val="auto"/>
          <w:sz w:val="21"/>
          <w:szCs w:val="21"/>
          <w:lang w:val="en-US" w:eastAsia="zh-CN"/>
        </w:rPr>
        <w:t>合同费用</w:t>
      </w:r>
      <w:r>
        <w:rPr>
          <w:rFonts w:hint="eastAsia" w:ascii="宋体" w:hAnsi="宋体" w:cs="宋体"/>
          <w:color w:val="auto"/>
          <w:sz w:val="21"/>
          <w:szCs w:val="21"/>
        </w:rPr>
        <w:t>，同时</w:t>
      </w:r>
      <w:r>
        <w:rPr>
          <w:rFonts w:hint="eastAsia" w:ascii="宋体" w:hAnsi="宋体" w:cs="宋体"/>
          <w:color w:val="auto"/>
          <w:sz w:val="21"/>
          <w:szCs w:val="21"/>
          <w:lang w:val="en-US" w:eastAsia="zh-CN"/>
        </w:rPr>
        <w:t>有权解除</w:t>
      </w:r>
      <w:r>
        <w:rPr>
          <w:rFonts w:hint="eastAsia" w:ascii="宋体" w:hAnsi="宋体" w:cs="宋体"/>
          <w:color w:val="auto"/>
          <w:sz w:val="21"/>
          <w:szCs w:val="21"/>
        </w:rPr>
        <w:t>合同并不承担任何违约责任。</w:t>
      </w:r>
    </w:p>
    <w:p w14:paraId="2CE9097B">
      <w:pPr>
        <w:adjustRightInd w:val="0"/>
        <w:snapToGrid w:val="0"/>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8、未经甲方书面同意，乙方不得将合同义务部分或全部转让给第三人，否则甲方有权解除本合同，不予支付任何费用，已付费用亦有权要求乙方退还，且乙方还应向甲方支付合同总金额20%的违约金。</w:t>
      </w:r>
    </w:p>
    <w:p w14:paraId="428E3707">
      <w:pPr>
        <w:adjustRightInd w:val="0"/>
        <w:snapToGrid w:val="0"/>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9、</w:t>
      </w:r>
      <w:r>
        <w:rPr>
          <w:rFonts w:hint="eastAsia" w:ascii="宋体" w:hAnsi="宋体" w:cs="宋体"/>
          <w:color w:val="auto"/>
          <w:sz w:val="21"/>
          <w:szCs w:val="21"/>
        </w:rPr>
        <w:t>本合同履行期间，如乙方擅自解除合同，乙方应向甲方赔偿合同总额20%的违约金。</w:t>
      </w:r>
    </w:p>
    <w:p w14:paraId="6B723FC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cs="宋体"/>
          <w:color w:val="auto"/>
          <w:sz w:val="21"/>
          <w:szCs w:val="21"/>
        </w:rPr>
        <w:t>若一方违约导致另一方与其或者第三方发生纠纷，违约方应赔偿守约方全部损失和维权费用，包括但不限于诉讼费、仲裁费、律师费、保全担保函费、鉴定费、公证费、执行费、评估费等</w:t>
      </w:r>
      <w:r>
        <w:rPr>
          <w:rFonts w:hint="eastAsia" w:ascii="宋体" w:hAnsi="宋体" w:cs="宋体"/>
          <w:color w:val="auto"/>
          <w:sz w:val="21"/>
          <w:szCs w:val="21"/>
          <w:lang w:eastAsia="zh-CN"/>
        </w:rPr>
        <w:t>。</w:t>
      </w:r>
    </w:p>
    <w:p w14:paraId="52B2836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十</w:t>
      </w:r>
      <w:r>
        <w:rPr>
          <w:rFonts w:hint="eastAsia" w:ascii="宋体" w:hAnsi="宋体" w:eastAsia="宋体" w:cs="宋体"/>
          <w:b/>
          <w:bCs/>
          <w:color w:val="auto"/>
          <w:sz w:val="21"/>
          <w:szCs w:val="21"/>
        </w:rPr>
        <w:t>、争议解决方式</w:t>
      </w:r>
    </w:p>
    <w:p w14:paraId="27AFA506">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本合同履行过程中发生争议的，双方友好协商解决，协商不成，向合同履行地</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重庆高新区金凤镇）的</w:t>
      </w:r>
      <w:r>
        <w:rPr>
          <w:rFonts w:hint="eastAsia" w:ascii="宋体" w:hAnsi="宋体" w:eastAsia="宋体" w:cs="宋体"/>
          <w:color w:val="auto"/>
          <w:sz w:val="21"/>
          <w:szCs w:val="21"/>
        </w:rPr>
        <w:t>人民法院提起诉讼。</w:t>
      </w:r>
    </w:p>
    <w:p w14:paraId="2B0040A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十一</w:t>
      </w:r>
      <w:r>
        <w:rPr>
          <w:rFonts w:hint="eastAsia" w:ascii="宋体" w:hAnsi="宋体" w:eastAsia="宋体" w:cs="宋体"/>
          <w:b/>
          <w:bCs/>
          <w:color w:val="auto"/>
          <w:sz w:val="21"/>
          <w:szCs w:val="21"/>
        </w:rPr>
        <w:t>、其他</w:t>
      </w:r>
    </w:p>
    <w:p w14:paraId="7AAB2C12">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1、此服务合同自双方签字盖章后生效，一式</w:t>
      </w:r>
      <w:r>
        <w:rPr>
          <w:rFonts w:hint="eastAsia" w:ascii="宋体" w:hAnsi="宋体" w:cs="宋体"/>
          <w:color w:val="auto"/>
          <w:sz w:val="21"/>
          <w:szCs w:val="21"/>
          <w:lang w:val="en-US" w:eastAsia="zh-CN"/>
        </w:rPr>
        <w:t>四</w:t>
      </w:r>
      <w:r>
        <w:rPr>
          <w:rFonts w:hint="eastAsia" w:ascii="宋体" w:hAnsi="宋体" w:eastAsia="宋体" w:cs="宋体"/>
          <w:color w:val="auto"/>
          <w:sz w:val="21"/>
          <w:szCs w:val="21"/>
        </w:rPr>
        <w:t>份，甲</w:t>
      </w:r>
      <w:r>
        <w:rPr>
          <w:rFonts w:hint="eastAsia" w:ascii="宋体" w:hAnsi="宋体" w:cs="宋体"/>
          <w:color w:val="auto"/>
          <w:sz w:val="21"/>
          <w:szCs w:val="21"/>
          <w:lang w:val="en-US" w:eastAsia="zh-CN"/>
        </w:rPr>
        <w:t>方持三份，乙方持一份</w:t>
      </w:r>
      <w:r>
        <w:rPr>
          <w:rFonts w:hint="eastAsia" w:ascii="宋体" w:hAnsi="宋体" w:eastAsia="宋体" w:cs="宋体"/>
          <w:color w:val="auto"/>
          <w:sz w:val="21"/>
          <w:szCs w:val="21"/>
        </w:rPr>
        <w:t>，具同等法律效力，涂改后无效。</w:t>
      </w:r>
    </w:p>
    <w:p w14:paraId="05BF9433">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2、双方承诺本协议落款记载之地址为各类通知、文件或法院的诉讼文书的有效送达地址，如有变更需提前15日书面通知对方，否则向记载地址的</w:t>
      </w:r>
      <w:r>
        <w:rPr>
          <w:rFonts w:hint="eastAsia" w:ascii="宋体" w:hAnsi="宋体" w:cs="宋体"/>
          <w:color w:val="auto"/>
          <w:sz w:val="21"/>
          <w:szCs w:val="21"/>
          <w:lang w:val="en-US" w:eastAsia="zh-CN"/>
        </w:rPr>
        <w:t>邮寄</w:t>
      </w:r>
      <w:r>
        <w:rPr>
          <w:rFonts w:hint="eastAsia" w:ascii="宋体" w:hAnsi="宋体" w:eastAsia="宋体" w:cs="宋体"/>
          <w:color w:val="auto"/>
          <w:sz w:val="21"/>
          <w:szCs w:val="21"/>
        </w:rPr>
        <w:t>送达视为有效送达。邮寄文件被邮政部门退回的，被退回之日视为送达之日。</w:t>
      </w:r>
    </w:p>
    <w:p w14:paraId="6DF40BAD">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3、合同签订后，若出台的新的法律法规、政府文件等与合同内容不一致的，按照新出台的法律法规、政府文件等执行。</w:t>
      </w:r>
    </w:p>
    <w:p w14:paraId="26A32C51">
      <w:pPr>
        <w:pStyle w:val="24"/>
        <w:rPr>
          <w:rFonts w:hint="eastAsia" w:eastAsia="宋体"/>
          <w:szCs w:val="21"/>
          <w:lang w:eastAsia="zh-CN"/>
        </w:rPr>
      </w:pPr>
      <w:r>
        <w:rPr>
          <w:rFonts w:hint="eastAsia" w:ascii="宋体" w:hAnsi="宋体" w:eastAsia="宋体" w:cs="宋体"/>
          <w:color w:val="auto"/>
          <w:sz w:val="21"/>
          <w:szCs w:val="21"/>
          <w:lang w:eastAsia="zh-CN"/>
        </w:rPr>
        <w:t>（以下无正文）</w:t>
      </w:r>
    </w:p>
    <w:p w14:paraId="3683613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金凤</w:t>
      </w:r>
      <w:r>
        <w:rPr>
          <w:rFonts w:hint="eastAsia" w:ascii="宋体" w:hAnsi="宋体" w:eastAsia="宋体" w:cs="宋体"/>
          <w:color w:val="auto"/>
          <w:sz w:val="21"/>
          <w:szCs w:val="21"/>
        </w:rPr>
        <w:t xml:space="preserve">镇人民政府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乙方：</w:t>
      </w:r>
    </w:p>
    <w:p w14:paraId="180C096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联系地址：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联系地址：</w:t>
      </w:r>
    </w:p>
    <w:p w14:paraId="0DA78AD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w:t>
      </w:r>
    </w:p>
    <w:p w14:paraId="370A1F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负责人：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负责人：</w:t>
      </w:r>
    </w:p>
    <w:p w14:paraId="0935B659">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年   月   日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     月    日</w:t>
      </w:r>
    </w:p>
    <w:p w14:paraId="7B93865C">
      <w:pPr>
        <w:pStyle w:val="24"/>
        <w:rPr>
          <w:rFonts w:hint="eastAsia" w:ascii="宋体" w:hAnsi="宋体" w:eastAsia="宋体" w:cs="宋体"/>
          <w:color w:val="auto"/>
          <w:sz w:val="21"/>
          <w:szCs w:val="21"/>
        </w:rPr>
      </w:pPr>
    </w:p>
    <w:p w14:paraId="1227CB70">
      <w:pPr>
        <w:rPr>
          <w:rFonts w:hint="eastAsia" w:ascii="宋体" w:hAnsi="宋体" w:eastAsia="宋体" w:cs="宋体"/>
          <w:sz w:val="21"/>
          <w:szCs w:val="21"/>
        </w:rPr>
      </w:pPr>
    </w:p>
    <w:p w14:paraId="0C1BBDED">
      <w:pPr>
        <w:rPr>
          <w:rFonts w:hint="eastAsia" w:ascii="宋体" w:hAnsi="宋体" w:eastAsia="宋体" w:cs="宋体"/>
          <w:sz w:val="28"/>
          <w:szCs w:val="28"/>
        </w:rPr>
      </w:pPr>
    </w:p>
    <w:p w14:paraId="7D4DCD73">
      <w:pPr>
        <w:rPr>
          <w:rFonts w:ascii="宋体" w:hAnsi="宋体" w:cs="宋体"/>
          <w:bCs/>
          <w:sz w:val="36"/>
          <w:szCs w:val="30"/>
          <w:highlight w:val="none"/>
        </w:rPr>
      </w:pPr>
      <w:r>
        <w:rPr>
          <w:rFonts w:hint="eastAsia" w:ascii="宋体" w:hAnsi="宋体" w:cs="宋体"/>
          <w:bCs/>
          <w:sz w:val="36"/>
          <w:szCs w:val="30"/>
          <w:highlight w:val="none"/>
        </w:rPr>
        <w:br w:type="page"/>
      </w:r>
    </w:p>
    <w:p w14:paraId="6E7CCD2F">
      <w:pPr>
        <w:pStyle w:val="2"/>
        <w:spacing w:before="0" w:after="0" w:line="360" w:lineRule="auto"/>
        <w:jc w:val="center"/>
        <w:rPr>
          <w:rFonts w:ascii="宋体" w:hAnsi="宋体" w:cs="宋体"/>
          <w:b/>
          <w:sz w:val="36"/>
          <w:szCs w:val="30"/>
          <w:highlight w:val="none"/>
        </w:rPr>
      </w:pPr>
      <w:bookmarkStart w:id="52" w:name="_Toc21194"/>
      <w:r>
        <w:rPr>
          <w:rFonts w:hint="eastAsia" w:ascii="宋体" w:hAnsi="宋体" w:cs="宋体"/>
          <w:b/>
          <w:sz w:val="36"/>
          <w:szCs w:val="30"/>
          <w:highlight w:val="none"/>
        </w:rPr>
        <w:t>第七篇  响应文件编制要求</w:t>
      </w:r>
      <w:bookmarkEnd w:id="52"/>
    </w:p>
    <w:p w14:paraId="348CF791">
      <w:pPr>
        <w:spacing w:line="360" w:lineRule="auto"/>
        <w:ind w:firstLine="480" w:firstLineChars="200"/>
        <w:rPr>
          <w:rFonts w:ascii="宋体" w:hAnsi="宋体" w:cs="宋体"/>
          <w:i/>
          <w:iCs/>
          <w:sz w:val="24"/>
          <w:szCs w:val="24"/>
          <w:highlight w:val="none"/>
        </w:rPr>
      </w:pPr>
      <w:r>
        <w:rPr>
          <w:rFonts w:hint="eastAsia" w:ascii="宋体" w:hAnsi="宋体" w:cs="宋体"/>
          <w:sz w:val="24"/>
          <w:szCs w:val="24"/>
          <w:highlight w:val="none"/>
        </w:rPr>
        <w:br w:type="textWrapping"/>
      </w:r>
    </w:p>
    <w:p w14:paraId="74709562">
      <w:pPr>
        <w:rPr>
          <w:rFonts w:ascii="宋体" w:hAnsi="宋体" w:cs="宋体"/>
          <w:sz w:val="24"/>
          <w:szCs w:val="24"/>
          <w:highlight w:val="none"/>
        </w:rPr>
      </w:pPr>
    </w:p>
    <w:p w14:paraId="6AD313B3">
      <w:pPr>
        <w:rPr>
          <w:rFonts w:ascii="宋体" w:hAnsi="宋体" w:cs="宋体"/>
          <w:sz w:val="24"/>
          <w:szCs w:val="24"/>
          <w:highlight w:val="none"/>
        </w:rPr>
      </w:pPr>
    </w:p>
    <w:p w14:paraId="71DA4788">
      <w:pPr>
        <w:rPr>
          <w:rFonts w:ascii="宋体" w:hAnsi="宋体" w:cs="宋体"/>
          <w:sz w:val="36"/>
          <w:szCs w:val="36"/>
          <w:highlight w:val="none"/>
        </w:rPr>
      </w:pPr>
      <w:r>
        <w:rPr>
          <w:rFonts w:hint="eastAsia" w:ascii="宋体" w:hAnsi="宋体" w:cs="宋体"/>
          <w:sz w:val="36"/>
          <w:szCs w:val="36"/>
          <w:highlight w:val="none"/>
        </w:rPr>
        <w:t>项目名称：</w:t>
      </w:r>
    </w:p>
    <w:p w14:paraId="55A9F36C">
      <w:pPr>
        <w:rPr>
          <w:rFonts w:ascii="宋体" w:hAnsi="宋体" w:cs="宋体"/>
          <w:sz w:val="36"/>
          <w:szCs w:val="36"/>
          <w:highlight w:val="none"/>
        </w:rPr>
      </w:pPr>
      <w:r>
        <w:rPr>
          <w:rFonts w:hint="eastAsia" w:ascii="宋体" w:hAnsi="宋体" w:cs="宋体"/>
          <w:sz w:val="36"/>
          <w:szCs w:val="36"/>
          <w:highlight w:val="none"/>
        </w:rPr>
        <w:t>项目编号：</w:t>
      </w:r>
    </w:p>
    <w:p w14:paraId="6559F65D">
      <w:pPr>
        <w:rPr>
          <w:rFonts w:ascii="宋体" w:hAnsi="宋体" w:cs="宋体"/>
          <w:sz w:val="36"/>
          <w:szCs w:val="36"/>
          <w:highlight w:val="none"/>
        </w:rPr>
      </w:pPr>
    </w:p>
    <w:p w14:paraId="08CD9AF1">
      <w:pPr>
        <w:rPr>
          <w:rFonts w:ascii="宋体" w:hAnsi="宋体" w:cs="宋体"/>
          <w:sz w:val="36"/>
          <w:szCs w:val="36"/>
          <w:highlight w:val="none"/>
        </w:rPr>
      </w:pPr>
    </w:p>
    <w:p w14:paraId="102CD19B">
      <w:pPr>
        <w:rPr>
          <w:rFonts w:ascii="宋体" w:hAnsi="宋体" w:cs="宋体"/>
          <w:sz w:val="36"/>
          <w:szCs w:val="36"/>
          <w:highlight w:val="none"/>
        </w:rPr>
      </w:pPr>
    </w:p>
    <w:p w14:paraId="697B5BF6">
      <w:pPr>
        <w:jc w:val="center"/>
        <w:rPr>
          <w:rFonts w:ascii="宋体" w:hAnsi="宋体" w:cs="宋体"/>
          <w:b/>
          <w:bCs/>
          <w:sz w:val="56"/>
          <w:szCs w:val="56"/>
          <w:highlight w:val="none"/>
        </w:rPr>
      </w:pPr>
      <w:r>
        <w:rPr>
          <w:rFonts w:hint="eastAsia" w:ascii="宋体" w:hAnsi="宋体" w:cs="宋体"/>
          <w:b/>
          <w:bCs/>
          <w:sz w:val="72"/>
          <w:szCs w:val="72"/>
          <w:highlight w:val="none"/>
        </w:rPr>
        <w:t>响应文件</w:t>
      </w:r>
    </w:p>
    <w:p w14:paraId="26234D0B">
      <w:pPr>
        <w:jc w:val="center"/>
        <w:rPr>
          <w:rFonts w:ascii="宋体" w:hAnsi="宋体" w:cs="宋体"/>
          <w:b/>
          <w:bCs/>
          <w:sz w:val="56"/>
          <w:szCs w:val="56"/>
          <w:highlight w:val="none"/>
        </w:rPr>
      </w:pPr>
    </w:p>
    <w:p w14:paraId="1708F900">
      <w:pPr>
        <w:jc w:val="center"/>
        <w:rPr>
          <w:rFonts w:ascii="宋体" w:hAnsi="宋体" w:cs="宋体"/>
          <w:b/>
          <w:bCs/>
          <w:sz w:val="56"/>
          <w:szCs w:val="56"/>
          <w:highlight w:val="none"/>
        </w:rPr>
      </w:pPr>
    </w:p>
    <w:p w14:paraId="2AC7AC11">
      <w:pPr>
        <w:jc w:val="center"/>
        <w:rPr>
          <w:rFonts w:ascii="宋体" w:hAnsi="宋体" w:cs="宋体"/>
          <w:b/>
          <w:bCs/>
          <w:sz w:val="56"/>
          <w:szCs w:val="56"/>
          <w:highlight w:val="none"/>
        </w:rPr>
      </w:pPr>
    </w:p>
    <w:p w14:paraId="629201C1">
      <w:pPr>
        <w:spacing w:line="360" w:lineRule="auto"/>
        <w:rPr>
          <w:rFonts w:ascii="宋体" w:hAnsi="宋体" w:cs="宋体"/>
          <w:sz w:val="36"/>
          <w:szCs w:val="36"/>
          <w:highlight w:val="none"/>
        </w:rPr>
      </w:pPr>
      <w:r>
        <w:rPr>
          <w:rFonts w:hint="eastAsia" w:ascii="宋体" w:hAnsi="宋体" w:cs="宋体"/>
          <w:sz w:val="36"/>
          <w:szCs w:val="36"/>
          <w:highlight w:val="none"/>
        </w:rPr>
        <w:t>供应商名称：</w:t>
      </w:r>
      <w:r>
        <w:rPr>
          <w:rFonts w:hint="eastAsia" w:ascii="宋体" w:hAnsi="宋体" w:cs="宋体"/>
          <w:sz w:val="36"/>
          <w:szCs w:val="36"/>
          <w:highlight w:val="none"/>
          <w:u w:val="single"/>
        </w:rPr>
        <w:t xml:space="preserve">                              </w:t>
      </w:r>
      <w:r>
        <w:rPr>
          <w:rFonts w:hint="eastAsia" w:ascii="宋体" w:hAnsi="宋体" w:cs="宋体"/>
          <w:sz w:val="36"/>
          <w:szCs w:val="36"/>
          <w:highlight w:val="none"/>
        </w:rPr>
        <w:t xml:space="preserve">（盖章） </w:t>
      </w:r>
    </w:p>
    <w:p w14:paraId="72B05232">
      <w:pPr>
        <w:spacing w:line="360" w:lineRule="auto"/>
        <w:rPr>
          <w:rFonts w:ascii="宋体" w:hAnsi="宋体" w:cs="宋体"/>
          <w:sz w:val="36"/>
          <w:szCs w:val="36"/>
          <w:highlight w:val="none"/>
        </w:rPr>
      </w:pPr>
      <w:r>
        <w:rPr>
          <w:rFonts w:hint="eastAsia" w:ascii="宋体" w:hAnsi="宋体" w:cs="宋体"/>
          <w:sz w:val="36"/>
          <w:szCs w:val="36"/>
          <w:highlight w:val="none"/>
        </w:rPr>
        <w:t>供应商法定代表人或授权代表：</w:t>
      </w:r>
      <w:r>
        <w:rPr>
          <w:rFonts w:hint="eastAsia" w:ascii="宋体" w:hAnsi="宋体" w:cs="宋体"/>
          <w:sz w:val="36"/>
          <w:szCs w:val="36"/>
          <w:highlight w:val="none"/>
          <w:u w:val="single"/>
        </w:rPr>
        <w:t xml:space="preserve">        </w:t>
      </w:r>
      <w:r>
        <w:rPr>
          <w:rFonts w:hint="eastAsia" w:ascii="宋体" w:hAnsi="宋体" w:cs="宋体"/>
          <w:sz w:val="36"/>
          <w:szCs w:val="36"/>
          <w:highlight w:val="none"/>
        </w:rPr>
        <w:t>（签字或盖章）</w:t>
      </w:r>
    </w:p>
    <w:p w14:paraId="659A22A6">
      <w:pPr>
        <w:spacing w:line="360" w:lineRule="auto"/>
        <w:rPr>
          <w:rFonts w:ascii="宋体" w:hAnsi="宋体" w:cs="宋体"/>
          <w:sz w:val="36"/>
          <w:szCs w:val="36"/>
          <w:highlight w:val="none"/>
        </w:rPr>
      </w:pPr>
    </w:p>
    <w:p w14:paraId="43803663">
      <w:pPr>
        <w:spacing w:line="360" w:lineRule="auto"/>
        <w:rPr>
          <w:rFonts w:ascii="宋体" w:hAnsi="宋体" w:cs="宋体"/>
          <w:sz w:val="36"/>
          <w:szCs w:val="36"/>
          <w:highlight w:val="none"/>
        </w:rPr>
      </w:pPr>
    </w:p>
    <w:p w14:paraId="3B5599A7">
      <w:pPr>
        <w:spacing w:line="360" w:lineRule="auto"/>
        <w:jc w:val="center"/>
        <w:rPr>
          <w:rFonts w:ascii="宋体" w:hAnsi="宋体" w:cs="宋体"/>
          <w:sz w:val="36"/>
          <w:szCs w:val="36"/>
          <w:highlight w:val="none"/>
        </w:rPr>
      </w:pPr>
      <w:r>
        <w:rPr>
          <w:rFonts w:hint="eastAsia" w:ascii="宋体" w:hAnsi="宋体" w:cs="宋体"/>
          <w:sz w:val="36"/>
          <w:szCs w:val="36"/>
          <w:highlight w:val="none"/>
        </w:rPr>
        <w:t>年  月  日</w:t>
      </w:r>
    </w:p>
    <w:p w14:paraId="6E028067">
      <w:pPr>
        <w:spacing w:line="360" w:lineRule="auto"/>
        <w:jc w:val="center"/>
        <w:rPr>
          <w:rFonts w:ascii="宋体" w:hAnsi="宋体" w:cs="宋体"/>
          <w:sz w:val="36"/>
          <w:szCs w:val="36"/>
          <w:highlight w:val="none"/>
        </w:rPr>
      </w:pPr>
      <w:r>
        <w:rPr>
          <w:rFonts w:hint="eastAsia" w:ascii="宋体" w:hAnsi="宋体" w:cs="宋体"/>
          <w:sz w:val="36"/>
          <w:szCs w:val="36"/>
          <w:highlight w:val="none"/>
        </w:rPr>
        <w:br w:type="page"/>
      </w:r>
    </w:p>
    <w:p w14:paraId="12930FE7">
      <w:pPr>
        <w:spacing w:line="360" w:lineRule="auto"/>
        <w:jc w:val="center"/>
        <w:rPr>
          <w:rFonts w:ascii="宋体" w:hAnsi="宋体" w:cs="宋体"/>
          <w:b/>
          <w:bCs/>
          <w:szCs w:val="28"/>
          <w:highlight w:val="none"/>
        </w:rPr>
      </w:pPr>
    </w:p>
    <w:p w14:paraId="4E26FC42">
      <w:pPr>
        <w:spacing w:line="360" w:lineRule="auto"/>
        <w:jc w:val="center"/>
        <w:rPr>
          <w:rFonts w:ascii="宋体" w:hAnsi="宋体" w:cs="宋体"/>
          <w:b/>
          <w:bCs/>
          <w:szCs w:val="28"/>
          <w:highlight w:val="none"/>
        </w:rPr>
      </w:pPr>
      <w:r>
        <w:rPr>
          <w:rFonts w:hint="eastAsia" w:ascii="宋体" w:hAnsi="宋体" w:cs="宋体"/>
          <w:b/>
          <w:bCs/>
          <w:szCs w:val="28"/>
          <w:highlight w:val="none"/>
        </w:rPr>
        <w:t>目录</w:t>
      </w:r>
    </w:p>
    <w:p w14:paraId="37B859A7">
      <w:pPr>
        <w:spacing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（供应商自行编制目录及页码）</w:t>
      </w:r>
    </w:p>
    <w:p w14:paraId="516634D6">
      <w:pPr>
        <w:spacing w:line="360" w:lineRule="auto"/>
        <w:ind w:firstLine="480" w:firstLineChars="200"/>
        <w:rPr>
          <w:rFonts w:ascii="宋体" w:hAnsi="宋体" w:cs="宋体"/>
          <w:sz w:val="24"/>
          <w:szCs w:val="24"/>
          <w:highlight w:val="none"/>
        </w:rPr>
      </w:pPr>
    </w:p>
    <w:p w14:paraId="29757A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一、经济部分</w:t>
      </w:r>
    </w:p>
    <w:p w14:paraId="7B5E6C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（一）报价函</w:t>
      </w:r>
    </w:p>
    <w:p w14:paraId="3D93B57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（二）报价明细表</w:t>
      </w:r>
    </w:p>
    <w:p w14:paraId="4CBC6E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（三）投标报价合理性说明（如有）</w:t>
      </w:r>
    </w:p>
    <w:p w14:paraId="3E60F3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二、服务部分</w:t>
      </w:r>
    </w:p>
    <w:p w14:paraId="6574D0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（一）项目技术（质量）需求响应承诺</w:t>
      </w:r>
    </w:p>
    <w:p w14:paraId="5CD57D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（二）技术（质量）需求响应所需的其他资料（如有）</w:t>
      </w:r>
    </w:p>
    <w:p w14:paraId="09A66D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三、商务部分</w:t>
      </w:r>
    </w:p>
    <w:p w14:paraId="1DC95B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（一）商务需求响应承诺</w:t>
      </w:r>
    </w:p>
    <w:p w14:paraId="4E4743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（二）商务需求响应所需的其他资料（如有）</w:t>
      </w:r>
    </w:p>
    <w:p w14:paraId="40DA40C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四、资格条件及其他</w:t>
      </w:r>
    </w:p>
    <w:p w14:paraId="44C76E3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515D5A6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（二）法定代表人身份证明书（格式）</w:t>
      </w:r>
    </w:p>
    <w:p w14:paraId="02861C3D">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（三）法定代表人授权委托书（格式）</w:t>
      </w:r>
    </w:p>
    <w:p w14:paraId="0B01FC7C">
      <w:pPr>
        <w:snapToGrid w:val="0"/>
        <w:spacing w:line="360" w:lineRule="auto"/>
        <w:ind w:firstLine="480" w:firstLineChars="200"/>
        <w:rPr>
          <w:rFonts w:ascii="宋体" w:hAnsi="宋体" w:cs="宋体"/>
          <w:color w:val="000000"/>
          <w:kern w:val="0"/>
          <w:sz w:val="24"/>
          <w:szCs w:val="24"/>
          <w:highlight w:val="none"/>
          <w:lang w:bidi="ar"/>
        </w:rPr>
      </w:pPr>
      <w:r>
        <w:rPr>
          <w:rFonts w:hint="eastAsia" w:ascii="宋体" w:hAnsi="宋体" w:cs="宋体"/>
          <w:sz w:val="24"/>
          <w:szCs w:val="24"/>
          <w:highlight w:val="none"/>
        </w:rPr>
        <w:t>（四）</w:t>
      </w:r>
      <w:r>
        <w:rPr>
          <w:rFonts w:hint="eastAsia" w:ascii="宋体" w:hAnsi="宋体" w:cs="宋体"/>
          <w:color w:val="000000"/>
          <w:kern w:val="0"/>
          <w:sz w:val="24"/>
          <w:szCs w:val="24"/>
          <w:highlight w:val="none"/>
          <w:lang w:bidi="ar"/>
        </w:rPr>
        <w:t>基本资格条件承诺函</w:t>
      </w:r>
    </w:p>
    <w:p w14:paraId="29198C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五、评审资料</w:t>
      </w:r>
    </w:p>
    <w:p w14:paraId="02DD516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（一）技术部分评审资料</w:t>
      </w:r>
    </w:p>
    <w:p w14:paraId="7DA308F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（二）商务部分评审资料</w:t>
      </w:r>
    </w:p>
    <w:p w14:paraId="017D521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w:t>
      </w:r>
    </w:p>
    <w:p w14:paraId="76CAEEA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（一）其他与项目有关的资料（自附）</w:t>
      </w:r>
    </w:p>
    <w:p w14:paraId="010CBBD7">
      <w:pPr>
        <w:rPr>
          <w:rFonts w:ascii="宋体" w:hAnsi="宋体" w:cs="宋体"/>
          <w:sz w:val="24"/>
          <w:szCs w:val="24"/>
          <w:highlight w:val="none"/>
        </w:rPr>
      </w:pPr>
      <w:r>
        <w:rPr>
          <w:rFonts w:hint="eastAsia" w:ascii="宋体" w:hAnsi="宋体" w:cs="宋体"/>
          <w:sz w:val="24"/>
          <w:szCs w:val="24"/>
          <w:highlight w:val="none"/>
        </w:rPr>
        <w:br w:type="page"/>
      </w:r>
    </w:p>
    <w:p w14:paraId="0A936F98">
      <w:pPr>
        <w:pStyle w:val="3"/>
        <w:spacing w:before="0" w:after="0" w:line="360" w:lineRule="auto"/>
        <w:rPr>
          <w:rFonts w:ascii="宋体" w:hAnsi="宋体" w:eastAsia="宋体" w:cs="宋体"/>
          <w:sz w:val="24"/>
          <w:szCs w:val="24"/>
          <w:highlight w:val="none"/>
        </w:rPr>
      </w:pPr>
      <w:bookmarkStart w:id="53" w:name="_Toc24403"/>
      <w:r>
        <w:rPr>
          <w:rFonts w:hint="eastAsia" w:ascii="宋体" w:hAnsi="宋体" w:eastAsia="宋体" w:cs="宋体"/>
          <w:sz w:val="24"/>
          <w:szCs w:val="24"/>
          <w:highlight w:val="none"/>
        </w:rPr>
        <w:t>一、经济部分</w:t>
      </w:r>
      <w:bookmarkEnd w:id="53"/>
    </w:p>
    <w:p w14:paraId="682DE0E4">
      <w:pPr>
        <w:tabs>
          <w:tab w:val="left" w:pos="6300"/>
        </w:tabs>
        <w:snapToGrid w:val="0"/>
        <w:spacing w:line="360" w:lineRule="auto"/>
        <w:jc w:val="center"/>
        <w:outlineLvl w:val="2"/>
        <w:rPr>
          <w:rFonts w:ascii="宋体" w:hAnsi="宋体" w:cs="宋体"/>
          <w:sz w:val="24"/>
          <w:szCs w:val="24"/>
          <w:highlight w:val="none"/>
        </w:rPr>
      </w:pPr>
      <w:r>
        <w:rPr>
          <w:rFonts w:hint="eastAsia" w:ascii="宋体" w:hAnsi="宋体" w:cs="宋体"/>
          <w:sz w:val="24"/>
          <w:szCs w:val="24"/>
          <w:highlight w:val="none"/>
        </w:rPr>
        <w:t>（一）报价函</w:t>
      </w:r>
    </w:p>
    <w:p w14:paraId="0EE13C5E">
      <w:pPr>
        <w:tabs>
          <w:tab w:val="left" w:pos="6300"/>
        </w:tabs>
        <w:snapToGrid w:val="0"/>
        <w:spacing w:line="360" w:lineRule="auto"/>
        <w:jc w:val="center"/>
        <w:rPr>
          <w:rFonts w:ascii="宋体" w:hAnsi="宋体" w:cs="宋体"/>
          <w:highlight w:val="none"/>
        </w:rPr>
      </w:pPr>
      <w:r>
        <w:rPr>
          <w:rFonts w:hint="eastAsia" w:ascii="宋体" w:hAnsi="宋体" w:cs="宋体"/>
          <w:b/>
          <w:szCs w:val="28"/>
          <w:highlight w:val="none"/>
        </w:rPr>
        <w:t> </w:t>
      </w:r>
    </w:p>
    <w:p w14:paraId="0AF841F5">
      <w:pPr>
        <w:tabs>
          <w:tab w:val="left" w:pos="6300"/>
        </w:tabs>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u w:val="single"/>
        </w:rPr>
        <w:t xml:space="preserve">               （采购人名称）</w:t>
      </w:r>
      <w:r>
        <w:rPr>
          <w:rFonts w:hint="eastAsia" w:ascii="宋体" w:hAnsi="宋体" w:cs="宋体"/>
          <w:sz w:val="24"/>
          <w:szCs w:val="24"/>
          <w:highlight w:val="none"/>
        </w:rPr>
        <w:t>：</w:t>
      </w:r>
    </w:p>
    <w:p w14:paraId="51F9ABC5">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我方收到____________________________（项目名称）的竞采文件，经详细研究，决定参加该项目的竞采。</w:t>
      </w:r>
    </w:p>
    <w:p w14:paraId="2A10C327">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1、愿意按照竞采文件中的一切要求，提供本项目的服务，报价为人民币</w:t>
      </w:r>
      <w:r>
        <w:rPr>
          <w:rFonts w:hint="eastAsia" w:ascii="宋体" w:hAnsi="宋体" w:cs="宋体"/>
          <w:sz w:val="24"/>
          <w:szCs w:val="24"/>
          <w:highlight w:val="none"/>
          <w:u w:val="single"/>
        </w:rPr>
        <w:t xml:space="preserve">大写：      </w:t>
      </w:r>
      <w:r>
        <w:rPr>
          <w:rFonts w:hint="eastAsia" w:ascii="宋体" w:hAnsi="宋体" w:cs="宋体"/>
          <w:sz w:val="24"/>
          <w:szCs w:val="24"/>
          <w:highlight w:val="none"/>
        </w:rPr>
        <w:t>；人民币</w:t>
      </w:r>
      <w:r>
        <w:rPr>
          <w:rFonts w:hint="eastAsia" w:ascii="宋体" w:hAnsi="宋体" w:cs="宋体"/>
          <w:sz w:val="24"/>
          <w:szCs w:val="24"/>
          <w:highlight w:val="none"/>
          <w:u w:val="single"/>
        </w:rPr>
        <w:t xml:space="preserve">小写：    元 </w:t>
      </w:r>
      <w:r>
        <w:rPr>
          <w:rFonts w:hint="eastAsia" w:ascii="宋体" w:hAnsi="宋体" w:cs="宋体"/>
          <w:sz w:val="24"/>
          <w:szCs w:val="24"/>
          <w:highlight w:val="none"/>
        </w:rPr>
        <w:t>。</w:t>
      </w:r>
    </w:p>
    <w:p w14:paraId="3D3D7756">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2、我方现提交的响应文件为：响应文件电子文档壹份。</w:t>
      </w:r>
    </w:p>
    <w:p w14:paraId="556C1096">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3、我方承诺：本次竞采的有效期为90天。</w:t>
      </w:r>
    </w:p>
    <w:p w14:paraId="7B9774E0">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4、我方完全理解和接受贵方竞采采购文件的一切规定和要求及评审办法。</w:t>
      </w:r>
    </w:p>
    <w:p w14:paraId="3CF6A91B">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5、在整个竞采采购过程中，我方若有违规行为，接受按照重庆市政府采购相关规定给予惩罚。</w:t>
      </w:r>
    </w:p>
    <w:p w14:paraId="0A057526">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6、我方若中选，将按照竞采结果签订合同，并且严格履行合同义务。本承诺函将成为合同不可分割的一部分，与合同具有同等的法律效力。</w:t>
      </w:r>
    </w:p>
    <w:p w14:paraId="386A9DA3">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7、我方理解，最低报价不是成交的唯一条件。</w:t>
      </w:r>
    </w:p>
    <w:p w14:paraId="30CEF591">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760B75EA">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759CFB01">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19194103">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7A8AB81D">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供应商名称（公章）：</w:t>
      </w:r>
    </w:p>
    <w:p w14:paraId="1BCF6717">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年   月   日</w:t>
      </w:r>
    </w:p>
    <w:p w14:paraId="0BAF28C8">
      <w:pPr>
        <w:adjustRightInd w:val="0"/>
        <w:snapToGrid w:val="0"/>
        <w:spacing w:line="360" w:lineRule="auto"/>
        <w:ind w:firstLine="480" w:firstLineChars="200"/>
        <w:jc w:val="left"/>
        <w:rPr>
          <w:rFonts w:ascii="宋体" w:hAnsi="宋体" w:cs="宋体"/>
          <w:sz w:val="24"/>
          <w:szCs w:val="24"/>
          <w:highlight w:val="none"/>
        </w:rPr>
      </w:pPr>
    </w:p>
    <w:p w14:paraId="6018FEA5">
      <w:pPr>
        <w:rPr>
          <w:rFonts w:ascii="宋体" w:hAnsi="宋体" w:cs="宋体"/>
          <w:sz w:val="24"/>
          <w:szCs w:val="24"/>
          <w:highlight w:val="none"/>
        </w:rPr>
      </w:pPr>
      <w:r>
        <w:rPr>
          <w:rFonts w:hint="eastAsia" w:ascii="宋体" w:hAnsi="宋体" w:cs="宋体"/>
          <w:sz w:val="24"/>
          <w:szCs w:val="24"/>
          <w:highlight w:val="none"/>
        </w:rPr>
        <w:br w:type="page"/>
      </w:r>
    </w:p>
    <w:p w14:paraId="5753B87A">
      <w:pPr>
        <w:spacing w:line="500" w:lineRule="exact"/>
        <w:jc w:val="center"/>
        <w:rPr>
          <w:rFonts w:ascii="宋体" w:hAnsi="宋体" w:cs="宋体"/>
          <w:b w:val="0"/>
          <w:highlight w:val="none"/>
        </w:rPr>
      </w:pPr>
      <w:r>
        <w:rPr>
          <w:rFonts w:hint="eastAsia" w:ascii="宋体" w:hAnsi="宋体" w:cs="宋体"/>
          <w:sz w:val="21"/>
          <w:szCs w:val="21"/>
          <w:highlight w:val="none"/>
        </w:rPr>
        <w:br w:type="page"/>
      </w:r>
      <w:r>
        <w:rPr>
          <w:rFonts w:hint="eastAsia" w:ascii="宋体" w:hAnsi="宋体" w:cs="宋体"/>
          <w:sz w:val="24"/>
          <w:szCs w:val="24"/>
          <w:highlight w:val="none"/>
        </w:rPr>
        <w:t>（三）</w:t>
      </w:r>
      <w:r>
        <w:rPr>
          <w:rFonts w:hint="eastAsia" w:ascii="宋体" w:hAnsi="宋体" w:cs="宋体"/>
          <w:b w:val="0"/>
          <w:highlight w:val="none"/>
        </w:rPr>
        <w:t>投标报价合理性说明（如有）</w:t>
      </w:r>
    </w:p>
    <w:p w14:paraId="7195AA7A">
      <w:pPr>
        <w:autoSpaceDE w:val="0"/>
        <w:autoSpaceDN w:val="0"/>
        <w:adjustRightInd w:val="0"/>
        <w:snapToGrid w:val="0"/>
        <w:spacing w:line="360" w:lineRule="auto"/>
        <w:jc w:val="center"/>
        <w:rPr>
          <w:rFonts w:ascii="宋体" w:hAnsi="宋体" w:cs="宋体"/>
          <w:snapToGrid w:val="0"/>
          <w:kern w:val="0"/>
          <w:sz w:val="32"/>
          <w:szCs w:val="32"/>
          <w:highlight w:val="none"/>
        </w:rPr>
      </w:pPr>
    </w:p>
    <w:p w14:paraId="3E7EE38F">
      <w:pPr>
        <w:spacing w:line="500" w:lineRule="exact"/>
        <w:rPr>
          <w:rFonts w:ascii="宋体" w:hAnsi="宋体" w:cs="宋体"/>
          <w:snapToGrid w:val="0"/>
          <w:kern w:val="0"/>
          <w:szCs w:val="21"/>
          <w:highlight w:val="none"/>
        </w:rPr>
      </w:pPr>
      <w:r>
        <w:rPr>
          <w:rFonts w:hint="eastAsia" w:ascii="宋体" w:hAnsi="宋体" w:cs="宋体"/>
          <w:snapToGrid w:val="0"/>
          <w:kern w:val="0"/>
          <w:szCs w:val="21"/>
          <w:highlight w:val="none"/>
        </w:rPr>
        <w:t>（注：投标报价低于“第四篇 二、评审标准 （二）异常低价”规定时提供，格式自拟，并提供必要的佐证材料。）</w:t>
      </w:r>
    </w:p>
    <w:p w14:paraId="2D23FDC4">
      <w:pPr>
        <w:rPr>
          <w:highlight w:val="none"/>
        </w:rPr>
      </w:pPr>
      <w:r>
        <w:rPr>
          <w:rFonts w:hint="eastAsia"/>
          <w:highlight w:val="none"/>
        </w:rPr>
        <w:br w:type="page"/>
      </w:r>
    </w:p>
    <w:p w14:paraId="247D0EF5">
      <w:pPr>
        <w:pStyle w:val="24"/>
        <w:ind w:left="560"/>
        <w:rPr>
          <w:highlight w:val="none"/>
        </w:rPr>
      </w:pPr>
    </w:p>
    <w:p w14:paraId="3379B5CF">
      <w:pPr>
        <w:pStyle w:val="3"/>
        <w:spacing w:before="0" w:after="0" w:line="360" w:lineRule="auto"/>
        <w:rPr>
          <w:rFonts w:ascii="宋体" w:hAnsi="宋体" w:eastAsia="宋体" w:cs="宋体"/>
          <w:sz w:val="24"/>
          <w:szCs w:val="24"/>
          <w:highlight w:val="none"/>
        </w:rPr>
      </w:pPr>
      <w:bookmarkStart w:id="54" w:name="_Toc30813"/>
      <w:r>
        <w:rPr>
          <w:rFonts w:hint="eastAsia" w:ascii="宋体" w:hAnsi="宋体" w:eastAsia="宋体" w:cs="宋体"/>
          <w:sz w:val="24"/>
          <w:szCs w:val="24"/>
          <w:highlight w:val="none"/>
        </w:rPr>
        <w:t>二、技术部分</w:t>
      </w:r>
      <w:bookmarkEnd w:id="54"/>
    </w:p>
    <w:p w14:paraId="0194AC3D">
      <w:pPr>
        <w:spacing w:line="360" w:lineRule="auto"/>
        <w:jc w:val="center"/>
        <w:outlineLvl w:val="2"/>
        <w:rPr>
          <w:rFonts w:ascii="宋体" w:hAnsi="宋体" w:cs="宋体"/>
          <w:b/>
          <w:bCs/>
          <w:sz w:val="21"/>
          <w:szCs w:val="21"/>
          <w:highlight w:val="none"/>
        </w:rPr>
      </w:pPr>
      <w:r>
        <w:rPr>
          <w:rFonts w:hint="eastAsia" w:ascii="宋体" w:hAnsi="宋体" w:cs="宋体"/>
          <w:b/>
          <w:bCs/>
          <w:sz w:val="24"/>
          <w:szCs w:val="24"/>
          <w:highlight w:val="none"/>
        </w:rPr>
        <w:t>（一）</w:t>
      </w:r>
      <w:r>
        <w:rPr>
          <w:rFonts w:hint="eastAsia" w:ascii="宋体" w:hAnsi="宋体" w:cs="宋体"/>
          <w:b/>
          <w:bCs/>
          <w:sz w:val="21"/>
          <w:szCs w:val="21"/>
          <w:highlight w:val="none"/>
        </w:rPr>
        <w:t>项目技术（质量）需求响应承诺[代技术（质量）需求响应偏离表]</w:t>
      </w:r>
    </w:p>
    <w:p w14:paraId="30D67C8A">
      <w:pPr>
        <w:spacing w:line="400" w:lineRule="exact"/>
        <w:ind w:firstLine="420" w:firstLineChars="200"/>
        <w:rPr>
          <w:rFonts w:ascii="宋体" w:hAnsi="宋体" w:cs="宋体"/>
          <w:sz w:val="21"/>
          <w:szCs w:val="21"/>
          <w:highlight w:val="none"/>
          <w:u w:val="single"/>
        </w:rPr>
      </w:pPr>
    </w:p>
    <w:p w14:paraId="4AC41ABB">
      <w:pPr>
        <w:spacing w:line="400" w:lineRule="exact"/>
        <w:rPr>
          <w:rFonts w:ascii="宋体" w:hAnsi="宋体" w:cs="宋体"/>
          <w:sz w:val="21"/>
          <w:szCs w:val="21"/>
          <w:highlight w:val="none"/>
        </w:rPr>
      </w:pPr>
      <w:r>
        <w:rPr>
          <w:rFonts w:hint="eastAsia" w:ascii="宋体" w:hAnsi="宋体" w:cs="宋体"/>
          <w:sz w:val="21"/>
          <w:szCs w:val="21"/>
          <w:highlight w:val="none"/>
          <w:u w:val="single"/>
        </w:rPr>
        <w:t xml:space="preserve">                      （采购人）</w:t>
      </w:r>
      <w:r>
        <w:rPr>
          <w:rFonts w:hint="eastAsia" w:ascii="宋体" w:hAnsi="宋体" w:cs="宋体"/>
          <w:sz w:val="21"/>
          <w:szCs w:val="21"/>
          <w:highlight w:val="none"/>
        </w:rPr>
        <w:t xml:space="preserve"> ：</w:t>
      </w:r>
    </w:p>
    <w:p w14:paraId="7CCC0E54">
      <w:pPr>
        <w:snapToGrid w:val="0"/>
        <w:spacing w:line="500" w:lineRule="exact"/>
        <w:ind w:firstLine="420" w:firstLineChars="200"/>
        <w:rPr>
          <w:rFonts w:ascii="宋体" w:hAnsi="宋体" w:cs="宋体"/>
          <w:sz w:val="21"/>
          <w:szCs w:val="21"/>
          <w:highlight w:val="none"/>
        </w:rPr>
      </w:pPr>
    </w:p>
    <w:p w14:paraId="4ED56D22">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我单位承诺已知悉和理解本项目的项目技术（质量）需求，并完全响应本项目的项目技术（质量）需求，无不满足的情况。</w:t>
      </w:r>
    </w:p>
    <w:p w14:paraId="659D18F8">
      <w:pPr>
        <w:snapToGrid w:val="0"/>
        <w:spacing w:line="500" w:lineRule="exact"/>
        <w:rPr>
          <w:rFonts w:ascii="宋体" w:hAnsi="宋体" w:cs="宋体"/>
          <w:sz w:val="21"/>
          <w:szCs w:val="21"/>
          <w:highlight w:val="none"/>
        </w:rPr>
      </w:pPr>
    </w:p>
    <w:p w14:paraId="66FD1CC7">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如有偏离请填写下表，无偏离则不填写。</w:t>
      </w:r>
    </w:p>
    <w:p w14:paraId="4734F868">
      <w:pPr>
        <w:snapToGrid w:val="0"/>
        <w:spacing w:line="500" w:lineRule="exact"/>
        <w:ind w:firstLine="442" w:firstLineChars="200"/>
        <w:jc w:val="center"/>
        <w:rPr>
          <w:rFonts w:ascii="宋体" w:hAnsi="宋体" w:cs="宋体"/>
          <w:b/>
          <w:bCs/>
          <w:sz w:val="22"/>
          <w:szCs w:val="22"/>
          <w:highlight w:val="none"/>
        </w:rPr>
      </w:pPr>
      <w:r>
        <w:rPr>
          <w:rFonts w:hint="eastAsia" w:ascii="宋体" w:hAnsi="宋体" w:cs="宋体"/>
          <w:b/>
          <w:bCs/>
          <w:sz w:val="22"/>
          <w:szCs w:val="22"/>
          <w:highlight w:val="none"/>
        </w:rPr>
        <w:t>技术服务响应偏离表</w:t>
      </w:r>
    </w:p>
    <w:p w14:paraId="3F044660">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 xml:space="preserve">项目名称：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B8C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812B480">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2658" w:type="dxa"/>
            <w:vAlign w:val="center"/>
          </w:tcPr>
          <w:p w14:paraId="5958AB87">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采购需求</w:t>
            </w:r>
          </w:p>
        </w:tc>
        <w:tc>
          <w:tcPr>
            <w:tcW w:w="2759" w:type="dxa"/>
            <w:vAlign w:val="center"/>
          </w:tcPr>
          <w:p w14:paraId="1FDDCD22">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响应情况</w:t>
            </w:r>
          </w:p>
        </w:tc>
        <w:tc>
          <w:tcPr>
            <w:tcW w:w="2067" w:type="dxa"/>
            <w:vAlign w:val="center"/>
          </w:tcPr>
          <w:p w14:paraId="6DCAF379">
            <w:pPr>
              <w:snapToGrid w:val="0"/>
              <w:spacing w:line="500" w:lineRule="exact"/>
              <w:jc w:val="center"/>
              <w:rPr>
                <w:rFonts w:ascii="宋体" w:hAnsi="宋体" w:cs="宋体"/>
                <w:b/>
                <w:bCs/>
                <w:sz w:val="21"/>
                <w:szCs w:val="21"/>
                <w:highlight w:val="none"/>
              </w:rPr>
            </w:pPr>
            <w:r>
              <w:rPr>
                <w:rFonts w:hint="eastAsia" w:ascii="宋体" w:hAnsi="宋体" w:cs="宋体"/>
                <w:b/>
                <w:bCs/>
                <w:sz w:val="21"/>
                <w:szCs w:val="21"/>
                <w:highlight w:val="none"/>
              </w:rPr>
              <w:t>偏离说明</w:t>
            </w:r>
          </w:p>
        </w:tc>
      </w:tr>
      <w:tr w14:paraId="5F2E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DB80F0">
            <w:pPr>
              <w:snapToGrid w:val="0"/>
              <w:spacing w:line="500" w:lineRule="exact"/>
              <w:ind w:firstLine="422" w:firstLineChars="200"/>
              <w:rPr>
                <w:rFonts w:ascii="宋体" w:hAnsi="宋体" w:cs="宋体"/>
                <w:b/>
                <w:bCs/>
                <w:sz w:val="21"/>
                <w:szCs w:val="21"/>
                <w:highlight w:val="none"/>
              </w:rPr>
            </w:pPr>
          </w:p>
        </w:tc>
        <w:tc>
          <w:tcPr>
            <w:tcW w:w="2658" w:type="dxa"/>
            <w:vAlign w:val="center"/>
          </w:tcPr>
          <w:p w14:paraId="7CF1F4E2">
            <w:pPr>
              <w:snapToGrid w:val="0"/>
              <w:spacing w:line="500" w:lineRule="exact"/>
              <w:ind w:firstLine="422" w:firstLineChars="200"/>
              <w:rPr>
                <w:rFonts w:ascii="宋体" w:hAnsi="宋体" w:cs="宋体"/>
                <w:b/>
                <w:bCs/>
                <w:sz w:val="21"/>
                <w:szCs w:val="21"/>
                <w:highlight w:val="none"/>
              </w:rPr>
            </w:pPr>
          </w:p>
        </w:tc>
        <w:tc>
          <w:tcPr>
            <w:tcW w:w="2759" w:type="dxa"/>
            <w:vAlign w:val="center"/>
          </w:tcPr>
          <w:p w14:paraId="68448089">
            <w:pPr>
              <w:snapToGrid w:val="0"/>
              <w:spacing w:line="500" w:lineRule="exact"/>
              <w:ind w:firstLine="422" w:firstLineChars="200"/>
              <w:rPr>
                <w:rFonts w:ascii="宋体" w:hAnsi="宋体" w:cs="宋体"/>
                <w:b/>
                <w:bCs/>
                <w:sz w:val="21"/>
                <w:szCs w:val="21"/>
                <w:highlight w:val="none"/>
              </w:rPr>
            </w:pPr>
          </w:p>
        </w:tc>
        <w:tc>
          <w:tcPr>
            <w:tcW w:w="2067" w:type="dxa"/>
            <w:vAlign w:val="center"/>
          </w:tcPr>
          <w:p w14:paraId="7988E55B">
            <w:pPr>
              <w:snapToGrid w:val="0"/>
              <w:spacing w:line="500" w:lineRule="exact"/>
              <w:ind w:firstLine="422" w:firstLineChars="200"/>
              <w:rPr>
                <w:rFonts w:ascii="宋体" w:hAnsi="宋体" w:cs="宋体"/>
                <w:b/>
                <w:bCs/>
                <w:sz w:val="21"/>
                <w:szCs w:val="21"/>
                <w:highlight w:val="none"/>
              </w:rPr>
            </w:pPr>
          </w:p>
        </w:tc>
      </w:tr>
      <w:tr w14:paraId="1BE1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6A30C">
            <w:pPr>
              <w:snapToGrid w:val="0"/>
              <w:spacing w:line="500" w:lineRule="exact"/>
              <w:ind w:firstLine="422" w:firstLineChars="200"/>
              <w:rPr>
                <w:rFonts w:ascii="宋体" w:hAnsi="宋体" w:cs="宋体"/>
                <w:b/>
                <w:bCs/>
                <w:sz w:val="21"/>
                <w:szCs w:val="21"/>
                <w:highlight w:val="none"/>
              </w:rPr>
            </w:pPr>
          </w:p>
        </w:tc>
        <w:tc>
          <w:tcPr>
            <w:tcW w:w="2658" w:type="dxa"/>
            <w:vAlign w:val="center"/>
          </w:tcPr>
          <w:p w14:paraId="61A170C5">
            <w:pPr>
              <w:snapToGrid w:val="0"/>
              <w:spacing w:line="500" w:lineRule="exact"/>
              <w:ind w:firstLine="422" w:firstLineChars="200"/>
              <w:rPr>
                <w:rFonts w:ascii="宋体" w:hAnsi="宋体" w:cs="宋体"/>
                <w:b/>
                <w:bCs/>
                <w:sz w:val="21"/>
                <w:szCs w:val="21"/>
                <w:highlight w:val="none"/>
              </w:rPr>
            </w:pPr>
          </w:p>
        </w:tc>
        <w:tc>
          <w:tcPr>
            <w:tcW w:w="2759" w:type="dxa"/>
            <w:vAlign w:val="center"/>
          </w:tcPr>
          <w:p w14:paraId="11585395">
            <w:pPr>
              <w:snapToGrid w:val="0"/>
              <w:spacing w:line="500" w:lineRule="exact"/>
              <w:ind w:firstLine="422" w:firstLineChars="200"/>
              <w:rPr>
                <w:rFonts w:ascii="宋体" w:hAnsi="宋体" w:cs="宋体"/>
                <w:b/>
                <w:bCs/>
                <w:sz w:val="21"/>
                <w:szCs w:val="21"/>
                <w:highlight w:val="none"/>
              </w:rPr>
            </w:pPr>
          </w:p>
        </w:tc>
        <w:tc>
          <w:tcPr>
            <w:tcW w:w="2067" w:type="dxa"/>
            <w:vAlign w:val="center"/>
          </w:tcPr>
          <w:p w14:paraId="263D0852">
            <w:pPr>
              <w:snapToGrid w:val="0"/>
              <w:spacing w:line="500" w:lineRule="exact"/>
              <w:ind w:firstLine="422" w:firstLineChars="200"/>
              <w:rPr>
                <w:rFonts w:ascii="宋体" w:hAnsi="宋体" w:cs="宋体"/>
                <w:b/>
                <w:bCs/>
                <w:sz w:val="21"/>
                <w:szCs w:val="21"/>
                <w:highlight w:val="none"/>
              </w:rPr>
            </w:pPr>
          </w:p>
        </w:tc>
      </w:tr>
    </w:tbl>
    <w:p w14:paraId="7FA42A10">
      <w:pPr>
        <w:snapToGrid w:val="0"/>
        <w:spacing w:line="500" w:lineRule="exact"/>
        <w:ind w:firstLine="422" w:firstLineChars="200"/>
        <w:rPr>
          <w:rFonts w:ascii="宋体" w:hAnsi="宋体" w:cs="宋体"/>
          <w:b/>
          <w:bCs/>
          <w:sz w:val="21"/>
          <w:szCs w:val="21"/>
          <w:highlight w:val="none"/>
        </w:rPr>
      </w:pPr>
    </w:p>
    <w:p w14:paraId="003530F5">
      <w:pPr>
        <w:spacing w:line="360" w:lineRule="auto"/>
        <w:jc w:val="left"/>
        <w:rPr>
          <w:rFonts w:ascii="宋体" w:hAnsi="宋体" w:cs="宋体"/>
          <w:bCs/>
          <w:kern w:val="1"/>
          <w:sz w:val="21"/>
          <w:szCs w:val="21"/>
          <w:highlight w:val="none"/>
        </w:rPr>
      </w:pPr>
    </w:p>
    <w:p w14:paraId="3BDCEB41">
      <w:pPr>
        <w:spacing w:line="360" w:lineRule="auto"/>
        <w:jc w:val="left"/>
        <w:rPr>
          <w:rFonts w:ascii="宋体" w:hAnsi="宋体" w:cs="宋体"/>
          <w:kern w:val="1"/>
          <w:sz w:val="21"/>
          <w:szCs w:val="21"/>
          <w:highlight w:val="none"/>
        </w:rPr>
      </w:pPr>
    </w:p>
    <w:p w14:paraId="5EF225DD">
      <w:pPr>
        <w:spacing w:line="360" w:lineRule="auto"/>
        <w:jc w:val="left"/>
        <w:rPr>
          <w:rFonts w:ascii="宋体" w:hAnsi="宋体" w:cs="宋体"/>
          <w:sz w:val="21"/>
          <w:szCs w:val="21"/>
          <w:highlight w:val="none"/>
        </w:rPr>
      </w:pPr>
      <w:r>
        <w:rPr>
          <w:rFonts w:hint="eastAsia" w:ascii="宋体" w:hAnsi="宋体" w:cs="宋体"/>
          <w:sz w:val="21"/>
          <w:szCs w:val="21"/>
          <w:highlight w:val="none"/>
        </w:rPr>
        <w:t>法定代表人/单位负责人或授权代表：</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（签字或加盖个人名章）</w:t>
      </w:r>
    </w:p>
    <w:p w14:paraId="031243E1">
      <w:pPr>
        <w:spacing w:line="360" w:lineRule="auto"/>
        <w:jc w:val="left"/>
        <w:rPr>
          <w:rFonts w:ascii="宋体" w:hAnsi="宋体" w:cs="宋体"/>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（单位盖章）</w:t>
      </w:r>
    </w:p>
    <w:p w14:paraId="06220F59">
      <w:pPr>
        <w:snapToGrid w:val="0"/>
        <w:spacing w:line="360" w:lineRule="auto"/>
        <w:ind w:firstLine="420" w:firstLineChars="200"/>
        <w:rPr>
          <w:rFonts w:ascii="宋体" w:hAnsi="宋体" w:cs="宋体"/>
          <w:b/>
          <w:bCs/>
          <w:sz w:val="21"/>
          <w:szCs w:val="21"/>
          <w:highlight w:val="none"/>
        </w:rPr>
      </w:pPr>
      <w:r>
        <w:rPr>
          <w:rFonts w:hint="eastAsia" w:ascii="宋体" w:hAnsi="宋体" w:cs="宋体"/>
          <w:sz w:val="21"/>
          <w:szCs w:val="21"/>
          <w:highlight w:val="none"/>
        </w:rPr>
        <w:t>日期：   年  月   日</w:t>
      </w:r>
    </w:p>
    <w:p w14:paraId="24FFA31C">
      <w:pPr>
        <w:tabs>
          <w:tab w:val="left" w:pos="6300"/>
        </w:tabs>
        <w:snapToGrid w:val="0"/>
        <w:spacing w:line="500" w:lineRule="exact"/>
        <w:ind w:firstLine="420" w:firstLineChars="200"/>
        <w:rPr>
          <w:rFonts w:ascii="宋体" w:hAnsi="宋体" w:cs="宋体"/>
          <w:sz w:val="21"/>
          <w:szCs w:val="21"/>
          <w:highlight w:val="none"/>
        </w:rPr>
      </w:pPr>
    </w:p>
    <w:p w14:paraId="380A9DE1">
      <w:pPr>
        <w:rPr>
          <w:rFonts w:ascii="宋体" w:hAnsi="宋体" w:cs="宋体"/>
          <w:b/>
          <w:bCs/>
          <w:color w:val="000000"/>
          <w:sz w:val="21"/>
          <w:szCs w:val="21"/>
          <w:highlight w:val="none"/>
        </w:rPr>
      </w:pPr>
      <w:r>
        <w:rPr>
          <w:rFonts w:hint="eastAsia" w:ascii="宋体" w:hAnsi="宋体" w:cs="宋体"/>
          <w:b/>
          <w:bCs/>
          <w:color w:val="000000"/>
          <w:sz w:val="21"/>
          <w:szCs w:val="21"/>
          <w:highlight w:val="none"/>
        </w:rPr>
        <w:br w:type="page"/>
      </w:r>
    </w:p>
    <w:p w14:paraId="56829ED1">
      <w:pPr>
        <w:snapToGrid w:val="0"/>
        <w:spacing w:line="360" w:lineRule="auto"/>
        <w:ind w:firstLine="422" w:firstLineChars="200"/>
        <w:outlineLvl w:val="2"/>
        <w:rPr>
          <w:rFonts w:ascii="宋体" w:hAnsi="宋体" w:cs="宋体"/>
          <w:b/>
          <w:bCs/>
          <w:color w:val="000000"/>
          <w:sz w:val="21"/>
          <w:szCs w:val="21"/>
          <w:highlight w:val="none"/>
        </w:rPr>
      </w:pPr>
      <w:r>
        <w:rPr>
          <w:rFonts w:hint="eastAsia" w:ascii="宋体" w:hAnsi="宋体" w:cs="宋体"/>
          <w:b/>
          <w:bCs/>
          <w:color w:val="000000"/>
          <w:sz w:val="21"/>
          <w:szCs w:val="21"/>
          <w:highlight w:val="none"/>
        </w:rPr>
        <w:t>（二）技术（质量）需求响应所需的其他资料（如有）</w:t>
      </w:r>
    </w:p>
    <w:p w14:paraId="4C6EFC04">
      <w:pPr>
        <w:rPr>
          <w:rFonts w:ascii="宋体" w:hAnsi="宋体" w:cs="宋体"/>
          <w:bCs/>
          <w:sz w:val="24"/>
          <w:szCs w:val="24"/>
          <w:highlight w:val="none"/>
        </w:rPr>
      </w:pPr>
      <w:r>
        <w:rPr>
          <w:rFonts w:hint="eastAsia" w:ascii="宋体" w:hAnsi="宋体" w:cs="宋体"/>
          <w:bCs/>
          <w:sz w:val="24"/>
          <w:szCs w:val="24"/>
          <w:highlight w:val="none"/>
        </w:rPr>
        <w:br w:type="page"/>
      </w:r>
    </w:p>
    <w:p w14:paraId="26A3401F">
      <w:pPr>
        <w:spacing w:line="360" w:lineRule="auto"/>
        <w:outlineLvl w:val="1"/>
        <w:rPr>
          <w:rFonts w:ascii="宋体" w:hAnsi="宋体" w:cs="宋体"/>
          <w:b/>
          <w:bCs/>
          <w:sz w:val="24"/>
          <w:szCs w:val="24"/>
          <w:highlight w:val="none"/>
        </w:rPr>
      </w:pPr>
      <w:bookmarkStart w:id="55" w:name="_Toc25088"/>
      <w:r>
        <w:rPr>
          <w:rFonts w:hint="eastAsia" w:ascii="宋体" w:hAnsi="宋体" w:cs="宋体"/>
          <w:b/>
          <w:bCs/>
          <w:sz w:val="24"/>
          <w:szCs w:val="24"/>
          <w:highlight w:val="none"/>
        </w:rPr>
        <w:t>三、商务部分</w:t>
      </w:r>
      <w:bookmarkEnd w:id="55"/>
    </w:p>
    <w:p w14:paraId="4BD44F86">
      <w:pPr>
        <w:jc w:val="center"/>
        <w:outlineLvl w:val="2"/>
        <w:rPr>
          <w:rFonts w:ascii="宋体" w:hAnsi="宋体" w:cs="宋体"/>
          <w:b/>
          <w:bCs/>
          <w:highlight w:val="none"/>
        </w:rPr>
      </w:pPr>
      <w:r>
        <w:rPr>
          <w:rFonts w:hint="eastAsia" w:ascii="宋体" w:hAnsi="宋体" w:cs="宋体"/>
          <w:b/>
          <w:bCs/>
          <w:highlight w:val="none"/>
        </w:rPr>
        <w:t>（一）项目商务需求响应承诺（代商务响应偏离表）</w:t>
      </w:r>
    </w:p>
    <w:p w14:paraId="0246A041">
      <w:pPr>
        <w:spacing w:line="360" w:lineRule="auto"/>
        <w:jc w:val="center"/>
        <w:rPr>
          <w:rFonts w:ascii="宋体" w:hAnsi="宋体" w:cs="宋体"/>
          <w:sz w:val="21"/>
          <w:szCs w:val="21"/>
          <w:highlight w:val="none"/>
        </w:rPr>
      </w:pPr>
    </w:p>
    <w:p w14:paraId="18EE6E8C">
      <w:pPr>
        <w:spacing w:line="400" w:lineRule="exact"/>
        <w:rPr>
          <w:rFonts w:ascii="宋体" w:hAnsi="宋体" w:cs="宋体"/>
          <w:sz w:val="21"/>
          <w:szCs w:val="21"/>
          <w:highlight w:val="none"/>
        </w:rPr>
      </w:pPr>
      <w:r>
        <w:rPr>
          <w:rFonts w:hint="eastAsia" w:ascii="宋体" w:hAnsi="宋体" w:cs="宋体"/>
          <w:sz w:val="21"/>
          <w:szCs w:val="21"/>
          <w:highlight w:val="none"/>
          <w:u w:val="single"/>
        </w:rPr>
        <w:t xml:space="preserve">                      （采购人）</w:t>
      </w:r>
      <w:r>
        <w:rPr>
          <w:rFonts w:hint="eastAsia" w:ascii="宋体" w:hAnsi="宋体" w:cs="宋体"/>
          <w:sz w:val="21"/>
          <w:szCs w:val="21"/>
          <w:highlight w:val="none"/>
        </w:rPr>
        <w:t xml:space="preserve"> ：</w:t>
      </w:r>
    </w:p>
    <w:p w14:paraId="3705A224">
      <w:pPr>
        <w:snapToGrid w:val="0"/>
        <w:spacing w:line="500" w:lineRule="exact"/>
        <w:ind w:firstLine="420" w:firstLineChars="200"/>
        <w:rPr>
          <w:rFonts w:ascii="宋体" w:hAnsi="宋体" w:cs="宋体"/>
          <w:sz w:val="21"/>
          <w:szCs w:val="21"/>
          <w:highlight w:val="none"/>
        </w:rPr>
      </w:pPr>
    </w:p>
    <w:p w14:paraId="33E97DCC">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我单位承诺已知悉和理解本项目的项目商务需求，并完全响应本项目的项目商务需求，无不满足的情况。</w:t>
      </w:r>
    </w:p>
    <w:p w14:paraId="50C99608">
      <w:pPr>
        <w:snapToGrid w:val="0"/>
        <w:spacing w:line="500" w:lineRule="exact"/>
        <w:rPr>
          <w:rFonts w:ascii="宋体" w:hAnsi="宋体" w:cs="宋体"/>
          <w:sz w:val="21"/>
          <w:szCs w:val="21"/>
          <w:highlight w:val="none"/>
        </w:rPr>
      </w:pPr>
    </w:p>
    <w:p w14:paraId="26F32276">
      <w:pPr>
        <w:snapToGrid w:val="0"/>
        <w:spacing w:line="500" w:lineRule="exact"/>
        <w:ind w:firstLine="420" w:firstLineChars="200"/>
        <w:rPr>
          <w:rFonts w:ascii="宋体" w:hAnsi="宋体" w:cs="宋体"/>
          <w:sz w:val="21"/>
          <w:szCs w:val="21"/>
          <w:highlight w:val="none"/>
        </w:rPr>
      </w:pPr>
      <w:r>
        <w:rPr>
          <w:rFonts w:hint="eastAsia" w:ascii="宋体" w:hAnsi="宋体" w:cs="宋体"/>
          <w:sz w:val="21"/>
          <w:szCs w:val="21"/>
          <w:highlight w:val="none"/>
        </w:rPr>
        <w:t>如有偏离请填写下表，无偏离则不填写。</w:t>
      </w:r>
    </w:p>
    <w:p w14:paraId="419D7E7F">
      <w:pPr>
        <w:jc w:val="center"/>
        <w:rPr>
          <w:rFonts w:ascii="宋体" w:hAnsi="宋体" w:cs="宋体"/>
          <w:sz w:val="21"/>
          <w:szCs w:val="21"/>
          <w:highlight w:val="none"/>
        </w:rPr>
      </w:pPr>
      <w:r>
        <w:rPr>
          <w:rFonts w:hint="eastAsia" w:ascii="宋体" w:hAnsi="宋体" w:cs="宋体"/>
          <w:sz w:val="21"/>
          <w:szCs w:val="21"/>
          <w:highlight w:val="none"/>
        </w:rPr>
        <w:t>商务响应偏离表</w:t>
      </w:r>
    </w:p>
    <w:p w14:paraId="10AE35DC">
      <w:pPr>
        <w:spacing w:line="360" w:lineRule="auto"/>
        <w:jc w:val="left"/>
        <w:rPr>
          <w:rFonts w:ascii="宋体" w:hAnsi="宋体" w:cs="宋体"/>
          <w:kern w:val="1"/>
          <w:sz w:val="21"/>
          <w:szCs w:val="21"/>
          <w:highlight w:val="none"/>
        </w:rPr>
      </w:pPr>
      <w:r>
        <w:rPr>
          <w:rFonts w:hint="eastAsia" w:ascii="宋体" w:hAnsi="宋体" w:cs="宋体"/>
          <w:kern w:val="1"/>
          <w:sz w:val="21"/>
          <w:szCs w:val="21"/>
          <w:highlight w:val="none"/>
        </w:rPr>
        <w:t xml:space="preserve">项目名称：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266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514C484">
            <w:pPr>
              <w:spacing w:line="360" w:lineRule="auto"/>
              <w:jc w:val="center"/>
              <w:rPr>
                <w:rFonts w:ascii="宋体" w:hAnsi="宋体" w:cs="宋体"/>
                <w:kern w:val="1"/>
                <w:sz w:val="21"/>
                <w:szCs w:val="21"/>
                <w:highlight w:val="none"/>
              </w:rPr>
            </w:pPr>
            <w:bookmarkStart w:id="56" w:name="_Toc27828"/>
            <w:r>
              <w:rPr>
                <w:rFonts w:hint="eastAsia" w:ascii="宋体" w:hAnsi="宋体" w:cs="宋体"/>
                <w:kern w:val="1"/>
                <w:sz w:val="21"/>
                <w:szCs w:val="21"/>
                <w:highlight w:val="none"/>
              </w:rPr>
              <w:t>序号</w:t>
            </w:r>
            <w:bookmarkEnd w:id="56"/>
          </w:p>
        </w:tc>
        <w:tc>
          <w:tcPr>
            <w:tcW w:w="2658" w:type="dxa"/>
            <w:vAlign w:val="center"/>
          </w:tcPr>
          <w:p w14:paraId="0A1AA180">
            <w:pPr>
              <w:spacing w:line="360" w:lineRule="auto"/>
              <w:jc w:val="center"/>
              <w:rPr>
                <w:rFonts w:ascii="宋体" w:hAnsi="宋体" w:cs="宋体"/>
                <w:kern w:val="1"/>
                <w:sz w:val="21"/>
                <w:szCs w:val="21"/>
                <w:highlight w:val="none"/>
              </w:rPr>
            </w:pPr>
            <w:bookmarkStart w:id="57" w:name="_Toc30864"/>
            <w:r>
              <w:rPr>
                <w:rFonts w:hint="eastAsia" w:ascii="宋体" w:hAnsi="宋体" w:cs="宋体"/>
                <w:kern w:val="1"/>
                <w:sz w:val="21"/>
                <w:szCs w:val="21"/>
                <w:highlight w:val="none"/>
              </w:rPr>
              <w:t>采购需求</w:t>
            </w:r>
            <w:bookmarkEnd w:id="57"/>
          </w:p>
        </w:tc>
        <w:tc>
          <w:tcPr>
            <w:tcW w:w="2759" w:type="dxa"/>
            <w:vAlign w:val="center"/>
          </w:tcPr>
          <w:p w14:paraId="551CA06D">
            <w:pPr>
              <w:spacing w:line="360" w:lineRule="auto"/>
              <w:jc w:val="center"/>
              <w:rPr>
                <w:rFonts w:ascii="宋体" w:hAnsi="宋体" w:cs="宋体"/>
                <w:kern w:val="1"/>
                <w:sz w:val="21"/>
                <w:szCs w:val="21"/>
                <w:highlight w:val="none"/>
              </w:rPr>
            </w:pPr>
            <w:bookmarkStart w:id="58" w:name="_Toc7825"/>
            <w:r>
              <w:rPr>
                <w:rFonts w:hint="eastAsia" w:ascii="宋体" w:hAnsi="宋体" w:cs="宋体"/>
                <w:kern w:val="1"/>
                <w:sz w:val="21"/>
                <w:szCs w:val="21"/>
                <w:highlight w:val="none"/>
              </w:rPr>
              <w:t>响应情况</w:t>
            </w:r>
            <w:bookmarkEnd w:id="58"/>
          </w:p>
        </w:tc>
        <w:tc>
          <w:tcPr>
            <w:tcW w:w="2067" w:type="dxa"/>
            <w:vAlign w:val="center"/>
          </w:tcPr>
          <w:p w14:paraId="72184FB8">
            <w:pPr>
              <w:spacing w:line="360" w:lineRule="auto"/>
              <w:jc w:val="center"/>
              <w:rPr>
                <w:rFonts w:ascii="宋体" w:hAnsi="宋体" w:cs="宋体"/>
                <w:kern w:val="1"/>
                <w:sz w:val="21"/>
                <w:szCs w:val="21"/>
                <w:highlight w:val="none"/>
              </w:rPr>
            </w:pPr>
            <w:bookmarkStart w:id="59" w:name="_Toc9474"/>
            <w:r>
              <w:rPr>
                <w:rFonts w:hint="eastAsia" w:ascii="宋体" w:hAnsi="宋体" w:cs="宋体"/>
                <w:kern w:val="1"/>
                <w:sz w:val="21"/>
                <w:szCs w:val="21"/>
                <w:highlight w:val="none"/>
              </w:rPr>
              <w:t>偏离说明</w:t>
            </w:r>
            <w:bookmarkEnd w:id="59"/>
          </w:p>
        </w:tc>
      </w:tr>
      <w:tr w14:paraId="794A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3A1F98">
            <w:pPr>
              <w:spacing w:line="360" w:lineRule="auto"/>
              <w:jc w:val="left"/>
              <w:rPr>
                <w:rFonts w:ascii="宋体" w:hAnsi="宋体" w:cs="宋体"/>
                <w:kern w:val="1"/>
                <w:sz w:val="21"/>
                <w:szCs w:val="21"/>
                <w:highlight w:val="none"/>
              </w:rPr>
            </w:pPr>
          </w:p>
        </w:tc>
        <w:tc>
          <w:tcPr>
            <w:tcW w:w="2658" w:type="dxa"/>
            <w:vAlign w:val="center"/>
          </w:tcPr>
          <w:p w14:paraId="7E194650">
            <w:pPr>
              <w:spacing w:line="360" w:lineRule="auto"/>
              <w:jc w:val="left"/>
              <w:rPr>
                <w:rFonts w:ascii="宋体" w:hAnsi="宋体" w:cs="宋体"/>
                <w:kern w:val="1"/>
                <w:sz w:val="21"/>
                <w:szCs w:val="21"/>
                <w:highlight w:val="none"/>
              </w:rPr>
            </w:pPr>
          </w:p>
        </w:tc>
        <w:tc>
          <w:tcPr>
            <w:tcW w:w="2759" w:type="dxa"/>
            <w:vAlign w:val="center"/>
          </w:tcPr>
          <w:p w14:paraId="40D4840D">
            <w:pPr>
              <w:spacing w:line="360" w:lineRule="auto"/>
              <w:jc w:val="left"/>
              <w:rPr>
                <w:rFonts w:ascii="宋体" w:hAnsi="宋体" w:cs="宋体"/>
                <w:kern w:val="1"/>
                <w:sz w:val="21"/>
                <w:szCs w:val="21"/>
                <w:highlight w:val="none"/>
              </w:rPr>
            </w:pPr>
          </w:p>
        </w:tc>
        <w:tc>
          <w:tcPr>
            <w:tcW w:w="2067" w:type="dxa"/>
            <w:vAlign w:val="center"/>
          </w:tcPr>
          <w:p w14:paraId="6D4DBD71">
            <w:pPr>
              <w:spacing w:line="360" w:lineRule="auto"/>
              <w:jc w:val="left"/>
              <w:rPr>
                <w:rFonts w:ascii="宋体" w:hAnsi="宋体" w:cs="宋体"/>
                <w:kern w:val="1"/>
                <w:sz w:val="21"/>
                <w:szCs w:val="21"/>
                <w:highlight w:val="none"/>
              </w:rPr>
            </w:pPr>
          </w:p>
        </w:tc>
      </w:tr>
      <w:tr w14:paraId="682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4E7A80">
            <w:pPr>
              <w:spacing w:line="360" w:lineRule="auto"/>
              <w:jc w:val="left"/>
              <w:rPr>
                <w:rFonts w:ascii="宋体" w:hAnsi="宋体" w:cs="宋体"/>
                <w:kern w:val="1"/>
                <w:sz w:val="21"/>
                <w:szCs w:val="21"/>
                <w:highlight w:val="none"/>
              </w:rPr>
            </w:pPr>
          </w:p>
        </w:tc>
        <w:tc>
          <w:tcPr>
            <w:tcW w:w="2658" w:type="dxa"/>
            <w:vAlign w:val="center"/>
          </w:tcPr>
          <w:p w14:paraId="1123F96D">
            <w:pPr>
              <w:spacing w:line="360" w:lineRule="auto"/>
              <w:jc w:val="left"/>
              <w:rPr>
                <w:rFonts w:ascii="宋体" w:hAnsi="宋体" w:cs="宋体"/>
                <w:kern w:val="1"/>
                <w:sz w:val="21"/>
                <w:szCs w:val="21"/>
                <w:highlight w:val="none"/>
              </w:rPr>
            </w:pPr>
          </w:p>
        </w:tc>
        <w:tc>
          <w:tcPr>
            <w:tcW w:w="2759" w:type="dxa"/>
            <w:vAlign w:val="center"/>
          </w:tcPr>
          <w:p w14:paraId="4126168D">
            <w:pPr>
              <w:spacing w:line="360" w:lineRule="auto"/>
              <w:jc w:val="left"/>
              <w:rPr>
                <w:rFonts w:ascii="宋体" w:hAnsi="宋体" w:cs="宋体"/>
                <w:kern w:val="1"/>
                <w:sz w:val="21"/>
                <w:szCs w:val="21"/>
                <w:highlight w:val="none"/>
              </w:rPr>
            </w:pPr>
          </w:p>
        </w:tc>
        <w:tc>
          <w:tcPr>
            <w:tcW w:w="2067" w:type="dxa"/>
            <w:vAlign w:val="center"/>
          </w:tcPr>
          <w:p w14:paraId="0F875DF0">
            <w:pPr>
              <w:spacing w:line="360" w:lineRule="auto"/>
              <w:jc w:val="left"/>
              <w:rPr>
                <w:rFonts w:ascii="宋体" w:hAnsi="宋体" w:cs="宋体"/>
                <w:kern w:val="1"/>
                <w:sz w:val="21"/>
                <w:szCs w:val="21"/>
                <w:highlight w:val="none"/>
              </w:rPr>
            </w:pPr>
          </w:p>
        </w:tc>
      </w:tr>
    </w:tbl>
    <w:p w14:paraId="23E8B62D">
      <w:pPr>
        <w:spacing w:line="360" w:lineRule="auto"/>
        <w:jc w:val="left"/>
        <w:rPr>
          <w:rFonts w:ascii="宋体" w:hAnsi="宋体" w:cs="宋体"/>
          <w:kern w:val="1"/>
          <w:sz w:val="21"/>
          <w:szCs w:val="21"/>
          <w:highlight w:val="none"/>
        </w:rPr>
      </w:pPr>
    </w:p>
    <w:p w14:paraId="36FA5E58">
      <w:pPr>
        <w:spacing w:line="360" w:lineRule="auto"/>
        <w:jc w:val="left"/>
        <w:rPr>
          <w:rFonts w:ascii="宋体" w:hAnsi="宋体" w:cs="宋体"/>
          <w:kern w:val="1"/>
          <w:sz w:val="21"/>
          <w:szCs w:val="21"/>
          <w:highlight w:val="none"/>
        </w:rPr>
      </w:pPr>
    </w:p>
    <w:p w14:paraId="61E9406B">
      <w:pPr>
        <w:spacing w:line="360" w:lineRule="auto"/>
        <w:jc w:val="left"/>
        <w:rPr>
          <w:rFonts w:ascii="宋体" w:hAnsi="宋体" w:cs="宋体"/>
          <w:sz w:val="21"/>
          <w:szCs w:val="21"/>
          <w:highlight w:val="none"/>
        </w:rPr>
      </w:pPr>
      <w:r>
        <w:rPr>
          <w:rFonts w:hint="eastAsia" w:ascii="宋体" w:hAnsi="宋体" w:cs="宋体"/>
          <w:sz w:val="21"/>
          <w:szCs w:val="21"/>
          <w:highlight w:val="none"/>
        </w:rPr>
        <w:t>法定代表人/单位负责人或授权代表：</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（签字或加盖个人名章）</w:t>
      </w:r>
    </w:p>
    <w:p w14:paraId="3BC24B08">
      <w:pPr>
        <w:spacing w:line="360" w:lineRule="auto"/>
        <w:jc w:val="left"/>
        <w:rPr>
          <w:rFonts w:ascii="宋体" w:hAnsi="宋体" w:cs="宋体"/>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（单位盖章）</w:t>
      </w:r>
    </w:p>
    <w:p w14:paraId="286776F8">
      <w:pPr>
        <w:pStyle w:val="8"/>
        <w:spacing w:line="360" w:lineRule="auto"/>
        <w:ind w:firstLine="210"/>
        <w:rPr>
          <w:rFonts w:ascii="宋体" w:hAnsi="宋体" w:eastAsia="宋体" w:cs="宋体"/>
          <w:sz w:val="21"/>
          <w:szCs w:val="21"/>
          <w:highlight w:val="none"/>
        </w:rPr>
      </w:pPr>
      <w:r>
        <w:rPr>
          <w:rFonts w:hint="eastAsia" w:ascii="宋体" w:hAnsi="宋体" w:eastAsia="宋体" w:cs="宋体"/>
          <w:sz w:val="21"/>
          <w:szCs w:val="21"/>
          <w:highlight w:val="none"/>
        </w:rPr>
        <w:t>日期：       年  月  日</w:t>
      </w:r>
    </w:p>
    <w:p w14:paraId="03B54A88">
      <w:pPr>
        <w:tabs>
          <w:tab w:val="left" w:pos="6300"/>
        </w:tabs>
        <w:adjustRightInd w:val="0"/>
        <w:snapToGrid w:val="0"/>
        <w:spacing w:line="360" w:lineRule="auto"/>
        <w:ind w:firstLine="420" w:firstLineChars="200"/>
        <w:jc w:val="left"/>
        <w:rPr>
          <w:rFonts w:ascii="宋体" w:hAnsi="宋体" w:cs="宋体"/>
          <w:sz w:val="21"/>
          <w:szCs w:val="21"/>
          <w:highlight w:val="none"/>
        </w:rPr>
      </w:pPr>
    </w:p>
    <w:p w14:paraId="5B65CABA">
      <w:pPr>
        <w:rPr>
          <w:rFonts w:ascii="宋体" w:hAnsi="宋体" w:cs="宋体"/>
          <w:sz w:val="24"/>
          <w:szCs w:val="24"/>
          <w:highlight w:val="none"/>
        </w:rPr>
      </w:pPr>
      <w:r>
        <w:rPr>
          <w:rFonts w:hint="eastAsia" w:ascii="宋体" w:hAnsi="宋体" w:cs="宋体"/>
          <w:sz w:val="24"/>
          <w:szCs w:val="24"/>
          <w:highlight w:val="none"/>
        </w:rPr>
        <w:br w:type="page"/>
      </w:r>
    </w:p>
    <w:p w14:paraId="05E2033B">
      <w:pPr>
        <w:pStyle w:val="4"/>
        <w:spacing w:before="0" w:after="0" w:line="360" w:lineRule="auto"/>
        <w:rPr>
          <w:rFonts w:ascii="宋体" w:hAnsi="宋体" w:cs="宋体"/>
          <w:sz w:val="24"/>
          <w:szCs w:val="24"/>
          <w:highlight w:val="none"/>
        </w:rPr>
      </w:pPr>
      <w:r>
        <w:rPr>
          <w:rFonts w:hint="eastAsia" w:ascii="宋体" w:hAnsi="宋体" w:cs="宋体"/>
          <w:sz w:val="24"/>
          <w:szCs w:val="24"/>
          <w:highlight w:val="none"/>
        </w:rPr>
        <w:t>（二）商务需求响应所需的其他资料（如有）</w:t>
      </w:r>
    </w:p>
    <w:p w14:paraId="15935AFE">
      <w:pPr>
        <w:spacing w:line="360" w:lineRule="auto"/>
        <w:outlineLvl w:val="1"/>
        <w:rPr>
          <w:rFonts w:ascii="宋体" w:hAnsi="宋体" w:cs="宋体"/>
          <w:b/>
          <w:bCs/>
          <w:highlight w:val="none"/>
        </w:rPr>
      </w:pPr>
      <w:r>
        <w:rPr>
          <w:rFonts w:hint="eastAsia" w:ascii="宋体" w:hAnsi="宋体" w:cs="宋体"/>
          <w:sz w:val="24"/>
          <w:szCs w:val="24"/>
          <w:highlight w:val="none"/>
        </w:rPr>
        <w:br w:type="page"/>
      </w:r>
      <w:bookmarkStart w:id="60" w:name="_Toc29886"/>
      <w:r>
        <w:rPr>
          <w:rFonts w:hint="eastAsia" w:ascii="宋体" w:hAnsi="宋体" w:cs="宋体"/>
          <w:b/>
          <w:bCs/>
          <w:sz w:val="24"/>
          <w:szCs w:val="24"/>
          <w:highlight w:val="none"/>
        </w:rPr>
        <w:t>四、资格条件及其他</w:t>
      </w:r>
      <w:bookmarkEnd w:id="60"/>
    </w:p>
    <w:p w14:paraId="57102441">
      <w:pPr>
        <w:jc w:val="center"/>
        <w:rPr>
          <w:rFonts w:ascii="宋体" w:hAnsi="宋体" w:cs="宋体"/>
          <w:sz w:val="21"/>
          <w:szCs w:val="15"/>
          <w:highlight w:val="none"/>
        </w:rPr>
      </w:pPr>
    </w:p>
    <w:p w14:paraId="42F87075">
      <w:pPr>
        <w:jc w:val="center"/>
        <w:outlineLvl w:val="2"/>
        <w:rPr>
          <w:rFonts w:ascii="宋体" w:hAnsi="宋体" w:cs="宋体"/>
          <w:color w:val="000000"/>
          <w:sz w:val="21"/>
          <w:szCs w:val="21"/>
          <w:highlight w:val="none"/>
        </w:rPr>
      </w:pPr>
      <w:r>
        <w:rPr>
          <w:rFonts w:hint="eastAsia" w:ascii="宋体" w:hAnsi="宋体" w:cs="宋体"/>
          <w:sz w:val="21"/>
          <w:szCs w:val="21"/>
          <w:highlight w:val="none"/>
        </w:rPr>
        <w:t>（一）法人营业执照（加盖投标供应商公章）</w:t>
      </w:r>
    </w:p>
    <w:p w14:paraId="2B2071F2">
      <w:pPr>
        <w:tabs>
          <w:tab w:val="left" w:pos="6300"/>
        </w:tabs>
        <w:snapToGrid w:val="0"/>
        <w:spacing w:line="360" w:lineRule="auto"/>
        <w:ind w:firstLine="570"/>
        <w:rPr>
          <w:rFonts w:ascii="宋体" w:hAnsi="宋体" w:cs="宋体"/>
          <w:sz w:val="24"/>
          <w:szCs w:val="24"/>
          <w:highlight w:val="none"/>
        </w:rPr>
      </w:pPr>
    </w:p>
    <w:p w14:paraId="571E03C7">
      <w:pPr>
        <w:tabs>
          <w:tab w:val="left" w:pos="6300"/>
        </w:tabs>
        <w:snapToGrid w:val="0"/>
        <w:spacing w:line="360" w:lineRule="auto"/>
        <w:ind w:firstLine="570"/>
        <w:rPr>
          <w:rFonts w:ascii="宋体" w:hAnsi="宋体" w:cs="宋体"/>
          <w:highlight w:val="none"/>
        </w:rPr>
      </w:pPr>
    </w:p>
    <w:p w14:paraId="22844B95">
      <w:pPr>
        <w:tabs>
          <w:tab w:val="left" w:pos="6300"/>
        </w:tabs>
        <w:snapToGrid w:val="0"/>
        <w:spacing w:line="360" w:lineRule="auto"/>
        <w:ind w:firstLine="570"/>
        <w:rPr>
          <w:rFonts w:ascii="宋体" w:hAnsi="宋体" w:cs="宋体"/>
          <w:highlight w:val="none"/>
        </w:rPr>
      </w:pPr>
    </w:p>
    <w:p w14:paraId="5E72ABAE">
      <w:pPr>
        <w:jc w:val="left"/>
        <w:outlineLvl w:val="2"/>
        <w:rPr>
          <w:rFonts w:ascii="宋体" w:hAnsi="宋体" w:cs="宋体"/>
          <w:sz w:val="21"/>
          <w:szCs w:val="15"/>
          <w:highlight w:val="none"/>
        </w:rPr>
      </w:pPr>
      <w:r>
        <w:rPr>
          <w:rFonts w:hint="eastAsia" w:ascii="宋体" w:hAnsi="宋体" w:cs="宋体"/>
          <w:highlight w:val="none"/>
        </w:rPr>
        <w:br w:type="page"/>
      </w:r>
      <w:r>
        <w:rPr>
          <w:rFonts w:hint="eastAsia" w:ascii="宋体" w:hAnsi="宋体" w:cs="宋体"/>
          <w:sz w:val="21"/>
          <w:szCs w:val="15"/>
          <w:highlight w:val="none"/>
        </w:rPr>
        <w:t>（二）法定代表人身份证明书（格式）</w:t>
      </w:r>
    </w:p>
    <w:p w14:paraId="0E7D1B35">
      <w:pPr>
        <w:tabs>
          <w:tab w:val="left" w:pos="6300"/>
        </w:tabs>
        <w:snapToGrid w:val="0"/>
        <w:spacing w:line="360" w:lineRule="auto"/>
        <w:ind w:firstLine="570"/>
        <w:rPr>
          <w:rFonts w:ascii="宋体" w:hAnsi="宋体" w:cs="宋体"/>
          <w:sz w:val="24"/>
          <w:highlight w:val="none"/>
        </w:rPr>
      </w:pPr>
    </w:p>
    <w:p w14:paraId="14577D12">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竞采项目名称：</w:t>
      </w:r>
      <w:r>
        <w:rPr>
          <w:rFonts w:hint="eastAsia" w:ascii="宋体" w:hAnsi="宋体" w:cs="宋体"/>
          <w:sz w:val="24"/>
          <w:highlight w:val="none"/>
          <w:u w:val="single"/>
        </w:rPr>
        <w:t xml:space="preserve">                                                </w:t>
      </w:r>
    </w:p>
    <w:p w14:paraId="2D90A771">
      <w:pPr>
        <w:tabs>
          <w:tab w:val="left" w:pos="6300"/>
        </w:tabs>
        <w:snapToGrid w:val="0"/>
        <w:spacing w:line="360" w:lineRule="auto"/>
        <w:ind w:firstLine="570"/>
        <w:rPr>
          <w:rFonts w:ascii="宋体" w:hAnsi="宋体" w:cs="宋体"/>
          <w:sz w:val="24"/>
          <w:highlight w:val="none"/>
        </w:rPr>
      </w:pPr>
    </w:p>
    <w:p w14:paraId="58435E3C">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（采购人名称）：</w:t>
      </w:r>
    </w:p>
    <w:p w14:paraId="4FE83013">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（法定代表人姓名）在</w:t>
      </w:r>
      <w:r>
        <w:rPr>
          <w:rFonts w:hint="eastAsia" w:ascii="宋体" w:hAnsi="宋体" w:cs="宋体"/>
          <w:sz w:val="24"/>
          <w:highlight w:val="none"/>
          <w:u w:val="single"/>
        </w:rPr>
        <w:t xml:space="preserve">                       </w:t>
      </w:r>
      <w:r>
        <w:rPr>
          <w:rFonts w:hint="eastAsia" w:ascii="宋体" w:hAnsi="宋体" w:cs="宋体"/>
          <w:sz w:val="24"/>
          <w:highlight w:val="none"/>
        </w:rPr>
        <w:t>（供应商名称）任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（职务名称）职务，是（供应商名称）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00105A12">
      <w:pPr>
        <w:tabs>
          <w:tab w:val="left" w:pos="6300"/>
        </w:tabs>
        <w:snapToGrid w:val="0"/>
        <w:spacing w:line="360" w:lineRule="auto"/>
        <w:ind w:firstLine="570"/>
        <w:rPr>
          <w:rFonts w:ascii="宋体" w:hAnsi="宋体" w:cs="宋体"/>
          <w:sz w:val="24"/>
          <w:highlight w:val="none"/>
        </w:rPr>
      </w:pPr>
    </w:p>
    <w:p w14:paraId="6918B25A">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特此证明。</w:t>
      </w:r>
    </w:p>
    <w:p w14:paraId="516AAF48">
      <w:pPr>
        <w:tabs>
          <w:tab w:val="left" w:pos="6300"/>
        </w:tabs>
        <w:snapToGrid w:val="0"/>
        <w:spacing w:line="360" w:lineRule="auto"/>
        <w:ind w:firstLine="570"/>
        <w:rPr>
          <w:rFonts w:ascii="宋体" w:hAnsi="宋体" w:cs="宋体"/>
          <w:sz w:val="24"/>
          <w:highlight w:val="none"/>
        </w:rPr>
      </w:pPr>
    </w:p>
    <w:p w14:paraId="57B94207">
      <w:pPr>
        <w:tabs>
          <w:tab w:val="left" w:pos="6300"/>
        </w:tabs>
        <w:snapToGrid w:val="0"/>
        <w:spacing w:line="360" w:lineRule="auto"/>
        <w:ind w:firstLine="570"/>
        <w:rPr>
          <w:rFonts w:ascii="宋体" w:hAnsi="宋体" w:cs="宋体"/>
          <w:sz w:val="24"/>
          <w:highlight w:val="none"/>
        </w:rPr>
      </w:pPr>
    </w:p>
    <w:p w14:paraId="3589FAB7">
      <w:pPr>
        <w:tabs>
          <w:tab w:val="left" w:pos="6300"/>
        </w:tabs>
        <w:snapToGrid w:val="0"/>
        <w:spacing w:line="360" w:lineRule="auto"/>
        <w:ind w:firstLine="570"/>
        <w:rPr>
          <w:rFonts w:ascii="宋体" w:hAnsi="宋体" w:cs="宋体"/>
          <w:sz w:val="24"/>
          <w:highlight w:val="none"/>
        </w:rPr>
      </w:pPr>
    </w:p>
    <w:p w14:paraId="1EA7E188">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（供应商公章）</w:t>
      </w:r>
    </w:p>
    <w:p w14:paraId="2929E9C6">
      <w:pPr>
        <w:tabs>
          <w:tab w:val="left" w:pos="6300"/>
        </w:tabs>
        <w:snapToGrid w:val="0"/>
        <w:spacing w:line="360" w:lineRule="auto"/>
        <w:ind w:firstLine="570"/>
        <w:rPr>
          <w:rFonts w:ascii="宋体" w:hAnsi="宋体" w:cs="宋体"/>
          <w:sz w:val="24"/>
          <w:highlight w:val="none"/>
        </w:rPr>
      </w:pPr>
    </w:p>
    <w:p w14:paraId="23095FC7">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年   月   日</w:t>
      </w:r>
    </w:p>
    <w:p w14:paraId="493035AA">
      <w:pPr>
        <w:tabs>
          <w:tab w:val="left" w:pos="6300"/>
        </w:tabs>
        <w:snapToGrid w:val="0"/>
        <w:spacing w:line="360" w:lineRule="auto"/>
        <w:ind w:firstLine="570"/>
        <w:rPr>
          <w:rFonts w:ascii="宋体" w:hAnsi="宋体" w:cs="宋体"/>
          <w:sz w:val="24"/>
          <w:highlight w:val="none"/>
        </w:rPr>
      </w:pPr>
    </w:p>
    <w:p w14:paraId="567011C8">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（附：法定代表人身份证正反面复印件）</w:t>
      </w:r>
    </w:p>
    <w:p w14:paraId="09B0B8E6">
      <w:pPr>
        <w:tabs>
          <w:tab w:val="left" w:pos="6300"/>
        </w:tabs>
        <w:snapToGrid w:val="0"/>
        <w:spacing w:line="360" w:lineRule="auto"/>
        <w:ind w:firstLine="570"/>
        <w:rPr>
          <w:rFonts w:ascii="宋体" w:hAnsi="宋体" w:cs="宋体"/>
          <w:sz w:val="24"/>
          <w:highlight w:val="none"/>
        </w:rPr>
      </w:pPr>
    </w:p>
    <w:p w14:paraId="4C29411F">
      <w:pPr>
        <w:tabs>
          <w:tab w:val="left" w:pos="6300"/>
        </w:tabs>
        <w:snapToGrid w:val="0"/>
        <w:spacing w:line="360" w:lineRule="auto"/>
        <w:ind w:firstLine="570"/>
        <w:rPr>
          <w:rFonts w:ascii="宋体" w:hAnsi="宋体" w:cs="宋体"/>
          <w:sz w:val="24"/>
          <w:highlight w:val="none"/>
        </w:rPr>
      </w:pPr>
    </w:p>
    <w:p w14:paraId="1F86DB47">
      <w:pPr>
        <w:tabs>
          <w:tab w:val="left" w:pos="6300"/>
        </w:tabs>
        <w:snapToGrid w:val="0"/>
        <w:spacing w:line="360" w:lineRule="auto"/>
        <w:ind w:firstLine="570"/>
        <w:rPr>
          <w:rFonts w:ascii="宋体" w:hAnsi="宋体" w:cs="宋体"/>
          <w:sz w:val="24"/>
          <w:highlight w:val="none"/>
        </w:rPr>
      </w:pPr>
    </w:p>
    <w:p w14:paraId="793488ED">
      <w:pPr>
        <w:tabs>
          <w:tab w:val="left" w:pos="6300"/>
        </w:tabs>
        <w:snapToGrid w:val="0"/>
        <w:spacing w:line="360" w:lineRule="auto"/>
        <w:ind w:firstLine="570"/>
        <w:rPr>
          <w:rFonts w:ascii="宋体" w:hAnsi="宋体" w:cs="宋体"/>
          <w:sz w:val="24"/>
          <w:highlight w:val="none"/>
        </w:rPr>
      </w:pPr>
    </w:p>
    <w:p w14:paraId="4E08551E">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法定代表人电话：XXXXXXX     电子邮箱：XXXXXX@XXXXX（若授权代表办理并签署响应文件的可不填写法定代表人联系方式）</w:t>
      </w:r>
    </w:p>
    <w:p w14:paraId="40938E5E">
      <w:pPr>
        <w:tabs>
          <w:tab w:val="left" w:pos="6300"/>
        </w:tabs>
        <w:snapToGrid w:val="0"/>
        <w:spacing w:line="360" w:lineRule="auto"/>
        <w:outlineLvl w:val="2"/>
        <w:rPr>
          <w:rFonts w:ascii="宋体" w:hAnsi="宋体" w:cs="宋体"/>
          <w:highlight w:val="none"/>
        </w:rPr>
      </w:pPr>
      <w:r>
        <w:rPr>
          <w:rFonts w:hint="eastAsia" w:ascii="宋体" w:hAnsi="宋体" w:cs="宋体"/>
          <w:highlight w:val="none"/>
        </w:rPr>
        <w:br w:type="column"/>
      </w:r>
      <w:r>
        <w:rPr>
          <w:rFonts w:hint="eastAsia" w:ascii="宋体" w:hAnsi="宋体" w:cs="宋体"/>
          <w:sz w:val="24"/>
          <w:szCs w:val="24"/>
          <w:highlight w:val="none"/>
        </w:rPr>
        <w:t>（三）法定代表人授权委托书（格式）</w:t>
      </w:r>
    </w:p>
    <w:p w14:paraId="0178EA69">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w:t>
      </w:r>
    </w:p>
    <w:p w14:paraId="5F5FF377">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szCs w:val="28"/>
          <w:highlight w:val="none"/>
        </w:rPr>
        <w:t>竞采项目名称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7444070D">
      <w:pPr>
        <w:tabs>
          <w:tab w:val="left" w:pos="6300"/>
        </w:tabs>
        <w:snapToGrid w:val="0"/>
        <w:spacing w:line="360" w:lineRule="auto"/>
        <w:ind w:firstLine="570"/>
        <w:rPr>
          <w:rFonts w:ascii="宋体" w:hAnsi="宋体" w:cs="宋体"/>
          <w:sz w:val="24"/>
          <w:highlight w:val="none"/>
        </w:rPr>
      </w:pPr>
    </w:p>
    <w:p w14:paraId="0E8756D2">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（采购人名称）：</w:t>
      </w:r>
    </w:p>
    <w:p w14:paraId="40FA72AD">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（供应商法定代表人名称）是</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（被授权人姓名及身份证代码）代表我单位全权办理上述项目的竞采、签约等具体工作，并签署全部有关文件、协议及合同。</w:t>
      </w:r>
    </w:p>
    <w:p w14:paraId="3E7B1128">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我单位对被授权人的签字负全部责任。</w:t>
      </w:r>
    </w:p>
    <w:p w14:paraId="2624904D">
      <w:pPr>
        <w:tabs>
          <w:tab w:val="left" w:pos="630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在撤消授权的书面通知以前，本授权书一直有效。被授权人在授权书有效期内签署的所有文件不因授权的撤消而失效。</w:t>
      </w:r>
    </w:p>
    <w:p w14:paraId="57EDF3DF">
      <w:pPr>
        <w:tabs>
          <w:tab w:val="left" w:pos="6300"/>
        </w:tabs>
        <w:snapToGrid w:val="0"/>
        <w:spacing w:line="360" w:lineRule="auto"/>
        <w:ind w:firstLine="570"/>
        <w:rPr>
          <w:rFonts w:ascii="宋体" w:hAnsi="宋体" w:cs="宋体"/>
          <w:sz w:val="24"/>
          <w:highlight w:val="none"/>
        </w:rPr>
      </w:pPr>
    </w:p>
    <w:p w14:paraId="0AA2E73E">
      <w:pPr>
        <w:tabs>
          <w:tab w:val="left" w:pos="6300"/>
        </w:tabs>
        <w:snapToGrid w:val="0"/>
        <w:spacing w:line="360" w:lineRule="auto"/>
        <w:ind w:firstLine="570"/>
        <w:rPr>
          <w:rFonts w:ascii="宋体" w:hAnsi="宋体" w:cs="宋体"/>
          <w:sz w:val="24"/>
          <w:highlight w:val="none"/>
        </w:rPr>
      </w:pPr>
    </w:p>
    <w:p w14:paraId="208A1C1C">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被授权人：                                 供应商法定代表人：</w:t>
      </w:r>
    </w:p>
    <w:p w14:paraId="7CB77C76">
      <w:pPr>
        <w:tabs>
          <w:tab w:val="left" w:pos="6300"/>
        </w:tabs>
        <w:snapToGrid w:val="0"/>
        <w:spacing w:line="360" w:lineRule="auto"/>
        <w:ind w:firstLine="570"/>
        <w:rPr>
          <w:rFonts w:ascii="宋体" w:hAnsi="宋体" w:cs="宋体"/>
          <w:sz w:val="24"/>
          <w:szCs w:val="28"/>
          <w:highlight w:val="none"/>
        </w:rPr>
      </w:pPr>
      <w:r>
        <w:rPr>
          <w:rFonts w:hint="eastAsia" w:ascii="宋体" w:hAnsi="宋体" w:cs="宋体"/>
          <w:sz w:val="24"/>
          <w:szCs w:val="28"/>
          <w:highlight w:val="none"/>
        </w:rPr>
        <w:t>（签字或盖章）                                （签字或盖章）</w:t>
      </w:r>
    </w:p>
    <w:p w14:paraId="69E1A9BA">
      <w:pPr>
        <w:tabs>
          <w:tab w:val="left" w:pos="6300"/>
        </w:tabs>
        <w:snapToGrid w:val="0"/>
        <w:spacing w:line="360" w:lineRule="auto"/>
        <w:ind w:firstLine="570"/>
        <w:rPr>
          <w:rFonts w:ascii="宋体" w:hAnsi="宋体" w:cs="宋体"/>
          <w:sz w:val="24"/>
          <w:szCs w:val="28"/>
          <w:highlight w:val="none"/>
        </w:rPr>
      </w:pPr>
      <w:r>
        <w:rPr>
          <w:rFonts w:hint="eastAsia" w:ascii="宋体" w:hAnsi="宋体" w:cs="宋体"/>
          <w:sz w:val="24"/>
          <w:szCs w:val="28"/>
          <w:highlight w:val="none"/>
        </w:rPr>
        <w:t>联系电话：</w:t>
      </w:r>
    </w:p>
    <w:p w14:paraId="5865C123">
      <w:pPr>
        <w:tabs>
          <w:tab w:val="left" w:pos="6300"/>
        </w:tabs>
        <w:snapToGrid w:val="0"/>
        <w:spacing w:line="360" w:lineRule="auto"/>
        <w:ind w:firstLine="570"/>
        <w:rPr>
          <w:rFonts w:ascii="宋体" w:hAnsi="宋体" w:cs="宋体"/>
          <w:sz w:val="24"/>
          <w:highlight w:val="none"/>
        </w:rPr>
      </w:pPr>
    </w:p>
    <w:p w14:paraId="52A5E1C8">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（附：被授权人身份证正反面复印件）</w:t>
      </w:r>
    </w:p>
    <w:p w14:paraId="240B0A11">
      <w:pPr>
        <w:tabs>
          <w:tab w:val="left" w:pos="6300"/>
        </w:tabs>
        <w:snapToGrid w:val="0"/>
        <w:spacing w:line="360" w:lineRule="auto"/>
        <w:ind w:firstLine="570"/>
        <w:rPr>
          <w:rFonts w:ascii="宋体" w:hAnsi="宋体" w:cs="宋体"/>
          <w:sz w:val="24"/>
          <w:highlight w:val="none"/>
        </w:rPr>
      </w:pPr>
      <w:r>
        <w:rPr>
          <w:rFonts w:hint="eastAsia" w:ascii="宋体" w:hAnsi="宋体" w:cs="宋体"/>
          <w:sz w:val="24"/>
          <w:highlight w:val="none"/>
        </w:rPr>
        <w:t xml:space="preserve">                                          　（供应商公章）</w:t>
      </w:r>
    </w:p>
    <w:p w14:paraId="4BD639FA">
      <w:pPr>
        <w:tabs>
          <w:tab w:val="left" w:pos="6300"/>
        </w:tabs>
        <w:snapToGrid w:val="0"/>
        <w:spacing w:line="360" w:lineRule="auto"/>
        <w:ind w:right="480" w:firstLine="570"/>
        <w:jc w:val="right"/>
        <w:rPr>
          <w:rFonts w:ascii="宋体" w:hAnsi="宋体" w:cs="宋体"/>
          <w:sz w:val="24"/>
          <w:highlight w:val="none"/>
        </w:rPr>
      </w:pPr>
      <w:r>
        <w:rPr>
          <w:rFonts w:hint="eastAsia" w:ascii="宋体" w:hAnsi="宋体" w:cs="宋体"/>
          <w:sz w:val="24"/>
          <w:highlight w:val="none"/>
        </w:rPr>
        <w:t>年   月   日</w:t>
      </w:r>
    </w:p>
    <w:p w14:paraId="7707EB67">
      <w:pPr>
        <w:tabs>
          <w:tab w:val="left" w:pos="6300"/>
        </w:tabs>
        <w:snapToGrid w:val="0"/>
        <w:spacing w:line="360" w:lineRule="auto"/>
        <w:ind w:right="480" w:firstLine="570"/>
        <w:jc w:val="left"/>
        <w:rPr>
          <w:rFonts w:ascii="宋体" w:hAnsi="宋体" w:cs="宋体"/>
          <w:sz w:val="24"/>
          <w:highlight w:val="none"/>
        </w:rPr>
      </w:pPr>
    </w:p>
    <w:p w14:paraId="3FE7DF5E">
      <w:pPr>
        <w:tabs>
          <w:tab w:val="left" w:pos="6300"/>
        </w:tabs>
        <w:snapToGrid w:val="0"/>
        <w:spacing w:line="360" w:lineRule="auto"/>
        <w:ind w:right="480" w:firstLine="570"/>
        <w:jc w:val="left"/>
        <w:rPr>
          <w:rFonts w:ascii="宋体" w:hAnsi="宋体" w:cs="宋体"/>
          <w:sz w:val="24"/>
          <w:highlight w:val="none"/>
        </w:rPr>
      </w:pPr>
    </w:p>
    <w:p w14:paraId="51BB2C27">
      <w:pPr>
        <w:tabs>
          <w:tab w:val="left" w:pos="6300"/>
        </w:tabs>
        <w:snapToGrid w:val="0"/>
        <w:spacing w:line="360" w:lineRule="auto"/>
        <w:ind w:right="480" w:firstLine="570"/>
        <w:jc w:val="left"/>
        <w:rPr>
          <w:rFonts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14:paraId="42AE51FA">
      <w:pPr>
        <w:tabs>
          <w:tab w:val="left" w:pos="6300"/>
        </w:tabs>
        <w:snapToGrid w:val="0"/>
        <w:spacing w:line="360" w:lineRule="auto"/>
        <w:ind w:right="480" w:firstLine="570"/>
        <w:jc w:val="left"/>
        <w:rPr>
          <w:rFonts w:ascii="宋体" w:hAnsi="宋体" w:cs="宋体"/>
          <w:sz w:val="24"/>
          <w:highlight w:val="none"/>
        </w:rPr>
      </w:pPr>
      <w:r>
        <w:rPr>
          <w:rFonts w:hint="eastAsia" w:ascii="宋体" w:hAnsi="宋体" w:cs="宋体"/>
          <w:sz w:val="24"/>
          <w:highlight w:val="none"/>
        </w:rPr>
        <w:t>注：</w:t>
      </w:r>
    </w:p>
    <w:p w14:paraId="1A91BDE0">
      <w:pPr>
        <w:tabs>
          <w:tab w:val="left" w:pos="6300"/>
        </w:tabs>
        <w:snapToGrid w:val="0"/>
        <w:spacing w:line="360" w:lineRule="auto"/>
        <w:ind w:right="480" w:firstLine="570"/>
        <w:jc w:val="left"/>
        <w:rPr>
          <w:rFonts w:ascii="宋体" w:hAnsi="宋体" w:cs="宋体"/>
          <w:sz w:val="24"/>
          <w:highlight w:val="none"/>
        </w:rPr>
      </w:pPr>
      <w:r>
        <w:rPr>
          <w:rFonts w:hint="eastAsia" w:ascii="宋体" w:hAnsi="宋体" w:cs="宋体"/>
          <w:sz w:val="24"/>
          <w:highlight w:val="none"/>
        </w:rPr>
        <w:t>1.若为法定代表人办理并签署响应文件的，不提供此文件。</w:t>
      </w:r>
    </w:p>
    <w:p w14:paraId="5F4D201E">
      <w:pPr>
        <w:tabs>
          <w:tab w:val="left" w:pos="6300"/>
        </w:tabs>
        <w:snapToGrid w:val="0"/>
        <w:spacing w:line="360" w:lineRule="auto"/>
        <w:outlineLvl w:val="2"/>
        <w:rPr>
          <w:rFonts w:ascii="宋体" w:hAnsi="宋体" w:cs="宋体"/>
          <w:b/>
          <w:bCs/>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（四）基本资格条件承诺函</w:t>
      </w:r>
    </w:p>
    <w:p w14:paraId="385CCC0B">
      <w:pPr>
        <w:tabs>
          <w:tab w:val="left" w:pos="6300"/>
        </w:tabs>
        <w:snapToGrid w:val="0"/>
        <w:spacing w:line="360" w:lineRule="auto"/>
        <w:ind w:firstLine="2760" w:firstLineChars="1150"/>
        <w:rPr>
          <w:rFonts w:ascii="宋体" w:hAnsi="宋体" w:cs="宋体"/>
          <w:sz w:val="24"/>
          <w:highlight w:val="none"/>
        </w:rPr>
      </w:pPr>
    </w:p>
    <w:p w14:paraId="7BFA6E25">
      <w:pPr>
        <w:tabs>
          <w:tab w:val="left" w:pos="6300"/>
        </w:tabs>
        <w:snapToGrid w:val="0"/>
        <w:spacing w:line="360" w:lineRule="auto"/>
        <w:ind w:firstLine="570"/>
        <w:jc w:val="center"/>
        <w:rPr>
          <w:rFonts w:ascii="宋体" w:hAnsi="宋体" w:cs="宋体"/>
          <w:b/>
          <w:bCs/>
          <w:szCs w:val="28"/>
          <w:highlight w:val="none"/>
        </w:rPr>
      </w:pPr>
      <w:r>
        <w:rPr>
          <w:rFonts w:hint="eastAsia" w:ascii="宋体" w:hAnsi="宋体" w:cs="宋体"/>
          <w:b/>
          <w:bCs/>
          <w:szCs w:val="28"/>
          <w:highlight w:val="none"/>
        </w:rPr>
        <w:t>基本资格条件承诺函</w:t>
      </w:r>
    </w:p>
    <w:p w14:paraId="1DB6F86B">
      <w:pPr>
        <w:tabs>
          <w:tab w:val="left" w:pos="6300"/>
        </w:tabs>
        <w:adjustRightInd w:val="0"/>
        <w:snapToGrid w:val="0"/>
        <w:spacing w:line="360" w:lineRule="auto"/>
        <w:jc w:val="left"/>
        <w:rPr>
          <w:rFonts w:ascii="宋体" w:hAnsi="宋体" w:cs="宋体"/>
          <w:sz w:val="24"/>
          <w:szCs w:val="24"/>
          <w:highlight w:val="none"/>
        </w:rPr>
      </w:pPr>
    </w:p>
    <w:p w14:paraId="5235EFD7">
      <w:pPr>
        <w:tabs>
          <w:tab w:val="left" w:pos="6300"/>
        </w:tabs>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014E7ED5">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（供应商名称）郑重承诺：</w:t>
      </w:r>
    </w:p>
    <w:p w14:paraId="00AC5F6B">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1.我方具有良好的商业信誉和健全的财务会计制度，具有履行合同所必需的设备和专业技术能力，具</w:t>
      </w:r>
      <w:r>
        <w:rPr>
          <w:rFonts w:hint="eastAsia" w:ascii="宋体" w:hAnsi="宋体" w:cs="宋体"/>
          <w:sz w:val="24"/>
          <w:szCs w:val="24"/>
          <w:highlight w:val="none"/>
          <w:lang w:val="zh-CN"/>
        </w:rPr>
        <w:t>有依法缴纳税收和社会保障金的良好记录</w:t>
      </w:r>
      <w:r>
        <w:rPr>
          <w:rFonts w:hint="eastAsia" w:ascii="宋体" w:hAnsi="宋体" w:cs="宋体"/>
          <w:sz w:val="24"/>
          <w:szCs w:val="24"/>
          <w:highlight w:val="none"/>
        </w:rPr>
        <w:t>，参加本项目采购活动前三年内无重大违法活动记录。</w:t>
      </w:r>
    </w:p>
    <w:p w14:paraId="125362DF">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DFBCACB">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341B64C3">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我方对以上承诺负全部法律责任。</w:t>
      </w:r>
    </w:p>
    <w:p w14:paraId="5D45B4C0">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特此承诺。</w:t>
      </w:r>
    </w:p>
    <w:p w14:paraId="21CEBC15">
      <w:pPr>
        <w:tabs>
          <w:tab w:val="left" w:pos="6300"/>
        </w:tabs>
        <w:adjustRightInd w:val="0"/>
        <w:snapToGrid w:val="0"/>
        <w:spacing w:line="360" w:lineRule="auto"/>
        <w:ind w:firstLine="480" w:firstLineChars="200"/>
        <w:jc w:val="left"/>
        <w:rPr>
          <w:rFonts w:ascii="宋体" w:hAnsi="宋体" w:cs="宋体"/>
          <w:sz w:val="24"/>
          <w:szCs w:val="24"/>
          <w:highlight w:val="none"/>
        </w:rPr>
      </w:pPr>
    </w:p>
    <w:p w14:paraId="4B0481B0">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（供应商公章）</w:t>
      </w:r>
    </w:p>
    <w:p w14:paraId="1684E0BF">
      <w:pPr>
        <w:tabs>
          <w:tab w:val="left" w:pos="630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年   月   日</w:t>
      </w:r>
    </w:p>
    <w:p w14:paraId="6484A843">
      <w:pPr>
        <w:rPr>
          <w:rFonts w:ascii="宋体" w:hAnsi="宋体" w:cs="宋体"/>
          <w:sz w:val="24"/>
          <w:szCs w:val="24"/>
          <w:highlight w:val="none"/>
        </w:rPr>
      </w:pPr>
      <w:r>
        <w:rPr>
          <w:rFonts w:hint="eastAsia" w:ascii="宋体" w:hAnsi="宋体" w:cs="宋体"/>
          <w:sz w:val="24"/>
          <w:szCs w:val="24"/>
          <w:highlight w:val="none"/>
        </w:rPr>
        <w:br w:type="page"/>
      </w:r>
    </w:p>
    <w:p w14:paraId="60E8ED37">
      <w:pPr>
        <w:pStyle w:val="3"/>
        <w:spacing w:before="0" w:after="0" w:line="360" w:lineRule="auto"/>
        <w:rPr>
          <w:rFonts w:ascii="宋体" w:hAnsi="宋体" w:eastAsia="宋体" w:cs="宋体"/>
          <w:sz w:val="24"/>
          <w:szCs w:val="24"/>
          <w:highlight w:val="none"/>
        </w:rPr>
      </w:pPr>
      <w:bookmarkStart w:id="61" w:name="_Toc17341"/>
      <w:r>
        <w:rPr>
          <w:rFonts w:hint="eastAsia" w:ascii="宋体" w:hAnsi="宋体" w:eastAsia="宋体" w:cs="宋体"/>
          <w:sz w:val="24"/>
          <w:szCs w:val="24"/>
          <w:highlight w:val="none"/>
        </w:rPr>
        <w:t>五、评审资料</w:t>
      </w:r>
      <w:bookmarkEnd w:id="61"/>
    </w:p>
    <w:p w14:paraId="384C48C9">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（一）技术部分评审资料</w:t>
      </w:r>
    </w:p>
    <w:p w14:paraId="3C5541E2">
      <w:pPr>
        <w:spacing w:line="360" w:lineRule="auto"/>
        <w:ind w:firstLine="28"/>
        <w:jc w:val="center"/>
        <w:rPr>
          <w:rFonts w:ascii="宋体" w:hAnsi="宋体" w:cs="宋体"/>
          <w:b/>
          <w:szCs w:val="28"/>
          <w:highlight w:val="none"/>
        </w:rPr>
      </w:pPr>
      <w:r>
        <w:rPr>
          <w:rFonts w:hint="eastAsia" w:ascii="宋体" w:hAnsi="宋体" w:cs="宋体"/>
          <w:b/>
          <w:szCs w:val="28"/>
          <w:highlight w:val="none"/>
        </w:rPr>
        <w:t>《技术方案》</w:t>
      </w:r>
    </w:p>
    <w:p w14:paraId="40934154">
      <w:pPr>
        <w:spacing w:line="360" w:lineRule="auto"/>
        <w:ind w:firstLine="480" w:firstLineChars="200"/>
        <w:jc w:val="center"/>
        <w:rPr>
          <w:rFonts w:ascii="宋体" w:hAnsi="宋体" w:cs="宋体"/>
          <w:i/>
          <w:iCs/>
          <w:sz w:val="24"/>
          <w:szCs w:val="24"/>
          <w:highlight w:val="none"/>
        </w:rPr>
      </w:pPr>
      <w:r>
        <w:rPr>
          <w:rFonts w:hint="eastAsia" w:ascii="宋体" w:hAnsi="宋体" w:cs="宋体"/>
          <w:i/>
          <w:iCs/>
          <w:sz w:val="24"/>
          <w:szCs w:val="24"/>
          <w:highlight w:val="none"/>
        </w:rPr>
        <w:t>格式自拟</w:t>
      </w:r>
    </w:p>
    <w:p w14:paraId="68BF120E">
      <w:pPr>
        <w:spacing w:line="360" w:lineRule="auto"/>
        <w:ind w:firstLine="480" w:firstLineChars="200"/>
        <w:rPr>
          <w:rFonts w:ascii="宋体" w:hAnsi="宋体" w:cs="宋体"/>
          <w:sz w:val="24"/>
          <w:szCs w:val="24"/>
          <w:highlight w:val="none"/>
        </w:rPr>
      </w:pPr>
    </w:p>
    <w:p w14:paraId="7FB1D535">
      <w:pPr>
        <w:rPr>
          <w:rFonts w:ascii="宋体" w:hAnsi="宋体" w:cs="宋体"/>
          <w:sz w:val="24"/>
          <w:szCs w:val="24"/>
          <w:highlight w:val="none"/>
        </w:rPr>
      </w:pPr>
      <w:r>
        <w:rPr>
          <w:rFonts w:hint="eastAsia" w:ascii="宋体" w:hAnsi="宋体" w:cs="宋体"/>
          <w:sz w:val="24"/>
          <w:szCs w:val="24"/>
          <w:highlight w:val="none"/>
        </w:rPr>
        <w:br w:type="page"/>
      </w:r>
    </w:p>
    <w:p w14:paraId="46F3AB23">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（二）商务部分评审资料</w:t>
      </w:r>
    </w:p>
    <w:p w14:paraId="58CA9905">
      <w:pPr>
        <w:spacing w:line="360" w:lineRule="auto"/>
        <w:rPr>
          <w:rFonts w:ascii="宋体" w:hAnsi="宋体" w:cs="宋体"/>
          <w:sz w:val="24"/>
          <w:szCs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694"/>
        <w:gridCol w:w="2905"/>
        <w:gridCol w:w="2131"/>
      </w:tblGrid>
      <w:tr w14:paraId="553F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611FF28">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类似业绩表</w:t>
            </w:r>
          </w:p>
        </w:tc>
      </w:tr>
      <w:tr w14:paraId="72E9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270BF813">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序号</w:t>
            </w:r>
          </w:p>
        </w:tc>
        <w:tc>
          <w:tcPr>
            <w:tcW w:w="2694" w:type="dxa"/>
          </w:tcPr>
          <w:p w14:paraId="520B7258">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项目名称</w:t>
            </w:r>
          </w:p>
        </w:tc>
        <w:tc>
          <w:tcPr>
            <w:tcW w:w="2905" w:type="dxa"/>
          </w:tcPr>
          <w:p w14:paraId="12993D0D">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合同签订时间</w:t>
            </w:r>
          </w:p>
        </w:tc>
        <w:tc>
          <w:tcPr>
            <w:tcW w:w="2131" w:type="dxa"/>
          </w:tcPr>
          <w:p w14:paraId="5B62F502">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采购人单位</w:t>
            </w:r>
          </w:p>
        </w:tc>
      </w:tr>
      <w:tr w14:paraId="67AE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898A51C">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1</w:t>
            </w:r>
          </w:p>
        </w:tc>
        <w:tc>
          <w:tcPr>
            <w:tcW w:w="2694" w:type="dxa"/>
          </w:tcPr>
          <w:p w14:paraId="3D9C5510">
            <w:pPr>
              <w:spacing w:line="360" w:lineRule="auto"/>
              <w:jc w:val="center"/>
              <w:rPr>
                <w:rFonts w:ascii="宋体" w:hAnsi="宋体" w:cs="宋体"/>
                <w:bCs/>
                <w:sz w:val="21"/>
                <w:szCs w:val="21"/>
                <w:highlight w:val="none"/>
              </w:rPr>
            </w:pPr>
          </w:p>
        </w:tc>
        <w:tc>
          <w:tcPr>
            <w:tcW w:w="2905" w:type="dxa"/>
          </w:tcPr>
          <w:p w14:paraId="7345BFDA">
            <w:pPr>
              <w:spacing w:line="360" w:lineRule="auto"/>
              <w:jc w:val="center"/>
              <w:rPr>
                <w:rFonts w:ascii="宋体" w:hAnsi="宋体" w:cs="宋体"/>
                <w:bCs/>
                <w:sz w:val="21"/>
                <w:szCs w:val="21"/>
                <w:highlight w:val="none"/>
              </w:rPr>
            </w:pPr>
          </w:p>
        </w:tc>
        <w:tc>
          <w:tcPr>
            <w:tcW w:w="2131" w:type="dxa"/>
          </w:tcPr>
          <w:p w14:paraId="779C2F21">
            <w:pPr>
              <w:spacing w:line="360" w:lineRule="auto"/>
              <w:jc w:val="center"/>
              <w:rPr>
                <w:rFonts w:ascii="宋体" w:hAnsi="宋体" w:cs="宋体"/>
                <w:bCs/>
                <w:sz w:val="21"/>
                <w:szCs w:val="21"/>
                <w:highlight w:val="none"/>
              </w:rPr>
            </w:pPr>
          </w:p>
        </w:tc>
      </w:tr>
      <w:tr w14:paraId="10DC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128AB5B2">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2</w:t>
            </w:r>
          </w:p>
        </w:tc>
        <w:tc>
          <w:tcPr>
            <w:tcW w:w="2694" w:type="dxa"/>
          </w:tcPr>
          <w:p w14:paraId="29526FFF">
            <w:pPr>
              <w:spacing w:line="360" w:lineRule="auto"/>
              <w:jc w:val="center"/>
              <w:rPr>
                <w:rFonts w:ascii="宋体" w:hAnsi="宋体" w:cs="宋体"/>
                <w:bCs/>
                <w:sz w:val="21"/>
                <w:szCs w:val="21"/>
                <w:highlight w:val="none"/>
              </w:rPr>
            </w:pPr>
          </w:p>
        </w:tc>
        <w:tc>
          <w:tcPr>
            <w:tcW w:w="2905" w:type="dxa"/>
          </w:tcPr>
          <w:p w14:paraId="6BD2596A">
            <w:pPr>
              <w:spacing w:line="360" w:lineRule="auto"/>
              <w:jc w:val="center"/>
              <w:rPr>
                <w:rFonts w:ascii="宋体" w:hAnsi="宋体" w:cs="宋体"/>
                <w:bCs/>
                <w:sz w:val="21"/>
                <w:szCs w:val="21"/>
                <w:highlight w:val="none"/>
              </w:rPr>
            </w:pPr>
          </w:p>
        </w:tc>
        <w:tc>
          <w:tcPr>
            <w:tcW w:w="2131" w:type="dxa"/>
          </w:tcPr>
          <w:p w14:paraId="1FFBC153">
            <w:pPr>
              <w:spacing w:line="360" w:lineRule="auto"/>
              <w:jc w:val="center"/>
              <w:rPr>
                <w:rFonts w:ascii="宋体" w:hAnsi="宋体" w:cs="宋体"/>
                <w:bCs/>
                <w:sz w:val="21"/>
                <w:szCs w:val="21"/>
                <w:highlight w:val="none"/>
              </w:rPr>
            </w:pPr>
          </w:p>
        </w:tc>
      </w:tr>
      <w:tr w14:paraId="4D9E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7D3A4A30">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w:t>
            </w:r>
          </w:p>
        </w:tc>
        <w:tc>
          <w:tcPr>
            <w:tcW w:w="2694" w:type="dxa"/>
          </w:tcPr>
          <w:p w14:paraId="56D5803B">
            <w:pPr>
              <w:spacing w:line="360" w:lineRule="auto"/>
              <w:jc w:val="center"/>
              <w:rPr>
                <w:rFonts w:ascii="宋体" w:hAnsi="宋体" w:cs="宋体"/>
                <w:bCs/>
                <w:sz w:val="21"/>
                <w:szCs w:val="21"/>
                <w:highlight w:val="none"/>
              </w:rPr>
            </w:pPr>
          </w:p>
        </w:tc>
        <w:tc>
          <w:tcPr>
            <w:tcW w:w="2905" w:type="dxa"/>
          </w:tcPr>
          <w:p w14:paraId="636DE06F">
            <w:pPr>
              <w:spacing w:line="360" w:lineRule="auto"/>
              <w:jc w:val="center"/>
              <w:rPr>
                <w:rFonts w:ascii="宋体" w:hAnsi="宋体" w:cs="宋体"/>
                <w:bCs/>
                <w:sz w:val="21"/>
                <w:szCs w:val="21"/>
                <w:highlight w:val="none"/>
              </w:rPr>
            </w:pPr>
          </w:p>
        </w:tc>
        <w:tc>
          <w:tcPr>
            <w:tcW w:w="2131" w:type="dxa"/>
          </w:tcPr>
          <w:p w14:paraId="106CDE07">
            <w:pPr>
              <w:spacing w:line="360" w:lineRule="auto"/>
              <w:jc w:val="center"/>
              <w:rPr>
                <w:rFonts w:ascii="宋体" w:hAnsi="宋体" w:cs="宋体"/>
                <w:bCs/>
                <w:sz w:val="21"/>
                <w:szCs w:val="21"/>
                <w:highlight w:val="none"/>
              </w:rPr>
            </w:pPr>
          </w:p>
        </w:tc>
      </w:tr>
    </w:tbl>
    <w:p w14:paraId="235CFF4D">
      <w:pPr>
        <w:spacing w:line="360" w:lineRule="auto"/>
        <w:ind w:left="28"/>
        <w:rPr>
          <w:rFonts w:ascii="宋体" w:hAnsi="宋体" w:cs="宋体"/>
          <w:bCs/>
          <w:sz w:val="21"/>
          <w:szCs w:val="21"/>
          <w:highlight w:val="none"/>
        </w:rPr>
      </w:pPr>
    </w:p>
    <w:p w14:paraId="374B2CA6">
      <w:pPr>
        <w:spacing w:line="360" w:lineRule="auto"/>
        <w:ind w:left="28"/>
        <w:rPr>
          <w:rFonts w:ascii="宋体" w:hAnsi="宋体" w:cs="宋体"/>
          <w:bCs/>
          <w:sz w:val="21"/>
          <w:szCs w:val="21"/>
          <w:highlight w:val="none"/>
        </w:rPr>
      </w:pPr>
      <w:r>
        <w:rPr>
          <w:rFonts w:hint="eastAsia" w:ascii="宋体" w:hAnsi="宋体" w:cs="宋体"/>
          <w:bCs/>
          <w:sz w:val="21"/>
          <w:szCs w:val="21"/>
          <w:highlight w:val="none"/>
        </w:rPr>
        <w:t>注：后附按评审要求提供证明材料。</w:t>
      </w:r>
    </w:p>
    <w:p w14:paraId="202F9710">
      <w:pPr>
        <w:rPr>
          <w:rFonts w:ascii="宋体" w:hAnsi="宋体" w:cs="宋体"/>
          <w:sz w:val="24"/>
          <w:szCs w:val="24"/>
          <w:highlight w:val="none"/>
        </w:rPr>
      </w:pPr>
      <w:r>
        <w:rPr>
          <w:rFonts w:hint="eastAsia" w:ascii="宋体" w:hAnsi="宋体" w:cs="宋体"/>
          <w:sz w:val="24"/>
          <w:szCs w:val="24"/>
          <w:highlight w:val="none"/>
        </w:rPr>
        <w:br w:type="page"/>
      </w:r>
    </w:p>
    <w:p w14:paraId="7618E24E">
      <w:pPr>
        <w:pStyle w:val="3"/>
        <w:spacing w:before="0" w:after="0" w:line="360" w:lineRule="auto"/>
        <w:rPr>
          <w:rFonts w:ascii="宋体" w:hAnsi="宋体" w:eastAsia="宋体" w:cs="宋体"/>
          <w:sz w:val="24"/>
          <w:szCs w:val="24"/>
          <w:highlight w:val="none"/>
        </w:rPr>
      </w:pPr>
      <w:bookmarkStart w:id="62" w:name="_Toc7814"/>
      <w:r>
        <w:rPr>
          <w:rFonts w:hint="eastAsia" w:ascii="宋体" w:hAnsi="宋体" w:eastAsia="宋体" w:cs="宋体"/>
          <w:sz w:val="24"/>
          <w:szCs w:val="24"/>
          <w:highlight w:val="none"/>
        </w:rPr>
        <w:t>六、其他</w:t>
      </w:r>
      <w:bookmarkEnd w:id="62"/>
    </w:p>
    <w:p w14:paraId="5CD80668">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（一）其他与项目有关的资料（自附）</w:t>
      </w:r>
    </w:p>
    <w:p w14:paraId="3D8CB135">
      <w:pPr>
        <w:spacing w:line="360" w:lineRule="auto"/>
        <w:ind w:firstLine="480" w:firstLineChars="200"/>
        <w:jc w:val="center"/>
        <w:rPr>
          <w:rFonts w:ascii="宋体" w:hAnsi="宋体" w:cs="宋体"/>
          <w:sz w:val="24"/>
          <w:szCs w:val="24"/>
          <w:highlight w:val="none"/>
        </w:rPr>
      </w:pPr>
    </w:p>
    <w:p w14:paraId="4CED503F">
      <w:pPr>
        <w:spacing w:line="360" w:lineRule="auto"/>
        <w:ind w:firstLine="480" w:firstLineChars="200"/>
        <w:jc w:val="center"/>
        <w:rPr>
          <w:rFonts w:ascii="宋体" w:hAnsi="宋体" w:cs="宋体"/>
          <w:sz w:val="24"/>
          <w:szCs w:val="24"/>
          <w:highlight w:val="none"/>
        </w:rPr>
      </w:pPr>
    </w:p>
    <w:p w14:paraId="14BD41F3">
      <w:pPr>
        <w:spacing w:line="360" w:lineRule="auto"/>
        <w:ind w:firstLine="480" w:firstLineChars="200"/>
        <w:jc w:val="center"/>
        <w:rPr>
          <w:rFonts w:ascii="宋体" w:hAnsi="宋体" w:cs="宋体"/>
          <w:sz w:val="24"/>
          <w:szCs w:val="24"/>
          <w:highlight w:val="none"/>
        </w:rPr>
      </w:pPr>
    </w:p>
    <w:p w14:paraId="5AEC53DD">
      <w:pPr>
        <w:spacing w:line="360" w:lineRule="auto"/>
        <w:ind w:firstLine="480" w:firstLineChars="200"/>
        <w:jc w:val="center"/>
        <w:rPr>
          <w:rFonts w:ascii="宋体" w:hAnsi="宋体" w:cs="宋体"/>
          <w:sz w:val="24"/>
          <w:szCs w:val="24"/>
          <w:highlight w:val="none"/>
        </w:rPr>
      </w:pPr>
    </w:p>
    <w:p w14:paraId="43EF3A2D">
      <w:pPr>
        <w:spacing w:line="360" w:lineRule="auto"/>
        <w:ind w:firstLine="480" w:firstLineChars="200"/>
        <w:jc w:val="center"/>
        <w:rPr>
          <w:rFonts w:ascii="宋体" w:hAnsi="宋体" w:cs="宋体"/>
          <w:sz w:val="24"/>
          <w:szCs w:val="24"/>
          <w:highlight w:val="none"/>
        </w:rPr>
      </w:pPr>
    </w:p>
    <w:p w14:paraId="41B15BD4">
      <w:pPr>
        <w:spacing w:before="48" w:after="48" w:line="360" w:lineRule="auto"/>
        <w:jc w:val="center"/>
        <w:rPr>
          <w:rFonts w:ascii="宋体" w:hAnsi="宋体" w:cs="宋体"/>
          <w:sz w:val="24"/>
          <w:szCs w:val="24"/>
          <w:highlight w:val="none"/>
        </w:rPr>
      </w:pPr>
      <w:r>
        <w:rPr>
          <w:rFonts w:hint="eastAsia" w:ascii="宋体" w:hAnsi="宋体" w:cs="宋体"/>
          <w:sz w:val="24"/>
          <w:szCs w:val="24"/>
          <w:highlight w:val="none"/>
        </w:rPr>
        <w:t>（结束）</w:t>
      </w:r>
    </w:p>
    <w:p w14:paraId="6A7D4169">
      <w:pPr>
        <w:spacing w:before="48" w:after="48" w:line="360" w:lineRule="auto"/>
        <w:rPr>
          <w:rFonts w:ascii="宋体" w:hAnsi="宋体" w:cs="宋体"/>
          <w:b/>
          <w:bCs/>
          <w:sz w:val="21"/>
          <w:szCs w:val="21"/>
          <w:highlight w:val="none"/>
        </w:rPr>
      </w:pPr>
    </w:p>
    <w:p w14:paraId="7A18C7F3">
      <w:pPr>
        <w:rPr>
          <w:rFonts w:ascii="宋体" w:hAnsi="宋体" w:cs="宋体"/>
          <w:b/>
          <w:bCs/>
          <w:sz w:val="21"/>
          <w:szCs w:val="21"/>
          <w:highlight w:val="none"/>
        </w:rPr>
      </w:pPr>
      <w:r>
        <w:rPr>
          <w:rFonts w:hint="eastAsia" w:ascii="宋体" w:hAnsi="宋体" w:cs="宋体"/>
          <w:b/>
          <w:bCs/>
          <w:sz w:val="21"/>
          <w:szCs w:val="21"/>
          <w:highlight w:val="none"/>
        </w:rPr>
        <w:br w:type="page"/>
      </w:r>
    </w:p>
    <w:p w14:paraId="1D8A41EA">
      <w:pPr>
        <w:pStyle w:val="2"/>
        <w:spacing w:before="48" w:after="48" w:line="360" w:lineRule="auto"/>
        <w:rPr>
          <w:rFonts w:ascii="宋体" w:hAnsi="宋体" w:cs="宋体"/>
          <w:b/>
          <w:bCs/>
          <w:sz w:val="21"/>
          <w:szCs w:val="21"/>
          <w:highlight w:val="none"/>
        </w:rPr>
      </w:pPr>
      <w:bookmarkStart w:id="63" w:name="_Toc24201"/>
      <w:r>
        <w:rPr>
          <w:rFonts w:hint="eastAsia" w:ascii="宋体" w:hAnsi="宋体" w:cs="宋体"/>
          <w:b/>
          <w:bCs/>
          <w:sz w:val="21"/>
          <w:szCs w:val="21"/>
          <w:highlight w:val="none"/>
        </w:rPr>
        <w:t>附件1：</w:t>
      </w:r>
      <w:bookmarkEnd w:id="63"/>
    </w:p>
    <w:p w14:paraId="4318E89D">
      <w:pPr>
        <w:jc w:val="center"/>
        <w:rPr>
          <w:rFonts w:ascii="宋体" w:hAnsi="宋体" w:cs="宋体"/>
          <w:b/>
          <w:bCs/>
          <w:sz w:val="44"/>
          <w:szCs w:val="44"/>
          <w:highlight w:val="none"/>
        </w:rPr>
      </w:pPr>
      <w:r>
        <w:rPr>
          <w:rFonts w:hint="eastAsia" w:ascii="宋体" w:hAnsi="宋体" w:cs="宋体"/>
          <w:b/>
          <w:bCs/>
          <w:sz w:val="44"/>
          <w:szCs w:val="44"/>
          <w:highlight w:val="none"/>
        </w:rPr>
        <w:t>竞采项目报名登记表</w:t>
      </w:r>
    </w:p>
    <w:p w14:paraId="123B93EA">
      <w:pPr>
        <w:jc w:val="left"/>
        <w:rPr>
          <w:rFonts w:ascii="宋体" w:hAnsi="宋体" w:cs="宋体"/>
          <w:b/>
          <w:bCs/>
          <w:spacing w:val="40"/>
          <w:highlight w:val="none"/>
        </w:rPr>
      </w:pP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902"/>
        <w:gridCol w:w="1451"/>
        <w:gridCol w:w="2554"/>
      </w:tblGrid>
      <w:tr w14:paraId="36668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21" w:type="dxa"/>
            <w:noWrap/>
            <w:vAlign w:val="center"/>
          </w:tcPr>
          <w:p w14:paraId="3158F17A">
            <w:pPr>
              <w:jc w:val="center"/>
              <w:rPr>
                <w:rFonts w:ascii="宋体" w:hAnsi="宋体" w:cs="宋体"/>
                <w:sz w:val="22"/>
                <w:szCs w:val="22"/>
                <w:highlight w:val="none"/>
              </w:rPr>
            </w:pPr>
            <w:r>
              <w:rPr>
                <w:rFonts w:hint="eastAsia" w:ascii="宋体" w:hAnsi="宋体" w:cs="宋体"/>
                <w:sz w:val="22"/>
                <w:szCs w:val="22"/>
                <w:highlight w:val="none"/>
              </w:rPr>
              <w:t>项目执行编号</w:t>
            </w:r>
          </w:p>
        </w:tc>
        <w:tc>
          <w:tcPr>
            <w:tcW w:w="6907" w:type="dxa"/>
            <w:gridSpan w:val="3"/>
            <w:noWrap/>
            <w:vAlign w:val="center"/>
          </w:tcPr>
          <w:p w14:paraId="12DA6784">
            <w:pPr>
              <w:jc w:val="left"/>
              <w:rPr>
                <w:rFonts w:ascii="宋体" w:hAnsi="宋体" w:cs="宋体"/>
                <w:sz w:val="22"/>
                <w:szCs w:val="22"/>
                <w:highlight w:val="none"/>
              </w:rPr>
            </w:pPr>
          </w:p>
        </w:tc>
      </w:tr>
      <w:tr w14:paraId="773B99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1" w:type="dxa"/>
            <w:noWrap/>
            <w:vAlign w:val="center"/>
          </w:tcPr>
          <w:p w14:paraId="75982508">
            <w:pPr>
              <w:jc w:val="center"/>
              <w:rPr>
                <w:rFonts w:ascii="宋体" w:hAnsi="宋体" w:cs="宋体"/>
                <w:sz w:val="22"/>
                <w:szCs w:val="22"/>
                <w:highlight w:val="none"/>
              </w:rPr>
            </w:pPr>
            <w:r>
              <w:rPr>
                <w:rFonts w:hint="eastAsia" w:ascii="宋体" w:hAnsi="宋体" w:cs="宋体"/>
                <w:sz w:val="22"/>
                <w:szCs w:val="22"/>
                <w:highlight w:val="none"/>
              </w:rPr>
              <w:t>项目名称</w:t>
            </w:r>
          </w:p>
        </w:tc>
        <w:tc>
          <w:tcPr>
            <w:tcW w:w="6907" w:type="dxa"/>
            <w:gridSpan w:val="3"/>
            <w:noWrap/>
            <w:vAlign w:val="center"/>
          </w:tcPr>
          <w:p w14:paraId="7B0A582B">
            <w:pPr>
              <w:jc w:val="left"/>
              <w:rPr>
                <w:rFonts w:ascii="宋体" w:hAnsi="宋体" w:cs="宋体"/>
                <w:sz w:val="22"/>
                <w:szCs w:val="22"/>
                <w:highlight w:val="none"/>
              </w:rPr>
            </w:pPr>
          </w:p>
        </w:tc>
      </w:tr>
      <w:tr w14:paraId="4A1C8B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621" w:type="dxa"/>
            <w:noWrap/>
            <w:vAlign w:val="center"/>
          </w:tcPr>
          <w:p w14:paraId="503CF0CC">
            <w:pPr>
              <w:jc w:val="center"/>
              <w:rPr>
                <w:rFonts w:ascii="宋体" w:hAnsi="宋体" w:cs="宋体"/>
                <w:sz w:val="22"/>
                <w:szCs w:val="22"/>
                <w:highlight w:val="none"/>
              </w:rPr>
            </w:pPr>
            <w:r>
              <w:rPr>
                <w:rFonts w:hint="eastAsia" w:ascii="宋体" w:hAnsi="宋体" w:cs="宋体"/>
                <w:sz w:val="22"/>
                <w:szCs w:val="22"/>
                <w:highlight w:val="none"/>
              </w:rPr>
              <w:t>投标人名称</w:t>
            </w:r>
          </w:p>
        </w:tc>
        <w:tc>
          <w:tcPr>
            <w:tcW w:w="6907" w:type="dxa"/>
            <w:gridSpan w:val="3"/>
            <w:noWrap/>
            <w:vAlign w:val="bottom"/>
          </w:tcPr>
          <w:p w14:paraId="55873F59">
            <w:pPr>
              <w:ind w:right="600" w:firstLine="2750" w:firstLineChars="1250"/>
              <w:jc w:val="right"/>
              <w:rPr>
                <w:rFonts w:ascii="宋体" w:hAnsi="宋体" w:cs="宋体"/>
                <w:sz w:val="22"/>
                <w:szCs w:val="22"/>
                <w:highlight w:val="none"/>
              </w:rPr>
            </w:pPr>
            <w:r>
              <w:rPr>
                <w:rFonts w:hint="eastAsia" w:ascii="宋体" w:hAnsi="宋体" w:cs="宋体"/>
                <w:sz w:val="22"/>
                <w:szCs w:val="22"/>
                <w:highlight w:val="none"/>
              </w:rPr>
              <w:t>（投标人公章）</w:t>
            </w:r>
          </w:p>
        </w:tc>
      </w:tr>
      <w:tr w14:paraId="0AB93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29701E56">
            <w:pPr>
              <w:jc w:val="center"/>
              <w:rPr>
                <w:rFonts w:ascii="宋体" w:hAnsi="宋体" w:cs="宋体"/>
                <w:sz w:val="22"/>
                <w:szCs w:val="22"/>
                <w:highlight w:val="none"/>
              </w:rPr>
            </w:pPr>
            <w:r>
              <w:rPr>
                <w:rFonts w:hint="eastAsia" w:ascii="宋体" w:hAnsi="宋体" w:cs="宋体"/>
                <w:sz w:val="22"/>
                <w:szCs w:val="22"/>
                <w:highlight w:val="none"/>
              </w:rPr>
              <w:t>联系人</w:t>
            </w:r>
          </w:p>
        </w:tc>
        <w:tc>
          <w:tcPr>
            <w:tcW w:w="2902" w:type="dxa"/>
            <w:noWrap/>
            <w:vAlign w:val="center"/>
          </w:tcPr>
          <w:p w14:paraId="387701E6">
            <w:pPr>
              <w:jc w:val="left"/>
              <w:rPr>
                <w:rFonts w:ascii="宋体" w:hAnsi="宋体" w:cs="宋体"/>
                <w:sz w:val="22"/>
                <w:szCs w:val="22"/>
                <w:highlight w:val="none"/>
              </w:rPr>
            </w:pPr>
          </w:p>
        </w:tc>
        <w:tc>
          <w:tcPr>
            <w:tcW w:w="1451" w:type="dxa"/>
            <w:noWrap/>
            <w:vAlign w:val="center"/>
          </w:tcPr>
          <w:p w14:paraId="1458B07E">
            <w:pPr>
              <w:jc w:val="left"/>
              <w:rPr>
                <w:rFonts w:ascii="宋体" w:hAnsi="宋体" w:cs="宋体"/>
                <w:sz w:val="22"/>
                <w:szCs w:val="22"/>
                <w:highlight w:val="none"/>
              </w:rPr>
            </w:pPr>
            <w:r>
              <w:rPr>
                <w:rFonts w:hint="eastAsia" w:ascii="宋体" w:hAnsi="宋体" w:cs="宋体"/>
                <w:sz w:val="22"/>
                <w:szCs w:val="22"/>
                <w:highlight w:val="none"/>
              </w:rPr>
              <w:t>手机</w:t>
            </w:r>
          </w:p>
        </w:tc>
        <w:tc>
          <w:tcPr>
            <w:tcW w:w="2554" w:type="dxa"/>
            <w:noWrap/>
            <w:vAlign w:val="center"/>
          </w:tcPr>
          <w:p w14:paraId="22A85ADB">
            <w:pPr>
              <w:jc w:val="left"/>
              <w:rPr>
                <w:rFonts w:ascii="宋体" w:hAnsi="宋体" w:cs="宋体"/>
                <w:sz w:val="22"/>
                <w:szCs w:val="22"/>
                <w:highlight w:val="none"/>
              </w:rPr>
            </w:pPr>
          </w:p>
        </w:tc>
      </w:tr>
      <w:tr w14:paraId="6DE96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1887DCFA">
            <w:pPr>
              <w:jc w:val="center"/>
              <w:rPr>
                <w:rFonts w:ascii="宋体" w:hAnsi="宋体" w:cs="宋体"/>
                <w:sz w:val="22"/>
                <w:szCs w:val="22"/>
                <w:highlight w:val="none"/>
              </w:rPr>
            </w:pPr>
            <w:r>
              <w:rPr>
                <w:rFonts w:hint="eastAsia" w:ascii="宋体" w:hAnsi="宋体" w:cs="宋体"/>
                <w:sz w:val="22"/>
                <w:szCs w:val="22"/>
                <w:highlight w:val="none"/>
              </w:rPr>
              <w:t>办公电话</w:t>
            </w:r>
          </w:p>
        </w:tc>
        <w:tc>
          <w:tcPr>
            <w:tcW w:w="2902" w:type="dxa"/>
            <w:noWrap/>
            <w:vAlign w:val="center"/>
          </w:tcPr>
          <w:p w14:paraId="5B73DF88">
            <w:pPr>
              <w:jc w:val="left"/>
              <w:rPr>
                <w:rFonts w:ascii="宋体" w:hAnsi="宋体" w:cs="宋体"/>
                <w:sz w:val="22"/>
                <w:szCs w:val="22"/>
                <w:highlight w:val="none"/>
              </w:rPr>
            </w:pPr>
          </w:p>
        </w:tc>
        <w:tc>
          <w:tcPr>
            <w:tcW w:w="1451" w:type="dxa"/>
            <w:noWrap/>
            <w:vAlign w:val="center"/>
          </w:tcPr>
          <w:p w14:paraId="03F5E195">
            <w:pPr>
              <w:jc w:val="left"/>
              <w:rPr>
                <w:rFonts w:ascii="宋体" w:hAnsi="宋体" w:cs="宋体"/>
                <w:sz w:val="22"/>
                <w:szCs w:val="22"/>
                <w:highlight w:val="none"/>
              </w:rPr>
            </w:pPr>
            <w:r>
              <w:rPr>
                <w:rFonts w:hint="eastAsia" w:ascii="宋体" w:hAnsi="宋体" w:cs="宋体"/>
                <w:sz w:val="22"/>
                <w:szCs w:val="22"/>
                <w:highlight w:val="none"/>
              </w:rPr>
              <w:t>传真</w:t>
            </w:r>
          </w:p>
        </w:tc>
        <w:tc>
          <w:tcPr>
            <w:tcW w:w="2554" w:type="dxa"/>
            <w:noWrap/>
            <w:vAlign w:val="center"/>
          </w:tcPr>
          <w:p w14:paraId="50FAE402">
            <w:pPr>
              <w:jc w:val="left"/>
              <w:rPr>
                <w:rFonts w:ascii="宋体" w:hAnsi="宋体" w:cs="宋体"/>
                <w:sz w:val="22"/>
                <w:szCs w:val="22"/>
                <w:highlight w:val="none"/>
              </w:rPr>
            </w:pPr>
          </w:p>
        </w:tc>
      </w:tr>
      <w:tr w14:paraId="76E50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1" w:type="dxa"/>
            <w:noWrap/>
            <w:vAlign w:val="center"/>
          </w:tcPr>
          <w:p w14:paraId="65A98442">
            <w:pPr>
              <w:jc w:val="center"/>
              <w:rPr>
                <w:rFonts w:ascii="宋体" w:hAnsi="宋体" w:cs="宋体"/>
                <w:sz w:val="22"/>
                <w:szCs w:val="22"/>
                <w:highlight w:val="none"/>
              </w:rPr>
            </w:pPr>
            <w:r>
              <w:rPr>
                <w:rFonts w:hint="eastAsia" w:ascii="宋体" w:hAnsi="宋体" w:cs="宋体"/>
                <w:sz w:val="22"/>
                <w:szCs w:val="22"/>
                <w:highlight w:val="none"/>
              </w:rPr>
              <w:t>E-mail</w:t>
            </w:r>
          </w:p>
        </w:tc>
        <w:tc>
          <w:tcPr>
            <w:tcW w:w="6907" w:type="dxa"/>
            <w:gridSpan w:val="3"/>
            <w:noWrap/>
            <w:vAlign w:val="center"/>
          </w:tcPr>
          <w:p w14:paraId="4C893872">
            <w:pPr>
              <w:jc w:val="left"/>
              <w:rPr>
                <w:rFonts w:ascii="宋体" w:hAnsi="宋体" w:cs="宋体"/>
                <w:sz w:val="22"/>
                <w:szCs w:val="22"/>
                <w:highlight w:val="none"/>
              </w:rPr>
            </w:pPr>
          </w:p>
        </w:tc>
      </w:tr>
      <w:tr w14:paraId="385B2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21" w:type="dxa"/>
            <w:noWrap/>
            <w:vAlign w:val="center"/>
          </w:tcPr>
          <w:p w14:paraId="05D7F482">
            <w:pPr>
              <w:jc w:val="center"/>
              <w:rPr>
                <w:rFonts w:ascii="宋体" w:hAnsi="宋体" w:cs="宋体"/>
                <w:sz w:val="22"/>
                <w:szCs w:val="22"/>
                <w:highlight w:val="none"/>
              </w:rPr>
            </w:pPr>
            <w:r>
              <w:rPr>
                <w:rFonts w:hint="eastAsia" w:ascii="宋体" w:hAnsi="宋体" w:cs="宋体"/>
                <w:sz w:val="22"/>
                <w:szCs w:val="22"/>
                <w:highlight w:val="none"/>
              </w:rPr>
              <w:t>单位地址</w:t>
            </w:r>
          </w:p>
        </w:tc>
        <w:tc>
          <w:tcPr>
            <w:tcW w:w="6907" w:type="dxa"/>
            <w:gridSpan w:val="3"/>
            <w:noWrap/>
            <w:vAlign w:val="center"/>
          </w:tcPr>
          <w:p w14:paraId="000D3042">
            <w:pPr>
              <w:jc w:val="left"/>
              <w:rPr>
                <w:rFonts w:ascii="宋体" w:hAnsi="宋体" w:cs="宋体"/>
                <w:sz w:val="22"/>
                <w:szCs w:val="22"/>
                <w:highlight w:val="none"/>
              </w:rPr>
            </w:pPr>
          </w:p>
        </w:tc>
      </w:tr>
      <w:tr w14:paraId="02077B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21" w:type="dxa"/>
            <w:noWrap/>
            <w:vAlign w:val="center"/>
          </w:tcPr>
          <w:p w14:paraId="767AA888">
            <w:pPr>
              <w:jc w:val="center"/>
              <w:rPr>
                <w:rFonts w:ascii="宋体" w:hAnsi="宋体" w:cs="宋体"/>
                <w:sz w:val="22"/>
                <w:szCs w:val="22"/>
                <w:highlight w:val="none"/>
              </w:rPr>
            </w:pPr>
            <w:r>
              <w:rPr>
                <w:rFonts w:hint="eastAsia" w:ascii="宋体" w:hAnsi="宋体" w:cs="宋体"/>
                <w:sz w:val="22"/>
                <w:szCs w:val="22"/>
                <w:highlight w:val="none"/>
              </w:rPr>
              <w:t>报名时间</w:t>
            </w:r>
          </w:p>
        </w:tc>
        <w:tc>
          <w:tcPr>
            <w:tcW w:w="6907" w:type="dxa"/>
            <w:gridSpan w:val="3"/>
            <w:noWrap/>
            <w:vAlign w:val="center"/>
          </w:tcPr>
          <w:p w14:paraId="4BA05426">
            <w:pPr>
              <w:jc w:val="center"/>
              <w:rPr>
                <w:rFonts w:ascii="宋体" w:hAnsi="宋体" w:cs="宋体"/>
                <w:sz w:val="22"/>
                <w:szCs w:val="22"/>
                <w:highlight w:val="none"/>
              </w:rPr>
            </w:pPr>
            <w:r>
              <w:rPr>
                <w:rFonts w:hint="eastAsia" w:ascii="宋体" w:hAnsi="宋体" w:cs="宋体"/>
                <w:sz w:val="22"/>
                <w:szCs w:val="22"/>
                <w:highlight w:val="none"/>
              </w:rPr>
              <w:t>年  月  日</w:t>
            </w:r>
          </w:p>
        </w:tc>
      </w:tr>
      <w:tr w14:paraId="47FF0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621" w:type="dxa"/>
            <w:noWrap/>
            <w:vAlign w:val="center"/>
          </w:tcPr>
          <w:p w14:paraId="4228FFC7">
            <w:pPr>
              <w:jc w:val="center"/>
              <w:rPr>
                <w:rFonts w:ascii="宋体" w:hAnsi="宋体" w:cs="宋体"/>
                <w:sz w:val="22"/>
                <w:szCs w:val="22"/>
                <w:highlight w:val="none"/>
              </w:rPr>
            </w:pPr>
            <w:r>
              <w:rPr>
                <w:rFonts w:hint="eastAsia" w:ascii="宋体" w:hAnsi="宋体" w:cs="宋体"/>
                <w:sz w:val="22"/>
                <w:szCs w:val="22"/>
                <w:highlight w:val="none"/>
              </w:rPr>
              <w:t>备注</w:t>
            </w:r>
          </w:p>
        </w:tc>
        <w:tc>
          <w:tcPr>
            <w:tcW w:w="6907" w:type="dxa"/>
            <w:gridSpan w:val="3"/>
            <w:noWrap/>
            <w:vAlign w:val="center"/>
          </w:tcPr>
          <w:p w14:paraId="34C22408">
            <w:pPr>
              <w:rPr>
                <w:rFonts w:ascii="宋体" w:hAnsi="宋体" w:cs="宋体"/>
                <w:highlight w:val="none"/>
              </w:rPr>
            </w:pPr>
          </w:p>
        </w:tc>
      </w:tr>
    </w:tbl>
    <w:p w14:paraId="70A65093">
      <w:pPr>
        <w:pStyle w:val="24"/>
        <w:ind w:left="560"/>
        <w:rPr>
          <w:rFonts w:ascii="宋体" w:hAnsi="宋体" w:cs="宋体"/>
          <w:highlight w:val="none"/>
        </w:rPr>
      </w:pPr>
    </w:p>
    <w:sectPr>
      <w:headerReference r:id="rId4" w:type="first"/>
      <w:footerReference r:id="rId6" w:type="first"/>
      <w:headerReference r:id="rId3" w:type="default"/>
      <w:footerReference r:id="rId5" w:type="default"/>
      <w:pgSz w:w="11906" w:h="16838"/>
      <w:pgMar w:top="880" w:right="1426" w:bottom="612" w:left="1240" w:header="567" w:footer="567"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B7AE79-A742-4964-8366-10BBF9CBB4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2" w:fontKey="{F9476998-718A-4FF5-9DEB-F096F581A1B6}"/>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swiss"/>
    <w:pitch w:val="default"/>
    <w:sig w:usb0="80000287" w:usb1="2ACF0010" w:usb2="00000016" w:usb3="00000000" w:csb0="0004001F"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800C2D2A-8B9E-4D13-B741-771BDA6AF442}"/>
  </w:font>
  <w:font w:name="等线">
    <w:panose1 w:val="02010600030101010101"/>
    <w:charset w:val="86"/>
    <w:family w:val="auto"/>
    <w:pitch w:val="default"/>
    <w:sig w:usb0="A00002BF" w:usb1="38CF7CFA" w:usb2="00000016" w:usb3="00000000" w:csb0="0004000F" w:csb1="00000000"/>
    <w:embedRegular r:id="rId4" w:fontKey="{53B0306F-5904-437F-A081-78CC84BAFDAD}"/>
  </w:font>
  <w:font w:name="WPSEMBED2">
    <w:panose1 w:val="02000000000000000000"/>
    <w:charset w:val="86"/>
    <w:family w:val="auto"/>
    <w:pitch w:val="default"/>
    <w:sig w:usb0="A00002BF" w:usb1="38CF7CFA" w:usb2="00082016" w:usb3="00000000" w:csb0="00040001" w:csb1="00000000"/>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0281">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1FC6B">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F81FC6B">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3CD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DE6C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ADDE6C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E8E7">
    <w:pPr>
      <w:pStyle w:val="17"/>
      <w:pBdr>
        <w:bottom w:val="single" w:color="auto" w:sz="4" w:space="1"/>
      </w:pBdr>
      <w:jc w:val="both"/>
      <w:rPr>
        <w:rFonts w:ascii="方正仿宋_GBK" w:eastAsia="方正仿宋_GBK"/>
        <w:sz w:val="21"/>
        <w:szCs w:val="21"/>
      </w:rPr>
    </w:pPr>
    <w:r>
      <w:rPr>
        <w:rFonts w:hint="eastAsia" w:ascii="方正仿宋_GBK" w:eastAsia="方正仿宋_GBK"/>
        <w:sz w:val="21"/>
        <w:szCs w:val="21"/>
        <w:lang w:val="en-US" w:eastAsia="zh-CN"/>
      </w:rPr>
      <w:t>重庆舜德工程造价咨询有限公司</w:t>
    </w:r>
    <w:r>
      <w:rPr>
        <w:rFonts w:hint="eastAsia" w:ascii="方正仿宋_GBK" w:eastAsia="方正仿宋_GBK"/>
        <w:sz w:val="21"/>
        <w:szCs w:val="21"/>
      </w:rPr>
      <w:t xml:space="preserve">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0616">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F53A8"/>
    <w:multiLevelType w:val="singleLevel"/>
    <w:tmpl w:val="DBBF53A8"/>
    <w:lvl w:ilvl="0" w:tentative="0">
      <w:start w:val="4"/>
      <w:numFmt w:val="chineseCounting"/>
      <w:suff w:val="nothing"/>
      <w:lvlText w:val="%1、"/>
      <w:lvlJc w:val="left"/>
      <w:rPr>
        <w:rFonts w:hint="eastAsia"/>
      </w:rPr>
    </w:lvl>
  </w:abstractNum>
  <w:abstractNum w:abstractNumId="1">
    <w:nsid w:val="E4032FA3"/>
    <w:multiLevelType w:val="singleLevel"/>
    <w:tmpl w:val="E4032FA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kMGRjOGM4MjhiMjFkYWI4ODkxZTQ4Y2Y5M2JmYTcifQ=="/>
  </w:docVars>
  <w:rsids>
    <w:rsidRoot w:val="00CB4719"/>
    <w:rsid w:val="0005175C"/>
    <w:rsid w:val="00062FD2"/>
    <w:rsid w:val="00087241"/>
    <w:rsid w:val="00096F31"/>
    <w:rsid w:val="00127BAF"/>
    <w:rsid w:val="00162D83"/>
    <w:rsid w:val="00195905"/>
    <w:rsid w:val="00234892"/>
    <w:rsid w:val="002E75E2"/>
    <w:rsid w:val="002F0821"/>
    <w:rsid w:val="00306339"/>
    <w:rsid w:val="00310238"/>
    <w:rsid w:val="003F3F72"/>
    <w:rsid w:val="004170D6"/>
    <w:rsid w:val="00432138"/>
    <w:rsid w:val="004C3BD3"/>
    <w:rsid w:val="00556C86"/>
    <w:rsid w:val="0057300F"/>
    <w:rsid w:val="00623753"/>
    <w:rsid w:val="00625224"/>
    <w:rsid w:val="00671F65"/>
    <w:rsid w:val="006735CC"/>
    <w:rsid w:val="006D7B61"/>
    <w:rsid w:val="006F01F8"/>
    <w:rsid w:val="006F0CC7"/>
    <w:rsid w:val="006F41F6"/>
    <w:rsid w:val="00705799"/>
    <w:rsid w:val="00784F85"/>
    <w:rsid w:val="007E7B70"/>
    <w:rsid w:val="007F3C1D"/>
    <w:rsid w:val="007F4D60"/>
    <w:rsid w:val="008402F3"/>
    <w:rsid w:val="00882C26"/>
    <w:rsid w:val="0088340A"/>
    <w:rsid w:val="008D07D3"/>
    <w:rsid w:val="00920287"/>
    <w:rsid w:val="00922986"/>
    <w:rsid w:val="009815C4"/>
    <w:rsid w:val="009D0D3C"/>
    <w:rsid w:val="00A03E51"/>
    <w:rsid w:val="00A573C7"/>
    <w:rsid w:val="00A86DD5"/>
    <w:rsid w:val="00A919CA"/>
    <w:rsid w:val="00AA32B6"/>
    <w:rsid w:val="00B22CDD"/>
    <w:rsid w:val="00B230AD"/>
    <w:rsid w:val="00B76E45"/>
    <w:rsid w:val="00CB4719"/>
    <w:rsid w:val="00D07BF1"/>
    <w:rsid w:val="00D42F5B"/>
    <w:rsid w:val="00D56FE0"/>
    <w:rsid w:val="00D71FB5"/>
    <w:rsid w:val="00DE39CB"/>
    <w:rsid w:val="00DE7883"/>
    <w:rsid w:val="00E102CA"/>
    <w:rsid w:val="00E304D6"/>
    <w:rsid w:val="00E428F7"/>
    <w:rsid w:val="00E907F5"/>
    <w:rsid w:val="00EA2F10"/>
    <w:rsid w:val="00EC7D83"/>
    <w:rsid w:val="00ED73C2"/>
    <w:rsid w:val="00F26D85"/>
    <w:rsid w:val="00F426AB"/>
    <w:rsid w:val="010F1DA1"/>
    <w:rsid w:val="01281589"/>
    <w:rsid w:val="017A0815"/>
    <w:rsid w:val="01C43F8B"/>
    <w:rsid w:val="02004CC6"/>
    <w:rsid w:val="02655676"/>
    <w:rsid w:val="028B3DB8"/>
    <w:rsid w:val="029968B2"/>
    <w:rsid w:val="02CC146D"/>
    <w:rsid w:val="02D52ED4"/>
    <w:rsid w:val="02D54B40"/>
    <w:rsid w:val="030C0655"/>
    <w:rsid w:val="034D1EE9"/>
    <w:rsid w:val="03D941F1"/>
    <w:rsid w:val="03E26E45"/>
    <w:rsid w:val="03E80953"/>
    <w:rsid w:val="04FF07C0"/>
    <w:rsid w:val="05092FAB"/>
    <w:rsid w:val="0588416A"/>
    <w:rsid w:val="058E4152"/>
    <w:rsid w:val="05B95FD5"/>
    <w:rsid w:val="06711A14"/>
    <w:rsid w:val="06725AAA"/>
    <w:rsid w:val="06DD243F"/>
    <w:rsid w:val="076C2112"/>
    <w:rsid w:val="07784639"/>
    <w:rsid w:val="08191053"/>
    <w:rsid w:val="084A4425"/>
    <w:rsid w:val="08DF7B13"/>
    <w:rsid w:val="08F86E4A"/>
    <w:rsid w:val="09063C00"/>
    <w:rsid w:val="09644456"/>
    <w:rsid w:val="09791C9E"/>
    <w:rsid w:val="09ED4A02"/>
    <w:rsid w:val="0A31623A"/>
    <w:rsid w:val="0A6D3DC3"/>
    <w:rsid w:val="0A8D528E"/>
    <w:rsid w:val="0A956336"/>
    <w:rsid w:val="0ACF0F28"/>
    <w:rsid w:val="0B8E167E"/>
    <w:rsid w:val="0BAD6534"/>
    <w:rsid w:val="0BCA1C96"/>
    <w:rsid w:val="0BE2799A"/>
    <w:rsid w:val="0BE564F4"/>
    <w:rsid w:val="0C492A6C"/>
    <w:rsid w:val="0C8748EC"/>
    <w:rsid w:val="0D2346B0"/>
    <w:rsid w:val="0D2D0270"/>
    <w:rsid w:val="0D3B479C"/>
    <w:rsid w:val="0D4E1845"/>
    <w:rsid w:val="0D593151"/>
    <w:rsid w:val="0D77438E"/>
    <w:rsid w:val="0DB20BD6"/>
    <w:rsid w:val="0DBE09EC"/>
    <w:rsid w:val="0E254286"/>
    <w:rsid w:val="0E66441E"/>
    <w:rsid w:val="0E851EE3"/>
    <w:rsid w:val="0E912E75"/>
    <w:rsid w:val="0E9610F5"/>
    <w:rsid w:val="0FB64AB5"/>
    <w:rsid w:val="0FC52CFC"/>
    <w:rsid w:val="0FF145E9"/>
    <w:rsid w:val="101A39BB"/>
    <w:rsid w:val="10437AF3"/>
    <w:rsid w:val="108821FE"/>
    <w:rsid w:val="10AD196B"/>
    <w:rsid w:val="116768B5"/>
    <w:rsid w:val="11932602"/>
    <w:rsid w:val="11F008F0"/>
    <w:rsid w:val="1226527B"/>
    <w:rsid w:val="12F47048"/>
    <w:rsid w:val="13186813"/>
    <w:rsid w:val="132B7780"/>
    <w:rsid w:val="13386F35"/>
    <w:rsid w:val="13433F0E"/>
    <w:rsid w:val="134D73E5"/>
    <w:rsid w:val="135B70C7"/>
    <w:rsid w:val="13781A9B"/>
    <w:rsid w:val="14740B01"/>
    <w:rsid w:val="148F382F"/>
    <w:rsid w:val="15613BC6"/>
    <w:rsid w:val="168461FE"/>
    <w:rsid w:val="17463F77"/>
    <w:rsid w:val="175F5502"/>
    <w:rsid w:val="17704244"/>
    <w:rsid w:val="177D1602"/>
    <w:rsid w:val="17A80F7A"/>
    <w:rsid w:val="180504C8"/>
    <w:rsid w:val="181D12B8"/>
    <w:rsid w:val="182763E1"/>
    <w:rsid w:val="185D1C5F"/>
    <w:rsid w:val="18F3029A"/>
    <w:rsid w:val="190A1FD6"/>
    <w:rsid w:val="192D215B"/>
    <w:rsid w:val="196F21E6"/>
    <w:rsid w:val="197F65F9"/>
    <w:rsid w:val="19F44BD3"/>
    <w:rsid w:val="1A227666"/>
    <w:rsid w:val="1A3D6BAC"/>
    <w:rsid w:val="1A6A5AC6"/>
    <w:rsid w:val="1ABF12B7"/>
    <w:rsid w:val="1AC94785"/>
    <w:rsid w:val="1B1C5500"/>
    <w:rsid w:val="1B2A58BB"/>
    <w:rsid w:val="1B585375"/>
    <w:rsid w:val="1B6E08C2"/>
    <w:rsid w:val="1BD02912"/>
    <w:rsid w:val="1BE93A56"/>
    <w:rsid w:val="1C174266"/>
    <w:rsid w:val="1C3E6BBF"/>
    <w:rsid w:val="1C63546B"/>
    <w:rsid w:val="1C8B3247"/>
    <w:rsid w:val="1CBE0187"/>
    <w:rsid w:val="1D567904"/>
    <w:rsid w:val="1D7721E7"/>
    <w:rsid w:val="1D772A59"/>
    <w:rsid w:val="1D802198"/>
    <w:rsid w:val="1D9E21D3"/>
    <w:rsid w:val="1DB573D4"/>
    <w:rsid w:val="1DD97036"/>
    <w:rsid w:val="1DF90E99"/>
    <w:rsid w:val="1DFB7847"/>
    <w:rsid w:val="1EB80AE6"/>
    <w:rsid w:val="1EBE0A51"/>
    <w:rsid w:val="1EFF4E9E"/>
    <w:rsid w:val="1F0D64BF"/>
    <w:rsid w:val="1F887193"/>
    <w:rsid w:val="1FBC1028"/>
    <w:rsid w:val="1FC247CC"/>
    <w:rsid w:val="1FDE7485"/>
    <w:rsid w:val="20000B76"/>
    <w:rsid w:val="2041788A"/>
    <w:rsid w:val="20502840"/>
    <w:rsid w:val="21506E41"/>
    <w:rsid w:val="21617DBE"/>
    <w:rsid w:val="21D14E7B"/>
    <w:rsid w:val="22360A4D"/>
    <w:rsid w:val="228E2477"/>
    <w:rsid w:val="22EB4370"/>
    <w:rsid w:val="22F4274D"/>
    <w:rsid w:val="23066A9B"/>
    <w:rsid w:val="233D5EA2"/>
    <w:rsid w:val="238E7605"/>
    <w:rsid w:val="23E00FD5"/>
    <w:rsid w:val="24094C06"/>
    <w:rsid w:val="249266C1"/>
    <w:rsid w:val="24A51F50"/>
    <w:rsid w:val="24AD0CB0"/>
    <w:rsid w:val="24ED0FDA"/>
    <w:rsid w:val="25515205"/>
    <w:rsid w:val="255F7774"/>
    <w:rsid w:val="25F03A84"/>
    <w:rsid w:val="26041330"/>
    <w:rsid w:val="26306192"/>
    <w:rsid w:val="26404AB4"/>
    <w:rsid w:val="268E37D0"/>
    <w:rsid w:val="26A338A4"/>
    <w:rsid w:val="26DB5170"/>
    <w:rsid w:val="26FB5651"/>
    <w:rsid w:val="27570DF4"/>
    <w:rsid w:val="27C2537E"/>
    <w:rsid w:val="28117CC7"/>
    <w:rsid w:val="28233FD2"/>
    <w:rsid w:val="28644484"/>
    <w:rsid w:val="2881681A"/>
    <w:rsid w:val="28A80B22"/>
    <w:rsid w:val="28DB3015"/>
    <w:rsid w:val="29265C30"/>
    <w:rsid w:val="292871F9"/>
    <w:rsid w:val="295D32B1"/>
    <w:rsid w:val="295D3C5E"/>
    <w:rsid w:val="29672EC9"/>
    <w:rsid w:val="297A4E6D"/>
    <w:rsid w:val="29C9048F"/>
    <w:rsid w:val="2AB41822"/>
    <w:rsid w:val="2B4F33D6"/>
    <w:rsid w:val="2C10592D"/>
    <w:rsid w:val="2C751DF5"/>
    <w:rsid w:val="2D3C7ECE"/>
    <w:rsid w:val="2DC32F2F"/>
    <w:rsid w:val="2E135376"/>
    <w:rsid w:val="2EA83131"/>
    <w:rsid w:val="2EB575E2"/>
    <w:rsid w:val="2EBC3A9C"/>
    <w:rsid w:val="2ECD1627"/>
    <w:rsid w:val="2ED410E1"/>
    <w:rsid w:val="2F3C30EF"/>
    <w:rsid w:val="2FCC0E23"/>
    <w:rsid w:val="30902158"/>
    <w:rsid w:val="31227B60"/>
    <w:rsid w:val="314806FB"/>
    <w:rsid w:val="31AF49A2"/>
    <w:rsid w:val="31EB2F63"/>
    <w:rsid w:val="322A618B"/>
    <w:rsid w:val="32917CCD"/>
    <w:rsid w:val="32D22BE6"/>
    <w:rsid w:val="32DB6BD1"/>
    <w:rsid w:val="33035EC1"/>
    <w:rsid w:val="33C016A5"/>
    <w:rsid w:val="33CB2F9F"/>
    <w:rsid w:val="33F0483B"/>
    <w:rsid w:val="34727FA3"/>
    <w:rsid w:val="347B4C58"/>
    <w:rsid w:val="34CF26B1"/>
    <w:rsid w:val="34E81B9A"/>
    <w:rsid w:val="35040F15"/>
    <w:rsid w:val="35053CB7"/>
    <w:rsid w:val="35342A15"/>
    <w:rsid w:val="360F6DC1"/>
    <w:rsid w:val="3610359C"/>
    <w:rsid w:val="36B3674F"/>
    <w:rsid w:val="36C34F85"/>
    <w:rsid w:val="36D60888"/>
    <w:rsid w:val="3704623D"/>
    <w:rsid w:val="375515B4"/>
    <w:rsid w:val="376140D0"/>
    <w:rsid w:val="376A7003"/>
    <w:rsid w:val="37B22F1F"/>
    <w:rsid w:val="384143F5"/>
    <w:rsid w:val="385002E8"/>
    <w:rsid w:val="38CE090D"/>
    <w:rsid w:val="38EF2C0C"/>
    <w:rsid w:val="38FA3EB5"/>
    <w:rsid w:val="391C07B0"/>
    <w:rsid w:val="39213164"/>
    <w:rsid w:val="39340367"/>
    <w:rsid w:val="396171E8"/>
    <w:rsid w:val="39A003DC"/>
    <w:rsid w:val="3A733D2D"/>
    <w:rsid w:val="3A977FAE"/>
    <w:rsid w:val="3A9D1FE9"/>
    <w:rsid w:val="3ADA3F1A"/>
    <w:rsid w:val="3B2B2E74"/>
    <w:rsid w:val="3B777C30"/>
    <w:rsid w:val="3BFD114C"/>
    <w:rsid w:val="3C516226"/>
    <w:rsid w:val="3C87523F"/>
    <w:rsid w:val="3CAB1E97"/>
    <w:rsid w:val="3D144B52"/>
    <w:rsid w:val="3D517D14"/>
    <w:rsid w:val="3D892759"/>
    <w:rsid w:val="3DBC7F9D"/>
    <w:rsid w:val="3F76590A"/>
    <w:rsid w:val="3FE75327"/>
    <w:rsid w:val="404E4B24"/>
    <w:rsid w:val="405762EE"/>
    <w:rsid w:val="407B0F16"/>
    <w:rsid w:val="40DF4C22"/>
    <w:rsid w:val="40F62CB1"/>
    <w:rsid w:val="41292C17"/>
    <w:rsid w:val="41345DD6"/>
    <w:rsid w:val="419B4DF4"/>
    <w:rsid w:val="41B5086C"/>
    <w:rsid w:val="427C23A2"/>
    <w:rsid w:val="42807ED4"/>
    <w:rsid w:val="42846287"/>
    <w:rsid w:val="432A6F6D"/>
    <w:rsid w:val="43EB1845"/>
    <w:rsid w:val="43FC642E"/>
    <w:rsid w:val="441B4394"/>
    <w:rsid w:val="442036AE"/>
    <w:rsid w:val="44255951"/>
    <w:rsid w:val="452D2417"/>
    <w:rsid w:val="46597008"/>
    <w:rsid w:val="4672041C"/>
    <w:rsid w:val="467801B0"/>
    <w:rsid w:val="47051A84"/>
    <w:rsid w:val="470A4E72"/>
    <w:rsid w:val="473D70ED"/>
    <w:rsid w:val="47DF2C74"/>
    <w:rsid w:val="48142BA1"/>
    <w:rsid w:val="48476F7D"/>
    <w:rsid w:val="490B1859"/>
    <w:rsid w:val="498D56B8"/>
    <w:rsid w:val="49A0183B"/>
    <w:rsid w:val="49B622B3"/>
    <w:rsid w:val="4A085B56"/>
    <w:rsid w:val="4A477482"/>
    <w:rsid w:val="4A5635B7"/>
    <w:rsid w:val="4A846A7C"/>
    <w:rsid w:val="4ACF4184"/>
    <w:rsid w:val="4AD8214A"/>
    <w:rsid w:val="4AE253FD"/>
    <w:rsid w:val="4B53450B"/>
    <w:rsid w:val="4B694FD5"/>
    <w:rsid w:val="4BEA5657"/>
    <w:rsid w:val="4C0350CA"/>
    <w:rsid w:val="4C105E9E"/>
    <w:rsid w:val="4C490FD5"/>
    <w:rsid w:val="4C707A66"/>
    <w:rsid w:val="4CAD712F"/>
    <w:rsid w:val="4D365C2A"/>
    <w:rsid w:val="4D93478D"/>
    <w:rsid w:val="4E130DD3"/>
    <w:rsid w:val="4F1D2EA8"/>
    <w:rsid w:val="4F1D4CA0"/>
    <w:rsid w:val="4FCD7717"/>
    <w:rsid w:val="50726CA1"/>
    <w:rsid w:val="510C6D64"/>
    <w:rsid w:val="51176AC5"/>
    <w:rsid w:val="512A365A"/>
    <w:rsid w:val="514D6CCD"/>
    <w:rsid w:val="518B4B5D"/>
    <w:rsid w:val="52940E77"/>
    <w:rsid w:val="52A27786"/>
    <w:rsid w:val="52B233DD"/>
    <w:rsid w:val="53961319"/>
    <w:rsid w:val="53C434A8"/>
    <w:rsid w:val="540C1FE6"/>
    <w:rsid w:val="542B1BC3"/>
    <w:rsid w:val="54434FF3"/>
    <w:rsid w:val="54B077F0"/>
    <w:rsid w:val="54C44CF2"/>
    <w:rsid w:val="54E104D3"/>
    <w:rsid w:val="559C49AF"/>
    <w:rsid w:val="55B90AA3"/>
    <w:rsid w:val="55C26B23"/>
    <w:rsid w:val="56036D09"/>
    <w:rsid w:val="560F7E7B"/>
    <w:rsid w:val="56A7044E"/>
    <w:rsid w:val="57A671E4"/>
    <w:rsid w:val="57CB56D3"/>
    <w:rsid w:val="57D46219"/>
    <w:rsid w:val="57EA6905"/>
    <w:rsid w:val="57EE6152"/>
    <w:rsid w:val="5804225B"/>
    <w:rsid w:val="58293058"/>
    <w:rsid w:val="599839ED"/>
    <w:rsid w:val="59AE4527"/>
    <w:rsid w:val="5A424BF0"/>
    <w:rsid w:val="5A6526B4"/>
    <w:rsid w:val="5AB0697E"/>
    <w:rsid w:val="5B284D4E"/>
    <w:rsid w:val="5B474B22"/>
    <w:rsid w:val="5B6C7D1A"/>
    <w:rsid w:val="5B8D78C2"/>
    <w:rsid w:val="5BE94978"/>
    <w:rsid w:val="5D177589"/>
    <w:rsid w:val="5DE31C86"/>
    <w:rsid w:val="5DF11319"/>
    <w:rsid w:val="5DFD0453"/>
    <w:rsid w:val="5E00779F"/>
    <w:rsid w:val="5E441586"/>
    <w:rsid w:val="5F2300D5"/>
    <w:rsid w:val="5F350503"/>
    <w:rsid w:val="5F861B66"/>
    <w:rsid w:val="5F922AF6"/>
    <w:rsid w:val="5F935611"/>
    <w:rsid w:val="60287C0A"/>
    <w:rsid w:val="60427493"/>
    <w:rsid w:val="607C52D2"/>
    <w:rsid w:val="607E7538"/>
    <w:rsid w:val="61194611"/>
    <w:rsid w:val="61531ED7"/>
    <w:rsid w:val="618174B3"/>
    <w:rsid w:val="61A43D8D"/>
    <w:rsid w:val="62C721F3"/>
    <w:rsid w:val="62DE60BB"/>
    <w:rsid w:val="62E73294"/>
    <w:rsid w:val="63133F4E"/>
    <w:rsid w:val="637D3FAC"/>
    <w:rsid w:val="639B5467"/>
    <w:rsid w:val="642A59EB"/>
    <w:rsid w:val="645004B2"/>
    <w:rsid w:val="64AC65F3"/>
    <w:rsid w:val="64FA08B5"/>
    <w:rsid w:val="65C75C47"/>
    <w:rsid w:val="65FA794B"/>
    <w:rsid w:val="6618535C"/>
    <w:rsid w:val="663A2A07"/>
    <w:rsid w:val="66691FC8"/>
    <w:rsid w:val="66AA6977"/>
    <w:rsid w:val="66E40D2C"/>
    <w:rsid w:val="674019E2"/>
    <w:rsid w:val="67791291"/>
    <w:rsid w:val="67AF76FD"/>
    <w:rsid w:val="682F659F"/>
    <w:rsid w:val="68646FFA"/>
    <w:rsid w:val="68706867"/>
    <w:rsid w:val="68AF1682"/>
    <w:rsid w:val="690A795E"/>
    <w:rsid w:val="69E76D09"/>
    <w:rsid w:val="6A445F75"/>
    <w:rsid w:val="6C67365A"/>
    <w:rsid w:val="6CB876C8"/>
    <w:rsid w:val="6D26480F"/>
    <w:rsid w:val="6D707558"/>
    <w:rsid w:val="6D9E6D9A"/>
    <w:rsid w:val="6DA26CAA"/>
    <w:rsid w:val="6E032E11"/>
    <w:rsid w:val="6E647B52"/>
    <w:rsid w:val="6E896027"/>
    <w:rsid w:val="6EAF0B41"/>
    <w:rsid w:val="6EF47634"/>
    <w:rsid w:val="6F3D1742"/>
    <w:rsid w:val="6F452253"/>
    <w:rsid w:val="6FD2A5F0"/>
    <w:rsid w:val="70E613E6"/>
    <w:rsid w:val="711B7EC8"/>
    <w:rsid w:val="71507203"/>
    <w:rsid w:val="71694996"/>
    <w:rsid w:val="72211C2E"/>
    <w:rsid w:val="7251239D"/>
    <w:rsid w:val="73131A0B"/>
    <w:rsid w:val="73385414"/>
    <w:rsid w:val="73841D2D"/>
    <w:rsid w:val="74AC4A2C"/>
    <w:rsid w:val="74B95992"/>
    <w:rsid w:val="74DF60C4"/>
    <w:rsid w:val="74F47558"/>
    <w:rsid w:val="755D611A"/>
    <w:rsid w:val="759B2F4D"/>
    <w:rsid w:val="76414B86"/>
    <w:rsid w:val="76843097"/>
    <w:rsid w:val="76A026BF"/>
    <w:rsid w:val="76C71949"/>
    <w:rsid w:val="76D03F22"/>
    <w:rsid w:val="76ED20EF"/>
    <w:rsid w:val="77352833"/>
    <w:rsid w:val="773F46B3"/>
    <w:rsid w:val="775750C2"/>
    <w:rsid w:val="77E617D9"/>
    <w:rsid w:val="77E66922"/>
    <w:rsid w:val="77F76CE9"/>
    <w:rsid w:val="782F13D2"/>
    <w:rsid w:val="785318E0"/>
    <w:rsid w:val="78822683"/>
    <w:rsid w:val="79204546"/>
    <w:rsid w:val="793545F8"/>
    <w:rsid w:val="795C4FDD"/>
    <w:rsid w:val="79813A9D"/>
    <w:rsid w:val="79B4152D"/>
    <w:rsid w:val="7A606828"/>
    <w:rsid w:val="7A7654C6"/>
    <w:rsid w:val="7A971776"/>
    <w:rsid w:val="7AB52C97"/>
    <w:rsid w:val="7B016CFF"/>
    <w:rsid w:val="7B94103C"/>
    <w:rsid w:val="7BE80B8E"/>
    <w:rsid w:val="7BF3536A"/>
    <w:rsid w:val="7C7619B1"/>
    <w:rsid w:val="7C7E57FB"/>
    <w:rsid w:val="7C8D0E61"/>
    <w:rsid w:val="7D2657A0"/>
    <w:rsid w:val="7D2B5409"/>
    <w:rsid w:val="7D4D3F66"/>
    <w:rsid w:val="7D5375BA"/>
    <w:rsid w:val="7D544B05"/>
    <w:rsid w:val="7D6B7DA5"/>
    <w:rsid w:val="7D7A0669"/>
    <w:rsid w:val="7E4932C0"/>
    <w:rsid w:val="7E7E284F"/>
    <w:rsid w:val="7F525430"/>
    <w:rsid w:val="7F6B053D"/>
    <w:rsid w:val="7F9B73E9"/>
    <w:rsid w:val="7FB54E39"/>
    <w:rsid w:val="7FB7A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next w:val="8"/>
    <w:autoRedefine/>
    <w:qFormat/>
    <w:uiPriority w:val="99"/>
    <w:pPr>
      <w:adjustRightInd w:val="0"/>
      <w:snapToGrid w:val="0"/>
      <w:spacing w:line="360" w:lineRule="auto"/>
      <w:ind w:firstLine="420"/>
    </w:pPr>
    <w:rPr>
      <w:sz w:val="24"/>
    </w:rPr>
  </w:style>
  <w:style w:type="paragraph" w:styleId="8">
    <w:name w:val="Body Text"/>
    <w:basedOn w:val="1"/>
    <w:next w:val="9"/>
    <w:autoRedefine/>
    <w:qFormat/>
    <w:uiPriority w:val="0"/>
    <w:rPr>
      <w:rFonts w:ascii="仿宋_GB2312" w:eastAsia="仿宋_GB2312"/>
      <w:sz w:val="32"/>
    </w:rPr>
  </w:style>
  <w:style w:type="paragraph" w:customStyle="1" w:styleId="9">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0">
    <w:name w:val="Body Text Indent"/>
    <w:basedOn w:val="1"/>
    <w:autoRedefine/>
    <w:qFormat/>
    <w:uiPriority w:val="0"/>
    <w:pPr>
      <w:spacing w:line="360" w:lineRule="auto"/>
      <w:ind w:firstLine="480" w:firstLineChars="200"/>
    </w:pPr>
    <w:rPr>
      <w:kern w:val="0"/>
      <w:sz w:val="20"/>
    </w:rPr>
  </w:style>
  <w:style w:type="paragraph" w:styleId="11">
    <w:name w:val="toc 5"/>
    <w:basedOn w:val="1"/>
    <w:next w:val="1"/>
    <w:autoRedefine/>
    <w:qFormat/>
    <w:uiPriority w:val="0"/>
    <w:pPr>
      <w:ind w:left="800" w:leftChars="800"/>
    </w:pPr>
  </w:style>
  <w:style w:type="paragraph" w:styleId="12">
    <w:name w:val="toc 3"/>
    <w:basedOn w:val="1"/>
    <w:next w:val="1"/>
    <w:autoRedefine/>
    <w:semiHidden/>
    <w:unhideWhenUsed/>
    <w:qFormat/>
    <w:uiPriority w:val="0"/>
    <w:pPr>
      <w:ind w:left="840" w:leftChars="400"/>
    </w:pPr>
  </w:style>
  <w:style w:type="paragraph" w:styleId="13">
    <w:name w:val="Plain Text"/>
    <w:basedOn w:val="1"/>
    <w:next w:val="1"/>
    <w:autoRedefine/>
    <w:qFormat/>
    <w:uiPriority w:val="0"/>
    <w:rPr>
      <w:rFonts w:ascii="宋体" w:hAnsi="Courier New"/>
      <w:sz w:val="21"/>
    </w:rPr>
  </w:style>
  <w:style w:type="paragraph" w:styleId="14">
    <w:name w:val="Date"/>
    <w:basedOn w:val="1"/>
    <w:next w:val="1"/>
    <w:autoRedefine/>
    <w:qFormat/>
    <w:uiPriority w:val="0"/>
  </w:style>
  <w:style w:type="paragraph" w:styleId="15">
    <w:name w:val="Body Text Indent 2"/>
    <w:basedOn w:val="1"/>
    <w:autoRedefine/>
    <w:qFormat/>
    <w:uiPriority w:val="0"/>
    <w:pPr>
      <w:snapToGrid w:val="0"/>
      <w:spacing w:line="560" w:lineRule="atLeast"/>
      <w:ind w:firstLine="540"/>
    </w:p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0"/>
    <w:pPr>
      <w:spacing w:line="180" w:lineRule="auto"/>
      <w:jc w:val="center"/>
    </w:pPr>
    <w:rPr>
      <w:sz w:val="30"/>
    </w:rPr>
  </w:style>
  <w:style w:type="paragraph" w:styleId="19">
    <w:name w:val="List"/>
    <w:basedOn w:val="1"/>
    <w:autoRedefine/>
    <w:semiHidden/>
    <w:qFormat/>
    <w:uiPriority w:val="0"/>
    <w:pPr>
      <w:ind w:left="200" w:hanging="200" w:hangingChars="200"/>
    </w:pPr>
  </w:style>
  <w:style w:type="paragraph" w:styleId="20">
    <w:name w:val="toc 2"/>
    <w:basedOn w:val="1"/>
    <w:next w:val="1"/>
    <w:autoRedefine/>
    <w:qFormat/>
    <w:uiPriority w:val="39"/>
    <w:pPr>
      <w:ind w:left="420" w:leftChars="200"/>
    </w:pPr>
  </w:style>
  <w:style w:type="paragraph" w:styleId="21">
    <w:name w:val="Normal (Web)"/>
    <w:basedOn w:val="1"/>
    <w:autoRedefine/>
    <w:semiHidden/>
    <w:unhideWhenUsed/>
    <w:qFormat/>
    <w:uiPriority w:val="0"/>
    <w:pPr>
      <w:spacing w:beforeAutospacing="1" w:afterAutospacing="1"/>
      <w:jc w:val="left"/>
    </w:pPr>
    <w:rPr>
      <w:kern w:val="0"/>
      <w:sz w:val="24"/>
    </w:rPr>
  </w:style>
  <w:style w:type="paragraph" w:styleId="22">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23">
    <w:name w:val="Body Text First Indent"/>
    <w:basedOn w:val="1"/>
    <w:next w:val="24"/>
    <w:autoRedefine/>
    <w:semiHidden/>
    <w:qFormat/>
    <w:uiPriority w:val="0"/>
    <w:pPr>
      <w:spacing w:line="360" w:lineRule="auto"/>
      <w:ind w:firstLine="420"/>
    </w:pPr>
    <w:rPr>
      <w:rFonts w:ascii="宋体" w:hAnsi="宋体"/>
    </w:rPr>
  </w:style>
  <w:style w:type="paragraph" w:styleId="24">
    <w:name w:val="Body Text First Indent 2"/>
    <w:basedOn w:val="10"/>
    <w:next w:val="1"/>
    <w:autoRedefine/>
    <w:qFormat/>
    <w:uiPriority w:val="0"/>
    <w:pPr>
      <w:spacing w:after="120" w:line="240" w:lineRule="auto"/>
      <w:ind w:left="420" w:leftChars="200" w:firstLine="420"/>
    </w:pPr>
    <w:rPr>
      <w:sz w:val="21"/>
    </w:rPr>
  </w:style>
  <w:style w:type="table" w:styleId="26">
    <w:name w:val="Table Grid"/>
    <w:basedOn w:val="25"/>
    <w:autoRedefine/>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8">
    <w:name w:val="page number"/>
    <w:autoRedefine/>
    <w:qFormat/>
    <w:uiPriority w:val="0"/>
  </w:style>
  <w:style w:type="character" w:styleId="29">
    <w:name w:val="Hyperlink"/>
    <w:qFormat/>
    <w:uiPriority w:val="99"/>
    <w:rPr>
      <w:color w:val="0000FF"/>
      <w:u w:val="single"/>
    </w:rPr>
  </w:style>
  <w:style w:type="paragraph" w:customStyle="1" w:styleId="30">
    <w:name w:val="样式 宋体 五号 行距: 单倍行距"/>
    <w:basedOn w:val="1"/>
    <w:autoRedefine/>
    <w:qFormat/>
    <w:uiPriority w:val="0"/>
    <w:pPr>
      <w:adjustRightInd w:val="0"/>
      <w:jc w:val="left"/>
    </w:pPr>
    <w:rPr>
      <w:rFonts w:ascii="宋体" w:hAnsi="宋体"/>
      <w:kern w:val="0"/>
      <w:sz w:val="21"/>
    </w:rPr>
  </w:style>
  <w:style w:type="paragraph" w:customStyle="1" w:styleId="31">
    <w:name w:val="正文1"/>
    <w:basedOn w:val="1"/>
    <w:next w:val="1"/>
    <w:autoRedefine/>
    <w:qFormat/>
    <w:uiPriority w:val="0"/>
    <w:pPr>
      <w:spacing w:line="300" w:lineRule="auto"/>
      <w:ind w:firstLine="200" w:firstLineChars="200"/>
    </w:pPr>
    <w:rPr>
      <w:sz w:val="24"/>
    </w:rPr>
  </w:style>
  <w:style w:type="paragraph" w:customStyle="1" w:styleId="32">
    <w:name w:val="目录 8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3">
    <w:name w:val="图例"/>
    <w:basedOn w:val="1"/>
    <w:autoRedefine/>
    <w:qFormat/>
    <w:uiPriority w:val="0"/>
    <w:pPr>
      <w:spacing w:before="120" w:after="120" w:line="360" w:lineRule="auto"/>
      <w:jc w:val="center"/>
    </w:pPr>
    <w:rPr>
      <w:rFonts w:eastAsia="仿宋_GB2312"/>
      <w:b/>
      <w:sz w:val="24"/>
    </w:rPr>
  </w:style>
  <w:style w:type="paragraph" w:customStyle="1" w:styleId="34">
    <w:name w:val="1"/>
    <w:basedOn w:val="1"/>
    <w:next w:val="13"/>
    <w:autoRedefine/>
    <w:qFormat/>
    <w:uiPriority w:val="0"/>
    <w:rPr>
      <w:rFonts w:ascii="宋体" w:hAnsi="Courier New"/>
      <w:sz w:val="21"/>
    </w:rPr>
  </w:style>
  <w:style w:type="paragraph" w:customStyle="1" w:styleId="35">
    <w:name w:val="Default"/>
    <w:autoRedefine/>
    <w:qFormat/>
    <w:uiPriority w:val="99"/>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 w:type="paragraph" w:customStyle="1" w:styleId="36">
    <w:name w:val="列出段落1"/>
    <w:basedOn w:val="1"/>
    <w:autoRedefine/>
    <w:qFormat/>
    <w:uiPriority w:val="0"/>
    <w:pPr>
      <w:ind w:firstLine="420" w:firstLineChars="200"/>
    </w:pPr>
  </w:style>
  <w:style w:type="paragraph" w:customStyle="1" w:styleId="37">
    <w:name w:val="电建正文"/>
    <w:basedOn w:val="38"/>
    <w:autoRedefine/>
    <w:qFormat/>
    <w:uiPriority w:val="0"/>
    <w:pPr>
      <w:tabs>
        <w:tab w:val="left" w:pos="720"/>
      </w:tabs>
      <w:spacing w:line="360" w:lineRule="auto"/>
      <w:ind w:firstLine="200" w:firstLineChars="200"/>
    </w:pPr>
    <w:rPr>
      <w:rFonts w:ascii="Tahoma" w:hAnsi="Tahoma"/>
      <w:sz w:val="24"/>
    </w:rPr>
  </w:style>
  <w:style w:type="paragraph" w:customStyle="1" w:styleId="38">
    <w:name w:val="List First"/>
    <w:basedOn w:val="19"/>
    <w:next w:val="19"/>
    <w:autoRedefine/>
    <w:qFormat/>
    <w:uiPriority w:val="0"/>
    <w:pPr>
      <w:widowControl/>
      <w:tabs>
        <w:tab w:val="left" w:pos="720"/>
      </w:tabs>
      <w:overflowPunct w:val="0"/>
      <w:autoSpaceDE w:val="0"/>
      <w:autoSpaceDN w:val="0"/>
      <w:spacing w:before="80" w:after="80"/>
      <w:ind w:left="0"/>
      <w:jc w:val="left"/>
    </w:pPr>
    <w:rPr>
      <w:kern w:val="0"/>
      <w:sz w:val="20"/>
    </w:rPr>
  </w:style>
  <w:style w:type="paragraph" w:styleId="39">
    <w:name w:val="List Paragraph"/>
    <w:basedOn w:val="1"/>
    <w:autoRedefine/>
    <w:qFormat/>
    <w:uiPriority w:val="0"/>
    <w:pPr>
      <w:ind w:firstLine="420" w:firstLineChars="200"/>
    </w:pPr>
  </w:style>
  <w:style w:type="character" w:customStyle="1" w:styleId="40">
    <w:name w:val="无"/>
    <w:autoRedefine/>
    <w:qFormat/>
    <w:uiPriority w:val="99"/>
  </w:style>
  <w:style w:type="paragraph" w:customStyle="1" w:styleId="41">
    <w:name w:val="Table Text"/>
    <w:autoRedefine/>
    <w:qFormat/>
    <w:uiPriority w:val="0"/>
    <w:pPr>
      <w:suppressAutoHyphens/>
      <w:snapToGrid w:val="0"/>
      <w:spacing w:before="80" w:after="80"/>
    </w:pPr>
    <w:rPr>
      <w:rFonts w:ascii="Arial" w:hAnsi="Arial" w:eastAsia="宋体" w:cs="Arial"/>
      <w:kern w:val="1"/>
      <w:sz w:val="18"/>
      <w:lang w:val="en-US" w:eastAsia="zh-CN" w:bidi="ar-SA"/>
    </w:rPr>
  </w:style>
  <w:style w:type="character" w:customStyle="1" w:styleId="42">
    <w:name w:val="NormalCharacter"/>
    <w:autoRedefine/>
    <w:qFormat/>
    <w:uiPriority w:val="0"/>
  </w:style>
  <w:style w:type="character" w:customStyle="1" w:styleId="43">
    <w:name w:val="UserStyle_1"/>
    <w:basedOn w:val="42"/>
    <w:autoRedefine/>
    <w:qFormat/>
    <w:uiPriority w:val="0"/>
    <w:rPr>
      <w:rFonts w:ascii="仿宋" w:hAnsi="仿宋"/>
      <w:color w:val="000000"/>
      <w:sz w:val="22"/>
      <w:szCs w:val="22"/>
    </w:rPr>
  </w:style>
  <w:style w:type="character" w:customStyle="1" w:styleId="44">
    <w:name w:val="font31"/>
    <w:basedOn w:val="27"/>
    <w:qFormat/>
    <w:uiPriority w:val="0"/>
    <w:rPr>
      <w:rFonts w:hint="default" w:ascii="微软雅黑 Light" w:hAnsi="微软雅黑 Light" w:eastAsia="微软雅黑 Light" w:cs="微软雅黑 Light"/>
      <w:color w:val="000000"/>
      <w:sz w:val="24"/>
      <w:szCs w:val="24"/>
      <w:u w:val="none"/>
    </w:rPr>
  </w:style>
  <w:style w:type="paragraph" w:customStyle="1" w:styleId="45">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character" w:customStyle="1" w:styleId="46">
    <w:name w:val="font01"/>
    <w:basedOn w:val="27"/>
    <w:qFormat/>
    <w:uiPriority w:val="0"/>
    <w:rPr>
      <w:rFonts w:hint="eastAsia" w:ascii="宋体" w:hAnsi="宋体" w:eastAsia="宋体" w:cs="宋体"/>
      <w:color w:val="000000"/>
      <w:sz w:val="22"/>
      <w:szCs w:val="22"/>
      <w:u w:val="none"/>
    </w:rPr>
  </w:style>
  <w:style w:type="character" w:customStyle="1" w:styleId="47">
    <w:name w:val="font41"/>
    <w:basedOn w:val="27"/>
    <w:qFormat/>
    <w:uiPriority w:val="0"/>
    <w:rPr>
      <w:rFonts w:hint="eastAsia" w:ascii="宋体" w:hAnsi="宋体" w:eastAsia="宋体" w:cs="宋体"/>
      <w:color w:val="111111"/>
      <w:sz w:val="20"/>
      <w:szCs w:val="20"/>
      <w:u w:val="none"/>
    </w:rPr>
  </w:style>
  <w:style w:type="character" w:customStyle="1" w:styleId="48">
    <w:name w:val="font51"/>
    <w:basedOn w:val="27"/>
    <w:qFormat/>
    <w:uiPriority w:val="0"/>
    <w:rPr>
      <w:rFonts w:ascii="Source Han Sans" w:hAnsi="Source Han Sans" w:eastAsia="Source Han Sans" w:cs="Source Han Sans"/>
      <w:color w:val="111111"/>
      <w:sz w:val="20"/>
      <w:szCs w:val="20"/>
      <w:u w:val="none"/>
    </w:rPr>
  </w:style>
  <w:style w:type="character" w:customStyle="1" w:styleId="49">
    <w:name w:val="font61"/>
    <w:basedOn w:val="27"/>
    <w:qFormat/>
    <w:uiPriority w:val="0"/>
    <w:rPr>
      <w:rFonts w:ascii="Source Han Sans" w:hAnsi="Source Han Sans" w:eastAsia="Source Han Sans" w:cs="Source Han Sans"/>
      <w:color w:val="111111"/>
      <w:sz w:val="20"/>
      <w:szCs w:val="20"/>
      <w:u w:val="none"/>
    </w:rPr>
  </w:style>
  <w:style w:type="character" w:customStyle="1" w:styleId="50">
    <w:name w:val="font81"/>
    <w:basedOn w:val="27"/>
    <w:qFormat/>
    <w:uiPriority w:val="0"/>
    <w:rPr>
      <w:rFonts w:hint="eastAsia" w:ascii="宋体" w:hAnsi="宋体" w:eastAsia="宋体" w:cs="宋体"/>
      <w:color w:val="111111"/>
      <w:sz w:val="20"/>
      <w:szCs w:val="20"/>
      <w:u w:val="none"/>
    </w:rPr>
  </w:style>
  <w:style w:type="character" w:customStyle="1" w:styleId="51">
    <w:name w:val="font71"/>
    <w:basedOn w:val="27"/>
    <w:qFormat/>
    <w:uiPriority w:val="0"/>
    <w:rPr>
      <w:rFonts w:hint="eastAsia" w:ascii="微软雅黑" w:hAnsi="微软雅黑" w:eastAsia="微软雅黑" w:cs="微软雅黑"/>
      <w:color w:val="000000"/>
      <w:sz w:val="24"/>
      <w:szCs w:val="24"/>
      <w:u w:val="none"/>
    </w:rPr>
  </w:style>
  <w:style w:type="character" w:customStyle="1" w:styleId="52">
    <w:name w:val="font11"/>
    <w:basedOn w:val="27"/>
    <w:qFormat/>
    <w:uiPriority w:val="0"/>
    <w:rPr>
      <w:rFonts w:hint="eastAsia" w:ascii="仿宋" w:hAnsi="仿宋" w:eastAsia="仿宋" w:cs="仿宋"/>
      <w:color w:val="000000"/>
      <w:sz w:val="22"/>
      <w:szCs w:val="22"/>
      <w:u w:val="none"/>
    </w:rPr>
  </w:style>
  <w:style w:type="character" w:customStyle="1" w:styleId="53">
    <w:name w:val="font91"/>
    <w:basedOn w:val="27"/>
    <w:qFormat/>
    <w:uiPriority w:val="0"/>
    <w:rPr>
      <w:rFonts w:hint="eastAsia" w:ascii="仿宋" w:hAnsi="仿宋" w:eastAsia="仿宋" w:cs="仿宋"/>
      <w:color w:val="111111"/>
      <w:sz w:val="20"/>
      <w:szCs w:val="20"/>
      <w:u w:val="none"/>
    </w:rPr>
  </w:style>
  <w:style w:type="character" w:customStyle="1" w:styleId="54">
    <w:name w:val="font21"/>
    <w:basedOn w:val="27"/>
    <w:qFormat/>
    <w:uiPriority w:val="0"/>
    <w:rPr>
      <w:rFonts w:hint="default" w:ascii="方正小标宋_GBK" w:hAnsi="方正小标宋_GBK" w:eastAsia="方正小标宋_GBK" w:cs="方正小标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B0613-80DA-43F1-B4DF-C023E5A2F3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15877</Words>
  <Characters>16403</Characters>
  <Lines>168</Lines>
  <Paragraphs>47</Paragraphs>
  <TotalTime>9</TotalTime>
  <ScaleCrop>false</ScaleCrop>
  <LinksUpToDate>false</LinksUpToDate>
  <CharactersWithSpaces>17704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2025-10-27T15:58:00Z</dcterms:created>
  <dc:creator>Administrator</dc:creator>
  <cp:lastModifiedBy>金金</cp:lastModifiedBy>
  <cp:lastPrinted>2023-11-04T00:55:00Z</cp:lastPrinted>
  <dcterms:modified xsi:type="dcterms:W3CDTF">2026-06-30T01:34:31Z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4DF1748155190629130C186A99510ECB_43</vt:lpwstr>
  </property>
  <property fmtid="{D5CDD505-2E9C-101B-9397-08002B2CF9AE}" pid="4" name="KSOTemplateDocerSaveRecord">
    <vt:lpwstr>eyJoZGlkIjoiNDk2OWM0Y2NjMTkwMTM1MTA0MTNiMzIxYjVjMjgwZWMiLCJ1c2VySWQiOiI0MjM4NDA4MjEifQ==</vt:lpwstr>
  </property>
</Properties>
</file>