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乐陵市林业局乐陵市2026年以杨小舟蛾为主的林业有害生物防治项目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SDGP371481000202602000021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乐陵市林业局本级</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山东省鲁胜工程招标代理有限公司</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山东省鲁胜工程招标代理有限公司</w:t>
      </w:r>
      <w:r>
        <w:rPr>
          <w:rFonts w:ascii="仿宋_GB2312" w:hAnsi="仿宋_GB2312" w:cs="仿宋_GB2312" w:eastAsia="仿宋_GB2312"/>
        </w:rPr>
        <w:t xml:space="preserve">（以下简称“代理机构”）受 </w:t>
      </w:r>
      <w:r>
        <w:rPr>
          <w:rFonts w:ascii="仿宋_GB2312" w:hAnsi="仿宋_GB2312" w:cs="仿宋_GB2312" w:eastAsia="仿宋_GB2312"/>
        </w:rPr>
        <w:t>乐陵市林业局本级</w:t>
      </w:r>
      <w:r>
        <w:rPr>
          <w:rFonts w:ascii="仿宋_GB2312" w:hAnsi="仿宋_GB2312" w:cs="仿宋_GB2312" w:eastAsia="仿宋_GB2312"/>
        </w:rPr>
        <w:t xml:space="preserve"> （以下简称“采购人”）委托，对</w:t>
      </w:r>
      <w:r>
        <w:rPr>
          <w:rFonts w:ascii="仿宋_GB2312" w:hAnsi="仿宋_GB2312" w:cs="仿宋_GB2312" w:eastAsia="仿宋_GB2312"/>
        </w:rPr>
        <w:t>乐陵市林业局乐陵市2026年以杨小舟蛾为主的林业有害生物防治项目</w:t>
      </w:r>
      <w:r>
        <w:rPr>
          <w:rFonts w:ascii="仿宋_GB2312" w:hAnsi="仿宋_GB2312" w:cs="仿宋_GB2312" w:eastAsia="仿宋_GB2312"/>
        </w:rPr>
        <w:t xml:space="preserve"> 采用竞争性磋商方式进行采购，兹邀请潜在供应商参加。本项目为山东省 </w:t>
      </w:r>
      <w:r>
        <w:rPr>
          <w:rFonts w:ascii="仿宋_GB2312" w:hAnsi="仿宋_GB2312" w:cs="仿宋_GB2312" w:eastAsia="仿宋_GB2312"/>
        </w:rPr>
        <w:t>德州市乐陵市</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SDGP371481000202602000021</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乐陵市林业局乐陵市2026年以杨小舟蛾为主的林业有害生物防治项目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该项目为乐陵市林业局乐陵市2026年以杨小舟蛾为主的林业有害生物防治项目，位于乐陵市，通过飞机喷药为主，地面喷药辅助的形式，对乐陵市境内市政府指定防治区域树木上的杨小舟蛾等林业有害生物进行防治。</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1、营业执照：法人或者其他组织的营业执照等证明文件（加盖供应商电子公章，放入电子响应文件相应位置）</w:t>
      </w:r>
    </w:p>
    <w:p>
      <w:pPr>
        <w:pStyle w:val="null5"/>
        <w:jc w:val="left"/>
      </w:pPr>
      <w:r>
        <w:rPr>
          <w:rFonts w:ascii="仿宋_GB2312" w:hAnsi="仿宋_GB2312" w:cs="仿宋_GB2312" w:eastAsia="仿宋_GB2312"/>
        </w:rPr>
        <w:t>2、法定代表人身份证明或法定代表人授权代表委托书：法定代表人直接参与投标的，须提交法定代表人身份证明书（加盖供应商电子公章）；授权代表参与投标的，须提交法定代表人授权委托书（加盖供应商电子公章及法定代表人电子印章）</w:t>
      </w:r>
    </w:p>
    <w:p>
      <w:pPr>
        <w:pStyle w:val="null5"/>
        <w:jc w:val="left"/>
      </w:pPr>
      <w:r>
        <w:rPr>
          <w:rFonts w:ascii="仿宋_GB2312" w:hAnsi="仿宋_GB2312" w:cs="仿宋_GB2312" w:eastAsia="仿宋_GB2312"/>
        </w:rPr>
        <w:t>3、参加政府采购活动前三年内，在经营活动中没有重大违法记录：供应商参加政府采购活动前3年内在经营活动中没有重大违法记录的书面声明（加盖供应商电子公章，格式后附）</w:t>
      </w:r>
    </w:p>
    <w:p>
      <w:pPr>
        <w:pStyle w:val="null5"/>
        <w:jc w:val="left"/>
      </w:pPr>
      <w:r>
        <w:rPr>
          <w:rFonts w:ascii="仿宋_GB2312" w:hAnsi="仿宋_GB2312" w:cs="仿宋_GB2312" w:eastAsia="仿宋_GB2312"/>
        </w:rPr>
        <w:t>4、财务状况报告：财务状况报告扫描件（加盖供应商电子公章，放入电子响应文件相应位置），提供下列资料之一即可：A、2024、2025年度任一年度经审计的企业财务状况报告书（报告实质性内容完整有效，至少包括报告正文、资产负债表、利润表、现金流量表、报表附注或财务情况说明书）；B、自开标截止之日前三个月内基本开户行开具的资信证明文件（资信证明如有抬头，抬头应为招标人或招标代理机构；如涉及项目名称，应为本项目名称；如资信证明不能体现基本开户银行信息，还需提供基本开户许可证或基本存款账户信息等相关证明资料）。</w:t>
      </w:r>
    </w:p>
    <w:p>
      <w:pPr>
        <w:pStyle w:val="null5"/>
        <w:jc w:val="left"/>
      </w:pPr>
      <w:r>
        <w:rPr>
          <w:rFonts w:ascii="仿宋_GB2312" w:hAnsi="仿宋_GB2312" w:cs="仿宋_GB2312" w:eastAsia="仿宋_GB2312"/>
        </w:rPr>
        <w:t>5、纳税和社保证明：纳税和社保证明材料（加盖供应商电子公章），提供下列资料之一即可：A、在山东省内缴纳税收和社会保障资金的供应商，提供“依法缴纳税收和社会保障资金承诺函”（格式后附）（加盖供应商电子公章，上传至电子响应文件指定位置）；响应截止时间前，提供“依法缴纳税收和社会保障资金承诺函”的供应商，应登录山东省政府采购网系统，自行查询是否有近期（指2026年01月01日起至响应截止之日止）任意1个月缴纳税收和社会保障资金的情况。注：在项目资格审查环节，代理机构将通过“中国山东政府采购网”平台“开评标管理”栏目中查询提供《依法缴纳税收和社会保障资金承诺函》的供应商在山东省缴纳税收和社会保障资金的情况，对于反馈有上述期间税收和社会保障资金缴费信息的，视为“有依法缴纳税收和社会保障资金的良好记录”；对于反馈无上述相关信息，供应商须提供本款B项相关缴纳税收和社会保障资金的证明材料，否则将被认定为响应无效。B、未在山东省内缴纳税收和社会保障资金的或不符合本款A项内容的供应商，须提供2026年01月起至响应截止之日止任意一个月缴纳税收和社会保障资金的凭据扫描件；（加盖供应商电子公章，上传至电子响应文件指定位置）。C、依法免税、零报税或不需要缴纳社会保障资金的，须提供相关证明材料。</w:t>
      </w:r>
    </w:p>
    <w:p>
      <w:pPr>
        <w:pStyle w:val="null5"/>
        <w:jc w:val="left"/>
      </w:pPr>
      <w:r>
        <w:rPr>
          <w:rFonts w:ascii="仿宋_GB2312" w:hAnsi="仿宋_GB2312" w:cs="仿宋_GB2312" w:eastAsia="仿宋_GB2312"/>
        </w:rPr>
        <w:t>6、具有履行合同所必需的设备和专业技术能力：具有履行合同所必需的设备和专业技术能力的书面声明（加盖供应商电子公章，格式后附）</w:t>
      </w:r>
    </w:p>
    <w:p>
      <w:pPr>
        <w:pStyle w:val="null5"/>
        <w:jc w:val="left"/>
      </w:pPr>
      <w:r>
        <w:rPr>
          <w:rFonts w:ascii="仿宋_GB2312" w:hAnsi="仿宋_GB2312" w:cs="仿宋_GB2312" w:eastAsia="仿宋_GB2312"/>
        </w:rPr>
        <w:t>7、信用查询：在本项目评标过程中，代理机构人员将通过“信用中国”网站（www.creditchina.gov.cn）、中国政府采购网（www.ccgp.gov.cn）渠道查询本项目供应商的信用记录，并采取必要方式做好信用信息查询记录和证据留存，对列入失信被执行人、重大税收违法失信主体、政府采购严重违法失信行为记录名单以及存在重大违法记录的供应商，视为资格审查不合格，其投标无效。</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直升机证件：供应商须具备2架及以上（携药量600公斤及以上）适合飞防的直升机(以适航证、国籍登记证、电台执照为准，飞机型号及数量以加入公司运行规范为准)（加盖供应商电子公章，放入电子响应文件相应位置）</w:t>
      </w:r>
    </w:p>
    <w:p>
      <w:pPr>
        <w:pStyle w:val="null5"/>
        <w:jc w:val="left"/>
      </w:pPr>
      <w:r>
        <w:rPr>
          <w:rFonts w:ascii="仿宋_GB2312" w:hAnsi="仿宋_GB2312" w:cs="仿宋_GB2312" w:eastAsia="仿宋_GB2312"/>
        </w:rPr>
        <w:t>2、药品证件：供应商拟使用药品须三证齐全（农药登记证、农药生产许可证或农药生产批准文件、农药标准），符合国家行业标准（加盖供应商电子公章，放入电子响应文件相应位置）</w:t>
      </w:r>
    </w:p>
    <w:p>
      <w:pPr>
        <w:pStyle w:val="null5"/>
        <w:jc w:val="left"/>
      </w:pPr>
      <w:r>
        <w:rPr>
          <w:rFonts w:ascii="仿宋_GB2312" w:hAnsi="仿宋_GB2312" w:cs="仿宋_GB2312" w:eastAsia="仿宋_GB2312"/>
        </w:rPr>
        <w:t>3、驾驶员证件：本项目实施飞防中拟派驾驶员的民用航空器驾驶员执照、航空人员体检合格证原件的扫描件（加盖供应商电子公章，放入电子响应文件相应位置）</w:t>
      </w:r>
    </w:p>
    <w:p>
      <w:pPr>
        <w:pStyle w:val="null5"/>
        <w:jc w:val="left"/>
      </w:pPr>
      <w:r>
        <w:rPr>
          <w:rFonts w:ascii="仿宋_GB2312" w:hAnsi="仿宋_GB2312" w:cs="仿宋_GB2312" w:eastAsia="仿宋_GB2312"/>
        </w:rPr>
        <w:t>4、近两年内在飞行中和农林作业过程中无安全事故以及次生灾害发生书面声明：供应商近两年内在飞行中和农林作业过程中无安全事故以及次生灾害发生，以国内媒体及相关部门报道或因此产生的法律诉讼为准，提供书面声明（加盖供应商电子公章，格式后附）</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乐陵市林业局本级</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乐陵市</w:t>
      </w:r>
    </w:p>
    <w:p>
      <w:pPr>
        <w:pStyle w:val="null5"/>
      </w:pPr>
      <w:r>
        <w:rPr>
          <w:rFonts w:ascii="仿宋_GB2312" w:hAnsi="仿宋_GB2312" w:cs="仿宋_GB2312" w:eastAsia="仿宋_GB2312"/>
        </w:rPr>
        <w:t xml:space="preserve"> 邮编： </w:t>
      </w:r>
      <w:r>
        <w:rPr>
          <w:rFonts w:ascii="仿宋_GB2312" w:hAnsi="仿宋_GB2312" w:cs="仿宋_GB2312" w:eastAsia="仿宋_GB2312"/>
        </w:rPr>
        <w:t>253600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0534-6520153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山东省鲁胜工程招标代理有限公司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德州市德城区新河路万达广场</w:t>
      </w:r>
    </w:p>
    <w:p>
      <w:pPr>
        <w:pStyle w:val="null5"/>
      </w:pPr>
      <w:r>
        <w:rPr>
          <w:rFonts w:ascii="仿宋_GB2312" w:hAnsi="仿宋_GB2312" w:cs="仿宋_GB2312" w:eastAsia="仿宋_GB2312"/>
        </w:rPr>
        <w:t xml:space="preserve"> 邮编： </w:t>
      </w:r>
      <w:r>
        <w:rPr>
          <w:rFonts w:ascii="仿宋_GB2312" w:hAnsi="仿宋_GB2312" w:cs="仿宋_GB2312" w:eastAsia="仿宋_GB2312"/>
        </w:rPr>
        <w:t>253000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0534-2106679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采购包1：1,000,000.00元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自提交首次响应文件截止之日起90日历天</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代理服务费收费标准：本次代理服务费：¥15000.00元（大写：壹万伍仟元整）；由成交供应商在领取成交通知书前向代理机构支付。代理费不单独列支，由供应商在总报价中综合考虑。</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本项目共一个标段</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乐陵市林业局本级</w:t>
      </w:r>
      <w:r>
        <w:rPr>
          <w:rFonts w:ascii="仿宋_GB2312" w:hAnsi="仿宋_GB2312" w:cs="仿宋_GB2312" w:eastAsia="仿宋_GB2312"/>
        </w:rPr>
        <w:t>和</w:t>
      </w:r>
      <w:r>
        <w:rPr>
          <w:rFonts w:ascii="仿宋_GB2312" w:hAnsi="仿宋_GB2312" w:cs="仿宋_GB2312" w:eastAsia="仿宋_GB2312"/>
        </w:rPr>
        <w:t>山东省鲁胜工程招标代理有限公司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乐陵市林业局本级</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山东省鲁胜工程招标代理有限公司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最终所有飞防项目完成</w:t>
      </w:r>
      <w:r>
        <w:rPr>
          <w:rFonts w:ascii="仿宋_GB2312" w:hAnsi="仿宋_GB2312" w:cs="仿宋_GB2312" w:eastAsia="仿宋_GB2312"/>
        </w:rPr>
        <w:t xml:space="preserve"> ，达到验收条件起 </w:t>
      </w:r>
      <w:r>
        <w:rPr>
          <w:rFonts w:ascii="仿宋_GB2312" w:hAnsi="仿宋_GB2312" w:cs="仿宋_GB2312" w:eastAsia="仿宋_GB2312"/>
        </w:rPr>
        <w:t>90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所有飞防项目完成后，由甲乙双方或者邀请专家进行联合验收，产生的全部验收费用由成交单位承担</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服务内容是否合格，达到国家及行业相关标准</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供应商按照法律规定及合同约定开展服务工作，确保服务质量和效率，不进行转包及违法分包，并在飞防期内承担相应的责任。</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1、每次飞防过程中，甲乙双方随时对飞防区域内虫害发生情况进行调查。如果发现防治效果达不到标准要求，乙方要根据甲方要求进行免费重防，直至达到标准要求。实行一防包全年。 2、飞防完成后，飞防作业区内有虫株率达到1%以下，全年因虫害造成的叶片损失率在10%以下。防治效果必须保证业务部门顺利验收。</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飞防后，飞防作业区内虫株率达到1%以下，全年因虫害造成的叶片损失率在10%以下。如果发现防治效果达不到标准要求，乙方要根据甲方要求进行免费重防，直至达到标准要求。实行一防包全年。防治效果必须保证通过业务部门顺利验收。</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乐陵市林业局本级</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山东省鲁胜工程招标代理有限公司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山东省鲁胜工程招标代理有限公司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联系人：周先生</w:t>
      </w:r>
    </w:p>
    <w:p>
      <w:pPr>
        <w:pStyle w:val="null5"/>
        <w:jc w:val="left"/>
      </w:pPr>
      <w:r>
        <w:rPr>
          <w:rFonts w:ascii="仿宋_GB2312" w:hAnsi="仿宋_GB2312" w:cs="仿宋_GB2312" w:eastAsia="仿宋_GB2312"/>
        </w:rPr>
        <w:t>联系电话：0534-2106679</w:t>
      </w:r>
    </w:p>
    <w:p>
      <w:pPr>
        <w:pStyle w:val="null5"/>
        <w:jc w:val="left"/>
      </w:pPr>
      <w:r>
        <w:rPr>
          <w:rFonts w:ascii="仿宋_GB2312" w:hAnsi="仿宋_GB2312" w:cs="仿宋_GB2312" w:eastAsia="仿宋_GB2312"/>
        </w:rPr>
        <w:t>地址：德州市德城区新河路万达广场</w:t>
      </w:r>
    </w:p>
    <w:p>
      <w:pPr>
        <w:pStyle w:val="null5"/>
        <w:jc w:val="left"/>
      </w:pPr>
      <w:r>
        <w:rPr>
          <w:rFonts w:ascii="仿宋_GB2312" w:hAnsi="仿宋_GB2312" w:cs="仿宋_GB2312" w:eastAsia="仿宋_GB2312"/>
        </w:rPr>
        <w:t>邮编：253000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1,000,000.00</w:t>
      </w:r>
    </w:p>
    <w:p>
      <w:pPr>
        <w:pStyle w:val="null5"/>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乐陵市林业局乐陵市2026年以杨小舟蛾为主的林业有害生物防治项目</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1,000,000.00</w:t>
            </w:r>
          </w:p>
        </w:tc>
        <w:tc>
          <w:tcPr>
            <w:tcW w:type="dxa" w:w="923"/>
          </w:tcPr>
          <w:p>
            <w:pPr>
              <w:pStyle w:val="null5"/>
              <w:jc w:val="left"/>
            </w:pPr>
            <w:r>
              <w:rPr>
                <w:rFonts w:ascii="仿宋_GB2312" w:hAnsi="仿宋_GB2312" w:cs="仿宋_GB2312" w:eastAsia="仿宋_GB2312"/>
              </w:rPr>
              <w:t>农、林、牧、渔业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乐陵市林业局乐陵市2026年以杨小舟蛾为主的林业有害生物防治项目</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1,000,000.00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供应商须同时填报开标一览表附表</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乐陵市林业局乐陵市2026年以杨小舟蛾为主的林业有害生物防治项目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乐陵市林业局乐陵市2026年以杨小舟蛾为主的林业有害生物防治项目</w:t>
            </w:r>
          </w:p>
        </w:tc>
        <w:tc>
          <w:tcPr>
            <w:tcW w:type="dxa" w:w="2076"/>
          </w:tcPr>
          <w:p>
            <w:pPr>
              <w:pStyle w:val="null5"/>
              <w:jc w:val="left"/>
            </w:pPr>
            <w:r>
              <w:rPr>
                <w:rFonts w:ascii="仿宋_GB2312" w:hAnsi="仿宋_GB2312" w:cs="仿宋_GB2312" w:eastAsia="仿宋_GB2312"/>
              </w:rPr>
              <w:t>乐陵市林业局乐陵市2026年以杨小舟蛾为主的林业有害生物防治项目</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1,000,000.00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供应商须同时填报开标一览表附表</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标的名称：乐陵市林业局乐陵市2026年以杨小舟蛾为主的林业有害生物防治项目</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项目情况及规模</w:t>
            </w:r>
          </w:p>
        </w:tc>
        <w:tc>
          <w:tcPr>
            <w:tcW w:type="dxa" w:w="2076"/>
          </w:tcPr>
          <w:p>
            <w:pPr>
              <w:pStyle w:val="null5"/>
              <w:ind w:firstLine="400"/>
              <w:jc w:val="both"/>
            </w:pPr>
            <w:r>
              <w:rPr>
                <w:rFonts w:ascii="仿宋_GB2312" w:hAnsi="仿宋_GB2312" w:cs="仿宋_GB2312" w:eastAsia="仿宋_GB2312"/>
                <w:sz w:val="15"/>
              </w:rPr>
              <w:t xml:space="preserve">1.1 </w:t>
            </w:r>
            <w:r>
              <w:rPr>
                <w:rFonts w:ascii="仿宋_GB2312" w:hAnsi="仿宋_GB2312" w:cs="仿宋_GB2312" w:eastAsia="仿宋_GB2312"/>
                <w:sz w:val="15"/>
              </w:rPr>
              <w:t>项目概况：该项目位于乐陵市，采用飞机喷药为主，地面喷药辅助的形式防治乐陵市境内市政府指定防治区域的树木。</w:t>
            </w:r>
          </w:p>
          <w:p>
            <w:pPr>
              <w:pStyle w:val="null5"/>
              <w:ind w:firstLine="400"/>
              <w:jc w:val="both"/>
            </w:pPr>
            <w:r>
              <w:rPr>
                <w:rFonts w:ascii="仿宋_GB2312" w:hAnsi="仿宋_GB2312" w:cs="仿宋_GB2312" w:eastAsia="仿宋_GB2312"/>
                <w:sz w:val="15"/>
              </w:rPr>
              <w:t xml:space="preserve">1.2 </w:t>
            </w:r>
            <w:r>
              <w:rPr>
                <w:rFonts w:ascii="仿宋_GB2312" w:hAnsi="仿宋_GB2312" w:cs="仿宋_GB2312" w:eastAsia="仿宋_GB2312"/>
                <w:sz w:val="15"/>
              </w:rPr>
              <w:t>飞防时间及面积：</w:t>
            </w:r>
          </w:p>
          <w:p>
            <w:pPr>
              <w:pStyle w:val="null5"/>
              <w:ind w:firstLine="400"/>
              <w:jc w:val="both"/>
            </w:pPr>
            <w:r>
              <w:rPr>
                <w:rFonts w:ascii="仿宋_GB2312" w:hAnsi="仿宋_GB2312" w:cs="仿宋_GB2312" w:eastAsia="仿宋_GB2312"/>
                <w:sz w:val="15"/>
              </w:rPr>
              <w:t>计划飞防时间：2026年7-10月</w:t>
            </w:r>
            <w:r>
              <w:rPr>
                <w:rFonts w:ascii="仿宋_GB2312" w:hAnsi="仿宋_GB2312" w:cs="仿宋_GB2312" w:eastAsia="仿宋_GB2312"/>
                <w:sz w:val="15"/>
              </w:rPr>
              <w:t>。</w:t>
            </w:r>
            <w:r>
              <w:rPr>
                <w:rFonts w:ascii="仿宋_GB2312" w:hAnsi="仿宋_GB2312" w:cs="仿宋_GB2312" w:eastAsia="仿宋_GB2312"/>
                <w:sz w:val="15"/>
              </w:rPr>
              <w:t>飞防服务期为3个有效日历天（气象因素除外）。</w:t>
            </w:r>
          </w:p>
          <w:p>
            <w:pPr>
              <w:pStyle w:val="null5"/>
              <w:ind w:firstLine="400"/>
              <w:jc w:val="both"/>
            </w:pPr>
            <w:r>
              <w:rPr>
                <w:rFonts w:ascii="仿宋_GB2312" w:hAnsi="仿宋_GB2312" w:cs="仿宋_GB2312" w:eastAsia="仿宋_GB2312"/>
                <w:sz w:val="15"/>
              </w:rPr>
              <w:t>飞防面积：约208333.33亩。</w:t>
            </w:r>
          </w:p>
          <w:p>
            <w:pPr>
              <w:pStyle w:val="null5"/>
              <w:ind w:firstLine="400"/>
              <w:jc w:val="both"/>
            </w:pPr>
            <w:r>
              <w:rPr>
                <w:rFonts w:ascii="仿宋_GB2312" w:hAnsi="仿宋_GB2312" w:cs="仿宋_GB2312" w:eastAsia="仿宋_GB2312"/>
                <w:sz w:val="15"/>
              </w:rPr>
              <w:t xml:space="preserve">1.3 </w:t>
            </w:r>
            <w:r>
              <w:rPr>
                <w:rFonts w:ascii="仿宋_GB2312" w:hAnsi="仿宋_GB2312" w:cs="仿宋_GB2312" w:eastAsia="仿宋_GB2312"/>
                <w:sz w:val="15"/>
              </w:rPr>
              <w:t>飞防地点：飞防区域为三河五干、四条省道、济乐高速、德滨高速、县乡公路、旅游路两侧辐射带、城区、片林和部分村镇四旁，以确保重点区域防控达标，保证我市的绿化成果。</w:t>
            </w:r>
          </w:p>
          <w:p>
            <w:pPr>
              <w:pStyle w:val="null5"/>
              <w:jc w:val="left"/>
            </w:pPr>
            <w:r>
              <w:rPr>
                <w:rFonts w:ascii="仿宋_GB2312" w:hAnsi="仿宋_GB2312" w:cs="仿宋_GB2312" w:eastAsia="仿宋_GB2312"/>
                <w:sz w:val="15"/>
              </w:rPr>
              <w:t>注：每次飞防的具体开始时间根据虫情监测情况确定，每次飞防的实际面积根据虫情发生情况确定。</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防治目标</w:t>
            </w:r>
          </w:p>
        </w:tc>
        <w:tc>
          <w:tcPr>
            <w:tcW w:type="dxa" w:w="2076"/>
          </w:tcPr>
          <w:p>
            <w:pPr>
              <w:pStyle w:val="null5"/>
              <w:jc w:val="left"/>
            </w:pPr>
            <w:r>
              <w:rPr>
                <w:rFonts w:ascii="仿宋_GB2312" w:hAnsi="仿宋_GB2312" w:cs="仿宋_GB2312" w:eastAsia="仿宋_GB2312"/>
                <w:sz w:val="21"/>
              </w:rPr>
              <w:t>飞防后，飞防作业区内虫株率达到1%以下，全年因虫害造成的叶片损失率在10%以下。如果发现防治效果达不到标准要求，乙方要根据甲方要求进行免费重防，直至达到标准要求。实行一防包全年。防治效果必须保证通过业务部门顺利验收。</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采购要求</w:t>
            </w:r>
          </w:p>
        </w:tc>
        <w:tc>
          <w:tcPr>
            <w:tcW w:type="dxa" w:w="2076"/>
          </w:tcPr>
          <w:p>
            <w:pPr>
              <w:pStyle w:val="null5"/>
              <w:ind w:firstLine="400"/>
              <w:jc w:val="both"/>
            </w:pPr>
            <w:r>
              <w:rPr>
                <w:rFonts w:ascii="仿宋_GB2312" w:hAnsi="仿宋_GB2312" w:cs="仿宋_GB2312" w:eastAsia="仿宋_GB2312"/>
                <w:sz w:val="20"/>
              </w:rPr>
              <w:t xml:space="preserve">3.1 </w:t>
            </w:r>
            <w:r>
              <w:rPr>
                <w:rFonts w:ascii="仿宋_GB2312" w:hAnsi="仿宋_GB2312" w:cs="仿宋_GB2312" w:eastAsia="仿宋_GB2312"/>
                <w:sz w:val="20"/>
              </w:rPr>
              <w:t>基本要求</w:t>
            </w:r>
          </w:p>
          <w:p>
            <w:pPr>
              <w:pStyle w:val="null5"/>
              <w:ind w:firstLine="400"/>
              <w:jc w:val="both"/>
            </w:pPr>
            <w:r>
              <w:rPr>
                <w:rFonts w:ascii="仿宋_GB2312" w:hAnsi="仿宋_GB2312" w:cs="仿宋_GB2312" w:eastAsia="仿宋_GB2312"/>
                <w:sz w:val="20"/>
              </w:rPr>
              <w:t xml:space="preserve">3.1.1 </w:t>
            </w:r>
            <w:r>
              <w:rPr>
                <w:rFonts w:ascii="仿宋_GB2312" w:hAnsi="仿宋_GB2312" w:cs="仿宋_GB2312" w:eastAsia="仿宋_GB2312"/>
                <w:sz w:val="20"/>
              </w:rPr>
              <w:t>与航空管制部门沟通顺畅，保障顺利实施飞防作业。负责报批作业空域的有关手续，负责联系租用起降场。</w:t>
            </w:r>
          </w:p>
          <w:p>
            <w:pPr>
              <w:pStyle w:val="null5"/>
              <w:ind w:firstLine="400"/>
              <w:jc w:val="both"/>
            </w:pPr>
            <w:r>
              <w:rPr>
                <w:rFonts w:ascii="仿宋_GB2312" w:hAnsi="仿宋_GB2312" w:cs="仿宋_GB2312" w:eastAsia="仿宋_GB2312"/>
                <w:sz w:val="20"/>
              </w:rPr>
              <w:t xml:space="preserve">3.1.2 </w:t>
            </w:r>
            <w:r>
              <w:rPr>
                <w:rFonts w:ascii="仿宋_GB2312" w:hAnsi="仿宋_GB2312" w:cs="仿宋_GB2312" w:eastAsia="仿宋_GB2312"/>
                <w:sz w:val="20"/>
              </w:rPr>
              <w:t>螺旋桨直升机性能必须完好、安全，飞机载药量600公斤及以上、喷药设备先进、采用超低容量喷雾。飞防过程中喷洒均匀。</w:t>
            </w:r>
          </w:p>
          <w:p>
            <w:pPr>
              <w:pStyle w:val="null5"/>
              <w:ind w:firstLine="400"/>
              <w:jc w:val="both"/>
            </w:pPr>
            <w:r>
              <w:rPr>
                <w:rFonts w:ascii="仿宋_GB2312" w:hAnsi="仿宋_GB2312" w:cs="仿宋_GB2312" w:eastAsia="仿宋_GB2312"/>
                <w:sz w:val="20"/>
              </w:rPr>
              <w:t xml:space="preserve">3.1.3 </w:t>
            </w:r>
            <w:r>
              <w:rPr>
                <w:rFonts w:ascii="仿宋_GB2312" w:hAnsi="仿宋_GB2312" w:cs="仿宋_GB2312" w:eastAsia="仿宋_GB2312"/>
                <w:sz w:val="20"/>
              </w:rPr>
              <w:t>供应商拟派驾驶人员驾龄必须在3年及以上。</w:t>
            </w:r>
          </w:p>
          <w:p>
            <w:pPr>
              <w:pStyle w:val="null5"/>
              <w:ind w:firstLine="400"/>
              <w:jc w:val="both"/>
            </w:pPr>
            <w:r>
              <w:rPr>
                <w:rFonts w:ascii="仿宋_GB2312" w:hAnsi="仿宋_GB2312" w:cs="仿宋_GB2312" w:eastAsia="仿宋_GB2312"/>
                <w:sz w:val="20"/>
              </w:rPr>
              <w:t xml:space="preserve">3.1.4 </w:t>
            </w:r>
            <w:r>
              <w:rPr>
                <w:rFonts w:ascii="仿宋_GB2312" w:hAnsi="仿宋_GB2312" w:cs="仿宋_GB2312" w:eastAsia="仿宋_GB2312"/>
                <w:sz w:val="20"/>
              </w:rPr>
              <w:t>机组人员应具备CCAR61规定的资质，并遵守CCAR91规定的运行要求。身体健康，业务熟练，具有一定飞机防控林业有害生物作业经验。会熟练判读GPS数据，并根据GPS路径图进行飞防作业。</w:t>
            </w:r>
          </w:p>
          <w:p>
            <w:pPr>
              <w:pStyle w:val="null5"/>
              <w:ind w:firstLine="400"/>
              <w:jc w:val="both"/>
            </w:pPr>
            <w:r>
              <w:rPr>
                <w:rFonts w:ascii="仿宋_GB2312" w:hAnsi="仿宋_GB2312" w:cs="仿宋_GB2312" w:eastAsia="仿宋_GB2312"/>
                <w:sz w:val="20"/>
              </w:rPr>
              <w:t xml:space="preserve">3.1.5 </w:t>
            </w:r>
            <w:r>
              <w:rPr>
                <w:rFonts w:ascii="仿宋_GB2312" w:hAnsi="仿宋_GB2312" w:cs="仿宋_GB2312" w:eastAsia="仿宋_GB2312"/>
                <w:sz w:val="20"/>
              </w:rPr>
              <w:t>作业区域：成交供应商根据采购人要求确定作业区域，由成交供应商绘制飞行作业图，将飞防区域作业图和GPS对应，制定飞防航线，每日作业完成后，飞行轨迹无偿提供给采购人。</w:t>
            </w:r>
          </w:p>
          <w:p>
            <w:pPr>
              <w:pStyle w:val="null5"/>
              <w:ind w:firstLine="400"/>
              <w:jc w:val="both"/>
            </w:pPr>
            <w:r>
              <w:rPr>
                <w:rFonts w:ascii="仿宋_GB2312" w:hAnsi="仿宋_GB2312" w:cs="仿宋_GB2312" w:eastAsia="仿宋_GB2312"/>
                <w:sz w:val="20"/>
              </w:rPr>
              <w:t xml:space="preserve">3.1.6 </w:t>
            </w:r>
            <w:r>
              <w:rPr>
                <w:rFonts w:ascii="仿宋_GB2312" w:hAnsi="仿宋_GB2312" w:cs="仿宋_GB2312" w:eastAsia="仿宋_GB2312"/>
                <w:sz w:val="20"/>
              </w:rPr>
              <w:t>杨小舟蛾飞防现场，须保证两架载药量600公斤及以上的直升机同时作业。</w:t>
            </w:r>
          </w:p>
          <w:p>
            <w:pPr>
              <w:pStyle w:val="null5"/>
              <w:ind w:firstLine="400"/>
              <w:jc w:val="both"/>
            </w:pPr>
            <w:r>
              <w:rPr>
                <w:rFonts w:ascii="仿宋_GB2312" w:hAnsi="仿宋_GB2312" w:cs="仿宋_GB2312" w:eastAsia="仿宋_GB2312"/>
                <w:sz w:val="20"/>
              </w:rPr>
              <w:t xml:space="preserve">3.1.7 </w:t>
            </w:r>
            <w:r>
              <w:rPr>
                <w:rFonts w:ascii="仿宋_GB2312" w:hAnsi="仿宋_GB2312" w:cs="仿宋_GB2312" w:eastAsia="仿宋_GB2312"/>
                <w:sz w:val="20"/>
              </w:rPr>
              <w:t>本项目在实施前，采购人将组织飞防前的技术交底会，本会议要求成交供应商项目管理班子所有人员准时参与，不得缺席，同时采购人将对飞行员相关证件进行现场核验，成交供应商必须确保人证合一。</w:t>
            </w:r>
          </w:p>
          <w:p>
            <w:pPr>
              <w:pStyle w:val="null5"/>
              <w:ind w:firstLine="400"/>
              <w:jc w:val="both"/>
            </w:pPr>
            <w:r>
              <w:rPr>
                <w:rFonts w:ascii="仿宋_GB2312" w:hAnsi="仿宋_GB2312" w:cs="仿宋_GB2312" w:eastAsia="仿宋_GB2312"/>
                <w:sz w:val="20"/>
              </w:rPr>
              <w:t xml:space="preserve">3.1.8 </w:t>
            </w:r>
            <w:r>
              <w:rPr>
                <w:rFonts w:ascii="仿宋_GB2312" w:hAnsi="仿宋_GB2312" w:cs="仿宋_GB2312" w:eastAsia="仿宋_GB2312"/>
                <w:sz w:val="20"/>
              </w:rPr>
              <w:t>供应商投标时拟投入本项目的所有人员，于实际实施飞防任务时，一律不许调换，如更换，每人次罚款2000元。</w:t>
            </w:r>
          </w:p>
          <w:p>
            <w:pPr>
              <w:pStyle w:val="null5"/>
              <w:ind w:firstLine="400"/>
              <w:jc w:val="both"/>
            </w:pPr>
            <w:r>
              <w:rPr>
                <w:rFonts w:ascii="仿宋_GB2312" w:hAnsi="仿宋_GB2312" w:cs="仿宋_GB2312" w:eastAsia="仿宋_GB2312"/>
                <w:sz w:val="20"/>
              </w:rPr>
              <w:t xml:space="preserve">3.1.9 </w:t>
            </w:r>
            <w:r>
              <w:rPr>
                <w:rFonts w:ascii="仿宋_GB2312" w:hAnsi="仿宋_GB2312" w:cs="仿宋_GB2312" w:eastAsia="仿宋_GB2312"/>
                <w:sz w:val="20"/>
              </w:rPr>
              <w:t>供应商根据采购人要求，在飞防前，做好相关有害生物的监测，并出具监测数据和材料；在飞防过程中，供应商随时对飞防区域内虫害发生情况和飞防效果进行调查，及时查漏补缺；在飞防后，供应商要对综合防治效果和明年虫情发生情况做综合评价。</w:t>
            </w:r>
          </w:p>
          <w:p>
            <w:pPr>
              <w:pStyle w:val="null5"/>
              <w:ind w:firstLine="400"/>
              <w:jc w:val="both"/>
            </w:pPr>
            <w:r>
              <w:rPr>
                <w:rFonts w:ascii="仿宋_GB2312" w:hAnsi="仿宋_GB2312" w:cs="仿宋_GB2312" w:eastAsia="仿宋_GB2312"/>
                <w:sz w:val="20"/>
              </w:rPr>
              <w:t xml:space="preserve">3.2 </w:t>
            </w:r>
            <w:r>
              <w:rPr>
                <w:rFonts w:ascii="仿宋_GB2312" w:hAnsi="仿宋_GB2312" w:cs="仿宋_GB2312" w:eastAsia="仿宋_GB2312"/>
                <w:sz w:val="20"/>
              </w:rPr>
              <w:t>飞防要求</w:t>
            </w:r>
          </w:p>
          <w:p>
            <w:pPr>
              <w:pStyle w:val="null5"/>
              <w:ind w:firstLine="400"/>
              <w:jc w:val="both"/>
            </w:pPr>
            <w:r>
              <w:rPr>
                <w:rFonts w:ascii="仿宋_GB2312" w:hAnsi="仿宋_GB2312" w:cs="仿宋_GB2312" w:eastAsia="仿宋_GB2312"/>
                <w:sz w:val="20"/>
              </w:rPr>
              <w:t xml:space="preserve">3.2.1 </w:t>
            </w:r>
            <w:r>
              <w:rPr>
                <w:rFonts w:ascii="仿宋_GB2312" w:hAnsi="仿宋_GB2312" w:cs="仿宋_GB2312" w:eastAsia="仿宋_GB2312"/>
                <w:sz w:val="20"/>
              </w:rPr>
              <w:t>制定作业方案：包括虫情监测、作业时间、防治面积、用药种类及配比、作业方式、有效喷幅、有效喷药时间、航高、航速、选用机型及数量、使用机场、起降场、用药量、作业架次、飞行时间、作业的组织和安全保障等内容。</w:t>
            </w:r>
          </w:p>
          <w:p>
            <w:pPr>
              <w:pStyle w:val="null5"/>
              <w:ind w:firstLine="400"/>
              <w:jc w:val="both"/>
            </w:pPr>
            <w:r>
              <w:rPr>
                <w:rFonts w:ascii="仿宋_GB2312" w:hAnsi="仿宋_GB2312" w:cs="仿宋_GB2312" w:eastAsia="仿宋_GB2312"/>
                <w:sz w:val="20"/>
              </w:rPr>
              <w:t xml:space="preserve">3.2.2 </w:t>
            </w:r>
            <w:r>
              <w:rPr>
                <w:rFonts w:ascii="仿宋_GB2312" w:hAnsi="仿宋_GB2312" w:cs="仿宋_GB2312" w:eastAsia="仿宋_GB2312"/>
                <w:sz w:val="20"/>
              </w:rPr>
              <w:t>试航：正式作业前，用清水进行试航试喷，调整喷洒设备，进行空中视察，熟悉作业区地形地势。</w:t>
            </w:r>
          </w:p>
          <w:p>
            <w:pPr>
              <w:pStyle w:val="null5"/>
              <w:ind w:firstLine="400"/>
              <w:jc w:val="both"/>
            </w:pPr>
            <w:r>
              <w:rPr>
                <w:rFonts w:ascii="仿宋_GB2312" w:hAnsi="仿宋_GB2312" w:cs="仿宋_GB2312" w:eastAsia="仿宋_GB2312"/>
                <w:sz w:val="20"/>
              </w:rPr>
              <w:t xml:space="preserve">3.2.3 </w:t>
            </w:r>
            <w:r>
              <w:rPr>
                <w:rFonts w:ascii="仿宋_GB2312" w:hAnsi="仿宋_GB2312" w:cs="仿宋_GB2312" w:eastAsia="仿宋_GB2312"/>
                <w:sz w:val="20"/>
              </w:rPr>
              <w:t>装药：药液应按NY/T1276的规定，由专业人员根据农药性质、飞机性能、每架次用药量、每架次作业面积、气温、风速等情况配制，用3层100目尼龙纱布过滤后装机。</w:t>
            </w:r>
          </w:p>
          <w:p>
            <w:pPr>
              <w:pStyle w:val="null5"/>
              <w:ind w:firstLine="400"/>
              <w:jc w:val="both"/>
            </w:pPr>
            <w:r>
              <w:rPr>
                <w:rFonts w:ascii="仿宋_GB2312" w:hAnsi="仿宋_GB2312" w:cs="仿宋_GB2312" w:eastAsia="仿宋_GB2312"/>
                <w:sz w:val="20"/>
              </w:rPr>
              <w:t xml:space="preserve">3.2.4 </w:t>
            </w:r>
            <w:r>
              <w:rPr>
                <w:rFonts w:ascii="仿宋_GB2312" w:hAnsi="仿宋_GB2312" w:cs="仿宋_GB2312" w:eastAsia="仿宋_GB2312"/>
                <w:sz w:val="20"/>
              </w:rPr>
              <w:t>定位与导航：采用GPS或北斗系统进行定位与导航。及时通知采购人每个架次喷药的具体位置，以便供应商和采购人检查喷药质量，严格掌握用药量。地面载玻片着药面积达到每平方厘米3-5滴药滴以上，并由甲乙双方共同检测。若地面载玻片未达到每平方厘米3-5滴药滴的要求，不予计算飞防架次，采购人有权要求供应商免费重防。</w:t>
            </w:r>
          </w:p>
          <w:p>
            <w:pPr>
              <w:pStyle w:val="null5"/>
              <w:ind w:firstLine="400"/>
              <w:jc w:val="both"/>
            </w:pPr>
            <w:r>
              <w:rPr>
                <w:rFonts w:ascii="仿宋_GB2312" w:hAnsi="仿宋_GB2312" w:cs="仿宋_GB2312" w:eastAsia="仿宋_GB2312"/>
                <w:sz w:val="20"/>
              </w:rPr>
              <w:t xml:space="preserve">3.2.5 </w:t>
            </w:r>
            <w:r>
              <w:rPr>
                <w:rFonts w:ascii="仿宋_GB2312" w:hAnsi="仿宋_GB2312" w:cs="仿宋_GB2312" w:eastAsia="仿宋_GB2312"/>
                <w:sz w:val="20"/>
              </w:rPr>
              <w:t>严格掌握作业飞行高度（距树冠）和飞行速度：防护林带、村庄、行道树、片林及河岸护堤林3-5米。严格掌握在规定的天气情况下作业（风速低于4米/秒，能见度大于1500米），以确保飞行安全。</w:t>
            </w:r>
          </w:p>
          <w:p>
            <w:pPr>
              <w:pStyle w:val="null5"/>
              <w:ind w:firstLine="400"/>
              <w:jc w:val="both"/>
            </w:pPr>
            <w:r>
              <w:rPr>
                <w:rFonts w:ascii="仿宋_GB2312" w:hAnsi="仿宋_GB2312" w:cs="仿宋_GB2312" w:eastAsia="仿宋_GB2312"/>
                <w:sz w:val="20"/>
              </w:rPr>
              <w:t xml:space="preserve">3.2.6 </w:t>
            </w:r>
            <w:r>
              <w:rPr>
                <w:rFonts w:ascii="仿宋_GB2312" w:hAnsi="仿宋_GB2312" w:cs="仿宋_GB2312" w:eastAsia="仿宋_GB2312"/>
                <w:sz w:val="20"/>
              </w:rPr>
              <w:t>结算面积按实际飞防面积计算。</w:t>
            </w:r>
          </w:p>
          <w:p>
            <w:pPr>
              <w:pStyle w:val="null5"/>
              <w:ind w:firstLine="400"/>
              <w:jc w:val="both"/>
            </w:pPr>
            <w:r>
              <w:rPr>
                <w:rFonts w:ascii="仿宋_GB2312" w:hAnsi="仿宋_GB2312" w:cs="仿宋_GB2312" w:eastAsia="仿宋_GB2312"/>
                <w:sz w:val="20"/>
              </w:rPr>
              <w:t xml:space="preserve">3.2.7 </w:t>
            </w:r>
            <w:r>
              <w:rPr>
                <w:rFonts w:ascii="仿宋_GB2312" w:hAnsi="仿宋_GB2312" w:cs="仿宋_GB2312" w:eastAsia="仿宋_GB2312"/>
                <w:sz w:val="20"/>
              </w:rPr>
              <w:t>每架次代表面积：</w:t>
            </w:r>
          </w:p>
          <w:p>
            <w:pPr>
              <w:pStyle w:val="null5"/>
              <w:ind w:firstLine="400"/>
              <w:jc w:val="both"/>
            </w:pPr>
            <w:r>
              <w:rPr>
                <w:rFonts w:ascii="仿宋_GB2312" w:hAnsi="仿宋_GB2312" w:cs="仿宋_GB2312" w:eastAsia="仿宋_GB2312"/>
                <w:sz w:val="20"/>
              </w:rPr>
              <w:t xml:space="preserve">3.2.7.1 </w:t>
            </w:r>
            <w:r>
              <w:rPr>
                <w:rFonts w:ascii="仿宋_GB2312" w:hAnsi="仿宋_GB2312" w:cs="仿宋_GB2312" w:eastAsia="仿宋_GB2312"/>
                <w:sz w:val="20"/>
              </w:rPr>
              <w:t>以100公斤药液喷洒300亩为标准（333克/亩）。</w:t>
            </w:r>
          </w:p>
          <w:p>
            <w:pPr>
              <w:pStyle w:val="null5"/>
              <w:ind w:firstLine="400"/>
              <w:jc w:val="both"/>
            </w:pPr>
            <w:r>
              <w:rPr>
                <w:rFonts w:ascii="仿宋_GB2312" w:hAnsi="仿宋_GB2312" w:cs="仿宋_GB2312" w:eastAsia="仿宋_GB2312"/>
                <w:sz w:val="20"/>
              </w:rPr>
              <w:t xml:space="preserve">3.2.7.2 </w:t>
            </w:r>
            <w:r>
              <w:rPr>
                <w:rFonts w:ascii="仿宋_GB2312" w:hAnsi="仿宋_GB2312" w:cs="仿宋_GB2312" w:eastAsia="仿宋_GB2312"/>
                <w:sz w:val="20"/>
              </w:rPr>
              <w:t>参考喷药时间×作业速度×宽度×0.8（系数）计算出的面积。</w:t>
            </w:r>
          </w:p>
          <w:p>
            <w:pPr>
              <w:pStyle w:val="null5"/>
              <w:ind w:firstLine="400"/>
              <w:jc w:val="both"/>
            </w:pPr>
            <w:r>
              <w:rPr>
                <w:rFonts w:ascii="仿宋_GB2312" w:hAnsi="仿宋_GB2312" w:cs="仿宋_GB2312" w:eastAsia="仿宋_GB2312"/>
                <w:sz w:val="20"/>
              </w:rPr>
              <w:t xml:space="preserve">3.2.8 </w:t>
            </w:r>
            <w:r>
              <w:rPr>
                <w:rFonts w:ascii="仿宋_GB2312" w:hAnsi="仿宋_GB2312" w:cs="仿宋_GB2312" w:eastAsia="仿宋_GB2312"/>
                <w:sz w:val="20"/>
              </w:rPr>
              <w:t>乙方负责飞机的安全保卫（甲方协助）、气象资料等工作，并承担机组人员在飞防作业期间的一切费用。</w:t>
            </w:r>
          </w:p>
          <w:p>
            <w:pPr>
              <w:pStyle w:val="null5"/>
              <w:ind w:firstLine="400"/>
              <w:jc w:val="both"/>
            </w:pPr>
            <w:r>
              <w:rPr>
                <w:rFonts w:ascii="仿宋_GB2312" w:hAnsi="仿宋_GB2312" w:cs="仿宋_GB2312" w:eastAsia="仿宋_GB2312"/>
                <w:sz w:val="20"/>
              </w:rPr>
              <w:t xml:space="preserve">3.2.9 </w:t>
            </w:r>
            <w:r>
              <w:rPr>
                <w:rFonts w:ascii="仿宋_GB2312" w:hAnsi="仿宋_GB2312" w:cs="仿宋_GB2312" w:eastAsia="仿宋_GB2312"/>
                <w:sz w:val="20"/>
              </w:rPr>
              <w:t>药品要求：</w:t>
            </w:r>
          </w:p>
          <w:p>
            <w:pPr>
              <w:pStyle w:val="null5"/>
              <w:ind w:firstLine="400"/>
              <w:jc w:val="both"/>
            </w:pPr>
            <w:r>
              <w:rPr>
                <w:rFonts w:ascii="仿宋_GB2312" w:hAnsi="仿宋_GB2312" w:cs="仿宋_GB2312" w:eastAsia="仿宋_GB2312"/>
                <w:sz w:val="20"/>
              </w:rPr>
              <w:t>A</w:t>
            </w:r>
            <w:r>
              <w:rPr>
                <w:rFonts w:ascii="仿宋_GB2312" w:hAnsi="仿宋_GB2312" w:cs="仿宋_GB2312" w:eastAsia="仿宋_GB2312"/>
                <w:sz w:val="20"/>
              </w:rPr>
              <w:t>、乙方负责采购用药（包括沉降剂）并制定施药配方，所施用于杨小舟蛾的农药建议参考选用河南省安阳市安林生物化工有限责任公司，吉林省通化农药化工股份有限公司，安阳全丰生物科技有限公司三个厂家生产的农药。所用药剂必须是符合国家飞防标准的生物制剂，每亩施药量（不包括沉降剂用量，根据虫龄加大而调整）不少于65g。</w:t>
            </w:r>
          </w:p>
          <w:p>
            <w:pPr>
              <w:pStyle w:val="null5"/>
              <w:ind w:firstLine="400"/>
              <w:jc w:val="both"/>
            </w:pPr>
            <w:r>
              <w:rPr>
                <w:rFonts w:ascii="仿宋_GB2312" w:hAnsi="仿宋_GB2312" w:cs="仿宋_GB2312" w:eastAsia="仿宋_GB2312"/>
                <w:sz w:val="20"/>
              </w:rPr>
              <w:t>B</w:t>
            </w:r>
            <w:r>
              <w:rPr>
                <w:rFonts w:ascii="仿宋_GB2312" w:hAnsi="仿宋_GB2312" w:cs="仿宋_GB2312" w:eastAsia="仿宋_GB2312"/>
                <w:sz w:val="20"/>
              </w:rPr>
              <w:t>、适用药剂：灭幼脲、杀铃脲、阿维灭幼脲、甲维灭幼脲悬浮剂等无公害药剂，并根据需要增加甲维盐、阿维菌素、啶虫脒或吡虫啉。</w:t>
            </w:r>
          </w:p>
          <w:p>
            <w:pPr>
              <w:pStyle w:val="null5"/>
              <w:ind w:firstLine="400"/>
              <w:jc w:val="both"/>
            </w:pPr>
            <w:r>
              <w:rPr>
                <w:rFonts w:ascii="仿宋_GB2312" w:hAnsi="仿宋_GB2312" w:cs="仿宋_GB2312" w:eastAsia="仿宋_GB2312"/>
                <w:sz w:val="20"/>
              </w:rPr>
              <w:t>C</w:t>
            </w:r>
            <w:r>
              <w:rPr>
                <w:rFonts w:ascii="仿宋_GB2312" w:hAnsi="仿宋_GB2312" w:cs="仿宋_GB2312" w:eastAsia="仿宋_GB2312"/>
                <w:sz w:val="20"/>
              </w:rPr>
              <w:t>、药液中加入尿素作为沉降剂，用量为每亩10-20g。</w:t>
            </w:r>
          </w:p>
          <w:p>
            <w:pPr>
              <w:pStyle w:val="null5"/>
              <w:ind w:firstLine="400"/>
              <w:jc w:val="both"/>
            </w:pPr>
            <w:r>
              <w:rPr>
                <w:rFonts w:ascii="仿宋_GB2312" w:hAnsi="仿宋_GB2312" w:cs="仿宋_GB2312" w:eastAsia="仿宋_GB2312"/>
                <w:sz w:val="20"/>
              </w:rPr>
              <w:t>D</w:t>
            </w:r>
            <w:r>
              <w:rPr>
                <w:rFonts w:ascii="仿宋_GB2312" w:hAnsi="仿宋_GB2312" w:cs="仿宋_GB2312" w:eastAsia="仿宋_GB2312"/>
                <w:sz w:val="20"/>
              </w:rPr>
              <w:t>、作业中，根据天气、风向、虫龄随时调整喷头，每两个架次检查清洗喷头一次，防治喷头堵塞以确保雾化效果。</w:t>
            </w:r>
          </w:p>
          <w:p>
            <w:pPr>
              <w:pStyle w:val="null5"/>
              <w:ind w:firstLine="400"/>
              <w:jc w:val="both"/>
            </w:pPr>
            <w:r>
              <w:rPr>
                <w:rFonts w:ascii="仿宋_GB2312" w:hAnsi="仿宋_GB2312" w:cs="仿宋_GB2312" w:eastAsia="仿宋_GB2312"/>
                <w:sz w:val="20"/>
              </w:rPr>
              <w:t>注：飞防使用药剂可根据实际情况进行调整，每亩施药量根据虫龄加大而调整。</w:t>
            </w:r>
          </w:p>
          <w:p>
            <w:pPr>
              <w:pStyle w:val="null5"/>
              <w:ind w:firstLine="400"/>
              <w:jc w:val="both"/>
            </w:pPr>
            <w:r>
              <w:rPr>
                <w:rFonts w:ascii="仿宋_GB2312" w:hAnsi="仿宋_GB2312" w:cs="仿宋_GB2312" w:eastAsia="仿宋_GB2312"/>
                <w:sz w:val="20"/>
              </w:rPr>
              <w:t>供应商在其报价文件中须对所使用的药品的名称、数量等信息，进行填报。</w:t>
            </w:r>
          </w:p>
          <w:p>
            <w:pPr>
              <w:pStyle w:val="null5"/>
              <w:ind w:firstLine="400"/>
              <w:jc w:val="both"/>
            </w:pPr>
            <w:r>
              <w:rPr>
                <w:rFonts w:ascii="仿宋_GB2312" w:hAnsi="仿宋_GB2312" w:cs="仿宋_GB2312" w:eastAsia="仿宋_GB2312"/>
                <w:sz w:val="15"/>
              </w:rPr>
              <w:t xml:space="preserve">3.2.10 </w:t>
            </w:r>
            <w:r>
              <w:rPr>
                <w:rFonts w:ascii="仿宋_GB2312" w:hAnsi="仿宋_GB2312" w:cs="仿宋_GB2312" w:eastAsia="仿宋_GB2312"/>
                <w:sz w:val="15"/>
              </w:rPr>
              <w:t>在作业过程中，由甲方聘请有资质的第三方检测机构对供应商所用农药质量进行检测并出具检测报告。检测所涉费用由成交供应商承担。</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飞防安全</w:t>
            </w:r>
          </w:p>
        </w:tc>
        <w:tc>
          <w:tcPr>
            <w:tcW w:type="dxa" w:w="2076"/>
          </w:tcPr>
          <w:p>
            <w:pPr>
              <w:pStyle w:val="null5"/>
              <w:ind w:firstLine="400"/>
              <w:jc w:val="both"/>
            </w:pPr>
            <w:r>
              <w:rPr>
                <w:rFonts w:ascii="仿宋_GB2312" w:hAnsi="仿宋_GB2312" w:cs="仿宋_GB2312" w:eastAsia="仿宋_GB2312"/>
                <w:sz w:val="20"/>
              </w:rPr>
              <w:t xml:space="preserve">4.1 </w:t>
            </w:r>
            <w:r>
              <w:rPr>
                <w:rFonts w:ascii="仿宋_GB2312" w:hAnsi="仿宋_GB2312" w:cs="仿宋_GB2312" w:eastAsia="仿宋_GB2312"/>
                <w:sz w:val="20"/>
              </w:rPr>
              <w:t>成交供应商提供高效低毒药品，禁用剧毒农药。飞防时规避水产养殖、畜禽养殖区域、敏感经济作物种植区，严禁影响人类正常的生活、生产活动，成交供应商对所有由防治造成的损失承担全部责任。如因用药不当造成鱼、虾、蟹、蚕桑、蜜蜂、禽、畜、人员伤亡或因作业机械噪音造成伤亡的一切损失均由成交供应商负责。</w:t>
            </w:r>
          </w:p>
          <w:p>
            <w:pPr>
              <w:pStyle w:val="null5"/>
              <w:ind w:firstLine="400"/>
              <w:jc w:val="both"/>
            </w:pPr>
            <w:r>
              <w:rPr>
                <w:rFonts w:ascii="仿宋_GB2312" w:hAnsi="仿宋_GB2312" w:cs="仿宋_GB2312" w:eastAsia="仿宋_GB2312"/>
                <w:sz w:val="20"/>
              </w:rPr>
              <w:t xml:space="preserve">4.2 </w:t>
            </w:r>
            <w:r>
              <w:rPr>
                <w:rFonts w:ascii="仿宋_GB2312" w:hAnsi="仿宋_GB2312" w:cs="仿宋_GB2312" w:eastAsia="仿宋_GB2312"/>
                <w:sz w:val="20"/>
              </w:rPr>
              <w:t>在服务期内，确保飞机及其它器械安全，确保不发生飞行事故和飞防次生灾害事故。若发生事故，责任由成交供应商全部承担并赔偿所有损失。</w:t>
            </w:r>
          </w:p>
          <w:p>
            <w:pPr>
              <w:pStyle w:val="null5"/>
              <w:ind w:firstLine="400"/>
              <w:jc w:val="both"/>
            </w:pPr>
            <w:r>
              <w:rPr>
                <w:rFonts w:ascii="仿宋_GB2312" w:hAnsi="仿宋_GB2312" w:cs="仿宋_GB2312" w:eastAsia="仿宋_GB2312"/>
                <w:sz w:val="20"/>
              </w:rPr>
              <w:t xml:space="preserve">4.3 </w:t>
            </w:r>
            <w:r>
              <w:rPr>
                <w:rFonts w:ascii="仿宋_GB2312" w:hAnsi="仿宋_GB2312" w:cs="仿宋_GB2312" w:eastAsia="仿宋_GB2312"/>
                <w:sz w:val="20"/>
              </w:rPr>
              <w:t>飞防作业参与人员应身体健康、经过专业培训、采取必要安全防护措施避免发生药害。</w:t>
            </w:r>
          </w:p>
          <w:p>
            <w:pPr>
              <w:pStyle w:val="null5"/>
              <w:ind w:firstLine="400"/>
              <w:jc w:val="both"/>
            </w:pPr>
            <w:r>
              <w:rPr>
                <w:rFonts w:ascii="仿宋_GB2312" w:hAnsi="仿宋_GB2312" w:cs="仿宋_GB2312" w:eastAsia="仿宋_GB2312"/>
                <w:sz w:val="15"/>
              </w:rPr>
              <w:t xml:space="preserve">4.4 </w:t>
            </w:r>
            <w:r>
              <w:rPr>
                <w:rFonts w:ascii="仿宋_GB2312" w:hAnsi="仿宋_GB2312" w:cs="仿宋_GB2312" w:eastAsia="仿宋_GB2312"/>
                <w:sz w:val="15"/>
              </w:rPr>
              <w:t>成交供应商负责作业区内飞防效果，如出现问题及时补防。在防控期间，乙方负责飞机的安全保卫及飞防全部费用(包括飞防人员食宿、差旅、水车租用费等费用)。</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现场勘查</w:t>
            </w:r>
          </w:p>
        </w:tc>
        <w:tc>
          <w:tcPr>
            <w:tcW w:type="dxa" w:w="2076"/>
          </w:tcPr>
          <w:p>
            <w:pPr>
              <w:pStyle w:val="null5"/>
              <w:ind w:firstLine="400"/>
              <w:jc w:val="both"/>
            </w:pPr>
            <w:r>
              <w:rPr>
                <w:rFonts w:ascii="仿宋_GB2312" w:hAnsi="仿宋_GB2312" w:cs="仿宋_GB2312" w:eastAsia="仿宋_GB2312"/>
                <w:sz w:val="15"/>
              </w:rPr>
              <w:t>供应商务必自行组织现场踏勘，以获取报价所需的准确数据，供应商需无论考察与否，都将被视为已经对本项目的总体情况、工作难度、条件及当地的有关情况充分了解以及成交后有可能承担的风险、责任和义务。成交后不得借口招标文件提供的数据不准确、不全面，以及未能现场勘查或勘查后未能获取准确数据而调整投标报价。现场考察的费用由成交供应商自行负担。</w:t>
            </w:r>
          </w:p>
          <w:p>
            <w:pPr>
              <w:pStyle w:val="null5"/>
              <w:ind w:firstLine="400"/>
              <w:jc w:val="both"/>
            </w:pPr>
            <w:r>
              <w:rPr>
                <w:rFonts w:ascii="仿宋_GB2312" w:hAnsi="仿宋_GB2312" w:cs="仿宋_GB2312" w:eastAsia="仿宋_GB2312"/>
                <w:sz w:val="15"/>
              </w:rPr>
              <w:t>踏勘现场时，应避开水产养殖、禽畜养殖区域、敏感经济作物种植区，严禁影响人类正常的生活、生产活动，成交供应商对所有由防治造成的损失承担全部责任。确保器械安全，确保不发生安全事故次生灾害事故。若发生事故，责任由成交供应商全部承担并赔偿所有损失。</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其他要求</w:t>
            </w:r>
          </w:p>
        </w:tc>
        <w:tc>
          <w:tcPr>
            <w:tcW w:type="dxa" w:w="2076"/>
          </w:tcPr>
          <w:p>
            <w:pPr>
              <w:pStyle w:val="null5"/>
              <w:ind w:firstLine="400"/>
              <w:jc w:val="both"/>
            </w:pPr>
            <w:r>
              <w:rPr>
                <w:rFonts w:ascii="仿宋_GB2312" w:hAnsi="仿宋_GB2312" w:cs="仿宋_GB2312" w:eastAsia="仿宋_GB2312"/>
                <w:sz w:val="15"/>
              </w:rPr>
              <w:t>1</w:t>
            </w:r>
            <w:r>
              <w:rPr>
                <w:rFonts w:ascii="仿宋_GB2312" w:hAnsi="仿宋_GB2312" w:cs="仿宋_GB2312" w:eastAsia="仿宋_GB2312"/>
                <w:sz w:val="15"/>
              </w:rPr>
              <w:t>、为确保所施药品的质量，供应商一经成交，须在成交公示发出后5天内，提供经成交供应商及药品生产厂家共同签章的《药品售后服务承诺书》原件（包含但不限于确保按时供货、确保药品质量、确保工期及飞防效果等的承诺），并附所施药品加盖生产厂家及供应商公章（鲜章）的农药登记证、农药生产许可证(或批准文件)以及企业标准复印件。承诺书内容由成交供应商拟写并由采购人审核后确定。在成交公示发出后5天内，供应商须提供以上要求的全部资料，如无法提供，则视为供应商违约，采购人有权废除其成交资格，不与其签订合同。</w:t>
            </w:r>
          </w:p>
          <w:p>
            <w:pPr>
              <w:pStyle w:val="null5"/>
              <w:ind w:firstLine="400"/>
              <w:jc w:val="both"/>
            </w:pPr>
            <w:r>
              <w:rPr>
                <w:rFonts w:ascii="仿宋_GB2312" w:hAnsi="仿宋_GB2312" w:cs="仿宋_GB2312" w:eastAsia="仿宋_GB2312"/>
                <w:sz w:val="15"/>
              </w:rPr>
              <w:t>2</w:t>
            </w:r>
            <w:r>
              <w:rPr>
                <w:rFonts w:ascii="仿宋_GB2312" w:hAnsi="仿宋_GB2312" w:cs="仿宋_GB2312" w:eastAsia="仿宋_GB2312"/>
                <w:sz w:val="15"/>
              </w:rPr>
              <w:t>、供应商应当在投标文件中列出本项目完成并通过验收所需的各项明细及全部费用。成交供应商必须确保整体通过用户方及有关主管部门验收，所发生的验收费用由成交供应商承担；供应商应踏勘现场，如供应商因未及时踏勘现场而导致的报价缺项漏项废标、或成交后无法完工，供应商自行承担一切后果。</w:t>
            </w:r>
          </w:p>
          <w:p>
            <w:pPr>
              <w:pStyle w:val="null5"/>
              <w:ind w:firstLine="400"/>
              <w:jc w:val="both"/>
            </w:pPr>
            <w:r>
              <w:rPr>
                <w:rFonts w:ascii="仿宋_GB2312" w:hAnsi="仿宋_GB2312" w:cs="仿宋_GB2312" w:eastAsia="仿宋_GB2312"/>
                <w:sz w:val="15"/>
              </w:rPr>
              <w:t>3</w:t>
            </w:r>
            <w:r>
              <w:rPr>
                <w:rFonts w:ascii="仿宋_GB2312" w:hAnsi="仿宋_GB2312" w:cs="仿宋_GB2312" w:eastAsia="仿宋_GB2312"/>
                <w:sz w:val="15"/>
              </w:rPr>
              <w:t>、如对本招标文件有任何疑问或要求澄清，请按本招标文件的规定提出，否则视同理解和接受。</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服务要求</w:t>
            </w:r>
          </w:p>
        </w:tc>
        <w:tc>
          <w:tcPr>
            <w:tcW w:type="dxa" w:w="4153"/>
          </w:tcPr>
          <w:p>
            <w:pPr>
              <w:pStyle w:val="null5"/>
              <w:jc w:val="left"/>
            </w:pPr>
            <w:r>
              <w:rPr>
                <w:rFonts w:ascii="仿宋_GB2312" w:hAnsi="仿宋_GB2312" w:cs="仿宋_GB2312" w:eastAsia="仿宋_GB2312"/>
              </w:rPr>
              <w:t>详见技术要求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2026年7-10月。飞防服务期为3个有效日历天（气象因素除外）</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1、合同签订生效并具备实施条件后，达到付款条件起30日内，支付合同总金额的30.00%</w:t>
            </w:r>
          </w:p>
          <w:p>
            <w:pPr>
              <w:pStyle w:val="null5"/>
              <w:jc w:val="left"/>
            </w:pPr>
            <w:r>
              <w:rPr>
                <w:rFonts w:ascii="仿宋_GB2312" w:hAnsi="仿宋_GB2312" w:cs="仿宋_GB2312" w:eastAsia="仿宋_GB2312"/>
              </w:rPr>
              <w:t>2、最终所有飞防项目完成并验收合格后，达到付款条件起90日内，支付合同总金额的70.00%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解密环节：（1）解密时间：从系统提示开始解密时间起30分钟内。（2）解密方式：远程解密，供应商不得到开标现场。供应商登录山东省政府采购电子交易系统，在解密时限内对电子响应文件进行解密，未在规定时间内解密的电子响应文件将被退回。如因系统等不可抗因素导致电子响应文件无法解密，解密时间将延长。2、报价时考虑的因素：（1）供应商应根据采购人现场情况、企业自身实际情况、市场价格等条件及国家、省、市有关规定报价，报价不得低于成本。（2）供应商在投标报价中应报出符合磋商文件要求的价格。上述价格应为本项目的落地价，应包括但不限于药剂、航油、用水、空管、监测以及飞机货物的运输费、搬运费、装卸费、包装费、税费以及招标代理服务费、机组人员工资、食宿、药品检测、验收等项目实施过程中发生的全部费用。执行合同期间供应商不得以任何理由要求采购人追加费用。（3）本项目采购人设有最高限价，超出最高限价的响应文件将不被接受，若所有供应商报价均超出采购人的最高限价，采购人有权废标处理，采购活动终止。（4）供应商须同时竞报单价和总价，供应商报价不得超出本项目的单价最高限价和总价最高限价，否则按无效投标处理。最终结算面积按实际飞防面积计算。（5）最低报价不能作为成交的保证，本次竞争性磋商中通过资格、符合性审查的供应商将有二次报价的机会，二次报价时间为30分钟。如因系统等不可抗因素导致二次报价无法提交，将开启新一轮报价。3、其他：（1）资信证明材料的公开：为增加投标活动的公开性，以便于社会监督，成交单位的部分资信证明材料将在中心网站上与成交公告同步公开，公开内容包含但不限于以下内容：小微企业或监狱（戒毒所）企业或残疾人福利性单位的证明资料、涉及加分相关资料（业绩、资质、证书、人员等），其中，涉及隐私的部分，成交供应商可在成交公告发布前递交不予公开的书面申请，可不予公开或公开部分内容。否则视为无异议。（2）由于成交候选人原因导致在成交通知书发出后10日内（按照相关法律规定）不能与采购人签订合同，则采购人有权取消该供应商的成交候选人资格，并上报相关部门将该供应商列入严重失信名单。（3）成交公告结束3个工作日内，成交供应商须提供纸质版响应文件一式肆份（采用胶装方式，不得使用活页装订），PDF格式响应文件光盘2张。纸质响应文件为使用投标（响应）客户端编制的响应文件的打印件（封皮须彩印）；PDF格式响应文件为使用投标（响应）客户端编制的响应文件的pdf版。（4）本项目进行远程开标，仅需在山东省政府采购电子交易系统内上传加密版的响应文件，其他形式的文件均不需要提交，本项目开标后各供应商将PDF格式响应文件及项目评审细则及标准中涉及到的加分相关资料(业绩、证书、相关证明材料等)整理为word版一并发送至代理机构邮箱sdslszb02@163.com，以便留存。（5）在到达开标时间后，代理公司公布供应商名单，供应商对开标过程如有异议的，可以通过山东省政府采购电子交易系统远程开标大厅进行提出，代理机构将作出答复，否则视为认同。开标结束后不再接受有关开标现场的任何异议。（6）采购人、采购代理机构对于本项目做出的口头描述均不作为此磋商文件的组成部分，各供应商因理解偏差而导致的损失，由供应商自行承担。（7）非招标代理人原因造成招标失败的：①未进入评标阶段，招标代理服务费以本项目代理费的30%计算，重新招标仍未进入评标阶段，不再重复收取；②已进入评标阶段，本次招标代理服务费以本项目代理费的70%计算。③重新招标成功的，招标代理服务费另行计算。(8)本项目属于政府购买服务项目。（9）本磋商文件未尽事宜严格执行相关法律的规定，本项3.4其他要求与磋商文件其它内容不一致的，应当以本项内容为准；磋商文件条款内容与现行的法律法规、办法、条例等相冲突的，以后者为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rPr>
        <w:t>详见合同附件</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营业执照</w:t>
            </w:r>
          </w:p>
        </w:tc>
        <w:tc>
          <w:tcPr>
            <w:tcW w:type="dxa" w:w="3322"/>
          </w:tcPr>
          <w:p>
            <w:pPr>
              <w:pStyle w:val="null5"/>
              <w:jc w:val="left"/>
            </w:pPr>
            <w:r>
              <w:rPr>
                <w:rFonts w:ascii="仿宋_GB2312" w:hAnsi="仿宋_GB2312" w:cs="仿宋_GB2312" w:eastAsia="仿宋_GB2312"/>
              </w:rPr>
              <w:t>法人或者其他组织的营业执照等证明文件（加盖供应商电子公章，放入电子响应文件相应位置）</w:t>
            </w:r>
          </w:p>
        </w:tc>
        <w:tc>
          <w:tcPr>
            <w:tcW w:type="dxa" w:w="1661"/>
          </w:tcPr>
          <w:p>
            <w:pPr>
              <w:pStyle w:val="null5"/>
              <w:jc w:val="left"/>
            </w:pPr>
            <w:r>
              <w:rPr>
                <w:rFonts w:ascii="仿宋_GB2312" w:hAnsi="仿宋_GB2312" w:cs="仿宋_GB2312" w:eastAsia="仿宋_GB2312"/>
              </w:rPr>
              <w:t>营业执照</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法定代表人身份证明或法定代表人授权代表委托书</w:t>
            </w:r>
          </w:p>
        </w:tc>
        <w:tc>
          <w:tcPr>
            <w:tcW w:type="dxa" w:w="3322"/>
          </w:tcPr>
          <w:p>
            <w:pPr>
              <w:pStyle w:val="null5"/>
              <w:jc w:val="left"/>
            </w:pPr>
            <w:r>
              <w:rPr>
                <w:rFonts w:ascii="仿宋_GB2312" w:hAnsi="仿宋_GB2312" w:cs="仿宋_GB2312" w:eastAsia="仿宋_GB2312"/>
              </w:rPr>
              <w:t>法定代表人直接参与投标的，须提交法定代表人身份证明书（加盖供应商电子公章）；授权代表参与投标的，须提交法定代表人授权委托书（加盖供应商电子公章及法定代表人电子印章）</w:t>
            </w:r>
          </w:p>
        </w:tc>
        <w:tc>
          <w:tcPr>
            <w:tcW w:type="dxa" w:w="1661"/>
          </w:tcPr>
          <w:p>
            <w:pPr>
              <w:pStyle w:val="null5"/>
              <w:jc w:val="left"/>
            </w:pPr>
            <w:r>
              <w:rPr>
                <w:rFonts w:ascii="仿宋_GB2312" w:hAnsi="仿宋_GB2312" w:cs="仿宋_GB2312" w:eastAsia="仿宋_GB2312"/>
              </w:rPr>
              <w:t>法定代表人身份证明或法定代表人授权委托书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供应商参加政府采购活动前3年内在经营活动中没有重大违法记录的书面声明（加盖供应商电子公章，格式后附）</w:t>
            </w:r>
          </w:p>
        </w:tc>
        <w:tc>
          <w:tcPr>
            <w:tcW w:type="dxa" w:w="1661"/>
          </w:tcPr>
          <w:p>
            <w:pPr>
              <w:pStyle w:val="null5"/>
              <w:jc w:val="left"/>
            </w:pPr>
            <w:r>
              <w:rPr>
                <w:rFonts w:ascii="仿宋_GB2312" w:hAnsi="仿宋_GB2312" w:cs="仿宋_GB2312" w:eastAsia="仿宋_GB2312"/>
              </w:rPr>
              <w:t>参加政府采购活动前3年内在经营活动中没有重大违法记录的书面声明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财务状况报告</w:t>
            </w:r>
          </w:p>
        </w:tc>
        <w:tc>
          <w:tcPr>
            <w:tcW w:type="dxa" w:w="3322"/>
          </w:tcPr>
          <w:p>
            <w:pPr>
              <w:pStyle w:val="null5"/>
              <w:jc w:val="left"/>
            </w:pPr>
            <w:r>
              <w:rPr>
                <w:rFonts w:ascii="仿宋_GB2312" w:hAnsi="仿宋_GB2312" w:cs="仿宋_GB2312" w:eastAsia="仿宋_GB2312"/>
              </w:rPr>
              <w:t>财务状况报告扫描件（加盖供应商电子公章，放入电子响应文件相应位置），提供下列资料之一即可：A、2024、2025年度任一年度经审计的企业财务状况报告书（报告实质性内容完整有效，至少包括报告正文、资产负债表、利润表、现金流量表、报表附注或财务情况说明书）；B、自开标截止之日前三个月内基本开户行开具的资信证明文件（资信证明如有抬头，抬头应为招标人或招标代理机构；如涉及项目名称，应为本项目名称；如资信证明不能体现基本开户银行信息，还需提供基本开户许可证或基本存款账户信息等相关证明资料）。</w:t>
            </w:r>
          </w:p>
        </w:tc>
        <w:tc>
          <w:tcPr>
            <w:tcW w:type="dxa" w:w="1661"/>
          </w:tcPr>
          <w:p>
            <w:pPr>
              <w:pStyle w:val="null5"/>
              <w:jc w:val="left"/>
            </w:pPr>
            <w:r>
              <w:rPr>
                <w:rFonts w:ascii="仿宋_GB2312" w:hAnsi="仿宋_GB2312" w:cs="仿宋_GB2312" w:eastAsia="仿宋_GB2312"/>
              </w:rPr>
              <w:t>财务状况报告</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纳税和社保证明</w:t>
            </w:r>
          </w:p>
        </w:tc>
        <w:tc>
          <w:tcPr>
            <w:tcW w:type="dxa" w:w="3322"/>
          </w:tcPr>
          <w:p>
            <w:pPr>
              <w:pStyle w:val="null5"/>
              <w:jc w:val="left"/>
            </w:pPr>
            <w:r>
              <w:rPr>
                <w:rFonts w:ascii="仿宋_GB2312" w:hAnsi="仿宋_GB2312" w:cs="仿宋_GB2312" w:eastAsia="仿宋_GB2312"/>
              </w:rPr>
              <w:t>纳税和社保证明材料（加盖供应商电子公章），提供下列资料之一即可：A、在山东省内缴纳税收和社会保障资金的供应商，提供“依法缴纳税收和社会保障资金承诺函”（格式后附）（加盖供应商电子公章，上传至电子响应文件指定位置）；响应截止时间前，提供“依法缴纳税收和社会保障资金承诺函”的供应商，应登录山东省政府采购网系统，自行查询是否有近期（指2026年01月01日起至响应截止之日止）任意1个月缴纳税收和社会保障资金的情况。注：在项目资格审查环节，代理机构将通过“中国山东政府采购网”平台“开评标管理”栏目中查询提供《依法缴纳税收和社会保障资金承诺函》的供应商在山东省缴纳税收和社会保障资金的情况，对于反馈有上述期间税收和社会保障资金缴费信息的，视为“有依法缴纳税收和社会保障资金的良好记录”；对于反馈无上述相关信息，供应商须提供本款B项相关缴纳税收和社会保障资金的证明材料，否则将被认定为响应无效。B、未在山东省内缴纳税收和社会保障资金的或不符合本款A项内容的供应商，须提供2026年01月起至响应截止之日止任意一个月缴纳税收和社会保障资金的凭据扫描件；（加盖供应商电子公章，上传至电子响应文件指定位置）。C、依法免税、零报税或不需要缴纳社会保障资金的，须提供相关证明材料。</w:t>
            </w:r>
          </w:p>
        </w:tc>
        <w:tc>
          <w:tcPr>
            <w:tcW w:type="dxa" w:w="1661"/>
          </w:tcPr>
          <w:p>
            <w:pPr>
              <w:pStyle w:val="null5"/>
              <w:jc w:val="left"/>
            </w:pPr>
            <w:r>
              <w:rPr>
                <w:rFonts w:ascii="仿宋_GB2312" w:hAnsi="仿宋_GB2312" w:cs="仿宋_GB2312" w:eastAsia="仿宋_GB2312"/>
              </w:rPr>
              <w:t>纳税和社保证明</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具有履行合同所必需的设备和专业技术能力的书面声明（加盖供应商电子公章，格式后附）</w:t>
            </w:r>
          </w:p>
        </w:tc>
        <w:tc>
          <w:tcPr>
            <w:tcW w:type="dxa" w:w="1661"/>
          </w:tcPr>
          <w:p>
            <w:pPr>
              <w:pStyle w:val="null5"/>
              <w:jc w:val="left"/>
            </w:pPr>
            <w:r>
              <w:rPr>
                <w:rFonts w:ascii="仿宋_GB2312" w:hAnsi="仿宋_GB2312" w:cs="仿宋_GB2312" w:eastAsia="仿宋_GB2312"/>
              </w:rPr>
              <w:t>具备履行合同所必需的设备和专业技术能力承诺书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信用查询</w:t>
            </w:r>
          </w:p>
        </w:tc>
        <w:tc>
          <w:tcPr>
            <w:tcW w:type="dxa" w:w="3322"/>
          </w:tcPr>
          <w:p>
            <w:pPr>
              <w:pStyle w:val="null5"/>
              <w:jc w:val="left"/>
            </w:pPr>
            <w:r>
              <w:rPr>
                <w:rFonts w:ascii="仿宋_GB2312" w:hAnsi="仿宋_GB2312" w:cs="仿宋_GB2312" w:eastAsia="仿宋_GB2312"/>
              </w:rPr>
              <w:t>在本项目评标过程中，代理机构人员将通过“信用中国”网站（www.creditchina.gov.cn）、中国政府采购网（www.ccgp.gov.cn）渠道查询本项目供应商的信用记录，并采取必要方式做好信用信息查询记录和证据留存，对列入失信被执行人、重大税收违法失信主体、政府采购严重违法失信行为记录名单以及存在重大违法记录的供应商，视为资格审查不合格，其投标无效。</w:t>
            </w:r>
          </w:p>
        </w:tc>
        <w:tc>
          <w:tcPr>
            <w:tcW w:type="dxa" w:w="1661"/>
          </w:tcPr>
          <w:p>
            <w:pPr>
              <w:pStyle w:val="null5"/>
              <w:jc w:val="left"/>
            </w:pPr>
            <w:r>
              <w:rPr>
                <w:rFonts w:ascii="仿宋_GB2312" w:hAnsi="仿宋_GB2312" w:cs="仿宋_GB2312" w:eastAsia="仿宋_GB2312"/>
              </w:rPr>
              <w:t>信用查询</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项目专门面向中小企业采购，供应商须提供以下任一材料，并加盖供应商电子公章：（1）《中小企业声明函》；（2）省级以上监狱管理局、戒毒管理局(含新疆生产建设兵团)出具的属于监狱企业的证明文件扫描件；（3）《残疾人福利性单位声明函》。注：根据《关于印发中小企业划分标准规定的通知》工信部联企业【2011】300号文规定，本项目所对应的中小企业行业为：农、林、牧、渔业。</w:t>
            </w:r>
          </w:p>
        </w:tc>
        <w:tc>
          <w:tcPr>
            <w:tcW w:type="dxa" w:w="1661"/>
          </w:tcPr>
          <w:p>
            <w:pPr>
              <w:pStyle w:val="null5"/>
              <w:jc w:val="left"/>
            </w:pPr>
            <w:r>
              <w:rPr>
                <w:rFonts w:ascii="仿宋_GB2312" w:hAnsi="仿宋_GB2312" w:cs="仿宋_GB2312" w:eastAsia="仿宋_GB2312"/>
              </w:rPr>
              <w:t>落实政府采购政策资格审查</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直升机证件</w:t>
            </w:r>
          </w:p>
        </w:tc>
        <w:tc>
          <w:tcPr>
            <w:tcW w:type="dxa" w:w="3322"/>
          </w:tcPr>
          <w:p>
            <w:pPr>
              <w:pStyle w:val="null5"/>
              <w:jc w:val="left"/>
            </w:pPr>
            <w:r>
              <w:rPr>
                <w:rFonts w:ascii="仿宋_GB2312" w:hAnsi="仿宋_GB2312" w:cs="仿宋_GB2312" w:eastAsia="仿宋_GB2312"/>
              </w:rPr>
              <w:t>供应商须具备2架及以上（携药量600公斤及以上）适合飞防的直升机(以适航证、国籍登记证、电台执照为准，飞机型号及数量以加入公司运行规范为准)（加盖供应商电子公章，放入电子响应文件相应位置）</w:t>
            </w:r>
          </w:p>
        </w:tc>
        <w:tc>
          <w:tcPr>
            <w:tcW w:type="dxa" w:w="1661"/>
          </w:tcPr>
          <w:p>
            <w:pPr>
              <w:pStyle w:val="null5"/>
              <w:jc w:val="left"/>
            </w:pPr>
            <w:r>
              <w:rPr>
                <w:rFonts w:ascii="仿宋_GB2312" w:hAnsi="仿宋_GB2312" w:cs="仿宋_GB2312" w:eastAsia="仿宋_GB2312"/>
              </w:rPr>
              <w:t>直升机证件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药品证件</w:t>
            </w:r>
          </w:p>
        </w:tc>
        <w:tc>
          <w:tcPr>
            <w:tcW w:type="dxa" w:w="3322"/>
          </w:tcPr>
          <w:p>
            <w:pPr>
              <w:pStyle w:val="null5"/>
              <w:jc w:val="left"/>
            </w:pPr>
            <w:r>
              <w:rPr>
                <w:rFonts w:ascii="仿宋_GB2312" w:hAnsi="仿宋_GB2312" w:cs="仿宋_GB2312" w:eastAsia="仿宋_GB2312"/>
              </w:rPr>
              <w:t>供应商拟使用药品须三证齐全（农药登记证、农药生产许可证或农药生产批准文件、农药标准），符合国家行业标准（加盖供应商电子公章，放入电子响应文件相应位置）</w:t>
            </w:r>
          </w:p>
        </w:tc>
        <w:tc>
          <w:tcPr>
            <w:tcW w:type="dxa" w:w="1661"/>
          </w:tcPr>
          <w:p>
            <w:pPr>
              <w:pStyle w:val="null5"/>
              <w:jc w:val="left"/>
            </w:pPr>
            <w:r>
              <w:rPr>
                <w:rFonts w:ascii="仿宋_GB2312" w:hAnsi="仿宋_GB2312" w:cs="仿宋_GB2312" w:eastAsia="仿宋_GB2312"/>
              </w:rPr>
              <w:t>药品证件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驾驶员证件</w:t>
            </w:r>
          </w:p>
        </w:tc>
        <w:tc>
          <w:tcPr>
            <w:tcW w:type="dxa" w:w="3322"/>
          </w:tcPr>
          <w:p>
            <w:pPr>
              <w:pStyle w:val="null5"/>
              <w:jc w:val="left"/>
            </w:pPr>
            <w:r>
              <w:rPr>
                <w:rFonts w:ascii="仿宋_GB2312" w:hAnsi="仿宋_GB2312" w:cs="仿宋_GB2312" w:eastAsia="仿宋_GB2312"/>
              </w:rPr>
              <w:t>本项目实施飞防中拟派驾驶员的民用航空器驾驶员执照、航空人员体检合格证原件的扫描件（加盖供应商电子公章，放入电子响应文件相应位置）</w:t>
            </w:r>
          </w:p>
        </w:tc>
        <w:tc>
          <w:tcPr>
            <w:tcW w:type="dxa" w:w="1661"/>
          </w:tcPr>
          <w:p>
            <w:pPr>
              <w:pStyle w:val="null5"/>
              <w:jc w:val="left"/>
            </w:pPr>
            <w:r>
              <w:rPr>
                <w:rFonts w:ascii="仿宋_GB2312" w:hAnsi="仿宋_GB2312" w:cs="仿宋_GB2312" w:eastAsia="仿宋_GB2312"/>
              </w:rPr>
              <w:t>驾驶员证件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近两年内在飞行中和农林作业过程中无安全事故以及次生灾害发生书面声明</w:t>
            </w:r>
          </w:p>
        </w:tc>
        <w:tc>
          <w:tcPr>
            <w:tcW w:type="dxa" w:w="3322"/>
          </w:tcPr>
          <w:p>
            <w:pPr>
              <w:pStyle w:val="null5"/>
              <w:jc w:val="left"/>
            </w:pPr>
            <w:r>
              <w:rPr>
                <w:rFonts w:ascii="仿宋_GB2312" w:hAnsi="仿宋_GB2312" w:cs="仿宋_GB2312" w:eastAsia="仿宋_GB2312"/>
              </w:rPr>
              <w:t>供应商近两年内在飞行中和农林作业过程中无安全事故以及次生灾害发生，以国内媒体及相关部门报道或因此产生的法律诉讼为准，提供书面声明（加盖供应商电子公章，格式后附）</w:t>
            </w:r>
          </w:p>
        </w:tc>
        <w:tc>
          <w:tcPr>
            <w:tcW w:type="dxa" w:w="1661"/>
          </w:tcPr>
          <w:p>
            <w:pPr>
              <w:pStyle w:val="null5"/>
              <w:jc w:val="left"/>
            </w:pPr>
            <w:r>
              <w:rPr>
                <w:rFonts w:ascii="仿宋_GB2312" w:hAnsi="仿宋_GB2312" w:cs="仿宋_GB2312" w:eastAsia="仿宋_GB2312"/>
              </w:rPr>
              <w:t>近两年内在飞行中和农林作业过程中无安全事故以及次生灾害发生的书面声明</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响应文件签署、盖章</w:t>
            </w:r>
          </w:p>
        </w:tc>
        <w:tc>
          <w:tcPr>
            <w:tcW w:type="dxa" w:w="3322"/>
          </w:tcPr>
          <w:p>
            <w:pPr>
              <w:pStyle w:val="null5"/>
              <w:jc w:val="left"/>
            </w:pPr>
            <w:r>
              <w:rPr>
                <w:rFonts w:ascii="仿宋_GB2312" w:hAnsi="仿宋_GB2312" w:cs="仿宋_GB2312" w:eastAsia="仿宋_GB2312"/>
              </w:rPr>
              <w:t>须符合磋商文件规定要求签署、盖章的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不得超出项目预算或最高限价的</w:t>
            </w:r>
          </w:p>
        </w:tc>
        <w:tc>
          <w:tcPr>
            <w:tcW w:type="dxa" w:w="1661"/>
          </w:tcPr>
          <w:p>
            <w:pPr>
              <w:pStyle w:val="null5"/>
              <w:jc w:val="left"/>
            </w:pPr>
            <w:r>
              <w:rPr>
                <w:rFonts w:ascii="仿宋_GB2312" w:hAnsi="仿宋_GB2312" w:cs="仿宋_GB2312" w:eastAsia="仿宋_GB2312"/>
              </w:rPr>
              <w:t>开标一览表附表、开标（报价）一览表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报价明细表要求</w:t>
            </w:r>
          </w:p>
        </w:tc>
        <w:tc>
          <w:tcPr>
            <w:tcW w:type="dxa" w:w="3322"/>
          </w:tcPr>
          <w:p>
            <w:pPr>
              <w:pStyle w:val="null5"/>
              <w:jc w:val="left"/>
            </w:pPr>
            <w:r>
              <w:rPr>
                <w:rFonts w:ascii="仿宋_GB2312" w:hAnsi="仿宋_GB2312" w:cs="仿宋_GB2312" w:eastAsia="仿宋_GB2312"/>
              </w:rPr>
              <w:t>报价明细表须按要求填写</w:t>
            </w:r>
          </w:p>
        </w:tc>
        <w:tc>
          <w:tcPr>
            <w:tcW w:type="dxa" w:w="1661"/>
          </w:tcPr>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分包要求</w:t>
            </w:r>
          </w:p>
        </w:tc>
        <w:tc>
          <w:tcPr>
            <w:tcW w:type="dxa" w:w="3322"/>
          </w:tcPr>
          <w:p>
            <w:pPr>
              <w:pStyle w:val="null5"/>
              <w:jc w:val="left"/>
            </w:pPr>
            <w:r>
              <w:rPr>
                <w:rFonts w:ascii="仿宋_GB2312" w:hAnsi="仿宋_GB2312" w:cs="仿宋_GB2312" w:eastAsia="仿宋_GB2312"/>
              </w:rPr>
              <w:t>符合磋商文件中有关分包规定的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无串通投标，或者依法被视为串通投标情形的</w:t>
            </w:r>
          </w:p>
        </w:tc>
        <w:tc>
          <w:tcPr>
            <w:tcW w:type="dxa" w:w="1661"/>
          </w:tcPr>
          <w:p>
            <w:pPr>
              <w:pStyle w:val="null5"/>
              <w:jc w:val="left"/>
            </w:pPr>
            <w:r>
              <w:rPr>
                <w:rFonts w:ascii="仿宋_GB2312" w:hAnsi="仿宋_GB2312" w:cs="仿宋_GB2312" w:eastAsia="仿宋_GB2312"/>
              </w:rPr>
              <w:t>自觉抵制政府采购领域商业贿赂行为承诺书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响应文件不含采购人不能接受的附加条件的</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响应有效期</w:t>
            </w:r>
          </w:p>
        </w:tc>
        <w:tc>
          <w:tcPr>
            <w:tcW w:type="dxa" w:w="3322"/>
          </w:tcPr>
          <w:p>
            <w:pPr>
              <w:pStyle w:val="null5"/>
              <w:jc w:val="left"/>
            </w:pPr>
            <w:r>
              <w:rPr>
                <w:rFonts w:ascii="仿宋_GB2312" w:hAnsi="仿宋_GB2312" w:cs="仿宋_GB2312" w:eastAsia="仿宋_GB2312"/>
              </w:rPr>
              <w:t>响应有效期须满足供应商须知附表</w:t>
            </w:r>
          </w:p>
        </w:tc>
        <w:tc>
          <w:tcPr>
            <w:tcW w:type="dxa" w:w="1661"/>
          </w:tcPr>
          <w:p>
            <w:pPr>
              <w:pStyle w:val="null5"/>
              <w:jc w:val="left"/>
            </w:pPr>
            <w:r>
              <w:rPr>
                <w:rFonts w:ascii="仿宋_GB2312" w:hAnsi="仿宋_GB2312" w:cs="仿宋_GB2312" w:eastAsia="仿宋_GB2312"/>
              </w:rPr>
              <w:t>响应书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无环保类行政处罚记录声明函、自觉抵制政府采购领域商业贿赂行为承诺书、封面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技术部分70.00分</w:t>
            </w:r>
          </w:p>
          <w:p>
            <w:pPr>
              <w:pStyle w:val="null5"/>
            </w:pPr>
            <w:r>
              <w:rPr>
                <w:rFonts w:ascii="仿宋_GB2312" w:hAnsi="仿宋_GB2312" w:cs="仿宋_GB2312" w:eastAsia="仿宋_GB2312"/>
              </w:rPr>
              <w:t>商务部分15.00分</w:t>
            </w:r>
          </w:p>
          <w:p>
            <w:pPr>
              <w:pStyle w:val="null5"/>
            </w:pPr>
            <w:r>
              <w:rPr>
                <w:rFonts w:ascii="仿宋_GB2312" w:hAnsi="仿宋_GB2312" w:cs="仿宋_GB2312" w:eastAsia="仿宋_GB2312"/>
              </w:rPr>
              <w:t>报价得分15.00分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项目综合认识</w:t>
            </w:r>
          </w:p>
        </w:tc>
        <w:tc>
          <w:tcPr>
            <w:tcW w:type="dxa" w:w="2575"/>
          </w:tcPr>
          <w:p>
            <w:pPr>
              <w:pStyle w:val="null5"/>
            </w:pPr>
            <w:r>
              <w:rPr>
                <w:rFonts w:ascii="仿宋_GB2312" w:hAnsi="仿宋_GB2312" w:cs="仿宋_GB2312" w:eastAsia="仿宋_GB2312"/>
              </w:rPr>
              <w:t>根据供应商针对本项目①整体的认识及表述②措施③服务段划分④重点难点分析情况进行综合评审，每一项在0-3分之间打分，最高得12分。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项目综合认识</w:t>
            </w:r>
          </w:p>
          <w:p>
            <w:pPr>
              <w:pStyle w:val="null5"/>
            </w:pPr>
            <w:r>
              <w:rPr>
                <w:rFonts w:ascii="仿宋_GB2312" w:hAnsi="仿宋_GB2312" w:cs="仿宋_GB2312" w:eastAsia="仿宋_GB2312"/>
              </w:rPr>
              <w:t>技术条款偏离表</w:t>
            </w:r>
          </w:p>
        </w:tc>
      </w:tr>
      <w:tr>
        <w:tc>
          <w:tcPr>
            <w:tcW w:type="dxa" w:w="831"/>
            <w:vMerge/>
          </w:tcPr>
          <w:p/>
        </w:tc>
        <w:tc>
          <w:tcPr>
            <w:tcW w:type="dxa" w:w="1661"/>
          </w:tcPr>
          <w:p>
            <w:pPr>
              <w:pStyle w:val="null5"/>
            </w:pPr>
            <w:r>
              <w:rPr>
                <w:rFonts w:ascii="仿宋_GB2312" w:hAnsi="仿宋_GB2312" w:cs="仿宋_GB2312" w:eastAsia="仿宋_GB2312"/>
              </w:rPr>
              <w:t>实施方案</w:t>
            </w:r>
          </w:p>
        </w:tc>
        <w:tc>
          <w:tcPr>
            <w:tcW w:type="dxa" w:w="2575"/>
          </w:tcPr>
          <w:p>
            <w:pPr>
              <w:pStyle w:val="null5"/>
            </w:pPr>
            <w:r>
              <w:rPr>
                <w:rFonts w:ascii="仿宋_GB2312" w:hAnsi="仿宋_GB2312" w:cs="仿宋_GB2312" w:eastAsia="仿宋_GB2312"/>
              </w:rPr>
              <w:t>1、根据供应商针对本次飞防前后所做的①虫情监测②飞防时间安排计划③进度保证措施进行综合评审，每一项在0-2分之间打分，最高得6分。2、根据供应商针对本次招标所做出的①施药方案②安全保障措施进行综合评审，每一项在0-2分之间打分，最高得4分。3、根据供应商针对本次招标所做出的飞防路线规划，以及根据飞防的速度和高度确定有效飞防时间，能否科学的安排进行综合评审由评委在0-3分之间打分，本项缺失不得分。4、根据供应商针对本次招标所做出的①效果预测②环境保护措施进行综合评审，每一项在0-2分之间打分，最高得4分。5、根据供应商针对本次招标所做出的实施方案中是否认真细致完成现场踏查、知悉乐陵市地形地貌、飞防规避区等因素，在确保飞防安全的基础上，保证飞防效果（规避区周围），进行综合评审由评委在0-3分之间打分，本项缺失不得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实施方案</w:t>
            </w:r>
          </w:p>
        </w:tc>
      </w:tr>
      <w:tr>
        <w:tc>
          <w:tcPr>
            <w:tcW w:type="dxa" w:w="831"/>
            <w:vMerge/>
          </w:tcPr>
          <w:p/>
        </w:tc>
        <w:tc>
          <w:tcPr>
            <w:tcW w:type="dxa" w:w="1661"/>
          </w:tcPr>
          <w:p>
            <w:pPr>
              <w:pStyle w:val="null5"/>
            </w:pPr>
            <w:r>
              <w:rPr>
                <w:rFonts w:ascii="仿宋_GB2312" w:hAnsi="仿宋_GB2312" w:cs="仿宋_GB2312" w:eastAsia="仿宋_GB2312"/>
              </w:rPr>
              <w:t>防控设备</w:t>
            </w:r>
          </w:p>
        </w:tc>
        <w:tc>
          <w:tcPr>
            <w:tcW w:type="dxa" w:w="2575"/>
          </w:tcPr>
          <w:p>
            <w:pPr>
              <w:pStyle w:val="null5"/>
            </w:pPr>
            <w:r>
              <w:rPr>
                <w:rFonts w:ascii="仿宋_GB2312" w:hAnsi="仿宋_GB2312" w:cs="仿宋_GB2312" w:eastAsia="仿宋_GB2312"/>
              </w:rPr>
              <w:t>根据供应商针对本项目所做出的①相关机型选择方案②飞机喷洒设备的先进性、安全性能③喷洒设备的环保措施等进行综合评审，每一项在0-2分之间打分，最高得6分。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防控设备</w:t>
            </w:r>
          </w:p>
        </w:tc>
      </w:tr>
      <w:tr>
        <w:tc>
          <w:tcPr>
            <w:tcW w:type="dxa" w:w="831"/>
            <w:vMerge/>
          </w:tcPr>
          <w:p/>
        </w:tc>
        <w:tc>
          <w:tcPr>
            <w:tcW w:type="dxa" w:w="1661"/>
          </w:tcPr>
          <w:p>
            <w:pPr>
              <w:pStyle w:val="null5"/>
            </w:pPr>
            <w:r>
              <w:rPr>
                <w:rFonts w:ascii="仿宋_GB2312" w:hAnsi="仿宋_GB2312" w:cs="仿宋_GB2312" w:eastAsia="仿宋_GB2312"/>
              </w:rPr>
              <w:t>项目使用农药情况</w:t>
            </w:r>
          </w:p>
        </w:tc>
        <w:tc>
          <w:tcPr>
            <w:tcW w:type="dxa" w:w="2575"/>
          </w:tcPr>
          <w:p>
            <w:pPr>
              <w:pStyle w:val="null5"/>
            </w:pPr>
            <w:r>
              <w:rPr>
                <w:rFonts w:ascii="仿宋_GB2312" w:hAnsi="仿宋_GB2312" w:cs="仿宋_GB2312" w:eastAsia="仿宋_GB2312"/>
              </w:rPr>
              <w:t>1、根据供应商使用的①农药药剂及沉降剂品类②农药登记证登记作物③农药登记证登记防治对象等进行综合评审，每一项在0-2分之间打分，最高得6分。2、根据不同的虫龄防治时期采用的①农药配方②农药每亩用药量等进行综合评审，每一项在0-2分之间打分，最高得4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项目使用农药情况</w:t>
            </w:r>
          </w:p>
        </w:tc>
      </w:tr>
      <w:tr>
        <w:tc>
          <w:tcPr>
            <w:tcW w:type="dxa" w:w="831"/>
            <w:vMerge/>
          </w:tcPr>
          <w:p/>
        </w:tc>
        <w:tc>
          <w:tcPr>
            <w:tcW w:type="dxa" w:w="1661"/>
          </w:tcPr>
          <w:p>
            <w:pPr>
              <w:pStyle w:val="null5"/>
            </w:pPr>
            <w:r>
              <w:rPr>
                <w:rFonts w:ascii="仿宋_GB2312" w:hAnsi="仿宋_GB2312" w:cs="仿宋_GB2312" w:eastAsia="仿宋_GB2312"/>
              </w:rPr>
              <w:t>质量保证措施</w:t>
            </w:r>
          </w:p>
        </w:tc>
        <w:tc>
          <w:tcPr>
            <w:tcW w:type="dxa" w:w="2575"/>
          </w:tcPr>
          <w:p>
            <w:pPr>
              <w:pStyle w:val="null5"/>
            </w:pPr>
            <w:r>
              <w:rPr>
                <w:rFonts w:ascii="仿宋_GB2312" w:hAnsi="仿宋_GB2312" w:cs="仿宋_GB2312" w:eastAsia="仿宋_GB2312"/>
              </w:rPr>
              <w:t>供应商针对可能存在的飞防不合格区域，制定补防方案。根据补防方案的可行性、可靠度等进行综合评审由评委在0-3分之间打分，本项缺失不得分。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质量保证措施</w:t>
            </w:r>
          </w:p>
        </w:tc>
      </w:tr>
      <w:tr>
        <w:tc>
          <w:tcPr>
            <w:tcW w:type="dxa" w:w="831"/>
            <w:vMerge/>
          </w:tcPr>
          <w:p/>
        </w:tc>
        <w:tc>
          <w:tcPr>
            <w:tcW w:type="dxa" w:w="1661"/>
          </w:tcPr>
          <w:p>
            <w:pPr>
              <w:pStyle w:val="null5"/>
            </w:pPr>
            <w:r>
              <w:rPr>
                <w:rFonts w:ascii="仿宋_GB2312" w:hAnsi="仿宋_GB2312" w:cs="仿宋_GB2312" w:eastAsia="仿宋_GB2312"/>
              </w:rPr>
              <w:t>应急处理</w:t>
            </w:r>
          </w:p>
        </w:tc>
        <w:tc>
          <w:tcPr>
            <w:tcW w:type="dxa" w:w="2575"/>
          </w:tcPr>
          <w:p>
            <w:pPr>
              <w:pStyle w:val="null5"/>
            </w:pPr>
            <w:r>
              <w:rPr>
                <w:rFonts w:ascii="仿宋_GB2312" w:hAnsi="仿宋_GB2312" w:cs="仿宋_GB2312" w:eastAsia="仿宋_GB2312"/>
              </w:rPr>
              <w:t>根据供应商对飞防过程中可能发生的突发事件是否制定应急预案、应急预案完备情况等进行综合评审由评委在0-3分之间打分，本项缺失不得分。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w:t>
            </w:r>
          </w:p>
        </w:tc>
      </w:tr>
      <w:tr>
        <w:tc>
          <w:tcPr>
            <w:tcW w:type="dxa" w:w="831"/>
            <w:vMerge/>
          </w:tcPr>
          <w:p/>
        </w:tc>
        <w:tc>
          <w:tcPr>
            <w:tcW w:type="dxa" w:w="1661"/>
          </w:tcPr>
          <w:p>
            <w:pPr>
              <w:pStyle w:val="null5"/>
            </w:pPr>
            <w:r>
              <w:rPr>
                <w:rFonts w:ascii="仿宋_GB2312" w:hAnsi="仿宋_GB2312" w:cs="仿宋_GB2312" w:eastAsia="仿宋_GB2312"/>
              </w:rPr>
              <w:t>服务人员安排</w:t>
            </w:r>
          </w:p>
        </w:tc>
        <w:tc>
          <w:tcPr>
            <w:tcW w:type="dxa" w:w="2575"/>
          </w:tcPr>
          <w:p>
            <w:pPr>
              <w:pStyle w:val="null5"/>
            </w:pPr>
            <w:r>
              <w:rPr>
                <w:rFonts w:ascii="仿宋_GB2312" w:hAnsi="仿宋_GB2312" w:cs="仿宋_GB2312" w:eastAsia="仿宋_GB2312"/>
              </w:rPr>
              <w:t>1、根据供应商针对本项目的①人员数量②从事该专业的年限、经验、能力等进行综合评审，每一项在0-3分之间打分，最高得6分。2、根据本项目人员的①岗位安排合理性②团队整体综合实力等人员配备情况等进行综合评审，每一项在0-3分之间打分，最高得6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服务人员安排</w:t>
            </w:r>
          </w:p>
        </w:tc>
      </w:tr>
      <w:tr>
        <w:tc>
          <w:tcPr>
            <w:tcW w:type="dxa" w:w="831"/>
            <w:vMerge/>
          </w:tcPr>
          <w:p/>
        </w:tc>
        <w:tc>
          <w:tcPr>
            <w:tcW w:type="dxa" w:w="1661"/>
          </w:tcPr>
          <w:p>
            <w:pPr>
              <w:pStyle w:val="null5"/>
            </w:pPr>
            <w:r>
              <w:rPr>
                <w:rFonts w:ascii="仿宋_GB2312" w:hAnsi="仿宋_GB2312" w:cs="仿宋_GB2312" w:eastAsia="仿宋_GB2312"/>
              </w:rPr>
              <w:t>服务承诺</w:t>
            </w:r>
          </w:p>
        </w:tc>
        <w:tc>
          <w:tcPr>
            <w:tcW w:type="dxa" w:w="2575"/>
          </w:tcPr>
          <w:p>
            <w:pPr>
              <w:pStyle w:val="null5"/>
            </w:pPr>
            <w:r>
              <w:rPr>
                <w:rFonts w:ascii="仿宋_GB2312" w:hAnsi="仿宋_GB2312" w:cs="仿宋_GB2312" w:eastAsia="仿宋_GB2312"/>
              </w:rPr>
              <w:t>根据供应商针对本项目所做出的①是否按计划完成飞防任务②保证飞防效果质量内容是否完整、可行等进行综合评审，每一项在0-2分之间打分，最高得4分。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服务承诺</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01月01日起至今（以合同签订时间为准），承接的类似项目业绩，每提供一个得2分，本项最高得6分。注：1、类似项目指：林业病虫害防治项目。2、供应商须将上述业绩合同原件扫描件加盖供应商电子公章放入响应文件中，否则不予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w:t>
            </w:r>
          </w:p>
          <w:p>
            <w:pPr>
              <w:pStyle w:val="null5"/>
            </w:pPr>
            <w:r>
              <w:rPr>
                <w:rFonts w:ascii="仿宋_GB2312" w:hAnsi="仿宋_GB2312" w:cs="仿宋_GB2312" w:eastAsia="仿宋_GB2312"/>
              </w:rPr>
              <w:t>商务部分其他证明材料</w:t>
            </w:r>
          </w:p>
          <w:p>
            <w:pPr>
              <w:pStyle w:val="null5"/>
            </w:pPr>
            <w:r>
              <w:rPr>
                <w:rFonts w:ascii="仿宋_GB2312" w:hAnsi="仿宋_GB2312" w:cs="仿宋_GB2312" w:eastAsia="仿宋_GB2312"/>
              </w:rPr>
              <w:t>商务条款偏离表</w:t>
            </w:r>
          </w:p>
        </w:tc>
      </w:tr>
      <w:tr>
        <w:tc>
          <w:tcPr>
            <w:tcW w:type="dxa" w:w="831"/>
            <w:vMerge/>
          </w:tcPr>
          <w:p/>
        </w:tc>
        <w:tc>
          <w:tcPr>
            <w:tcW w:type="dxa" w:w="1661"/>
          </w:tcPr>
          <w:p>
            <w:pPr>
              <w:pStyle w:val="null5"/>
            </w:pPr>
            <w:r>
              <w:rPr>
                <w:rFonts w:ascii="仿宋_GB2312" w:hAnsi="仿宋_GB2312" w:cs="仿宋_GB2312" w:eastAsia="仿宋_GB2312"/>
              </w:rPr>
              <w:t>项目人员配备</w:t>
            </w:r>
          </w:p>
        </w:tc>
        <w:tc>
          <w:tcPr>
            <w:tcW w:type="dxa" w:w="2575"/>
          </w:tcPr>
          <w:p>
            <w:pPr>
              <w:pStyle w:val="null5"/>
            </w:pPr>
            <w:r>
              <w:rPr>
                <w:rFonts w:ascii="仿宋_GB2312" w:hAnsi="仿宋_GB2312" w:cs="仿宋_GB2312" w:eastAsia="仿宋_GB2312"/>
              </w:rPr>
              <w:t>供应商拟派驾驶人员驾龄必须在3年及以上，在此基础上，驾龄每增加1年得1分，本项最高得4分。以驾驶员本人有效期内的民用航空器驾驶员执照为准。注：供应商须提供项目服务人员配备表，并将加分人员上述证书原件扫描件加盖供应商电子公章放入响应文件中，否则不予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项目人员配备</w:t>
            </w:r>
          </w:p>
        </w:tc>
      </w:tr>
      <w:tr>
        <w:tc>
          <w:tcPr>
            <w:tcW w:type="dxa" w:w="831"/>
            <w:vMerge/>
          </w:tcPr>
          <w:p/>
        </w:tc>
        <w:tc>
          <w:tcPr>
            <w:tcW w:type="dxa" w:w="1661"/>
          </w:tcPr>
          <w:p>
            <w:pPr>
              <w:pStyle w:val="null5"/>
            </w:pPr>
            <w:r>
              <w:rPr>
                <w:rFonts w:ascii="仿宋_GB2312" w:hAnsi="仿宋_GB2312" w:cs="仿宋_GB2312" w:eastAsia="仿宋_GB2312"/>
              </w:rPr>
              <w:t>拟投入直升机情况</w:t>
            </w:r>
          </w:p>
        </w:tc>
        <w:tc>
          <w:tcPr>
            <w:tcW w:type="dxa" w:w="2575"/>
          </w:tcPr>
          <w:p>
            <w:pPr>
              <w:pStyle w:val="null5"/>
            </w:pPr>
            <w:r>
              <w:rPr>
                <w:rFonts w:ascii="仿宋_GB2312" w:hAnsi="仿宋_GB2312" w:cs="仿宋_GB2312" w:eastAsia="仿宋_GB2312"/>
              </w:rPr>
              <w:t>1、供应商具有适合避让区周边及风力发电设备区域飞行的无人机一架及以上的得1分。本项计分以无人机购置发票原件扫描件或租赁合同原件扫描件、民航局颁发的民用无人驾驶航空器经营许可证（经营许可证的经营范围为航空喷洒）为准。2、供应商拟投入的直升机，单架次携药量在800公斤及以上的得2分，本项最多得4分。本项须提供拟投入飞机的适航证、国籍登记证、电台执照（飞机型号及数量以加入公司运行规范为准）。注：供应商须将上述证书及相关证明材料原件扫描件加盖供应商电子公章放入响应文件中，否则不予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拟投入直升机情况</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乐陵市林业局乐陵市2026年以杨小舟蛾为主的林业有害生物防治项目响应报价低于全部通过符合性审查供应商响应报价平均值65%的，即乐陵市林业局乐陵市2026年以杨小舟蛾为主的林业有害生物防治项目响应报价&lt;全部通过符合性审查供应商响应报价平均值×65%。 （2）乐陵市林业局乐陵市2026年以杨小舟蛾为主的林业有害生物防治项目响应报价低于通过符合性审查且报价次低供应商响应报价65%的，即乐陵市林业局乐陵市2026年以杨小舟蛾为主的林业有害生物防治项目响应报价&lt;通过符合性审查且报价次低供应商响应报价×65%。 （3）乐陵市林业局乐陵市2026年以杨小舟蛾为主的林业有害生物防治项目响应报价低于最高限价65%的，即乐陵市林业局乐陵市2026年以杨小舟蛾为主的林业有害生物防治项目响应报价&lt;最高限价×65%。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投标报价</w:t>
            </w:r>
          </w:p>
        </w:tc>
        <w:tc>
          <w:tcPr>
            <w:tcW w:type="dxa" w:w="2575"/>
          </w:tcPr>
          <w:p>
            <w:pPr>
              <w:pStyle w:val="null5"/>
            </w:pPr>
            <w:r>
              <w:rPr>
                <w:rFonts w:ascii="仿宋_GB2312" w:hAnsi="仿宋_GB2312" w:cs="仿宋_GB2312" w:eastAsia="仿宋_GB2312"/>
              </w:rPr>
              <w:t>满足招标文件要求且投标报价数值最低的为评标基准价，其报价得分为满分15分，其他供应商的投标报价得分，统一按照下列公式计算：投标报价得分=（评价基准价/投标报价）×15×100%。</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乐陵市林业局乐陵市2026年以杨小舟蛾为主的林业有害生物防治项目响应报价低于全部通过符合性审查供应商响应报价平均值65%的，即乐陵市林业局乐陵市2026年以杨小舟蛾为主的林业有害生物防治项目响应报价&lt;全部通过符合性审查供应商响应报价平均值×65%。</w:t>
              <w:br/>
              <w:t>（2）乐陵市林业局乐陵市2026年以杨小舟蛾为主的林业有害生物防治项目响应报价低于通过符合性审查且报价次低供应商响应报价65%的，即乐陵市林业局乐陵市2026年以杨小舟蛾为主的林业有害生物防治项目响应报价&lt;通过符合性审查且报价次低供应商响应报价×65%。</w:t>
              <w:br/>
              <w:t>（3）乐陵市林业局乐陵市2026年以杨小舟蛾为主的林业有害生物防治项目响应报价低于最高限价65%的，即乐陵市林业局乐陵市2026年以杨小舟蛾为主的林业有害生物防治项目响应报价&lt;最高限价×65%。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采购单位应在政府采购招投标管理办法规定的时限内确定中标人。</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详见附件：无环保类行政处罚记录声明函</w:t>
      </w:r>
    </w:p>
    <w:p>
      <w:pPr>
        <w:pStyle w:val="null5"/>
        <w:ind w:firstLine="960"/>
        <w:jc w:val="left"/>
      </w:pPr>
      <w:r>
        <w:rPr>
          <w:rFonts w:ascii="仿宋_GB2312" w:hAnsi="仿宋_GB2312" w:cs="仿宋_GB2312" w:eastAsia="仿宋_GB2312"/>
        </w:rPr>
        <w:t>详见附件：营业执照</w:t>
      </w:r>
    </w:p>
    <w:p>
      <w:pPr>
        <w:pStyle w:val="null5"/>
        <w:ind w:firstLine="960"/>
        <w:jc w:val="left"/>
      </w:pPr>
      <w:r>
        <w:rPr>
          <w:rFonts w:ascii="仿宋_GB2312" w:hAnsi="仿宋_GB2312" w:cs="仿宋_GB2312" w:eastAsia="仿宋_GB2312"/>
        </w:rPr>
        <w:t>详见附件：法定代表人身份证明或法定代表人授权委托书</w:t>
      </w:r>
    </w:p>
    <w:p>
      <w:pPr>
        <w:pStyle w:val="null5"/>
        <w:ind w:firstLine="960"/>
        <w:jc w:val="left"/>
      </w:pPr>
      <w:r>
        <w:rPr>
          <w:rFonts w:ascii="仿宋_GB2312" w:hAnsi="仿宋_GB2312" w:cs="仿宋_GB2312" w:eastAsia="仿宋_GB2312"/>
        </w:rPr>
        <w:t>详见附件：参加政府采购活动前3年内在经营活动中没有重大违法记录的书面声明</w:t>
      </w:r>
    </w:p>
    <w:p>
      <w:pPr>
        <w:pStyle w:val="null5"/>
        <w:ind w:firstLine="960"/>
        <w:jc w:val="left"/>
      </w:pPr>
      <w:r>
        <w:rPr>
          <w:rFonts w:ascii="仿宋_GB2312" w:hAnsi="仿宋_GB2312" w:cs="仿宋_GB2312" w:eastAsia="仿宋_GB2312"/>
        </w:rPr>
        <w:t>详见附件：财务状况报告</w:t>
      </w:r>
    </w:p>
    <w:p>
      <w:pPr>
        <w:pStyle w:val="null5"/>
        <w:ind w:firstLine="960"/>
        <w:jc w:val="left"/>
      </w:pPr>
      <w:r>
        <w:rPr>
          <w:rFonts w:ascii="仿宋_GB2312" w:hAnsi="仿宋_GB2312" w:cs="仿宋_GB2312" w:eastAsia="仿宋_GB2312"/>
        </w:rPr>
        <w:t>详见附件：纳税和社保证明</w:t>
      </w:r>
    </w:p>
    <w:p>
      <w:pPr>
        <w:pStyle w:val="null5"/>
        <w:ind w:firstLine="960"/>
        <w:jc w:val="left"/>
      </w:pPr>
      <w:r>
        <w:rPr>
          <w:rFonts w:ascii="仿宋_GB2312" w:hAnsi="仿宋_GB2312" w:cs="仿宋_GB2312" w:eastAsia="仿宋_GB2312"/>
        </w:rPr>
        <w:t>详见附件：具备履行合同所必需的设备和专业技术能力承诺书</w:t>
      </w:r>
    </w:p>
    <w:p>
      <w:pPr>
        <w:pStyle w:val="null5"/>
        <w:ind w:firstLine="960"/>
        <w:jc w:val="left"/>
      </w:pPr>
      <w:r>
        <w:rPr>
          <w:rFonts w:ascii="仿宋_GB2312" w:hAnsi="仿宋_GB2312" w:cs="仿宋_GB2312" w:eastAsia="仿宋_GB2312"/>
        </w:rPr>
        <w:t>详见附件：信用查询</w:t>
      </w:r>
    </w:p>
    <w:p>
      <w:pPr>
        <w:pStyle w:val="null5"/>
        <w:ind w:firstLine="960"/>
        <w:jc w:val="left"/>
      </w:pPr>
      <w:r>
        <w:rPr>
          <w:rFonts w:ascii="仿宋_GB2312" w:hAnsi="仿宋_GB2312" w:cs="仿宋_GB2312" w:eastAsia="仿宋_GB2312"/>
        </w:rPr>
        <w:t>详见附件：直升机证件</w:t>
      </w:r>
    </w:p>
    <w:p>
      <w:pPr>
        <w:pStyle w:val="null5"/>
        <w:ind w:firstLine="960"/>
        <w:jc w:val="left"/>
      </w:pPr>
      <w:r>
        <w:rPr>
          <w:rFonts w:ascii="仿宋_GB2312" w:hAnsi="仿宋_GB2312" w:cs="仿宋_GB2312" w:eastAsia="仿宋_GB2312"/>
        </w:rPr>
        <w:t>详见附件：药品证件</w:t>
      </w:r>
    </w:p>
    <w:p>
      <w:pPr>
        <w:pStyle w:val="null5"/>
        <w:ind w:firstLine="960"/>
        <w:jc w:val="left"/>
      </w:pPr>
      <w:r>
        <w:rPr>
          <w:rFonts w:ascii="仿宋_GB2312" w:hAnsi="仿宋_GB2312" w:cs="仿宋_GB2312" w:eastAsia="仿宋_GB2312"/>
        </w:rPr>
        <w:t>详见附件：驾驶员证件</w:t>
      </w:r>
    </w:p>
    <w:p>
      <w:pPr>
        <w:pStyle w:val="null5"/>
        <w:ind w:firstLine="960"/>
        <w:jc w:val="left"/>
      </w:pPr>
      <w:r>
        <w:rPr>
          <w:rFonts w:ascii="仿宋_GB2312" w:hAnsi="仿宋_GB2312" w:cs="仿宋_GB2312" w:eastAsia="仿宋_GB2312"/>
        </w:rPr>
        <w:t>详见附件：近两年内在飞行中和农林作业过程中无安全事故以及次生灾害发生的书面声明</w:t>
      </w:r>
    </w:p>
    <w:p>
      <w:pPr>
        <w:pStyle w:val="null5"/>
        <w:ind w:firstLine="960"/>
        <w:jc w:val="left"/>
      </w:pPr>
      <w:r>
        <w:rPr>
          <w:rFonts w:ascii="仿宋_GB2312" w:hAnsi="仿宋_GB2312" w:cs="仿宋_GB2312" w:eastAsia="仿宋_GB2312"/>
        </w:rPr>
        <w:t>详见附件：落实政府采购政策资格审查</w:t>
      </w:r>
    </w:p>
    <w:p>
      <w:pPr>
        <w:pStyle w:val="null5"/>
        <w:ind w:firstLine="960"/>
        <w:jc w:val="left"/>
      </w:pPr>
      <w:r>
        <w:rPr>
          <w:rFonts w:ascii="仿宋_GB2312" w:hAnsi="仿宋_GB2312" w:cs="仿宋_GB2312" w:eastAsia="仿宋_GB2312"/>
        </w:rPr>
        <w:t>详见附件：技术条款偏离表</w:t>
      </w:r>
    </w:p>
    <w:p>
      <w:pPr>
        <w:pStyle w:val="null5"/>
        <w:ind w:firstLine="960"/>
        <w:jc w:val="left"/>
      </w:pPr>
      <w:r>
        <w:rPr>
          <w:rFonts w:ascii="仿宋_GB2312" w:hAnsi="仿宋_GB2312" w:cs="仿宋_GB2312" w:eastAsia="仿宋_GB2312"/>
        </w:rPr>
        <w:t>详见附件：项目综合认识</w:t>
      </w:r>
    </w:p>
    <w:p>
      <w:pPr>
        <w:pStyle w:val="null5"/>
        <w:ind w:firstLine="960"/>
        <w:jc w:val="left"/>
      </w:pPr>
      <w:r>
        <w:rPr>
          <w:rFonts w:ascii="仿宋_GB2312" w:hAnsi="仿宋_GB2312" w:cs="仿宋_GB2312" w:eastAsia="仿宋_GB2312"/>
        </w:rPr>
        <w:t>详见附件：实施方案</w:t>
      </w:r>
    </w:p>
    <w:p>
      <w:pPr>
        <w:pStyle w:val="null5"/>
        <w:ind w:firstLine="960"/>
        <w:jc w:val="left"/>
      </w:pPr>
      <w:r>
        <w:rPr>
          <w:rFonts w:ascii="仿宋_GB2312" w:hAnsi="仿宋_GB2312" w:cs="仿宋_GB2312" w:eastAsia="仿宋_GB2312"/>
        </w:rPr>
        <w:t>详见附件：防控设备</w:t>
      </w:r>
    </w:p>
    <w:p>
      <w:pPr>
        <w:pStyle w:val="null5"/>
        <w:ind w:firstLine="960"/>
        <w:jc w:val="left"/>
      </w:pPr>
      <w:r>
        <w:rPr>
          <w:rFonts w:ascii="仿宋_GB2312" w:hAnsi="仿宋_GB2312" w:cs="仿宋_GB2312" w:eastAsia="仿宋_GB2312"/>
        </w:rPr>
        <w:t>详见附件：项目使用农药情况</w:t>
      </w:r>
    </w:p>
    <w:p>
      <w:pPr>
        <w:pStyle w:val="null5"/>
        <w:ind w:firstLine="960"/>
        <w:jc w:val="left"/>
      </w:pPr>
      <w:r>
        <w:rPr>
          <w:rFonts w:ascii="仿宋_GB2312" w:hAnsi="仿宋_GB2312" w:cs="仿宋_GB2312" w:eastAsia="仿宋_GB2312"/>
        </w:rPr>
        <w:t>详见附件：质量保证措施</w:t>
      </w:r>
    </w:p>
    <w:p>
      <w:pPr>
        <w:pStyle w:val="null5"/>
        <w:ind w:firstLine="960"/>
        <w:jc w:val="left"/>
      </w:pPr>
      <w:r>
        <w:rPr>
          <w:rFonts w:ascii="仿宋_GB2312" w:hAnsi="仿宋_GB2312" w:cs="仿宋_GB2312" w:eastAsia="仿宋_GB2312"/>
        </w:rPr>
        <w:t>详见附件：应急处理</w:t>
      </w:r>
    </w:p>
    <w:p>
      <w:pPr>
        <w:pStyle w:val="null5"/>
        <w:ind w:firstLine="960"/>
        <w:jc w:val="left"/>
      </w:pPr>
      <w:r>
        <w:rPr>
          <w:rFonts w:ascii="仿宋_GB2312" w:hAnsi="仿宋_GB2312" w:cs="仿宋_GB2312" w:eastAsia="仿宋_GB2312"/>
        </w:rPr>
        <w:t>详见附件：服务人员安排</w:t>
      </w:r>
    </w:p>
    <w:p>
      <w:pPr>
        <w:pStyle w:val="null5"/>
        <w:ind w:firstLine="960"/>
        <w:jc w:val="left"/>
      </w:pPr>
      <w:r>
        <w:rPr>
          <w:rFonts w:ascii="仿宋_GB2312" w:hAnsi="仿宋_GB2312" w:cs="仿宋_GB2312" w:eastAsia="仿宋_GB2312"/>
        </w:rPr>
        <w:t>详见附件：服务承诺</w:t>
      </w:r>
    </w:p>
    <w:p>
      <w:pPr>
        <w:pStyle w:val="null5"/>
        <w:ind w:firstLine="960"/>
        <w:jc w:val="left"/>
      </w:pPr>
      <w:r>
        <w:rPr>
          <w:rFonts w:ascii="仿宋_GB2312" w:hAnsi="仿宋_GB2312" w:cs="仿宋_GB2312" w:eastAsia="仿宋_GB2312"/>
        </w:rPr>
        <w:t>详见附件：响应书</w:t>
      </w:r>
    </w:p>
    <w:p>
      <w:pPr>
        <w:pStyle w:val="null5"/>
        <w:ind w:firstLine="960"/>
        <w:jc w:val="left"/>
      </w:pPr>
      <w:r>
        <w:rPr>
          <w:rFonts w:ascii="仿宋_GB2312" w:hAnsi="仿宋_GB2312" w:cs="仿宋_GB2312" w:eastAsia="仿宋_GB2312"/>
        </w:rPr>
        <w:t>详见附件：商务条款偏离表</w:t>
      </w:r>
    </w:p>
    <w:p>
      <w:pPr>
        <w:pStyle w:val="null5"/>
        <w:ind w:firstLine="960"/>
        <w:jc w:val="left"/>
      </w:pPr>
      <w:r>
        <w:rPr>
          <w:rFonts w:ascii="仿宋_GB2312" w:hAnsi="仿宋_GB2312" w:cs="仿宋_GB2312" w:eastAsia="仿宋_GB2312"/>
        </w:rPr>
        <w:t>详见附件：业绩</w:t>
      </w:r>
    </w:p>
    <w:p>
      <w:pPr>
        <w:pStyle w:val="null5"/>
        <w:ind w:firstLine="960"/>
        <w:jc w:val="left"/>
      </w:pPr>
      <w:r>
        <w:rPr>
          <w:rFonts w:ascii="仿宋_GB2312" w:hAnsi="仿宋_GB2312" w:cs="仿宋_GB2312" w:eastAsia="仿宋_GB2312"/>
        </w:rPr>
        <w:t>详见附件：项目人员配备</w:t>
      </w:r>
    </w:p>
    <w:p>
      <w:pPr>
        <w:pStyle w:val="null5"/>
        <w:ind w:firstLine="960"/>
        <w:jc w:val="left"/>
      </w:pPr>
      <w:r>
        <w:rPr>
          <w:rFonts w:ascii="仿宋_GB2312" w:hAnsi="仿宋_GB2312" w:cs="仿宋_GB2312" w:eastAsia="仿宋_GB2312"/>
        </w:rPr>
        <w:t>详见附件：拟投入直升机情况</w:t>
      </w:r>
    </w:p>
    <w:p>
      <w:pPr>
        <w:pStyle w:val="null5"/>
        <w:ind w:firstLine="960"/>
        <w:jc w:val="left"/>
      </w:pPr>
      <w:r>
        <w:rPr>
          <w:rFonts w:ascii="仿宋_GB2312" w:hAnsi="仿宋_GB2312" w:cs="仿宋_GB2312" w:eastAsia="仿宋_GB2312"/>
        </w:rPr>
        <w:t>详见附件：商务部分其他证明材料</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详见附件：开标一览表附表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