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205CB">
      <w:pPr>
        <w:pStyle w:val="6"/>
        <w:jc w:val="center"/>
        <w:outlineLvl w:val="1"/>
        <w:rPr>
          <w:color w:val="auto"/>
        </w:rPr>
      </w:pPr>
      <w:bookmarkStart w:id="0" w:name="_GoBack"/>
      <w:r>
        <w:rPr>
          <w:rFonts w:ascii="仿宋_GB2312" w:hAnsi="仿宋_GB2312" w:eastAsia="仿宋_GB2312" w:cs="仿宋_GB2312"/>
          <w:b/>
          <w:color w:val="auto"/>
          <w:sz w:val="36"/>
        </w:rPr>
        <w:t>第五章 政府采购合同</w:t>
      </w:r>
    </w:p>
    <w:p w14:paraId="0457F1A6">
      <w:pPr>
        <w:pStyle w:val="6"/>
        <w:jc w:val="center"/>
        <w:outlineLvl w:val="1"/>
        <w:rPr>
          <w:rFonts w:ascii="宋体" w:hAnsi="宋体" w:eastAsia="宋体" w:cs="宋体"/>
          <w:color w:val="auto"/>
        </w:rPr>
      </w:pPr>
    </w:p>
    <w:p w14:paraId="3CDE3011">
      <w:pPr>
        <w:pStyle w:val="6"/>
        <w:jc w:val="center"/>
        <w:rPr>
          <w:rFonts w:ascii="宋体" w:hAnsi="宋体" w:eastAsia="宋体" w:cs="宋体"/>
          <w:color w:val="auto"/>
          <w:lang w:eastAsia="zh-CN"/>
        </w:rPr>
      </w:pPr>
      <w:r>
        <w:rPr>
          <w:rFonts w:ascii="宋体" w:hAnsi="宋体" w:eastAsia="宋体" w:cs="宋体"/>
          <w:color w:val="auto"/>
          <w:sz w:val="21"/>
          <w:szCs w:val="21"/>
          <w:lang w:eastAsia="zh-CN"/>
        </w:rPr>
        <w:t>（本合同仅为合同的参考文本，合同签订双方可根据项目的具体要求进行修订）</w:t>
      </w:r>
    </w:p>
    <w:p w14:paraId="1A812A10">
      <w:pPr>
        <w:rPr>
          <w:color w:val="auto"/>
        </w:rPr>
      </w:pPr>
    </w:p>
    <w:p w14:paraId="1B43BF59">
      <w:pPr>
        <w:spacing w:before="156" w:beforeLines="50"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甲  方：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</w:p>
    <w:p w14:paraId="7DE46D91">
      <w:pPr>
        <w:spacing w:before="156" w:beforeLines="50"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乙  方：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</w:p>
    <w:p w14:paraId="1B821154">
      <w:pPr>
        <w:spacing w:before="156" w:beforeLines="50"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丙</w:t>
      </w:r>
      <w:r>
        <w:rPr>
          <w:rFonts w:hint="eastAsia"/>
          <w:color w:val="auto"/>
          <w:sz w:val="24"/>
        </w:rPr>
        <w:t xml:space="preserve">  方：</w:t>
      </w:r>
      <w:r>
        <w:rPr>
          <w:rFonts w:hint="eastAsia"/>
          <w:color w:val="auto"/>
          <w:sz w:val="24"/>
          <w:u w:val="single"/>
        </w:rPr>
        <w:t xml:space="preserve">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             </w:t>
      </w:r>
      <w:r>
        <w:rPr>
          <w:rFonts w:hint="eastAsia"/>
          <w:color w:val="auto"/>
          <w:sz w:val="24"/>
          <w:u w:val="single"/>
        </w:rPr>
        <w:t xml:space="preserve">   </w:t>
      </w:r>
    </w:p>
    <w:p w14:paraId="08012C47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甲乙双方根据《中华人民共和国政府采购法》、《中华人民共和国</w:t>
      </w:r>
      <w:r>
        <w:rPr>
          <w:rFonts w:hint="eastAsia"/>
          <w:color w:val="auto"/>
          <w:sz w:val="24"/>
          <w:lang w:val="en-US" w:eastAsia="zh-CN"/>
        </w:rPr>
        <w:t>民法典</w:t>
      </w:r>
      <w:r>
        <w:rPr>
          <w:rFonts w:hint="eastAsia"/>
          <w:color w:val="auto"/>
          <w:sz w:val="24"/>
        </w:rPr>
        <w:t>》和有关法律法规，遵循平等、自愿、公平和诚实信用原则，同意按照下面的条款和条件订立本政府采购合同，共同信守。</w:t>
      </w:r>
    </w:p>
    <w:p w14:paraId="3EFF9ADE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合同内容</w:t>
      </w:r>
    </w:p>
    <w:p w14:paraId="3B903313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1、采购内容：</w:t>
      </w:r>
    </w:p>
    <w:p w14:paraId="2E1AF7F7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2、下列文件为本合同不可分割部分：</w:t>
      </w:r>
    </w:p>
    <w:p w14:paraId="35487EC7">
      <w:pPr>
        <w:spacing w:line="360" w:lineRule="auto"/>
        <w:ind w:firstLine="720" w:firstLineChars="3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① 中标通知书；</w:t>
      </w:r>
    </w:p>
    <w:p w14:paraId="4C63396F">
      <w:pPr>
        <w:spacing w:line="360" w:lineRule="auto"/>
        <w:ind w:firstLine="720" w:firstLineChars="3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② 招标文件；</w:t>
      </w:r>
    </w:p>
    <w:p w14:paraId="0A55344D">
      <w:pPr>
        <w:spacing w:line="360" w:lineRule="auto"/>
        <w:ind w:firstLine="720" w:firstLineChars="3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③ 乙方的投标文件；</w:t>
      </w:r>
    </w:p>
    <w:p w14:paraId="104F3EAD">
      <w:pPr>
        <w:spacing w:line="360" w:lineRule="auto"/>
        <w:ind w:firstLine="720" w:firstLineChars="3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④ 乙方在招投标过程中所作的其它承诺、声明、书面澄清等。</w:t>
      </w:r>
    </w:p>
    <w:p w14:paraId="52A24F61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价款及结算方式</w:t>
      </w:r>
      <w:r>
        <w:rPr>
          <w:rFonts w:hint="eastAsia"/>
          <w:color w:val="auto"/>
          <w:sz w:val="24"/>
        </w:rPr>
        <w:t>：</w:t>
      </w:r>
    </w:p>
    <w:p w14:paraId="0846A5FD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1、合同总价</w:t>
      </w:r>
    </w:p>
    <w:p w14:paraId="31F353DB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合同总价为人民币大写：</w:t>
      </w:r>
      <w:r>
        <w:rPr>
          <w:rFonts w:hint="eastAsia"/>
          <w:color w:val="auto"/>
          <w:sz w:val="24"/>
          <w:u w:val="single"/>
        </w:rPr>
        <w:t xml:space="preserve">           </w:t>
      </w:r>
      <w:r>
        <w:rPr>
          <w:rFonts w:hint="eastAsia"/>
          <w:color w:val="auto"/>
          <w:sz w:val="24"/>
        </w:rPr>
        <w:t>元，即 RMB￥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color w:val="auto"/>
          <w:sz w:val="24"/>
        </w:rPr>
        <w:t>元。</w:t>
      </w:r>
    </w:p>
    <w:p w14:paraId="4F419040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2、</w:t>
      </w:r>
      <w:r>
        <w:rPr>
          <w:rFonts w:hint="eastAsia"/>
          <w:color w:val="auto"/>
          <w:sz w:val="24"/>
        </w:rPr>
        <w:t>付款方式</w:t>
      </w:r>
    </w:p>
    <w:p w14:paraId="19B33201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甲乙双方自行约定。</w:t>
      </w:r>
    </w:p>
    <w:p w14:paraId="085BD12F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合同履行</w:t>
      </w:r>
    </w:p>
    <w:p w14:paraId="5A9A739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1、履行期限：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日至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日。</w:t>
      </w:r>
    </w:p>
    <w:p w14:paraId="5E5E098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2、履行地点：采购人指定地点</w:t>
      </w:r>
    </w:p>
    <w:p w14:paraId="6C700D3A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3、履行方式：</w:t>
      </w:r>
    </w:p>
    <w:p w14:paraId="7A907E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3.1 </w:t>
      </w:r>
      <w:r>
        <w:rPr>
          <w:rFonts w:hint="default" w:ascii="宋体" w:hAnsi="宋体" w:eastAsia="宋体" w:cs="宋体"/>
          <w:color w:val="auto"/>
          <w:sz w:val="24"/>
          <w:lang w:val="en-US"/>
        </w:rPr>
        <w:t>供应商组建专项服务团队（人员名单详见附件），采用 “现场服务 + 远程支持” 结合模式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2853B53C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3.2 供应商需指定专人（姓名：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，电话：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）对接日常事宜。</w:t>
      </w:r>
    </w:p>
    <w:p w14:paraId="64EFC0E6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争议解决方式：</w:t>
      </w:r>
      <w:r>
        <w:rPr>
          <w:rFonts w:hint="eastAsia"/>
          <w:color w:val="auto"/>
          <w:sz w:val="24"/>
        </w:rPr>
        <w:t>本合同发生争议产生的诉讼，由合同签订所在地人民法院管辖。</w:t>
      </w:r>
    </w:p>
    <w:p w14:paraId="2814A1D5">
      <w:pPr>
        <w:numPr>
          <w:ilvl w:val="0"/>
          <w:numId w:val="1"/>
        </w:numPr>
        <w:spacing w:line="360" w:lineRule="auto"/>
        <w:ind w:firstLine="482" w:firstLineChars="20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双方权利与义务</w:t>
      </w:r>
    </w:p>
    <w:p w14:paraId="2B00240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5.1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甲方权利与义务：</w:t>
      </w:r>
    </w:p>
    <w:p w14:paraId="59E1540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按时向乙方提供必要的工作条件和系统相关资料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682AE50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及时对乙方提交的运维报告和工作计划进行审核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70FB9E2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按照合同约定及时支付服务费用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730D6E4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有权对乙方的服务质量进行监督和检查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16CF565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配合乙方进行系统维护工作，提供必要的协助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。</w:t>
      </w:r>
    </w:p>
    <w:p w14:paraId="3F05BDB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5.2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乙方权利与义务：</w:t>
      </w:r>
    </w:p>
    <w:p w14:paraId="43E58FE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按照合同约定提供符合标准的运维服务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3B36E1E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建立完善的服务团队，指定专人负责与甲方对接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6CD7B89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制定详细的运维计划和应急预案，并报甲方备案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51B8AD1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定期向甲方提交运维工作报告（每月 / 每季度）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3E526A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接到甲方故障通知后，应在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en-US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en-US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小时内响应，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小时内到达现场（如需要），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小时内解决一般故障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6617F08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（6）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对甲方的系统信息和数据保密，不得泄露给第三方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；</w:t>
      </w:r>
    </w:p>
    <w:p w14:paraId="176AD40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（7）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确保服务过程中不影响甲方系统的正常运行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。</w:t>
      </w:r>
    </w:p>
    <w:p w14:paraId="6FFA9B08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验收</w:t>
      </w:r>
    </w:p>
    <w:p w14:paraId="022609E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.1 乙方完成阶段性服务后，应向甲方提交验收申请及相关材料。</w:t>
      </w:r>
    </w:p>
    <w:p w14:paraId="366A2E3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.2 甲方在收到验收申请后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个工作日内组织验收。</w:t>
      </w:r>
    </w:p>
    <w:p w14:paraId="29CEBE3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lang w:val="en-US" w:eastAsia="en-US"/>
        </w:rPr>
        <w:t>.3 验收合格的，甲方应签署验收合格单；验收不合格的，乙方应在甲方要求的期限内整改，并重新申请验收，由此产生的费用由乙方承担。</w:t>
      </w:r>
    </w:p>
    <w:p w14:paraId="3C1228A9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合同生效及其它：</w:t>
      </w:r>
    </w:p>
    <w:p w14:paraId="63C84E7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7.1 </w:t>
      </w:r>
      <w:r>
        <w:rPr>
          <w:rFonts w:hint="eastAsia"/>
          <w:color w:val="auto"/>
          <w:sz w:val="24"/>
        </w:rPr>
        <w:t>本合同经双方代表签字并加盖公章后生效。本合同正本一式</w:t>
      </w:r>
      <w:r>
        <w:rPr>
          <w:rFonts w:hint="eastAsia"/>
          <w:color w:val="auto"/>
          <w:sz w:val="24"/>
          <w:lang w:val="en-US" w:eastAsia="zh-CN"/>
        </w:rPr>
        <w:t>伍</w:t>
      </w:r>
      <w:r>
        <w:rPr>
          <w:rFonts w:hint="eastAsia"/>
          <w:color w:val="auto"/>
          <w:sz w:val="24"/>
        </w:rPr>
        <w:t>份，甲方留存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</w:rPr>
        <w:t>份，已方留存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</w:rPr>
        <w:t>份，采购代理机构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4"/>
        </w:rPr>
        <w:t>份。</w:t>
      </w:r>
    </w:p>
    <w:p w14:paraId="51FC97B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7.2 </w:t>
      </w:r>
      <w:r>
        <w:rPr>
          <w:rFonts w:hint="eastAsia" w:ascii="宋体" w:hAnsi="宋体" w:eastAsia="宋体" w:cs="宋体"/>
          <w:color w:val="auto"/>
          <w:sz w:val="24"/>
        </w:rPr>
        <w:t>乙方应对在服务过程中接触到的甲方的商业秘密、技术信息、数据信息等进行严格保密，不得向任何第三方泄露。</w:t>
      </w:r>
    </w:p>
    <w:p w14:paraId="2F5EC71F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不可抗力</w:t>
      </w:r>
    </w:p>
    <w:p w14:paraId="1ECEB247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在合同规定的履行期限内，由于受不可抗力事件影响而不能履行合同时，受阻一方在提供合法证明后可免予承担违约责任，本合同自行终止。不可抗力事件系指甲、乙双方在缔结合同时所不能预见的，并且它的发生及其后果是无法避免和无法克服的事件。</w:t>
      </w:r>
    </w:p>
    <w:p w14:paraId="018D103F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纠纷处理</w:t>
      </w:r>
    </w:p>
    <w:p w14:paraId="52E7AA01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在合同执行过程中发生的与本合同有关的争议，双方应通过友好协商解决。经协商在60天内不能达成协议时，按照《中华人民共和国</w:t>
      </w:r>
      <w:r>
        <w:rPr>
          <w:rFonts w:hint="eastAsia"/>
          <w:color w:val="auto"/>
          <w:sz w:val="24"/>
          <w:lang w:val="en-US" w:eastAsia="zh-CN"/>
        </w:rPr>
        <w:t>民法典</w:t>
      </w:r>
      <w:r>
        <w:rPr>
          <w:rFonts w:hint="eastAsia"/>
          <w:color w:val="auto"/>
          <w:sz w:val="24"/>
        </w:rPr>
        <w:t>》有关条款执行。</w:t>
      </w:r>
    </w:p>
    <w:p w14:paraId="3B25C769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合同的修改和补充</w:t>
      </w:r>
    </w:p>
    <w:p w14:paraId="1B86613F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欲对合同条款作出任何修改和补充，均须由甲、乙双方法定代表人或其授权的代表签署书面协议。</w:t>
      </w:r>
    </w:p>
    <w:p w14:paraId="7F34733C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6225B98C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78592162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甲方：(签章)                     乙方：(签章)</w:t>
      </w:r>
    </w:p>
    <w:p w14:paraId="6039FCB8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地址：                           地址：</w:t>
      </w:r>
    </w:p>
    <w:p w14:paraId="5CBF3179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邮编：                           邮编：</w:t>
      </w:r>
    </w:p>
    <w:p w14:paraId="14B8C3AC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开户行：                         开户行：</w:t>
      </w:r>
    </w:p>
    <w:p w14:paraId="0DE6ADAC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账号：                           账号：</w:t>
      </w:r>
    </w:p>
    <w:p w14:paraId="5ED2CA9A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电话：                           电话：</w:t>
      </w:r>
    </w:p>
    <w:p w14:paraId="1467E1CA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传真：                           传真：       </w:t>
      </w:r>
    </w:p>
    <w:p w14:paraId="560A523A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授权代表签字：                   授权代表签字：</w:t>
      </w:r>
    </w:p>
    <w:p w14:paraId="5C0CA71B"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签订时间：                       签订时间：</w:t>
      </w:r>
    </w:p>
    <w:p w14:paraId="2BD5CA1D">
      <w:pPr>
        <w:rPr>
          <w:color w:val="auto"/>
        </w:rPr>
      </w:pPr>
    </w:p>
    <w:p w14:paraId="37FA97AB">
      <w:pPr>
        <w:rPr>
          <w:color w:val="auto"/>
        </w:rPr>
      </w:pPr>
      <w:r>
        <w:rPr>
          <w:rFonts w:ascii="仿宋_GB2312" w:hAnsi="仿宋_GB2312" w:eastAsia="仿宋_GB2312" w:cs="仿宋_GB2312"/>
          <w:color w:val="auto"/>
        </w:rPr>
        <w:t xml:space="preserve"> </w:t>
      </w:r>
      <w:r>
        <w:rPr>
          <w:rFonts w:ascii="仿宋_GB2312" w:hAnsi="仿宋_GB2312" w:eastAsia="仿宋_GB2312" w:cs="仿宋_GB2312"/>
          <w:color w:val="auto"/>
        </w:rPr>
        <w:br w:type="textWrapping"/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F2CD13"/>
    <w:multiLevelType w:val="singleLevel"/>
    <w:tmpl w:val="53F2CD13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57DBC"/>
    <w:rsid w:val="2355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0" w:firstLineChars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240" w:lineRule="auto"/>
      <w:ind w:firstLine="420" w:firstLineChars="200"/>
    </w:pPr>
    <w:rPr>
      <w:rFonts w:ascii="Calibri" w:hAnsi="Calibri" w:eastAsia="宋体" w:cs="Times New Roman"/>
      <w:szCs w:val="24"/>
    </w:r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560" w:firstLineChars="200"/>
    </w:pPr>
    <w:rPr>
      <w:rFonts w:ascii="宋体" w:hAnsi="宋体" w:eastAsia="宋体" w:cs="Times New Roman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2025-10-11T02:13:00Z</dcterms:created>
  <dc:creator>gigabyte</dc:creator>
  <cp:lastModifiedBy>gigabyte</cp:lastModifiedBy>
  <dcterms:modified xsi:type="dcterms:W3CDTF">2025-10-11T02:13:56Z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5438B04444C5421AA03D3290B9071196_11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