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E80CD">
      <w:pPr>
        <w:pStyle w:val="15"/>
      </w:pPr>
      <w:bookmarkStart w:id="0" w:name="_GoBack"/>
      <w:bookmarkEnd w:id="0"/>
      <mc:AlternateContent>
        <mc:Choice Requires="wpsCustomData">
          <wpsCustomData:docfieldStart id="0" docfieldname="标题_1" hidden="0" print="1" readonly="0" index="1"/>
        </mc:Choice>
      </mc:AlternateContent>
      <w:r>
        <w:t>白蚁防治及除四害项目要求</w:t>
      </w:r>
      <mc:AlternateContent>
        <mc:Choice Requires="wpsCustomData">
          <wpsCustomData:docfieldEnd id="0"/>
        </mc:Choice>
      </mc:AlternateContent>
    </w:p>
    <w:p w14:paraId="05853235">
      <w:pPr>
        <w:pStyle w:val="11"/>
        <w:bidi w:val="0"/>
        <w:spacing w:beforeAutospacing="0" w:afterAutospacing="0" w:line="300" w:lineRule="exact"/>
        <w:rPr>
          <w:rFonts w:hint="eastAsia"/>
          <w:lang w:eastAsia="zh-CN"/>
        </w:rPr>
      </w:pPr>
    </w:p>
    <w:p w14:paraId="26967EC9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一、</w:t>
      </w:r>
      <w:r>
        <w:t>服务基本概况：</w:t>
      </w:r>
    </w:p>
    <w:p w14:paraId="56D7B30F">
      <w:pPr>
        <w:pStyle w:val="11"/>
        <w:numPr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（一）</w:t>
      </w:r>
      <w:r>
        <w:rPr>
          <w:rStyle w:val="19"/>
        </w:rPr>
        <w:t>服务面积</w:t>
      </w:r>
      <w:r>
        <w:rPr>
          <w:rFonts w:ascii="Times New Roman" w:hAnsi="Times New Roman" w:eastAsia="仿宋_GB2312" w:cs="仿宋_GB2312"/>
          <w:sz w:val="32"/>
          <w:szCs w:val="32"/>
        </w:rPr>
        <w:t>：全院区域总面积约90007.3㎡</w:t>
      </w:r>
    </w:p>
    <w:p w14:paraId="23756AC3">
      <w:pPr>
        <w:pStyle w:val="11"/>
        <w:numPr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（二）</w:t>
      </w:r>
      <w:r>
        <w:rPr>
          <w:rStyle w:val="19"/>
        </w:rPr>
        <w:t>防治对象</w:t>
      </w:r>
      <w:r>
        <w:rPr>
          <w:rFonts w:ascii="Times New Roman" w:hAnsi="Times New Roman" w:eastAsia="仿宋_GB2312" w:cs="仿宋_GB2312"/>
          <w:sz w:val="32"/>
          <w:szCs w:val="32"/>
        </w:rPr>
        <w:t>：蚊子、苍蝇、老鼠、蟑螂（四害）、白蚁、红火蚁</w:t>
      </w:r>
    </w:p>
    <w:p w14:paraId="4B380D44">
      <w:pPr>
        <w:pStyle w:val="11"/>
        <w:numPr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（三）</w:t>
      </w:r>
      <w:r>
        <w:rPr>
          <w:rStyle w:val="19"/>
        </w:rPr>
        <w:t xml:space="preserve">服务范围 </w:t>
      </w:r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704EA40E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室内：门诊楼、行政楼、保健综合楼、医技住院综合楼、门诊大厅、附属楼、连廊、地下室、员工宿舍、办公区等公共区域。</w:t>
      </w:r>
    </w:p>
    <w:p w14:paraId="78C2CF50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室外：院区闲置地、公共水体、市政道路、树木、绿地、绿篱、沉沙井、收水口等配套设施及绿化区域。</w:t>
      </w:r>
    </w:p>
    <w:p w14:paraId="529A3F61">
      <w:pPr>
        <w:pStyle w:val="11"/>
        <w:numPr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（四）</w:t>
      </w:r>
      <w:r>
        <w:rPr>
          <w:rStyle w:val="19"/>
        </w:rPr>
        <w:t>服务原则</w:t>
      </w:r>
      <w:r>
        <w:rPr>
          <w:rFonts w:ascii="Times New Roman" w:hAnsi="Times New Roman" w:eastAsia="仿宋_GB2312" w:cs="仿宋_GB2312"/>
          <w:sz w:val="32"/>
          <w:szCs w:val="32"/>
        </w:rPr>
        <w:t>：遵循预防为主、防治结合、综合治理，全部使用低毒、高效、安全、环保合规药剂。</w:t>
      </w:r>
    </w:p>
    <w:p w14:paraId="0C0A84D2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二、</w:t>
      </w:r>
      <w:r>
        <w:t>执行标准</w:t>
      </w:r>
    </w:p>
    <w:p w14:paraId="03D1727B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严格遵照国家现行国标开展监测与管控：</w:t>
      </w:r>
    </w:p>
    <w:p w14:paraId="03CD0DF2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密度监测标准 ：</w:t>
      </w:r>
    </w:p>
    <w:p w14:paraId="40CE7787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蝇类：GB／T23796－2009</w:t>
      </w:r>
    </w:p>
    <w:p w14:paraId="61419CBB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蚊虫：GB／T23797－2009</w:t>
      </w:r>
    </w:p>
    <w:p w14:paraId="4B1180B8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鼠类：GB／T23798－2009</w:t>
      </w:r>
    </w:p>
    <w:p w14:paraId="00B0C31E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（4）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蜚蠊（蟑螂）：GB／T27773－2011</w:t>
      </w:r>
    </w:p>
    <w:p w14:paraId="1004226B">
      <w:pPr>
        <w:pStyle w:val="3"/>
      </w:pPr>
      <w:r>
        <w:t xml:space="preserve">密度控制标准 </w:t>
      </w:r>
    </w:p>
    <w:p w14:paraId="707011A4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鼠类：GB／T27770－2011</w:t>
      </w:r>
    </w:p>
    <w:p w14:paraId="064AD8E8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蝇类：GB／T27772－2011</w:t>
      </w:r>
    </w:p>
    <w:p w14:paraId="1B045E43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Fonts w:hint="eastAsia" w:cs="仿宋_GB2312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蚊虫、蜚蠊：GB／T27773－2011</w:t>
      </w:r>
    </w:p>
    <w:p w14:paraId="4E061063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三、</w:t>
      </w:r>
      <w:r>
        <w:t>频次与作业要求</w:t>
      </w:r>
    </w:p>
    <w:p w14:paraId="4DA57FFD">
      <w:pPr>
        <w:pStyle w:val="3"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r>
        <w:rPr>
          <w:rFonts w:hint="eastAsia"/>
          <w:lang w:eastAsia="zh-CN"/>
        </w:rPr>
        <w:t>（一）</w:t>
      </w:r>
      <w:r>
        <w:t>日常监测</w:t>
      </w:r>
    </w:p>
    <w:p w14:paraId="603AB00C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每季度开展一次四害密度监测，按时提交监测报告及汇总资料；配合疾控、爱卫、第三方测评单位开展现场监测工作。</w:t>
      </w:r>
    </w:p>
    <w:p w14:paraId="4FB9A825">
      <w:pPr>
        <w:pStyle w:val="3"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r>
        <w:rPr>
          <w:rFonts w:hint="eastAsia"/>
          <w:lang w:eastAsia="zh-CN"/>
        </w:rPr>
        <w:t>（二）</w:t>
      </w:r>
      <w:r>
        <w:t>白蚁、红火蚁防治</w:t>
      </w:r>
    </w:p>
    <w:p w14:paraId="3B64824B">
      <w:pPr>
        <w:pStyle w:val="11"/>
        <w:ind w:firstLine="42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pacing wpsCustomData:val="-6" w:val="4"/>
          <w:sz w:val="32"/>
          <w:szCs w:val="32"/>
        </w:rPr>
        <w:t>每月检查 ＋ 施药共</w:t>
      </w:r>
      <w:r>
        <w:rPr>
          <w:rFonts w:ascii="Times New Roman" w:hAnsi="Times New Roman" w:eastAsia="仿宋_GB2312" w:cs="仿宋_GB2312"/>
          <w:spacing wpsCustomData:val="-6" w:val="-35"/>
          <w:sz w:val="32"/>
          <w:szCs w:val="32"/>
        </w:rPr>
        <w:t>2</w:t>
      </w:r>
      <w:r>
        <w:rPr>
          <w:rFonts w:ascii="Times New Roman" w:hAnsi="Times New Roman" w:eastAsia="仿宋_GB2312" w:cs="仿宋_GB2312"/>
          <w:spacing wpsCustomData:val="-6" w:val="4"/>
          <w:sz w:val="32"/>
          <w:szCs w:val="32"/>
        </w:rPr>
        <w:t>次，根据现场危害情况可增加作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业</w:t>
      </w:r>
      <w:r>
        <w:rPr>
          <w:rFonts w:ascii="Times New Roman" w:hAnsi="Times New Roman" w:eastAsia="仿宋_GB2312" w:cs="仿宋_GB2312"/>
          <w:sz w:val="32"/>
          <w:szCs w:val="32"/>
        </w:rPr>
        <w:t>频次。</w:t>
      </w:r>
    </w:p>
    <w:p w14:paraId="0BECFAE7">
      <w:pPr>
        <w:pStyle w:val="3"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r>
        <w:rPr>
          <w:rFonts w:hint="eastAsia"/>
          <w:lang w:eastAsia="zh-CN"/>
        </w:rPr>
        <w:t>（三）</w:t>
      </w:r>
      <w:r>
        <w:t>除四害消杀作业</w:t>
      </w:r>
    </w:p>
    <w:p w14:paraId="576B9B23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Style w:val="20"/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20"/>
        </w:rPr>
        <w:t>整体喷药灭治</w:t>
      </w:r>
      <w:r>
        <w:rPr>
          <w:rFonts w:ascii="Times New Roman" w:hAnsi="Times New Roman" w:eastAsia="仿宋_GB2312" w:cs="仿宋_GB2312"/>
          <w:sz w:val="32"/>
          <w:szCs w:val="32"/>
        </w:rPr>
        <w:t>：每月2次，可视虫害情况加次。</w:t>
      </w:r>
    </w:p>
    <w:p w14:paraId="139BAC17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Style w:val="20"/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20"/>
        </w:rPr>
        <w:t>水体管控</w:t>
      </w:r>
      <w:r>
        <w:rPr>
          <w:rFonts w:ascii="Times New Roman" w:hAnsi="Times New Roman" w:eastAsia="仿宋_GB2312" w:cs="仿宋_GB2312"/>
          <w:sz w:val="32"/>
          <w:szCs w:val="32"/>
        </w:rPr>
        <w:t>：大中型水体每周巡查1次，发现蚊虫幼虫立即施药。</w:t>
      </w:r>
    </w:p>
    <w:p w14:paraId="66D1E6E6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Style w:val="20"/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20"/>
        </w:rPr>
        <w:t>地下区域（车库、收水口、沉沙井）</w:t>
      </w:r>
      <w:r>
        <w:rPr>
          <w:rFonts w:ascii="Times New Roman" w:hAnsi="Times New Roman" w:eastAsia="仿宋_GB2312" w:cs="仿宋_GB2312"/>
          <w:sz w:val="32"/>
          <w:szCs w:val="32"/>
        </w:rPr>
        <w:t>：每月投放长效灭蚊幼缓释剂2次。</w:t>
      </w:r>
    </w:p>
    <w:p w14:paraId="6EED15BE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Style w:val="20"/>
          <w:rFonts w:hint="eastAsia"/>
          <w:lang w:eastAsia="zh-CN"/>
        </w:rPr>
        <w:t>4.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20"/>
        </w:rPr>
        <w:t>外围区域</w:t>
      </w:r>
      <w:r>
        <w:rPr>
          <w:rFonts w:ascii="Times New Roman" w:hAnsi="Times New Roman" w:eastAsia="仿宋_GB2312" w:cs="仿宋_GB2312"/>
          <w:sz w:val="32"/>
          <w:szCs w:val="32"/>
        </w:rPr>
        <w:t>：下水道采用烟枪熏杀；绿化带、草丛、树木、杂物堆等蚊虫孳生／藏匿点，采用机械喷杀＋液体药剂处理，每月2次。</w:t>
      </w:r>
    </w:p>
    <w:p w14:paraId="347C0D88">
      <w:pPr>
        <w:pStyle w:val="11"/>
        <w:numPr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  <w:bdr w:val="none" w:sz="0" w:space="0"/>
        </w:rPr>
      </w:pPr>
      <w:r>
        <w:rPr>
          <w:rStyle w:val="20"/>
          <w:rFonts w:hint="eastAsia"/>
          <w:lang w:eastAsia="zh-CN"/>
        </w:rPr>
        <w:t>5.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20"/>
        </w:rPr>
        <w:t>灭鼠工作</w:t>
      </w:r>
      <w:r>
        <w:rPr>
          <w:rFonts w:ascii="Times New Roman" w:hAnsi="Times New Roman" w:eastAsia="仿宋_GB2312" w:cs="仿宋_GB2312"/>
          <w:sz w:val="32"/>
          <w:szCs w:val="32"/>
        </w:rPr>
        <w:t>：每月投药2次，统一设置鼠屋；投药后3－5日巡查补药，虫害密度高时增加投药频次。</w:t>
      </w:r>
    </w:p>
    <w:p w14:paraId="7B59FE0C">
      <w:pPr>
        <w:pStyle w:val="3"/>
        <w:numPr>
          <w:numId w:val="0"/>
        </w:numPr>
        <w:topLinePunct w:val="0"/>
        <w:ind w:left="0" w:leftChars="0" w:firstLine="640"/>
        <w:rPr>
          <w:rFonts w:hint="eastAsia" w:ascii="楷体_GB2312" w:hAnsi="楷体_GB2312" w:eastAsia="楷体_GB2312" w:cs="楷体_GB2312"/>
          <w:b w:val="0"/>
          <w:bdr w:val="none" w:sz="0" w:space="0"/>
        </w:rPr>
      </w:pPr>
      <w:r>
        <w:rPr>
          <w:rFonts w:hint="eastAsia"/>
          <w:lang w:eastAsia="zh-CN"/>
        </w:rPr>
        <w:t>（四）</w:t>
      </w:r>
      <w:r>
        <w:t>药剂与环保要求</w:t>
      </w:r>
    </w:p>
    <w:p w14:paraId="7E6C5615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所用消杀药剂须具备国家规定三证，为合规合格产品，对人畜无毒、无环境污染。</w:t>
      </w:r>
    </w:p>
    <w:p w14:paraId="0B96A3B8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作业后须将空药瓶、剩余药液全部带走处置，严禁随意排放造成污染。</w:t>
      </w:r>
    </w:p>
    <w:p w14:paraId="1B29FB47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四、</w:t>
      </w:r>
      <w:r>
        <w:t>现场管理与流程要求</w:t>
      </w:r>
    </w:p>
    <w:p w14:paraId="78F916C2">
      <w:pPr>
        <w:pStyle w:val="11"/>
        <w:numPr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（一）</w:t>
      </w:r>
      <w:r>
        <w:rPr>
          <w:rStyle w:val="19"/>
        </w:rPr>
        <w:t>人员要求</w:t>
      </w:r>
      <w:r>
        <w:rPr>
          <w:rFonts w:ascii="Times New Roman" w:hAnsi="Times New Roman" w:eastAsia="仿宋_GB2312" w:cs="仿宋_GB2312"/>
          <w:sz w:val="32"/>
          <w:szCs w:val="32"/>
        </w:rPr>
        <w:t>：作业人员持证上岗，每次作业前提前对接，并接受现场监督。</w:t>
      </w:r>
    </w:p>
    <w:p w14:paraId="22BE39F6">
      <w:pPr>
        <w:pStyle w:val="11"/>
        <w:numPr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（二）</w:t>
      </w:r>
      <w:r>
        <w:rPr>
          <w:rStyle w:val="19"/>
        </w:rPr>
        <w:t>台账管理</w:t>
      </w:r>
      <w:r>
        <w:rPr>
          <w:rFonts w:ascii="Times New Roman" w:hAnsi="Times New Roman" w:eastAsia="仿宋_GB2312" w:cs="仿宋_GB2312"/>
          <w:sz w:val="32"/>
          <w:szCs w:val="32"/>
        </w:rPr>
        <w:t>：每次作业填写工作记录单，双方签字确认留存；建立完整施药服务档案，定期整理归档、上报工作进展。</w:t>
      </w:r>
    </w:p>
    <w:p w14:paraId="10DFB98A">
      <w:pPr>
        <w:pStyle w:val="11"/>
        <w:numPr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（三）</w:t>
      </w:r>
      <w:r>
        <w:rPr>
          <w:rStyle w:val="19"/>
        </w:rPr>
        <w:t>设施维护</w:t>
      </w:r>
      <w:r>
        <w:rPr>
          <w:rFonts w:ascii="Times New Roman" w:hAnsi="Times New Roman" w:eastAsia="仿宋_GB2312" w:cs="仿宋_GB2312"/>
          <w:sz w:val="32"/>
          <w:szCs w:val="32"/>
        </w:rPr>
        <w:t>：定期检查鼠屋、防蚊闸等防护设施，对全院防治效果回访并出具评估报告。</w:t>
      </w:r>
    </w:p>
    <w:p w14:paraId="7B3DC64E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五、</w:t>
      </w:r>
      <w:r>
        <w:t>应急服务要求</w:t>
      </w:r>
    </w:p>
    <w:p w14:paraId="387B12C7">
      <w:pPr>
        <w:pStyle w:val="11"/>
        <w:numPr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（一）</w:t>
      </w:r>
      <w:r>
        <w:rPr>
          <w:rStyle w:val="19"/>
        </w:rPr>
        <w:t>组建专项应急队伍，制定四害应急消杀方案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 w14:paraId="6E45019E">
      <w:pPr>
        <w:pStyle w:val="11"/>
        <w:numPr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（二）</w:t>
      </w:r>
      <w:r>
        <w:rPr>
          <w:rStyle w:val="19"/>
        </w:rPr>
        <w:t>遇疫情、公共突发事件，无条件服从院方及主管部门调度，落实应急消杀工作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 w14:paraId="189199B6">
      <w:pPr>
        <w:pStyle w:val="11"/>
        <w:numPr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（三）</w:t>
      </w:r>
      <w:r>
        <w:rPr>
          <w:rStyle w:val="19"/>
        </w:rPr>
        <w:t>配合院方及主管部门完成迎检、宣传、演练等相关工作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 w14:paraId="65403700">
      <w:pPr>
        <w:pStyle w:val="11"/>
        <w:numPr>
          <w:numId w:val="0"/>
        </w:numP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sz w:val="32"/>
          <w:szCs w:val="32"/>
          <w:bdr w:val="none" w:sz="0" w:space="0"/>
        </w:rPr>
      </w:pPr>
      <w:r>
        <w:rPr>
          <w:rStyle w:val="19"/>
          <w:rFonts w:hint="eastAsia" w:eastAsia="楷体_GB2312"/>
          <w:lang w:eastAsia="zh-CN"/>
        </w:rPr>
        <w:t>（四）</w:t>
      </w:r>
      <w:r>
        <w:rPr>
          <w:rStyle w:val="19"/>
        </w:rPr>
        <w:t>应急响应时效</w:t>
      </w:r>
      <w:r>
        <w:rPr>
          <w:rFonts w:ascii="Times New Roman" w:hAnsi="Times New Roman" w:eastAsia="仿宋_GB2312" w:cs="仿宋_GB2312"/>
          <w:sz w:val="32"/>
          <w:szCs w:val="32"/>
        </w:rPr>
        <w:t>：接到虫害处置通知后，30 分钟内抵达现场，当日完成点位处置，做到随叫随到。</w:t>
      </w:r>
    </w:p>
    <w:p w14:paraId="7EA58B66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六、</w:t>
      </w:r>
      <w:r>
        <w:t>防治效果要求</w:t>
      </w:r>
    </w:p>
    <w:p w14:paraId="21E4703E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采用科学消杀方式，保障全院虫害密度达标；药剂使用安全无害，承包期内持续维持良好防治效果，并全程提供配套售后服务。</w:t>
      </w:r>
    </w:p>
    <w:p w14:paraId="3904EC4F">
      <w:pPr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8852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A082F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E3A082F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F60C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542C2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C6542C2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E0CD8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F3904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42236"/>
    <w:rsid w:val="32242236"/>
    <w:rsid w:val="4228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2 Char"/>
    <w:link w:val="3"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0">
    <w:name w:val="标题 3 Char"/>
    <w:link w:val="4"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1041</Words>
  <Characters>1141</Characters>
  <Lines>0</Lines>
  <Paragraphs>0</Paragraphs>
  <TotalTime>8</TotalTime>
  <ScaleCrop>false</ScaleCrop>
  <LinksUpToDate>false</LinksUpToDate>
  <CharactersWithSpaces>1147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2026-06-15T07:31:00Z</dcterms:created>
  <dc:creator>西红柿炒番茄</dc:creator>
  <cp:lastModifiedBy>Binnn.</cp:lastModifiedBy>
  <dcterms:modified xsi:type="dcterms:W3CDTF">2026-06-24T08:24:20Z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F7C29AEB62E343A5AC2EAD73052E8604_11</vt:lpwstr>
  </property>
  <property fmtid="{D5CDD505-2E9C-101B-9397-08002B2CF9AE}" pid="4" name="KSOTemplateDocerSaveRecord">
    <vt:lpwstr>eyJoZGlkIjoiMjc5MDhjZjFiMjRjOTU5NDgwMzU1ZmE2NGFmYTE0NzEiLCJ1c2VySWQiOiIxMjg2OTQ2Mjk4In0=</vt:lpwstr>
  </property>
</Properties>
</file>