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440605-2026-02800</w:t>
      </w:r>
    </w:p>
    <w:p>
      <w:pPr>
        <w:pStyle w:val="null3"/>
        <w:jc w:val="center"/>
        <w:outlineLvl w:val="3"/>
      </w:pPr>
      <w:r>
        <w:rPr>
          <w:sz w:val="24"/>
          <w:b/>
        </w:rPr>
        <w:t>采购项目编号：</w:t>
      </w:r>
      <w:r>
        <w:rPr>
          <w:sz w:val="24"/>
          <w:b/>
        </w:rPr>
        <w:t>SSZ-2026G12</w:t>
      </w:r>
    </w:p>
    <w:p>
      <w:pPr>
        <w:pStyle w:val="null3"/>
        <w:jc w:val="center"/>
        <w:outlineLvl w:val="3"/>
      </w:pPr>
      <w:r>
        <w:rPr>
          <w:sz w:val="24"/>
          <w:b/>
        </w:rPr>
        <w:t>项目名称：</w:t>
      </w:r>
      <w:r>
        <w:rPr>
          <w:sz w:val="24"/>
          <w:b/>
        </w:rPr>
        <w:t>狮山镇市政范围消杀服务项目</w:t>
      </w:r>
    </w:p>
    <w:p>
      <w:pPr>
        <w:pStyle w:val="null3"/>
        <w:jc w:val="center"/>
        <w:outlineLvl w:val="3"/>
      </w:pPr>
      <w:r>
        <w:rPr>
          <w:sz w:val="24"/>
          <w:b/>
        </w:rPr>
        <w:t>采购人：</w:t>
      </w:r>
      <w:r>
        <w:rPr>
          <w:sz w:val="24"/>
          <w:b/>
        </w:rPr>
        <w:t>佛山市南海区狮山镇城建和水务办公室</w:t>
      </w:r>
    </w:p>
    <w:p>
      <w:pPr>
        <w:pStyle w:val="null3"/>
        <w:jc w:val="center"/>
        <w:outlineLvl w:val="3"/>
      </w:pPr>
      <w:r>
        <w:rPr>
          <w:sz w:val="24"/>
          <w:b/>
        </w:rPr>
        <w:t>采购代理机构：</w:t>
      </w:r>
      <w:r>
        <w:rPr>
          <w:sz w:val="24"/>
          <w:b/>
        </w:rPr>
        <w:t>广东星建项目管理有限公司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广东星建项目管理有限公司</w:t>
      </w:r>
      <w:r>
        <w:rPr/>
        <w:t>受</w:t>
      </w:r>
      <w:r>
        <w:rPr/>
        <w:t>佛山市南海区狮山镇城建和水务办公室</w:t>
      </w:r>
      <w:r>
        <w:rPr/>
        <w:t>的委托，采用</w:t>
      </w:r>
      <w:r>
        <w:rPr/>
        <w:t>竞争性磋商</w:t>
      </w:r>
      <w:r>
        <w:rPr/>
        <w:t>方式组织采购</w:t>
      </w:r>
      <w:r>
        <w:rPr/>
        <w:t>狮山镇市政范围消杀服务项目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狮山镇市政范围消杀服务项目</w:t>
      </w:r>
    </w:p>
    <w:p>
      <w:pPr>
        <w:pStyle w:val="null3"/>
        <w:ind w:firstLine="480"/>
      </w:pPr>
      <w:r>
        <w:rPr/>
        <w:t>采购计划编号：</w:t>
      </w:r>
      <w:r>
        <w:rPr/>
        <w:t>440605-2026-02800</w:t>
      </w:r>
    </w:p>
    <w:p>
      <w:pPr>
        <w:pStyle w:val="null3"/>
        <w:ind w:firstLine="480"/>
      </w:pPr>
      <w:r>
        <w:rPr/>
        <w:t>采购项目编号：</w:t>
      </w:r>
      <w:r>
        <w:rPr/>
        <w:t>SSZ-2026G12</w:t>
      </w:r>
    </w:p>
    <w:p>
      <w:pPr>
        <w:pStyle w:val="null3"/>
        <w:ind w:firstLine="480"/>
      </w:pPr>
      <w:r>
        <w:rPr/>
        <w:t>采购方式：</w:t>
      </w:r>
      <w:r>
        <w:rPr/>
        <w:t>竞争性磋商</w:t>
      </w:r>
    </w:p>
    <w:p>
      <w:pPr>
        <w:pStyle w:val="null3"/>
        <w:ind w:firstLine="480"/>
      </w:pPr>
      <w:r>
        <w:rPr/>
        <w:t>预算金额：</w:t>
      </w:r>
      <w:r>
        <w:rPr/>
        <w:t>3,144,100.00</w:t>
      </w:r>
      <w:r>
        <w:rPr/>
        <w:t>元</w:t>
      </w:r>
    </w:p>
    <w:p>
      <w:pPr>
        <w:pStyle w:val="null3"/>
        <w:outlineLvl w:val="3"/>
      </w:pPr>
      <w:r>
        <w:rPr>
          <w:sz w:val="24"/>
          <w:b/>
        </w:rPr>
        <w:t>2.项目内容及需求情况（采购项目技术规格、参数及要求）</w:t>
      </w:r>
    </w:p>
    <w:p>
      <w:pPr>
        <w:pStyle w:val="null3"/>
      </w:pPr>
      <w:r>
        <w:rPr/>
        <w:t>采购包1(狮山镇市政范围消杀服务项目):</w:t>
      </w:r>
    </w:p>
    <w:p>
      <w:pPr>
        <w:pStyle w:val="null3"/>
      </w:pPr>
      <w:r>
        <w:rPr/>
        <w:t>采购包预算金额：3,144,100.00元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狮山镇市政范围消杀服务项目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1）具有独立承担民事责任的能力：提供营业执照（或事业单位法人证书或社会团体法人登记证书）等证明文件。</w:t>
      </w:r>
    </w:p>
    <w:p>
      <w:pPr>
        <w:pStyle w:val="null3"/>
      </w:pPr>
      <w:r>
        <w:rPr/>
        <w:t>2）有依法缴纳税收和社会保障资金的良好记录：提供投标截止日期前12个月内任意1个月依法缴纳税收和社会保障资金的相关材料，或提供《政府采购供应商资格信用承诺函》（详见附件）。如依法免税或不需要缴纳社会保障资金的，提供相应证明材料。</w:t>
      </w:r>
    </w:p>
    <w:p>
      <w:pPr>
        <w:pStyle w:val="null3"/>
      </w:pPr>
      <w:r>
        <w:rPr/>
        <w:t>3）具有良好的商业信誉和健全的财务会计制度：提供2024年度或2025年度财务状况报告或基本开户行出具的资信证明（资信证明要求：投标截止之日前6个月内任意一个月出具的，能够清晰反映供应商的商业信誉情况，如成立时间不足6个月的，按成立时间提供，如资信证明不能体现基本开户账户的，应另附开户许可证（无开户许可证的，可提供由银行开具的《基本存款账户信息》（公户账户主档）或其他相关证明资料，以上文件均需加盖银行章）），成立不足一年的单位可提供投标截止日前上一月份财务会计报表。或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详见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采购包1（狮山镇市政范围消杀服务项目）：</w:t>
      </w:r>
      <w:r>
        <w:rPr/>
        <w:t>本项目属于专门面向中小企业采购的项目，响应供应商须为本项目采购标的对应行业中小企业。（注：根据《关于印发中小企业划型标准规定的通知》（工信部联企业〔2011〕300号）规定，本项目对应的中小企业划分标准所属行业为：其他未列明行业。供应商须根据自身对应的类型提供证明材料：①中小微企业参加政府采购活动时，应当提供《中小企业声明函》。②残疾人福利性单位参加政府采购活动时，应当提供《残疾人福利性单位声明函》。③监狱企业参加政府采购活动时，应当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采购包1（狮山镇市政范围消杀服务项目）：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的，总公司及分公司（分支机构）均须满足本项要求。）</w:t>
      </w:r>
    </w:p>
    <w:p>
      <w:pPr>
        <w:pStyle w:val="null3"/>
      </w:pPr>
      <w:r>
        <w:rPr/>
        <w:t>2)单位负责人为同一人或者存在直接控股、管理关系的不同供应商，不得参加本项目投标（响应）。为采购项目提供整体设计、规范编制或者项目管理、监理、检测等服务的供应商，不得再参加本项目投标（响应）。投标（报价）函相关承诺要求内容。</w:t>
      </w:r>
    </w:p>
    <w:p>
      <w:pPr>
        <w:pStyle w:val="null3"/>
      </w:pPr>
      <w:r>
        <w:rPr/>
        <w:t>3)本项目不接受联合体响应。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广东省公共资源交易平台（https://ygp.gdzwfw.gov.cn）、佛山市公共资源交易中心南海分中心网站（http://www.nanhai.gov.cn/fsnhq/bmdh/sydw/ggzyjyzx/jyxx/zfcg/）</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佛山市南海区狮山镇城建和水务办公室</w:t>
      </w:r>
    </w:p>
    <w:p>
      <w:pPr>
        <w:pStyle w:val="null3"/>
        <w:ind w:firstLine="480"/>
      </w:pPr>
      <w:r>
        <w:rPr/>
        <w:t>地址：</w:t>
      </w:r>
      <w:r>
        <w:rPr/>
        <w:t>佛山市南海区狮山镇红星一路建设大厦</w:t>
      </w:r>
    </w:p>
    <w:p>
      <w:pPr>
        <w:pStyle w:val="null3"/>
        <w:ind w:firstLine="480"/>
      </w:pPr>
      <w:r>
        <w:rPr/>
        <w:t>联系方式：</w:t>
      </w:r>
      <w:r>
        <w:rPr/>
        <w:t>0757-86682522</w:t>
      </w:r>
    </w:p>
    <w:p>
      <w:pPr>
        <w:pStyle w:val="null3"/>
        <w:outlineLvl w:val="3"/>
      </w:pPr>
      <w:r>
        <w:rPr>
          <w:sz w:val="24"/>
          <w:b/>
        </w:rPr>
        <w:t>2.采购代理机构信息</w:t>
      </w:r>
    </w:p>
    <w:p>
      <w:pPr>
        <w:pStyle w:val="null3"/>
        <w:ind w:firstLine="480"/>
      </w:pPr>
      <w:r>
        <w:rPr/>
        <w:t>名称：</w:t>
      </w:r>
      <w:r>
        <w:rPr/>
        <w:t>广东星建项目管理有限公司</w:t>
      </w:r>
    </w:p>
    <w:p>
      <w:pPr>
        <w:pStyle w:val="null3"/>
        <w:ind w:firstLine="480"/>
      </w:pPr>
      <w:r>
        <w:rPr/>
        <w:t xml:space="preserve"> 地址：</w:t>
      </w:r>
      <w:r>
        <w:rPr/>
        <w:t>佛山市南海区桂城街道简平路1号天安南海数码新城3栋510室</w:t>
      </w:r>
    </w:p>
    <w:p>
      <w:pPr>
        <w:pStyle w:val="null3"/>
        <w:ind w:firstLine="480"/>
      </w:pPr>
      <w:r>
        <w:rPr/>
        <w:t xml:space="preserve"> 联系方式：</w:t>
      </w:r>
      <w:r>
        <w:rPr/>
        <w:t>0757-86322820</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0757-86322820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广东星建项目管理有限公司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（一）服务范围</w:t>
      </w:r>
    </w:p>
    <w:p>
      <w:pPr>
        <w:pStyle w:val="null3"/>
        <w:ind w:firstLine="420"/>
      </w:pPr>
      <w:r>
        <w:rPr>
          <w:sz w:val="21"/>
        </w:rPr>
        <w:t>狮山镇官窑片区服务面积约</w:t>
      </w:r>
      <w:r>
        <w:rPr>
          <w:sz w:val="21"/>
        </w:rPr>
        <w:t>1110</w:t>
      </w:r>
      <w:r>
        <w:rPr>
          <w:sz w:val="21"/>
        </w:rPr>
        <w:t>万平方米，小塘片区服务面积</w:t>
      </w:r>
      <w:r>
        <w:rPr>
          <w:sz w:val="21"/>
        </w:rPr>
        <w:t>2056</w:t>
      </w:r>
      <w:r>
        <w:rPr>
          <w:sz w:val="21"/>
        </w:rPr>
        <w:t>万平方米，罗村片区服务面积约</w:t>
      </w:r>
      <w:r>
        <w:rPr>
          <w:sz w:val="21"/>
        </w:rPr>
        <w:t>1529</w:t>
      </w:r>
      <w:r>
        <w:rPr>
          <w:sz w:val="21"/>
        </w:rPr>
        <w:t>万平方米，松岗大圃片区服务面积</w:t>
      </w:r>
      <w:r>
        <w:rPr>
          <w:sz w:val="21"/>
        </w:rPr>
        <w:t>2714</w:t>
      </w:r>
      <w:r>
        <w:rPr>
          <w:sz w:val="21"/>
        </w:rPr>
        <w:t>万平方米。</w:t>
      </w:r>
    </w:p>
    <w:p>
      <w:pPr>
        <w:pStyle w:val="null3"/>
      </w:pPr>
      <w:r>
        <w:rPr>
          <w:sz w:val="21"/>
          <w:b/>
        </w:rPr>
        <w:t>（二）服务要求</w:t>
      </w:r>
    </w:p>
    <w:p>
      <w:pPr>
        <w:pStyle w:val="null3"/>
      </w:pPr>
      <w:r>
        <w:rPr>
          <w:sz w:val="21"/>
        </w:rPr>
        <w:t>1</w:t>
      </w:r>
      <w:r>
        <w:rPr>
          <w:sz w:val="21"/>
        </w:rPr>
        <w:t>、灭杀范围</w:t>
      </w:r>
    </w:p>
    <w:p>
      <w:pPr>
        <w:pStyle w:val="null3"/>
        <w:ind w:firstLine="420"/>
      </w:pPr>
      <w:r>
        <w:rPr>
          <w:sz w:val="21"/>
        </w:rPr>
        <w:t>本项目承包的作业区域是指</w:t>
      </w:r>
    </w:p>
    <w:p>
      <w:pPr>
        <w:pStyle w:val="null3"/>
        <w:ind w:firstLine="420"/>
      </w:pPr>
      <w:r>
        <w:rPr>
          <w:sz w:val="21"/>
        </w:rPr>
        <w:t>(1)</w:t>
      </w:r>
      <w:r>
        <w:rPr>
          <w:sz w:val="21"/>
        </w:rPr>
        <w:t>城市社区、产业社区辖区内没有规范落实物业管理的小区、公共街区、绿地、绿篱等公共区域。</w:t>
      </w:r>
    </w:p>
    <w:p>
      <w:pPr>
        <w:pStyle w:val="null3"/>
        <w:ind w:firstLine="420"/>
      </w:pPr>
      <w:r>
        <w:rPr>
          <w:sz w:val="21"/>
        </w:rPr>
        <w:t>(2)</w:t>
      </w:r>
      <w:r>
        <w:rPr>
          <w:sz w:val="21"/>
        </w:rPr>
        <w:t>城市社区、产业社区辖区内的闲置地、公共水体、市政道路系统（含附属的树木、绿地、绿篱、沉沙井、收水口等设施）。</w:t>
      </w:r>
    </w:p>
    <w:p>
      <w:pPr>
        <w:pStyle w:val="null3"/>
      </w:pPr>
      <w:r>
        <w:rPr>
          <w:sz w:val="21"/>
        </w:rPr>
        <w:t>2</w:t>
      </w:r>
      <w:r>
        <w:rPr>
          <w:sz w:val="21"/>
        </w:rPr>
        <w:t>、作业要求</w:t>
      </w:r>
    </w:p>
    <w:p>
      <w:pPr>
        <w:pStyle w:val="null3"/>
      </w:pPr>
      <w:r>
        <w:rPr>
          <w:sz w:val="21"/>
        </w:rPr>
        <w:t>（</w:t>
      </w:r>
      <w:r>
        <w:rPr>
          <w:sz w:val="21"/>
        </w:rPr>
        <w:t>1</w:t>
      </w:r>
      <w:r>
        <w:rPr>
          <w:sz w:val="21"/>
        </w:rPr>
        <w:t>）灭鼠</w:t>
      </w:r>
    </w:p>
    <w:p>
      <w:pPr>
        <w:pStyle w:val="null3"/>
      </w:pPr>
      <w:r>
        <w:rPr>
          <w:sz w:val="21"/>
        </w:rPr>
        <w:t>①公共区域每两月全面饱和投放毒饵一次；</w:t>
      </w:r>
    </w:p>
    <w:p>
      <w:pPr>
        <w:pStyle w:val="null3"/>
      </w:pPr>
      <w:r>
        <w:rPr>
          <w:sz w:val="21"/>
        </w:rPr>
        <w:t>②公共区域在每两月饱和投饵的基础上，按需补谷，吃多少，补多少，及时清理鼠迹及适口性较差的毒饵；</w:t>
      </w:r>
    </w:p>
    <w:p>
      <w:pPr>
        <w:pStyle w:val="null3"/>
      </w:pPr>
      <w:r>
        <w:rPr>
          <w:sz w:val="21"/>
        </w:rPr>
        <w:t>③公共区域每月填塞鼠洞两次；</w:t>
      </w:r>
    </w:p>
    <w:p>
      <w:pPr>
        <w:pStyle w:val="null3"/>
      </w:pPr>
      <w:r>
        <w:rPr>
          <w:sz w:val="21"/>
        </w:rPr>
        <w:t>④及时检查鼠屋，保持鼠屋固定良好及标识清楚。</w:t>
      </w:r>
    </w:p>
    <w:p>
      <w:pPr>
        <w:pStyle w:val="null3"/>
      </w:pPr>
      <w:r>
        <w:rPr>
          <w:sz w:val="21"/>
        </w:rPr>
        <w:t>（</w:t>
      </w:r>
      <w:r>
        <w:rPr>
          <w:sz w:val="21"/>
        </w:rPr>
        <w:t>2</w:t>
      </w:r>
      <w:r>
        <w:rPr>
          <w:sz w:val="21"/>
        </w:rPr>
        <w:t>）灭蚊</w:t>
      </w:r>
    </w:p>
    <w:p>
      <w:pPr>
        <w:pStyle w:val="null3"/>
      </w:pPr>
      <w:r>
        <w:rPr>
          <w:sz w:val="21"/>
        </w:rPr>
        <w:t>①对公共区域如闲置地，居民楼周边环境，非物业管理小区天台、花园等孳生地每月检查治理两次；大、中型水体每周检查一次，发现幼虫孳生立即施药。</w:t>
      </w:r>
    </w:p>
    <w:p>
      <w:pPr>
        <w:pStyle w:val="null3"/>
      </w:pPr>
      <w:r>
        <w:rPr>
          <w:sz w:val="21"/>
        </w:rPr>
        <w:t>②对居民住宅区及人流密集区域、收水口、沉沙井投放苏云金杆菌生物制剂或倍硫磷灭蚴砂袋等长效缓释剂，平均每二个月更换一次，控制蚊幼虫孳生。</w:t>
      </w:r>
    </w:p>
    <w:p>
      <w:pPr>
        <w:pStyle w:val="null3"/>
      </w:pPr>
      <w:r>
        <w:rPr>
          <w:sz w:val="21"/>
        </w:rPr>
        <w:t>③对外环境容器积水，以清除积水，翻转容器等环境处理为首要方式。</w:t>
      </w:r>
    </w:p>
    <w:p>
      <w:pPr>
        <w:pStyle w:val="null3"/>
      </w:pPr>
      <w:r>
        <w:rPr>
          <w:sz w:val="21"/>
        </w:rPr>
        <w:t>④下水道烟熏灭蚊：结合投放长效缓释剂，平均每月对外环境的下水道进行一次热烟雾处理。</w:t>
      </w:r>
    </w:p>
    <w:p>
      <w:pPr>
        <w:pStyle w:val="null3"/>
      </w:pPr>
      <w:r>
        <w:rPr>
          <w:sz w:val="21"/>
        </w:rPr>
        <w:t>⑤公共区域的外环境，平均每月空间消杀两次。</w:t>
      </w:r>
    </w:p>
    <w:p>
      <w:pPr>
        <w:pStyle w:val="null3"/>
      </w:pPr>
      <w:r>
        <w:rPr>
          <w:sz w:val="21"/>
        </w:rPr>
        <w:t>⑥对居民楼周边环境、非物业管理小区的落水巷、楼梯间、楼顶天台、花园杂物堆放处、绿化带等藏蚊地、孳生地进行重点处理，同时灭杀成蚊，平均每月两次。</w:t>
      </w:r>
    </w:p>
    <w:p>
      <w:pPr>
        <w:pStyle w:val="null3"/>
      </w:pPr>
      <w:r>
        <w:rPr>
          <w:sz w:val="21"/>
        </w:rPr>
        <w:t>⑦对公共区域的闲置地、市政道路、公共街区、非物业管理小区的草丛，绿化带、树木、杂物堆等蚊虫藏身地、孳生地进行处理并灭杀成蚊，平均每月两次。</w:t>
      </w:r>
    </w:p>
    <w:p>
      <w:pPr>
        <w:pStyle w:val="null3"/>
      </w:pPr>
      <w:r>
        <w:rPr>
          <w:sz w:val="21"/>
        </w:rPr>
        <w:t>⑧有条件的情况下尽量使用车载式超低容量喷雾器进行灭杀，以增强消杀效果。对车载式超低容量喷雾器未能覆盖的区域一定要用肩背式喷雾器进行消杀，不能留死角；</w:t>
      </w:r>
    </w:p>
    <w:p>
      <w:pPr>
        <w:pStyle w:val="null3"/>
      </w:pPr>
      <w:r>
        <w:rPr>
          <w:sz w:val="21"/>
        </w:rPr>
        <w:t>⑨配合疾控、爱卫等部门或其它采购人委托测评单位对承包区域开展蚊媒密度的测定。</w:t>
      </w:r>
    </w:p>
    <w:p>
      <w:pPr>
        <w:pStyle w:val="null3"/>
      </w:pPr>
      <w:r>
        <w:rPr>
          <w:sz w:val="21"/>
        </w:rPr>
        <w:t>（</w:t>
      </w:r>
      <w:r>
        <w:rPr>
          <w:sz w:val="21"/>
        </w:rPr>
        <w:t>3</w:t>
      </w:r>
      <w:r>
        <w:rPr>
          <w:sz w:val="21"/>
        </w:rPr>
        <w:t>）灭蝇</w:t>
      </w:r>
    </w:p>
    <w:p>
      <w:pPr>
        <w:pStyle w:val="null3"/>
      </w:pPr>
      <w:r>
        <w:rPr>
          <w:sz w:val="21"/>
        </w:rPr>
        <w:t>①每月对公共区域的蝇类及其孳生地检查消杀两次。</w:t>
      </w:r>
    </w:p>
    <w:p>
      <w:pPr>
        <w:pStyle w:val="null3"/>
      </w:pPr>
      <w:r>
        <w:rPr>
          <w:sz w:val="21"/>
        </w:rPr>
        <w:t>（</w:t>
      </w:r>
      <w:r>
        <w:rPr>
          <w:sz w:val="21"/>
        </w:rPr>
        <w:t>4</w:t>
      </w:r>
      <w:r>
        <w:rPr>
          <w:sz w:val="21"/>
        </w:rPr>
        <w:t>）灭蟑螂</w:t>
      </w:r>
    </w:p>
    <w:p>
      <w:pPr>
        <w:pStyle w:val="null3"/>
      </w:pPr>
      <w:r>
        <w:rPr>
          <w:sz w:val="21"/>
        </w:rPr>
        <w:t>①下水道灭蟑螂：平均每月热烟雾处理一次。</w:t>
      </w:r>
    </w:p>
    <w:p>
      <w:pPr>
        <w:pStyle w:val="null3"/>
      </w:pPr>
      <w:r>
        <w:rPr>
          <w:sz w:val="21"/>
        </w:rPr>
        <w:t>②对外环境的重点区域每月检查蟑迹并清理。</w:t>
      </w:r>
    </w:p>
    <w:p>
      <w:pPr>
        <w:pStyle w:val="null3"/>
      </w:pPr>
      <w:r>
        <w:rPr>
          <w:sz w:val="21"/>
        </w:rPr>
        <w:t>3</w:t>
      </w:r>
      <w:r>
        <w:rPr>
          <w:sz w:val="21"/>
        </w:rPr>
        <w:t>、作业质量标准</w:t>
      </w:r>
    </w:p>
    <w:p>
      <w:pPr>
        <w:pStyle w:val="null3"/>
      </w:pPr>
      <w:r>
        <w:rPr>
          <w:sz w:val="21"/>
        </w:rPr>
        <w:t>参照《中华人民共和国国家标准</w:t>
      </w:r>
      <w:r>
        <w:rPr>
          <w:sz w:val="21"/>
        </w:rPr>
        <w:t>GB/T27773-2011</w:t>
      </w:r>
      <w:r>
        <w:rPr>
          <w:sz w:val="21"/>
        </w:rPr>
        <w:t>》及结合本项目实际，确定四害防控水平指标：</w:t>
      </w:r>
    </w:p>
    <w:p>
      <w:pPr>
        <w:pStyle w:val="null3"/>
      </w:pPr>
      <w:r>
        <w:rPr>
          <w:sz w:val="21"/>
        </w:rPr>
        <w:t>（</w:t>
      </w:r>
      <w:r>
        <w:rPr>
          <w:sz w:val="21"/>
        </w:rPr>
        <w:t>1</w:t>
      </w:r>
      <w:r>
        <w:rPr>
          <w:sz w:val="21"/>
        </w:rPr>
        <w:t>）灭鼠标准：</w:t>
      </w:r>
    </w:p>
    <w:p>
      <w:pPr>
        <w:pStyle w:val="null3"/>
      </w:pPr>
      <w:r>
        <w:rPr>
          <w:sz w:val="21"/>
        </w:rPr>
        <w:t xml:space="preserve">①不同类型的外环境每 </w:t>
      </w:r>
      <w:r>
        <w:rPr>
          <w:sz w:val="21"/>
        </w:rPr>
        <w:t xml:space="preserve">1000 </w:t>
      </w:r>
      <w:r>
        <w:rPr>
          <w:sz w:val="21"/>
        </w:rPr>
        <w:t xml:space="preserve">米鼠迹累计少于或等于 </w:t>
      </w:r>
      <w:r>
        <w:rPr>
          <w:sz w:val="21"/>
        </w:rPr>
        <w:t xml:space="preserve">5 </w:t>
      </w:r>
      <w:r>
        <w:rPr>
          <w:sz w:val="21"/>
        </w:rPr>
        <w:t>处；</w:t>
      </w:r>
    </w:p>
    <w:p>
      <w:pPr>
        <w:pStyle w:val="null3"/>
      </w:pPr>
      <w:r>
        <w:rPr>
          <w:sz w:val="21"/>
        </w:rPr>
        <w:t>（</w:t>
      </w:r>
      <w:r>
        <w:rPr>
          <w:sz w:val="21"/>
        </w:rPr>
        <w:t>2</w:t>
      </w:r>
      <w:r>
        <w:rPr>
          <w:sz w:val="21"/>
        </w:rPr>
        <w:t>）灭蚊标准：</w:t>
      </w:r>
    </w:p>
    <w:p>
      <w:pPr>
        <w:pStyle w:val="null3"/>
      </w:pPr>
      <w:r>
        <w:rPr>
          <w:sz w:val="21"/>
        </w:rPr>
        <w:t xml:space="preserve">①小型积水路径指数小于或等于 </w:t>
      </w:r>
      <w:r>
        <w:rPr>
          <w:sz w:val="21"/>
        </w:rPr>
        <w:t>0.8</w:t>
      </w:r>
      <w:r>
        <w:rPr>
          <w:sz w:val="21"/>
        </w:rPr>
        <w:t>；</w:t>
      </w:r>
    </w:p>
    <w:p>
      <w:pPr>
        <w:pStyle w:val="null3"/>
      </w:pPr>
      <w:r>
        <w:rPr>
          <w:sz w:val="21"/>
        </w:rPr>
        <w:t xml:space="preserve">②大中型水体，用 </w:t>
      </w:r>
      <w:r>
        <w:rPr>
          <w:sz w:val="21"/>
        </w:rPr>
        <w:t xml:space="preserve">500 </w:t>
      </w:r>
      <w:r>
        <w:rPr>
          <w:sz w:val="21"/>
        </w:rPr>
        <w:t xml:space="preserve">毫升勺检查，有蚊幼虫（蛹）阳性勺不超过 </w:t>
      </w:r>
      <w:r>
        <w:rPr>
          <w:sz w:val="21"/>
        </w:rPr>
        <w:t>5</w:t>
      </w:r>
      <w:r>
        <w:rPr>
          <w:sz w:val="21"/>
        </w:rPr>
        <w:t xml:space="preserve">％，每阳性勺平均不超过 </w:t>
      </w:r>
      <w:r>
        <w:rPr>
          <w:sz w:val="21"/>
        </w:rPr>
        <w:t xml:space="preserve">8 </w:t>
      </w:r>
      <w:r>
        <w:rPr>
          <w:sz w:val="21"/>
        </w:rPr>
        <w:t>只；</w:t>
      </w:r>
    </w:p>
    <w:p>
      <w:pPr>
        <w:pStyle w:val="null3"/>
      </w:pPr>
      <w:r>
        <w:rPr>
          <w:sz w:val="21"/>
        </w:rPr>
        <w:t xml:space="preserve">③外环境蚊虫停落指数少于或等 </w:t>
      </w:r>
      <w:r>
        <w:rPr>
          <w:sz w:val="21"/>
        </w:rPr>
        <w:t>1.5</w:t>
      </w:r>
      <w:r>
        <w:rPr>
          <w:sz w:val="21"/>
        </w:rPr>
        <w:t>。</w:t>
      </w:r>
    </w:p>
    <w:p>
      <w:pPr>
        <w:pStyle w:val="null3"/>
      </w:pPr>
      <w:r>
        <w:rPr>
          <w:sz w:val="21"/>
        </w:rPr>
        <w:t>（</w:t>
      </w:r>
      <w:r>
        <w:rPr>
          <w:sz w:val="21"/>
        </w:rPr>
        <w:t>3</w:t>
      </w:r>
      <w:r>
        <w:rPr>
          <w:sz w:val="21"/>
        </w:rPr>
        <w:t xml:space="preserve">）灭蝇标准：①孳生地蝇幼虫及蛹检出率少于或等于 </w:t>
      </w:r>
      <w:r>
        <w:rPr>
          <w:sz w:val="21"/>
        </w:rPr>
        <w:t>5%</w:t>
      </w:r>
      <w:r>
        <w:rPr>
          <w:sz w:val="21"/>
        </w:rPr>
        <w:t>；</w:t>
      </w:r>
    </w:p>
    <w:p>
      <w:pPr>
        <w:pStyle w:val="null3"/>
      </w:pPr>
      <w:r>
        <w:rPr>
          <w:sz w:val="21"/>
        </w:rPr>
        <w:t>（</w:t>
      </w:r>
      <w:r>
        <w:rPr>
          <w:sz w:val="21"/>
        </w:rPr>
        <w:t>4</w:t>
      </w:r>
      <w:r>
        <w:rPr>
          <w:sz w:val="21"/>
        </w:rPr>
        <w:t>）灭蟑螂标准：</w:t>
      </w:r>
    </w:p>
    <w:p>
      <w:pPr>
        <w:pStyle w:val="null3"/>
      </w:pPr>
      <w:r>
        <w:rPr>
          <w:sz w:val="21"/>
        </w:rPr>
        <w:t xml:space="preserve">①下水道砂井、化粪池、户外堆积物折算平均每 </w:t>
      </w:r>
      <w:r>
        <w:rPr>
          <w:sz w:val="21"/>
        </w:rPr>
        <w:t xml:space="preserve">100 </w:t>
      </w:r>
      <w:r>
        <w:rPr>
          <w:sz w:val="21"/>
        </w:rPr>
        <w:t xml:space="preserve">个井口（处），有蟑螂不超过 </w:t>
      </w:r>
      <w:r>
        <w:rPr>
          <w:sz w:val="21"/>
        </w:rPr>
        <w:t xml:space="preserve">60 </w:t>
      </w:r>
      <w:r>
        <w:rPr>
          <w:sz w:val="21"/>
        </w:rPr>
        <w:t>只。</w:t>
      </w:r>
    </w:p>
    <w:p>
      <w:pPr>
        <w:pStyle w:val="null3"/>
      </w:pPr>
      <w:r>
        <w:rPr>
          <w:sz w:val="21"/>
        </w:rPr>
        <w:t>4</w:t>
      </w:r>
      <w:r>
        <w:rPr>
          <w:sz w:val="21"/>
        </w:rPr>
        <w:t>、人员要求</w:t>
      </w:r>
    </w:p>
    <w:p>
      <w:pPr>
        <w:pStyle w:val="null3"/>
      </w:pPr>
      <w:r>
        <w:rPr>
          <w:sz w:val="21"/>
        </w:rPr>
        <w:t>在本项目承包期间，服务方按项目要求长期派驻工作人员不少于</w:t>
      </w:r>
      <w:r>
        <w:rPr>
          <w:sz w:val="21"/>
        </w:rPr>
        <w:t xml:space="preserve">6 </w:t>
      </w:r>
      <w:r>
        <w:rPr>
          <w:sz w:val="21"/>
        </w:rPr>
        <w:t xml:space="preserve">人（工作人员持有病媒生物防治（制）员或有害生物防治（制）员资格证上岗）， 其中项目管理人员不少于 </w:t>
      </w:r>
      <w:r>
        <w:rPr>
          <w:sz w:val="21"/>
        </w:rPr>
        <w:t xml:space="preserve">1 </w:t>
      </w:r>
      <w:r>
        <w:rPr>
          <w:sz w:val="21"/>
        </w:rPr>
        <w:t xml:space="preserve">人，一线作业人员不少于 </w:t>
      </w:r>
      <w:r>
        <w:rPr>
          <w:sz w:val="21"/>
        </w:rPr>
        <w:t xml:space="preserve">5 </w:t>
      </w:r>
      <w:r>
        <w:rPr>
          <w:sz w:val="21"/>
        </w:rPr>
        <w:t>人。</w:t>
      </w:r>
    </w:p>
    <w:p>
      <w:pPr>
        <w:pStyle w:val="null3"/>
      </w:pPr>
      <w:r>
        <w:rPr>
          <w:sz w:val="21"/>
        </w:rPr>
        <w:t>5</w:t>
      </w:r>
      <w:r>
        <w:rPr>
          <w:sz w:val="21"/>
        </w:rPr>
        <w:t>、设备要求</w:t>
      </w:r>
    </w:p>
    <w:p>
      <w:pPr>
        <w:pStyle w:val="null3"/>
      </w:pPr>
      <w:r>
        <w:rPr>
          <w:sz w:val="21"/>
        </w:rPr>
        <w:t>皮卡小货车或</w:t>
      </w:r>
      <w:r>
        <w:rPr>
          <w:sz w:val="21"/>
        </w:rPr>
        <w:t xml:space="preserve">1.25T </w:t>
      </w:r>
      <w:r>
        <w:rPr>
          <w:sz w:val="21"/>
        </w:rPr>
        <w:t xml:space="preserve">小货车不少于 </w:t>
      </w:r>
      <w:r>
        <w:rPr>
          <w:sz w:val="21"/>
        </w:rPr>
        <w:t xml:space="preserve">1 </w:t>
      </w:r>
      <w:r>
        <w:rPr>
          <w:sz w:val="21"/>
        </w:rPr>
        <w:t xml:space="preserve">辆，热烟雾机不少于 </w:t>
      </w:r>
      <w:r>
        <w:rPr>
          <w:sz w:val="21"/>
        </w:rPr>
        <w:t>3</w:t>
      </w:r>
      <w:r>
        <w:rPr>
          <w:sz w:val="21"/>
        </w:rPr>
        <w:t xml:space="preserve">台，肩背式燃油动力喷雾机不少于 </w:t>
      </w:r>
      <w:r>
        <w:rPr>
          <w:sz w:val="21"/>
        </w:rPr>
        <w:t xml:space="preserve">3 </w:t>
      </w:r>
      <w:r>
        <w:rPr>
          <w:sz w:val="21"/>
        </w:rPr>
        <w:t xml:space="preserve">台，背负式超低容量喷雾机不少于 </w:t>
      </w:r>
      <w:r>
        <w:rPr>
          <w:sz w:val="21"/>
        </w:rPr>
        <w:t xml:space="preserve">3 </w:t>
      </w:r>
      <w:r>
        <w:rPr>
          <w:sz w:val="21"/>
        </w:rPr>
        <w:t xml:space="preserve">台，车载式燃油动力超低容量喷雾机不少于 </w:t>
      </w:r>
      <w:r>
        <w:rPr>
          <w:sz w:val="21"/>
        </w:rPr>
        <w:t xml:space="preserve">1 </w:t>
      </w:r>
      <w:r>
        <w:rPr>
          <w:sz w:val="21"/>
        </w:rPr>
        <w:t>台。</w:t>
      </w:r>
    </w:p>
    <w:p>
      <w:pPr>
        <w:pStyle w:val="null3"/>
      </w:pPr>
      <w:r>
        <w:rPr>
          <w:sz w:val="21"/>
        </w:rPr>
        <w:t>6</w:t>
      </w:r>
      <w:r>
        <w:rPr>
          <w:sz w:val="21"/>
        </w:rPr>
        <w:t>、其他要求</w:t>
      </w:r>
    </w:p>
    <w:p>
      <w:pPr>
        <w:pStyle w:val="null3"/>
      </w:pPr>
      <w:r>
        <w:rPr>
          <w:sz w:val="21"/>
        </w:rPr>
        <w:t>（</w:t>
      </w:r>
      <w:r>
        <w:rPr>
          <w:sz w:val="21"/>
        </w:rPr>
        <w:t>1</w:t>
      </w:r>
      <w:r>
        <w:rPr>
          <w:sz w:val="21"/>
        </w:rPr>
        <w:t>）安全用药要求</w:t>
      </w:r>
    </w:p>
    <w:p>
      <w:pPr>
        <w:pStyle w:val="null3"/>
      </w:pPr>
      <w:r>
        <w:rPr>
          <w:sz w:val="21"/>
        </w:rPr>
        <w:t>①不使用国家禁用或伪劣的除四害药物，禁用毒鼠强、敌敌畏等剧毒药物，合理配置、轮换用药，不污染环境，不造成人、畜、禽和鱼类及有益生物的中毒事故。</w:t>
      </w:r>
    </w:p>
    <w:p>
      <w:pPr>
        <w:pStyle w:val="null3"/>
      </w:pPr>
      <w:r>
        <w:rPr>
          <w:sz w:val="21"/>
        </w:rPr>
        <w:t>②药物、器械、施药方法三者要相匹配，灭蚊空间喷杀要求按说明书指引用药以减缓蚊虫抗药性产生。</w:t>
      </w:r>
    </w:p>
    <w:p>
      <w:pPr>
        <w:pStyle w:val="null3"/>
      </w:pPr>
      <w:r>
        <w:rPr>
          <w:sz w:val="21"/>
        </w:rPr>
        <w:t>③药品采购必须有合法来源证明和“三证”齐全（相关票据证明需整理归档备查）。</w:t>
      </w:r>
    </w:p>
    <w:p>
      <w:pPr>
        <w:pStyle w:val="null3"/>
      </w:pPr>
      <w:r>
        <w:rPr>
          <w:sz w:val="21"/>
        </w:rPr>
        <w:t>（</w:t>
      </w:r>
      <w:r>
        <w:rPr>
          <w:sz w:val="21"/>
        </w:rPr>
        <w:t>2</w:t>
      </w:r>
      <w:r>
        <w:rPr>
          <w:sz w:val="21"/>
        </w:rPr>
        <w:t>）重视个人防护及作业安全</w:t>
      </w:r>
    </w:p>
    <w:p>
      <w:pPr>
        <w:pStyle w:val="null3"/>
      </w:pPr>
      <w:r>
        <w:rPr>
          <w:sz w:val="21"/>
        </w:rPr>
        <w:t>①根据自身实际，制定切实可行的除四害常规工作流程，严格要求员工按工作规章执行。</w:t>
      </w:r>
    </w:p>
    <w:p>
      <w:pPr>
        <w:pStyle w:val="null3"/>
      </w:pPr>
      <w:r>
        <w:rPr>
          <w:sz w:val="21"/>
        </w:rPr>
        <w:t>②每年组织在岗人员开展职业健康体检。</w:t>
      </w:r>
    </w:p>
    <w:p>
      <w:pPr>
        <w:pStyle w:val="null3"/>
      </w:pPr>
      <w:r>
        <w:rPr>
          <w:sz w:val="21"/>
        </w:rPr>
        <w:t>③注重员工防护，要求工作服、手套、口罩等防护措施穿戴齐全方能作业。</w:t>
      </w:r>
    </w:p>
    <w:p>
      <w:pPr>
        <w:pStyle w:val="null3"/>
      </w:pPr>
      <w:r>
        <w:rPr>
          <w:sz w:val="21"/>
        </w:rPr>
        <w:t>④热烟雾机下水道烟熏时应先开盖通风并使用施药盖密封作业。</w:t>
      </w:r>
    </w:p>
    <w:p>
      <w:pPr>
        <w:pStyle w:val="null3"/>
      </w:pPr>
      <w:r>
        <w:rPr>
          <w:sz w:val="21"/>
        </w:rPr>
        <w:t>（</w:t>
      </w:r>
      <w:r>
        <w:rPr>
          <w:sz w:val="21"/>
        </w:rPr>
        <w:t>3</w:t>
      </w:r>
      <w:r>
        <w:rPr>
          <w:sz w:val="21"/>
        </w:rPr>
        <w:t>）有反应及时的应急服务体系</w:t>
      </w:r>
    </w:p>
    <w:p>
      <w:pPr>
        <w:pStyle w:val="null3"/>
      </w:pPr>
      <w:r>
        <w:rPr>
          <w:sz w:val="21"/>
        </w:rPr>
        <w:t>①在项目承包期间，要求在本片区范围内具有固定的办公场所（含办公室，药物、器械仓库），并且必须按要求在本片区长期派驻工作人员，随时接受采购人调动。</w:t>
      </w:r>
    </w:p>
    <w:p>
      <w:pPr>
        <w:pStyle w:val="null3"/>
      </w:pPr>
      <w:r>
        <w:rPr>
          <w:sz w:val="21"/>
        </w:rPr>
        <w:t>②必须组建公共突发应急队伍，制定四害消杀应急方案。在发生公共突发事件，需要进行应急消杀时，必须无条件配合政府落实应急消杀工作。</w:t>
      </w:r>
    </w:p>
    <w:p>
      <w:pPr>
        <w:pStyle w:val="null3"/>
      </w:pPr>
      <w:r>
        <w:rPr>
          <w:sz w:val="21"/>
        </w:rPr>
        <w:t>③如出现突发事件或宣传、演练等紧急任务，必须在任何时间无条件服从采购人安排。</w:t>
      </w:r>
    </w:p>
    <w:p>
      <w:pPr>
        <w:pStyle w:val="null3"/>
      </w:pPr>
      <w:r>
        <w:rPr>
          <w:sz w:val="21"/>
        </w:rPr>
        <w:t>（</w:t>
      </w:r>
      <w:r>
        <w:rPr>
          <w:sz w:val="21"/>
        </w:rPr>
        <w:t>4</w:t>
      </w:r>
      <w:r>
        <w:rPr>
          <w:sz w:val="21"/>
        </w:rPr>
        <w:t>）有计划开展工作，定期汇报工作情况</w:t>
      </w:r>
    </w:p>
    <w:p>
      <w:pPr>
        <w:pStyle w:val="null3"/>
      </w:pPr>
      <w:r>
        <w:rPr>
          <w:sz w:val="21"/>
        </w:rPr>
        <w:t>①须制定详细的除四害工作计划及除四害作业人员防护方案，其中除四害计划至少应包括工作方法、技术方案、工作目标等。做好工作记录，季度总结，建立施药服务档案，做好资料收集、整理归档， 并于每季度考核时将相关作业资料交采购人查核。</w:t>
      </w:r>
    </w:p>
    <w:p>
      <w:pPr>
        <w:pStyle w:val="null3"/>
      </w:pPr>
      <w:r>
        <w:rPr>
          <w:sz w:val="21"/>
        </w:rPr>
        <w:t xml:space="preserve">②须按采购人要求做好各种规范的监测记录，每季度第一个月 </w:t>
      </w:r>
      <w:r>
        <w:rPr>
          <w:sz w:val="21"/>
        </w:rPr>
        <w:t xml:space="preserve">10 </w:t>
      </w:r>
      <w:r>
        <w:rPr>
          <w:sz w:val="21"/>
        </w:rPr>
        <w:t>号前将上一季度的监测记录交采购人查核。</w:t>
      </w:r>
    </w:p>
    <w:p>
      <w:pPr>
        <w:pStyle w:val="null3"/>
      </w:pPr>
      <w:r>
        <w:rPr>
          <w:sz w:val="21"/>
        </w:rPr>
        <w:t>③采购人有权要求提交与本项目有关的数据和资料，以及有权变更提交时间，须无条件服从。</w:t>
      </w:r>
    </w:p>
    <w:p>
      <w:pPr>
        <w:pStyle w:val="null3"/>
      </w:pPr>
      <w:r>
        <w:rPr>
          <w:sz w:val="21"/>
        </w:rPr>
        <w:t>（</w:t>
      </w:r>
      <w:r>
        <w:rPr>
          <w:sz w:val="21"/>
        </w:rPr>
        <w:t>5</w:t>
      </w:r>
      <w:r>
        <w:rPr>
          <w:sz w:val="21"/>
        </w:rPr>
        <w:t>）作业质量监督</w:t>
      </w:r>
    </w:p>
    <w:p>
      <w:pPr>
        <w:pStyle w:val="null3"/>
      </w:pPr>
      <w:r>
        <w:rPr>
          <w:sz w:val="21"/>
        </w:rPr>
        <w:t xml:space="preserve">①建立并落实详细的内部作业质量监督机制及奖罚机制，每月不少于 </w:t>
      </w:r>
      <w:r>
        <w:rPr>
          <w:sz w:val="21"/>
        </w:rPr>
        <w:t>2</w:t>
      </w:r>
      <w:r>
        <w:rPr>
          <w:sz w:val="21"/>
        </w:rPr>
        <w:t>次自查。</w:t>
      </w:r>
    </w:p>
    <w:p>
      <w:pPr>
        <w:pStyle w:val="null3"/>
      </w:pPr>
      <w:r>
        <w:rPr>
          <w:sz w:val="21"/>
        </w:rPr>
        <w:t xml:space="preserve">②每天下班前通过手机短信、微信等方式向采购人报送下一工作日的作业地点及方式，如有特殊原因更改作业地点的，必须在下一工作日上午 </w:t>
      </w:r>
      <w:r>
        <w:rPr>
          <w:sz w:val="21"/>
        </w:rPr>
        <w:t xml:space="preserve">8 </w:t>
      </w:r>
      <w:r>
        <w:rPr>
          <w:sz w:val="21"/>
        </w:rPr>
        <w:t>时前及时通知采购人。每天及时将当天工作动态图片及文字说明发送至采购人。</w:t>
      </w:r>
    </w:p>
    <w:p>
      <w:pPr>
        <w:pStyle w:val="null3"/>
      </w:pPr>
      <w:r>
        <w:rPr>
          <w:sz w:val="21"/>
        </w:rPr>
        <w:t>③服务期内，采购人将不定期对成交供应商的作业质量进行巡视检查，巡视检查过程中涉及的检查工具、巡查车辆（1辆）等由成交供应商在签订合同后10个日历天内提供，该部分费用已包含在报价中，采购人不另行支付。</w:t>
      </w:r>
    </w:p>
    <w:p>
      <w:pPr>
        <w:pStyle w:val="null3"/>
      </w:pPr>
      <w:r>
        <w:rPr>
          <w:sz w:val="21"/>
          <w:b/>
        </w:rPr>
        <w:t>（三）考核标准</w:t>
      </w:r>
    </w:p>
    <w:tbl>
      <w:tblPr>
        <w:tblW w:w="0" w:type="auto"/>
        <w:tblBorders>
          <w:top w:val="none" w:color="000000" w:sz="4"/>
          <w:left w:val="none" w:color="000000" w:sz="4"/>
          <w:bottom w:val="none" w:color="000000" w:sz="4"/>
          <w:right w:val="none" w:color="000000" w:sz="4"/>
          <w:insideH w:val="none"/>
          <w:insideV w:val="none"/>
        </w:tblBorders>
      </w:tblPr>
      <w:tblGrid>
        <w:gridCol w:w="918"/>
        <w:gridCol w:w="677"/>
        <w:gridCol w:w="5492"/>
        <w:gridCol w:w="1219"/>
      </w:tblGrid>
      <w:tr>
        <w:tc>
          <w:tcPr>
            <w:tcW w:type="dxa" w:w="830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随机抽检考核细则</w:t>
            </w:r>
          </w:p>
        </w:tc>
      </w:tr>
      <w:tr>
        <w:tc>
          <w:tcPr>
            <w:tcW w:type="dxa" w:w="15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5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考核项目</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扣款（元）</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p>
            <w:pPr>
              <w:pStyle w:val="null3"/>
              <w:jc w:val="center"/>
            </w:pPr>
            <w:r>
              <w:rPr>
                <w:sz w:val="21"/>
              </w:rPr>
              <w:t>、</w:t>
            </w:r>
          </w:p>
          <w:p>
            <w:pPr>
              <w:pStyle w:val="null3"/>
              <w:jc w:val="center"/>
            </w:pPr>
            <w:r>
              <w:rPr>
                <w:sz w:val="21"/>
              </w:rPr>
              <w:t>基</w:t>
            </w:r>
          </w:p>
          <w:p>
            <w:pPr>
              <w:pStyle w:val="null3"/>
              <w:jc w:val="center"/>
            </w:pPr>
            <w:r>
              <w:rPr>
                <w:sz w:val="21"/>
              </w:rPr>
              <w:t>本</w:t>
            </w:r>
          </w:p>
          <w:p>
            <w:pPr>
              <w:pStyle w:val="null3"/>
              <w:jc w:val="center"/>
            </w:pPr>
            <w:r>
              <w:rPr>
                <w:sz w:val="21"/>
              </w:rPr>
              <w:t>要</w:t>
            </w:r>
          </w:p>
          <w:p>
            <w:pPr>
              <w:pStyle w:val="null3"/>
              <w:jc w:val="center"/>
            </w:pPr>
            <w:r>
              <w:rPr>
                <w:sz w:val="21"/>
              </w:rPr>
              <w:t>求</w:t>
            </w: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 xml:space="preserve">按要求进行人员配置，未达要求的，每缺 </w:t>
            </w:r>
            <w:r>
              <w:rPr>
                <w:sz w:val="21"/>
              </w:rPr>
              <w:t>1</w:t>
            </w:r>
            <w:r>
              <w:rPr>
                <w:sz w:val="21"/>
              </w:rPr>
              <w:t>人次</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2. </w:t>
            </w:r>
            <w:r>
              <w:rPr>
                <w:sz w:val="21"/>
              </w:rPr>
              <w:t>按要求配置设备，未达要求的，每缺一台设备</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3. </w:t>
            </w:r>
            <w:r>
              <w:rPr>
                <w:sz w:val="21"/>
              </w:rPr>
              <w:t>按要求定期进行各项四害灭杀，未落实的，每项</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5000-10000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按要求落实滋生地调查处理，未落实的，每项</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5. </w:t>
            </w:r>
            <w:r>
              <w:rPr>
                <w:sz w:val="21"/>
              </w:rPr>
              <w:t>按采购人要求报送工作记录、季度工作总结、内部质检记录（含文字说明及带日期的照片）、用药记录、在岗人</w:t>
            </w:r>
          </w:p>
        </w:tc>
        <w:tc>
          <w:tcPr>
            <w:tcW w:type="dxa" w:w="12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6. </w:t>
            </w:r>
            <w:r>
              <w:rPr>
                <w:sz w:val="21"/>
              </w:rPr>
              <w:t>通过微信及时通知采购人下一工作日的作业地点及作业种类，同时须及时报送每天到岗照片及工作动态照片（含时间及地点）未达要求的，每次</w:t>
            </w:r>
          </w:p>
        </w:tc>
        <w:tc>
          <w:tcPr>
            <w:tcW w:type="dxa" w:w="1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提前一个工作日将作业内容告知市政部门的相关负责人</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每次作业前须先通知市政部门相关负责人，作业完成后方可由市政项目负责人签名确认，作业过程自觉接受市政工作人员的监督未达要求的，每次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9. </w:t>
            </w:r>
            <w:r>
              <w:rPr>
                <w:sz w:val="21"/>
              </w:rPr>
              <w:t>消杀过程不得使用违禁药品或无效药物，未达要求的，每次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 </w:t>
            </w:r>
            <w:r>
              <w:rPr>
                <w:sz w:val="21"/>
              </w:rPr>
              <w:t>消杀人员配备口罩、手套等防护装备齐全，未达要求的，每人每次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11. </w:t>
            </w:r>
            <w:r>
              <w:rPr>
                <w:sz w:val="21"/>
              </w:rPr>
              <w:t>消杀人员工作时穿着工作服装并戴带工作证件，未达要求的，每人</w:t>
            </w:r>
            <w:r>
              <w:rPr>
                <w:sz w:val="21"/>
              </w:rPr>
              <w:t>/</w:t>
            </w:r>
            <w:r>
              <w:rPr>
                <w:sz w:val="21"/>
              </w:rPr>
              <w:t>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r>
              <w:rPr>
                <w:sz w:val="21"/>
              </w:rPr>
              <w:t>按除四害常规流程进行安全作业，未达要求的，每项</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r>
              <w:rPr>
                <w:sz w:val="21"/>
              </w:rPr>
              <w:t>本项目在岗人员必须有职业健康体检档</w:t>
            </w:r>
          </w:p>
          <w:p>
            <w:pPr>
              <w:pStyle w:val="null3"/>
              <w:jc w:val="left"/>
            </w:pPr>
            <w:r>
              <w:rPr>
                <w:sz w:val="21"/>
              </w:rPr>
              <w:t>安，并且在有效期内（不超过</w:t>
            </w:r>
            <w:r>
              <w:rPr>
                <w:sz w:val="21"/>
              </w:rPr>
              <w:t xml:space="preserve">12 </w:t>
            </w:r>
            <w:r>
              <w:rPr>
                <w:sz w:val="21"/>
              </w:rPr>
              <w:t>个月），否则每人次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r>
              <w:rPr>
                <w:sz w:val="21"/>
              </w:rPr>
              <w:t>积极配合采购人进行应急消杀，未达要求的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3000-100</w:t>
            </w:r>
          </w:p>
          <w:p>
            <w:pPr>
              <w:pStyle w:val="null3"/>
              <w:jc w:val="center"/>
            </w:pPr>
            <w:r>
              <w:rPr>
                <w:sz w:val="21"/>
              </w:rPr>
              <w:t>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r>
              <w:rPr>
                <w:sz w:val="21"/>
              </w:rPr>
              <w:t>群众投诉、媒体负面报道或数字城管所反映的除四害存在问题，经查实负有责任的，每次（处）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100-300</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p>
            <w:pPr>
              <w:pStyle w:val="null3"/>
              <w:jc w:val="center"/>
            </w:pPr>
            <w:r>
              <w:rPr>
                <w:sz w:val="21"/>
              </w:rPr>
              <w:t>、</w:t>
            </w:r>
          </w:p>
          <w:p>
            <w:pPr>
              <w:pStyle w:val="null3"/>
              <w:jc w:val="center"/>
            </w:pPr>
            <w:r>
              <w:rPr>
                <w:sz w:val="21"/>
              </w:rPr>
              <w:t>作</w:t>
            </w:r>
          </w:p>
          <w:p>
            <w:pPr>
              <w:pStyle w:val="null3"/>
              <w:jc w:val="center"/>
            </w:pPr>
            <w:r>
              <w:rPr>
                <w:sz w:val="21"/>
              </w:rPr>
              <w:t>业</w:t>
            </w:r>
          </w:p>
          <w:p>
            <w:pPr>
              <w:pStyle w:val="null3"/>
              <w:jc w:val="center"/>
            </w:pPr>
            <w:r>
              <w:rPr>
                <w:sz w:val="21"/>
              </w:rPr>
              <w:t>效</w:t>
            </w:r>
          </w:p>
          <w:p>
            <w:pPr>
              <w:pStyle w:val="null3"/>
              <w:jc w:val="center"/>
            </w:pPr>
            <w:r>
              <w:rPr>
                <w:sz w:val="21"/>
              </w:rPr>
              <w:t>果</w:t>
            </w: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灭鼠</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合理选点投放灭鼠毒饵，未达要求的，每处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 xml:space="preserve">每两月投放毒饵每堆不少于 </w:t>
            </w:r>
            <w:r>
              <w:rPr>
                <w:sz w:val="21"/>
              </w:rPr>
              <w:t xml:space="preserve">50 </w:t>
            </w:r>
            <w:r>
              <w:rPr>
                <w:sz w:val="21"/>
              </w:rPr>
              <w:t xml:space="preserve">克，并及时补饵，每堆毒饵残留量不得少于 </w:t>
            </w:r>
            <w:r>
              <w:rPr>
                <w:sz w:val="21"/>
              </w:rPr>
              <w:t xml:space="preserve">10 </w:t>
            </w:r>
            <w:r>
              <w:rPr>
                <w:sz w:val="21"/>
              </w:rPr>
              <w:t>克，未达要求的，每处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 xml:space="preserve">及时清除鼠迹及适口性较差的鼠谷，未达要求每 </w:t>
            </w:r>
            <w:r>
              <w:rPr>
                <w:sz w:val="21"/>
              </w:rPr>
              <w:t xml:space="preserve">1 </w:t>
            </w:r>
            <w:r>
              <w:rPr>
                <w:sz w:val="21"/>
              </w:rPr>
              <w:t>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、每月一次填塞鼠洞，未达要求的，每处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、及时维护灭鼠屋、保持辖区鼠屋固定良好及标识清楚，未达要求的，每处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每两月饱和投药前知会市政及社区，未达要求的，每漏一个灭鼠屋的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 xml:space="preserve">不同类型的外环境折算每 </w:t>
            </w:r>
            <w:r>
              <w:rPr>
                <w:sz w:val="21"/>
              </w:rPr>
              <w:t xml:space="preserve">2000 </w:t>
            </w:r>
            <w:r>
              <w:rPr>
                <w:sz w:val="21"/>
              </w:rPr>
              <w:t xml:space="preserve">米鼠迹累计不超过 </w:t>
            </w:r>
            <w:r>
              <w:rPr>
                <w:sz w:val="21"/>
              </w:rPr>
              <w:t xml:space="preserve">10 </w:t>
            </w:r>
            <w:r>
              <w:rPr>
                <w:sz w:val="21"/>
              </w:rPr>
              <w:t xml:space="preserve">处，未达要求的，每超过 </w:t>
            </w:r>
            <w:r>
              <w:rPr>
                <w:sz w:val="21"/>
              </w:rPr>
              <w:t xml:space="preserve">1 </w:t>
            </w:r>
            <w:r>
              <w:rPr>
                <w:sz w:val="21"/>
              </w:rPr>
              <w:t>处（可按比例折算检查）</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积水沉沙井按要求放置灭蚴砂袋并每个月更换一次，更换不全面的，每处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按要求对小区楼、居民楼周边环境、闲置绿地、绿篱地进行孳生地处理，未达要求的，每处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按要求每月进行下水道热烟雾灭蚊，遗漏的每</w:t>
            </w:r>
            <w:r>
              <w:rPr>
                <w:sz w:val="21"/>
              </w:rPr>
              <w:t xml:space="preserve">30 </w:t>
            </w:r>
            <w:r>
              <w:rPr>
                <w:sz w:val="21"/>
              </w:rPr>
              <w:t>米</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全面落实承包区域外环境灭杀成蚊，未达要求的，每处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100-1000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r>
              <w:rPr>
                <w:sz w:val="21"/>
              </w:rPr>
              <w:t>、对小区楼、居民楼周边等狭窄的外环境蚊虫藏身地进行灭杀，未达要求的，每处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100-1000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r>
              <w:rPr>
                <w:sz w:val="21"/>
              </w:rPr>
              <w:t>车载式超低容量喷雾机与肩背式喷雾机要合理搭配使用，做到不留死角，未达要求的，每处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30-100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7. </w:t>
            </w:r>
            <w:r>
              <w:rPr>
                <w:sz w:val="21"/>
              </w:rPr>
              <w:t>公共区域蚊及蚊蚴指标达标，未达要求的，每处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30-100</w:t>
            </w:r>
          </w:p>
        </w:tc>
      </w:tr>
      <w:tr>
        <w:tc>
          <w:tcPr>
            <w:tcW w:type="dxa" w:w="918"/>
            <w:vMerge/>
            <w:tcBorders>
              <w:top w:val="none" w:color="000000" w:sz="4"/>
              <w:left w:val="single" w:color="000000" w:sz="4"/>
              <w:bottom w:val="single" w:color="000000" w:sz="4"/>
              <w:right w:val="single" w:color="000000" w:sz="4"/>
            </w:tcBorders>
          </w:tcP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w:t>
            </w:r>
          </w:p>
        </w:tc>
        <w:tc>
          <w:tcPr>
            <w:tcW w:type="dxa" w:w="54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按要求每月处理蝇类孳生地，未达要求的，每处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灭蝇效果达标，未达要求的，检出率每超</w:t>
            </w:r>
            <w:r>
              <w:rPr>
                <w:sz w:val="21"/>
              </w:rPr>
              <w:t>1</w:t>
            </w:r>
            <w:r>
              <w:rPr>
                <w:sz w:val="21"/>
              </w:rPr>
              <w:t></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灭蟑</w:t>
            </w: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 xml:space="preserve">下水道、化粪池、户外堆积物平均每 </w:t>
            </w:r>
            <w:r>
              <w:rPr>
                <w:sz w:val="21"/>
              </w:rPr>
              <w:t>100</w:t>
            </w:r>
            <w:r>
              <w:rPr>
                <w:sz w:val="21"/>
              </w:rPr>
              <w:t xml:space="preserve">个井口（处），有蟑螂不超过 </w:t>
            </w:r>
            <w:r>
              <w:rPr>
                <w:sz w:val="21"/>
              </w:rPr>
              <w:t xml:space="preserve">60 </w:t>
            </w:r>
            <w:r>
              <w:rPr>
                <w:sz w:val="21"/>
              </w:rPr>
              <w:t>只，每超出</w:t>
            </w:r>
            <w:r>
              <w:rPr>
                <w:sz w:val="21"/>
              </w:rPr>
              <w:t xml:space="preserve">10 </w:t>
            </w:r>
            <w:r>
              <w:rPr>
                <w:sz w:val="21"/>
              </w:rPr>
              <w:t>只（可按比例折算检查）</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30</w:t>
            </w:r>
          </w:p>
        </w:tc>
      </w:tr>
      <w:tr>
        <w:tc>
          <w:tcPr>
            <w:tcW w:type="dxa" w:w="918"/>
            <w:vMerge/>
            <w:tcBorders>
              <w:top w:val="none" w:color="000000" w:sz="4"/>
              <w:left w:val="single" w:color="000000" w:sz="4"/>
              <w:bottom w:val="single" w:color="000000" w:sz="4"/>
              <w:right w:val="single" w:color="000000" w:sz="4"/>
            </w:tcBorders>
          </w:tcPr>
          <w:p/>
        </w:tc>
        <w:tc>
          <w:tcPr>
            <w:tcW w:type="dxa" w:w="677"/>
            <w:vMerge/>
            <w:tcBorders>
              <w:top w:val="none" w:color="000000" w:sz="4"/>
              <w:left w:val="none" w:color="000000" w:sz="4"/>
              <w:bottom w:val="single" w:color="000000" w:sz="4"/>
              <w:right w:val="single" w:color="000000" w:sz="4"/>
            </w:tcBorders>
          </w:tcPr>
          <w:p/>
        </w:tc>
        <w:tc>
          <w:tcPr>
            <w:tcW w:type="dxa" w:w="5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下水道每月烟熏一次，作业须使用密封盖作业，未达要求的，每次</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500</w:t>
            </w:r>
          </w:p>
        </w:tc>
      </w:tr>
    </w:tbl>
    <w:p>
      <w:pPr>
        <w:pStyle w:val="null3"/>
      </w:pPr>
      <w:r>
        <w:rPr/>
        <w:t>采购包1（狮山镇市政范围消杀服务项目）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年服务费分4个季度服务费进行支付，每个季度服务费按年度合同价25%的方式支付，季度服务费支付时间为下个季度的第一个月内，具体如下：季度结算金额=【（当年合同总额/12）*实际工作月数】-扣除当季度的罚款。不足一个季度的服务费用按实际服务天数支付：季度结算金额=【（当年合同总额/12）*实际工作月数】*（实际服务天数/当季度的天数合计）-扣除当季度的罚款 2、因政策性等原因需变更承包区域的，采购人有权变更承包区域面积，承包区域面积变更幅度在（±10%）（含±10%）以内的，不调整承包款，超出±10%的（不含±10%），按超出部分计算增减承包款，增加承包款的上限按当时财政政策执行，服务方必须服从。 3、收款方、出具发票方、合同乙方均必须与乙方名称一致。 4、采购人凭以下文件支付合同款： ①合同复印件； ②乙方开具等额有效的发票； ③工作记录； ④每季度工作考核记录。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1期：详见考核标准。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一、本项目投标报价应包含费用：除四害防控费、货物费、运输费、保险费、技术服务费（含联络费、培训费）、税费、验收费、不可预见费、购买药物、人工、工具等完成本服务内容所需的一切费用。本项目最高限价为3,144,118.88元（项目预算包含灭蚊防疫应急服务48次，其中官窑片、小塘片、罗村片、松岗大圃片各12次，费用共423176.88元，该部分费用按实结算，发生一次的服务费用为423176.88×中标折扣率÷48，服务范围与本项目一致。（中标折扣率=投标报价/预算金额）），供应商的报价不得超过最高限价，否则视为无效响应。 二、报价合理性：出现下列情形之一的，评标委员会可要求投标人在评标现场合理的时间内提供书面说明，必要时提交相关证明材料；投标人不能证明其报价合理性的，评标委员会应当将其作为无效投标处理：①投标报价低于全部通过符合性审查投标人的投标报价平均值50%的； ②投标报价低于通过符合性审查的次低报价投标人的投标报价50%的； ③投标报价低于最高限价45%的； ④评审委员会基于专业判断，认为供应商报价过低，有可能影响产品质量或者不能诚信履约的其他情形。</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狮山镇市政范围消杀服务项目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3,144,100.00</w:t>
            </w:r>
          </w:p>
        </w:tc>
        <w:tc>
          <w:tcPr>
            <w:tcW w:type="dxa" w:w="933"/>
          </w:tcPr>
          <w:p>
            <w:pPr>
              <w:pStyle w:val="null3"/>
              <w:jc w:val="right"/>
            </w:pPr>
            <w:r>
              <w:rPr/>
              <w:t>3,144,100.00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狮山镇市政范围消杀服务项目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1.采购代理机构：本项目是指广东星建项目管理有限公司，负责整个采购活动的组织，依法负责编制和发布磋商文件，对磋商文件拥有最终的解释权，不以任何身份出任磋商小组成员。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佛山市南海区狮山镇城建和水务办公室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作为采购代理服务费的计算基数，采用差额定率累进法计算方式。按中华人民共和国国家发展计划委员会颁发的计价格[2002]1980号、国家发展改革委[2003]857号及发改价格[2011]534号文规定的“服务类”计费标准的95%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因本项目为竞争性磋商方式，需要进行磋商和最终报价，供应商需登录广东政府采购智慧云平台项目采购系统留意响应文件澄清、磋商、最后报价等环节信息，在规定时间内完成对应的响应并加盖电子印章（未按要求进行响应，由此造成的后果由供应商自行承担）。应在规定时间内进行最后报价的，若因供应商联系方式错误未接收短信或超时未进行下一轮报价而退出磋商的，一切后果由供应商自行承担。 2、根据《佛山市南海区财政局关于印发《佛山市南海区关于进一步深化政府采购改革的意见》的通知》（南财采〔2020〕6号）的有关规定，采购代理机构将在佛山市公共资源交易中心南海分中心“交易信息”网页发布中标（成交）公告的同时一并公示成交供应商的投标文件内容，接受社会公众监督，供应商递交投标文件后视为作出以下承诺：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秘密和其他不可公开的内容。供应商须提供承诺函（格式自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广东星建项目管理有限公司</w:t>
      </w:r>
      <w:r>
        <w:rPr/>
        <w:t>代收。具体操作要求详见</w:t>
      </w:r>
      <w:r>
        <w:rPr/>
        <w:t>广东星建项目管理有限公司</w:t>
      </w:r>
      <w:r>
        <w:rPr/>
        <w:t>有关指引，递交事宜请自行咨询</w:t>
      </w:r>
      <w:r>
        <w:rPr/>
        <w:t>广东星建项目管理有限公司</w:t>
      </w:r>
      <w:r>
        <w:rPr/>
        <w:t>；请各供应商在响应文件递交截止时间前按须知前附表规定的金额递交至</w:t>
      </w:r>
      <w:r>
        <w:rPr/>
        <w:t>广东星建项目管理有限公司</w:t>
      </w:r>
      <w:r>
        <w:rPr/>
        <w:t>，到账情况以开启时</w:t>
      </w:r>
      <w:r>
        <w:rPr/>
        <w:t>广东星建项目管理有限公司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广东省公共资源交易平台（https://ygp.gdzwfw.gov.cn）、佛山市公共资源交易中心南海分中心网站（http://www.nanhai.gov.cn/fsnhq/bmdh/sydw/ggzyjyzx/jyxx/zfcg/）</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广东省公共资源交易平台（https://ygp.gdzwfw.gov.cn）、佛山市公共资源交易中心南海分中心网站（http://www.nanhai.gov.cn/fsnhq/bmdh/sydw/ggzyjyzx/jyxx/zfcg/）</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0757-86322820</w:t>
      </w:r>
    </w:p>
    <w:p>
      <w:pPr>
        <w:pStyle w:val="null3"/>
        <w:ind w:firstLine="480"/>
      </w:pPr>
      <w:r>
        <w:rPr/>
        <w:t>传真：</w:t>
      </w:r>
      <w:r>
        <w:rPr/>
        <w:t>0757-86220661</w:t>
      </w:r>
    </w:p>
    <w:p>
      <w:pPr>
        <w:pStyle w:val="null3"/>
        <w:ind w:firstLine="480"/>
      </w:pPr>
      <w:r>
        <w:rPr/>
        <w:t>邮箱：</w:t>
      </w:r>
      <w:r>
        <w:rPr/>
        <w:t>gdxjzb@163.com</w:t>
      </w:r>
    </w:p>
    <w:p>
      <w:pPr>
        <w:pStyle w:val="null3"/>
        <w:ind w:firstLine="480"/>
      </w:pPr>
      <w:r>
        <w:rPr/>
        <w:t>地址：</w:t>
      </w:r>
      <w:r>
        <w:rPr/>
        <w:t>佛山市南海区桂城街道简平路1号天安南海数码新城3栋510室</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狮山镇市政范围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广东星建项目管理有限公司</w:t>
      </w:r>
      <w:r>
        <w:rPr/>
        <w:t>统一对外发布。</w:t>
      </w:r>
    </w:p>
    <w:p>
      <w:pPr>
        <w:pStyle w:val="null3"/>
        <w:ind w:firstLine="480"/>
      </w:pPr>
      <w:r>
        <w:rPr/>
        <w:t>（2）对</w:t>
      </w:r>
      <w:r>
        <w:rPr/>
        <w:t>广东星建项目管理有限公司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采购包1（狮山镇市政范围消杀服务项目）：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采购包1（狮山镇市政范围消杀服务项目）：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提供营业执照（或事业单位法人证书或社会团体法人登记证书）等证明文件。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提供投标截止日期前12个月内任意1个月依法缴纳税收和社会保障资金的相关材料，或提供《政府采购供应商资格信用承诺函》（详见附件）。如依法免税或不需要缴纳社会保障资金的，提供相应证明材料。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资信证明要求：投标截止之日前6个月内任意一个月出具的，能够清晰反映供应商的商业信誉情况，如成立时间不足6个月的，按成立时间提供，如资信证明不能体现基本开户账户的，应另附开户许可证（无开户许可证的，可提供由银行开具的《基本存款账户信息》（公户账户主档）或其他相关证明资料，以上文件均需加盖银行章）），成立不足一年的单位可提供投标截止日前上一月份财务会计报表。或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详见附件）。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本项目投标（响应）。为采购项目提供整体设计、规范编制或者项目管理、监理、检测等服务的供应商，不得再参加本项目投标（响应）。投标（报价）函相关承诺要求内容。</w:t>
            </w:r>
          </w:p>
        </w:tc>
      </w:tr>
      <w:tr>
        <w:tc>
          <w:tcPr>
            <w:tcW w:type="dxa" w:w="890"/>
          </w:tcPr>
          <w:p>
            <w:pPr>
              <w:pStyle w:val="null3"/>
            </w:pPr>
            <w:r>
              <w:rPr/>
              <w:t>8</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响应供应商须为本项目采购标的对应行业中小企业。（注：根据《关于印发中小企业划型标准规定的通知》（工信部联企业〔2011〕300号）规定，本项目对应的中小企业划分标准所属行业为：其他未列明行业。供应商须根据自身对应的类型提供证明材料：①中小微企业参加政府采购活动时，应当提供《中小企业声明函》。②残疾人福利性单位参加政府采购活动时，应当提供《残疾人福利性单位声明函》。③监狱企业参加政府采购活动时，应当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采购包1（狮山镇市政范围消杀服务项目）：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磋商报价要求</w:t>
            </w:r>
          </w:p>
        </w:tc>
        <w:tc>
          <w:tcPr>
            <w:tcW w:type="dxa" w:w="4238"/>
          </w:tcPr>
          <w:p>
            <w:pPr>
              <w:pStyle w:val="null3"/>
            </w:pPr>
            <w:r>
              <w:rPr/>
              <w:t>响应报价是唯一确定且响应报价未超出有效报价范围</w:t>
            </w:r>
          </w:p>
        </w:tc>
      </w:tr>
      <w:tr>
        <w:tc>
          <w:tcPr>
            <w:tcW w:type="dxa" w:w="890"/>
          </w:tcPr>
          <w:p>
            <w:pPr>
              <w:pStyle w:val="null3"/>
            </w:pPr>
            <w:r>
              <w:rPr/>
              <w:t>4</w:t>
            </w:r>
          </w:p>
        </w:tc>
        <w:tc>
          <w:tcPr>
            <w:tcW w:type="dxa" w:w="3178"/>
          </w:tcPr>
          <w:p>
            <w:pPr>
              <w:pStyle w:val="null3"/>
            </w:pPr>
            <w:r>
              <w:rPr/>
              <w:t>其它</w:t>
            </w:r>
          </w:p>
        </w:tc>
        <w:tc>
          <w:tcPr>
            <w:tcW w:type="dxa" w:w="4238"/>
          </w:tcPr>
          <w:p>
            <w:pPr>
              <w:pStyle w:val="null3"/>
            </w:pPr>
            <w:r>
              <w:rPr/>
              <w:t>响应文件没有磋商文件中规定的其它无效响应条款的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采购包1(狮山镇市政范围消杀服务项目):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项目整体理解及对服务区域的熟悉程度 (12.0分)</w:t>
            </w:r>
          </w:p>
        </w:tc>
        <w:tc>
          <w:tcPr>
            <w:tcW w:type="dxa" w:w="5076"/>
          </w:tcPr>
          <w:p>
            <w:pPr>
              <w:pStyle w:val="null3"/>
              <w:jc w:val="left"/>
            </w:pPr>
            <w:r>
              <w:rPr/>
              <w:t>根据供应商对本项目状况的了解情况，对整体服务要求的解读以及对服务区域的相关规定及要求的了解程度（包括但不限于项目背景与建设目标的掌握、现场环境及实施条件的熟悉程度、重难点分析及对策等）进行评审： 1.对项目状况非常熟悉了解，分析透彻的，完全满足或优于项目需求的，得12分； 2.对项目状况比较了解，分析基本合理的，基本满足项目需求的，得7分； 3.对项目状况不够了解，分析不够合理的，部分满足项目需求的，得2分； 4.无提供描述不得分。</w:t>
            </w:r>
          </w:p>
        </w:tc>
      </w:tr>
      <w:tr>
        <w:tc>
          <w:tcPr>
            <w:tcW w:type="dxa" w:w="922"/>
            <w:gridSpan w:val="2"/>
            <w:vMerge/>
          </w:tcPr>
          <w:p/>
        </w:tc>
        <w:tc>
          <w:tcPr>
            <w:tcW w:type="dxa" w:w="2307"/>
          </w:tcPr>
          <w:p>
            <w:pPr>
              <w:pStyle w:val="null3"/>
              <w:jc w:val="left"/>
            </w:pPr>
            <w:r>
              <w:rPr/>
              <w:t>技术方案 (12.0分)</w:t>
            </w:r>
          </w:p>
        </w:tc>
        <w:tc>
          <w:tcPr>
            <w:tcW w:type="dxa" w:w="5076"/>
          </w:tcPr>
          <w:p>
            <w:pPr>
              <w:pStyle w:val="null3"/>
              <w:jc w:val="left"/>
            </w:pPr>
            <w:r>
              <w:rPr/>
              <w:t>根据供应商针对本项目的服务要求制定的消杀技术方案（包括但不限于消杀工作方案、人员安排、项目运作流程等）进行综合评审： 1.供应商针对本项目服务范围内的消杀工作制定的技术方案科学合理，可行性强，完全满足项目需求，得12分； 2.供应商针对本项目服务范围内的消杀工作制定的技术方案较科学合理，可行性较强，基本满足项目需求，得7分； 3.供应商针对本项目服务范围内的消杀工作制定的技术方案不够合理，可行性一般，部分满足项目需求，得2分； 4.无提供描述不得分。</w:t>
            </w:r>
          </w:p>
        </w:tc>
      </w:tr>
      <w:tr>
        <w:tc>
          <w:tcPr>
            <w:tcW w:type="dxa" w:w="922"/>
            <w:gridSpan w:val="2"/>
            <w:vMerge/>
          </w:tcPr>
          <w:p/>
        </w:tc>
        <w:tc>
          <w:tcPr>
            <w:tcW w:type="dxa" w:w="2307"/>
          </w:tcPr>
          <w:p>
            <w:pPr>
              <w:pStyle w:val="null3"/>
              <w:jc w:val="left"/>
            </w:pPr>
            <w:r>
              <w:rPr/>
              <w:t>人员、工具配备方案及管理制度 (12.0分)</w:t>
            </w:r>
          </w:p>
        </w:tc>
        <w:tc>
          <w:tcPr>
            <w:tcW w:type="dxa" w:w="5076"/>
          </w:tcPr>
          <w:p>
            <w:pPr>
              <w:pStyle w:val="null3"/>
              <w:jc w:val="left"/>
            </w:pPr>
            <w:r>
              <w:rPr/>
              <w:t>根据供应商针对本项目的人员、工具配备方案及管理制度（包括但不限于岗位设置与职责、人员管理制度、工具配备数量原则、工具维护与校验等）进行综合评审： 1.投入的项目服务人员及工具配备完全满足本项目需求，相关管理制度完善详尽，科学合理，可操作性强的，得12分； 2.投入的项目服务人员及工具配备基本满足本项目需求，相关管理制度较完善，较合理，可操作性强的，得7分； 3.投入的项目服务人员及工具配备部分满足本项目需求，相关管理制度一般合理，可操作性一般的，得2分； 4.无提供描述不得分。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根据供应商针对本项目的服务质量提出的质量保证措施（包括但不限于组织与制度保障、作业质量控制、作业效果评估等）进行综合评审： 1.质量检查方案、计划保障、消杀作业安全保障等质量保证措施全面、科学、合理，完全满足项目需求，得12分； 2.质量检查方案、计划保障、消杀作业安全保障等质量保证措施基本合理但不全面，基本满足项目需求，得7分； 3.质量检查方案、计划保障、消杀作业安全保障等质量保证措施不够全面，部分满足项目需求，得2分； 4.无提供描述不得分。</w:t>
            </w:r>
          </w:p>
        </w:tc>
      </w:tr>
      <w:tr>
        <w:tc>
          <w:tcPr>
            <w:tcW w:type="dxa" w:w="922"/>
            <w:gridSpan w:val="2"/>
            <w:vMerge/>
          </w:tcPr>
          <w:p/>
        </w:tc>
        <w:tc>
          <w:tcPr>
            <w:tcW w:type="dxa" w:w="2307"/>
          </w:tcPr>
          <w:p>
            <w:pPr>
              <w:pStyle w:val="null3"/>
              <w:jc w:val="left"/>
            </w:pPr>
            <w:r>
              <w:rPr/>
              <w:t>突发事件应急措施 (12.0分)</w:t>
            </w:r>
          </w:p>
        </w:tc>
        <w:tc>
          <w:tcPr>
            <w:tcW w:type="dxa" w:w="5076"/>
          </w:tcPr>
          <w:p>
            <w:pPr>
              <w:pStyle w:val="null3"/>
              <w:jc w:val="left"/>
            </w:pPr>
            <w:r>
              <w:rPr/>
              <w:t>根据供应商针对本项目可能出现的突发事件提出的应急方案（包括但不限于服务管理质量承诺、特殊情况应急处理方案、应急演练与培训等）进行评审： 1.应急、应对突发事件处理方案、措施完善、切实可行的，完全满足项目需求，得12分； 2.应急、应对突发事件处理方案、措施比较完善、切实可行，基本满足项目需求，得7分； 3.应急、应对突发事件处理方案、措施不够完善，部分满足项目需求，得2分。 4.无提供描述不得分。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(9.0分)</w:t>
            </w:r>
          </w:p>
        </w:tc>
        <w:tc>
          <w:tcPr>
            <w:tcW w:type="dxa" w:w="5076"/>
          </w:tcPr>
          <w:p>
            <w:pPr>
              <w:pStyle w:val="null3"/>
              <w:jc w:val="left"/>
            </w:pPr>
            <w:r>
              <w:rPr/>
              <w:t>2023年1月1日至今（以合同签订时间为准），供应商承接的同类型项目业绩每提供一项得3分，最高得9分。注：须提供合同关键页扫描件并加盖供应商公章，不提供不得分。</w:t>
            </w:r>
          </w:p>
        </w:tc>
      </w:tr>
      <w:tr>
        <w:tc>
          <w:tcPr>
            <w:tcW w:type="dxa" w:w="922"/>
            <w:gridSpan w:val="2"/>
            <w:vMerge/>
          </w:tcPr>
          <w:p/>
        </w:tc>
        <w:tc>
          <w:tcPr>
            <w:tcW w:type="dxa" w:w="2307"/>
          </w:tcPr>
          <w:p>
            <w:pPr>
              <w:pStyle w:val="null3"/>
              <w:jc w:val="left"/>
            </w:pPr>
            <w:r>
              <w:rPr/>
              <w:t>服务便利性 (11.0分)</w:t>
            </w:r>
          </w:p>
        </w:tc>
        <w:tc>
          <w:tcPr>
            <w:tcW w:type="dxa" w:w="5076"/>
          </w:tcPr>
          <w:p>
            <w:pPr>
              <w:pStyle w:val="null3"/>
              <w:jc w:val="left"/>
            </w:pPr>
            <w:r>
              <w:rPr/>
              <w:t>根据供应商对本项目的服务响应承诺进行评审。 1、供应商对本项目服务承诺具体、响应速度快，能完全满足本项目的要求，得11分； 2、供应商对本项目服务承诺较好、响应速度较快，满足本项目的要求，得7分； 3、供应商对本项目服务承诺一般，响应速度一般，部分满足本项目的要求，得3分。 4、无提供描述不得分。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狮山镇市政范围消杀服务</w:t>
      </w:r>
      <w:r>
        <w:rPr>
          <w:sz w:val="48"/>
          <w:b/>
        </w:rPr>
        <w:t>项目合同</w:t>
      </w:r>
    </w:p>
    <w:p>
      <w:pPr>
        <w:pStyle w:val="null3"/>
        <w:jc w:val="center"/>
      </w:pPr>
      <w:r>
        <w:rPr>
          <w:sz w:val="32"/>
          <w:b/>
        </w:rPr>
        <w:t>委托方（甲方）：</w:t>
      </w:r>
      <w:r>
        <w:rPr>
          <w:sz w:val="32"/>
          <w:b/>
          <w:u w:val="single"/>
        </w:rPr>
        <w:t>佛山市南海区</w:t>
      </w:r>
      <w:r>
        <w:rPr>
          <w:sz w:val="32"/>
          <w:b/>
          <w:u w:val="single"/>
        </w:rPr>
        <w:t>狮山镇城建和水</w:t>
      </w:r>
      <w:r>
        <w:rPr>
          <w:sz w:val="32"/>
          <w:b/>
          <w:u w:val="single"/>
        </w:rPr>
        <w:t>务</w:t>
      </w:r>
      <w:r>
        <w:rPr>
          <w:sz w:val="32"/>
          <w:b/>
          <w:u w:val="single"/>
        </w:rPr>
        <w:t>办公室</w:t>
      </w:r>
    </w:p>
    <w:p>
      <w:pPr>
        <w:pStyle w:val="null3"/>
        <w:ind w:firstLine="562"/>
        <w:jc w:val="both"/>
      </w:pPr>
      <w:r>
        <w:rPr>
          <w:sz w:val="32"/>
          <w:b/>
        </w:rPr>
        <w:t>服务方（乙方）：</w:t>
      </w:r>
      <w:r>
        <w:rPr>
          <w:sz w:val="21"/>
          <w:b/>
          <w:u w:val="single"/>
        </w:rPr>
        <w:t xml:space="preserve"> </w:t>
      </w:r>
      <w:r>
        <w:rPr>
          <w:sz w:val="21"/>
          <w:b/>
          <w:u w:val="single"/>
        </w:rPr>
        <w:t xml:space="preserve">                            </w:t>
      </w:r>
      <w:r>
        <w:rPr>
          <w:sz w:val="21"/>
          <w:b/>
          <w:u w:val="single"/>
        </w:rPr>
        <w:t xml:space="preserve">     </w:t>
      </w:r>
    </w:p>
    <w:p>
      <w:pPr>
        <w:pStyle w:val="null3"/>
        <w:jc w:val="both"/>
      </w:pPr>
      <w:r>
        <w:rPr>
          <w:sz w:val="28"/>
        </w:rPr>
        <w:t>为控制病媒有害生物，甲方委托乙方提供除</w:t>
      </w:r>
      <w:r>
        <w:rPr>
          <w:sz w:val="28"/>
        </w:rPr>
        <w:t>“四害”有偿服务，甲、乙双方本着平等、自愿的原则，经双方协商一致，按照《中华人民共和国民法典》及其他法律、法规的相关规定，签订本合同 ：</w:t>
      </w:r>
    </w:p>
    <w:p>
      <w:pPr>
        <w:pStyle w:val="null3"/>
        <w:ind w:firstLine="560"/>
        <w:jc w:val="both"/>
      </w:pPr>
      <w:r>
        <w:rPr>
          <w:sz w:val="28"/>
        </w:rPr>
        <w:t>一、</w:t>
      </w:r>
      <w:r>
        <w:rPr>
          <w:sz w:val="28"/>
        </w:rPr>
        <w:t>服务期限：</w:t>
      </w:r>
      <w:r>
        <w:rPr>
          <w:sz w:val="28"/>
        </w:rPr>
        <w:t xml:space="preserve">  </w:t>
      </w:r>
    </w:p>
    <w:p>
      <w:pPr>
        <w:pStyle w:val="null3"/>
        <w:ind w:firstLine="560"/>
        <w:jc w:val="both"/>
      </w:pPr>
      <w:r>
        <w:rPr>
          <w:sz w:val="28"/>
        </w:rPr>
        <w:t>委托服务期限</w:t>
      </w:r>
      <w:r>
        <w:rPr>
          <w:sz w:val="28"/>
        </w:rPr>
        <w:t>12个月</w:t>
      </w:r>
      <w:r>
        <w:rPr>
          <w:sz w:val="28"/>
        </w:rPr>
        <w:t>，</w:t>
      </w:r>
      <w:r>
        <w:rPr>
          <w:sz w:val="28"/>
        </w:rPr>
        <w:t>自</w:t>
      </w:r>
      <w:r>
        <w:rPr>
          <w:sz w:val="21"/>
          <w:u w:val="single"/>
        </w:rPr>
        <w:t xml:space="preserve"> </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日起至</w:t>
      </w:r>
      <w:r>
        <w:rPr>
          <w:sz w:val="21"/>
          <w:u w:val="single"/>
        </w:rPr>
        <w:t xml:space="preserve">    </w:t>
      </w:r>
      <w:r>
        <w:rPr>
          <w:sz w:val="28"/>
        </w:rPr>
        <w:t>年</w:t>
      </w:r>
      <w:r>
        <w:rPr>
          <w:sz w:val="21"/>
          <w:u w:val="single"/>
        </w:rPr>
        <w:t xml:space="preserve"> </w:t>
      </w:r>
      <w:r>
        <w:rPr>
          <w:sz w:val="21"/>
          <w:u w:val="single"/>
        </w:rPr>
        <w:t xml:space="preserve"> </w:t>
      </w:r>
      <w:r>
        <w:rPr>
          <w:sz w:val="28"/>
        </w:rPr>
        <w:t>月</w:t>
      </w:r>
      <w:r>
        <w:rPr>
          <w:sz w:val="21"/>
          <w:u w:val="single"/>
        </w:rPr>
        <w:t xml:space="preserve"> </w:t>
      </w:r>
      <w:r>
        <w:rPr>
          <w:sz w:val="21"/>
          <w:u w:val="single"/>
        </w:rPr>
        <w:t xml:space="preserve"> </w:t>
      </w:r>
      <w:r>
        <w:rPr>
          <w:sz w:val="28"/>
        </w:rPr>
        <w:t>日止。</w:t>
      </w:r>
    </w:p>
    <w:p>
      <w:pPr>
        <w:pStyle w:val="null3"/>
        <w:ind w:firstLine="560"/>
        <w:jc w:val="both"/>
      </w:pPr>
      <w:r>
        <w:rPr>
          <w:sz w:val="28"/>
        </w:rPr>
        <w:t>二、</w:t>
      </w:r>
      <w:r>
        <w:rPr>
          <w:sz w:val="28"/>
        </w:rPr>
        <w:t>服务范围：</w:t>
      </w:r>
    </w:p>
    <w:p>
      <w:pPr>
        <w:pStyle w:val="null3"/>
        <w:ind w:firstLine="560"/>
        <w:jc w:val="both"/>
      </w:pPr>
      <w:r>
        <w:rPr>
          <w:sz w:val="28"/>
        </w:rPr>
        <w:t>在合同有效期内，甲方需要乙方提供除四害服务的范围是</w:t>
      </w:r>
    </w:p>
    <w:p>
      <w:pPr>
        <w:pStyle w:val="null3"/>
        <w:ind w:firstLine="560"/>
        <w:jc w:val="both"/>
      </w:pPr>
      <w:r>
        <w:rPr>
          <w:sz w:val="28"/>
          <w:u w:val="single"/>
        </w:rPr>
        <w:t>狮山镇官窑片区服务面积约</w:t>
      </w:r>
      <w:r>
        <w:rPr>
          <w:sz w:val="28"/>
          <w:u w:val="single"/>
        </w:rPr>
        <w:t>1110万平方米，小塘片区服务面积2056万平方米，罗村片区服务面积约1529万平方米，松岗大圃片区服务面积2714万平方米。</w:t>
      </w:r>
    </w:p>
    <w:p>
      <w:pPr>
        <w:pStyle w:val="null3"/>
        <w:ind w:firstLine="560"/>
        <w:jc w:val="both"/>
      </w:pPr>
      <w:r>
        <w:rPr>
          <w:sz w:val="28"/>
        </w:rPr>
        <w:t>三、</w:t>
      </w:r>
      <w:r>
        <w:rPr>
          <w:sz w:val="28"/>
        </w:rPr>
        <w:t>服务要求：</w:t>
      </w:r>
    </w:p>
    <w:p>
      <w:pPr>
        <w:pStyle w:val="null3"/>
        <w:ind w:firstLine="560"/>
        <w:jc w:val="both"/>
      </w:pPr>
      <w:r>
        <w:rPr>
          <w:sz w:val="28"/>
        </w:rPr>
        <w:t>1、灭杀范围</w:t>
      </w:r>
    </w:p>
    <w:p>
      <w:pPr>
        <w:pStyle w:val="null3"/>
        <w:ind w:firstLine="560"/>
        <w:jc w:val="both"/>
      </w:pPr>
      <w:r>
        <w:rPr>
          <w:sz w:val="28"/>
          <w:u w:val="single"/>
        </w:rPr>
        <w:t>本项目承包的作业区域是指</w:t>
      </w:r>
      <w:r>
        <w:rPr>
          <w:sz w:val="28"/>
          <w:u w:val="single"/>
        </w:rPr>
        <w:t>(1)、城市社区、产业社区辖区内没有规范落实物业管理的小区、公共街区、绿地、绿篱等公共区域。(2)、城市社区、产业社区辖区内的闲置地、公共水体、市政道路系统（含附属的树木、绿地、绿篱、沉沙井、收水口等设施）。</w:t>
      </w:r>
    </w:p>
    <w:p>
      <w:pPr>
        <w:pStyle w:val="null3"/>
        <w:ind w:firstLine="560"/>
        <w:jc w:val="both"/>
      </w:pPr>
      <w:r>
        <w:rPr>
          <w:sz w:val="28"/>
        </w:rPr>
        <w:t>2、</w:t>
      </w:r>
      <w:r>
        <w:rPr>
          <w:sz w:val="28"/>
        </w:rPr>
        <w:t>作业要求</w:t>
      </w:r>
    </w:p>
    <w:p>
      <w:pPr>
        <w:pStyle w:val="null3"/>
        <w:ind w:firstLine="560"/>
        <w:jc w:val="both"/>
      </w:pPr>
      <w:r>
        <w:rPr>
          <w:sz w:val="28"/>
        </w:rPr>
        <w:t>（</w:t>
      </w:r>
      <w:r>
        <w:rPr>
          <w:sz w:val="28"/>
        </w:rPr>
        <w:t>1）灭鼠</w:t>
      </w:r>
    </w:p>
    <w:p>
      <w:pPr>
        <w:pStyle w:val="null3"/>
        <w:ind w:firstLine="560"/>
        <w:jc w:val="both"/>
      </w:pPr>
      <w:r>
        <w:rPr>
          <w:sz w:val="28"/>
        </w:rPr>
        <w:t>①公共区域每两月全面饱和投放毒饵一次；</w:t>
      </w:r>
    </w:p>
    <w:p>
      <w:pPr>
        <w:pStyle w:val="null3"/>
        <w:ind w:firstLine="560"/>
        <w:jc w:val="both"/>
      </w:pPr>
      <w:r>
        <w:rPr>
          <w:sz w:val="28"/>
        </w:rPr>
        <w:t>②公共区域在每两月饱和投饵的基础上，按需补谷，吃多少，补多少，及时清理鼠迹及适口性较差的毒饵；</w:t>
      </w:r>
    </w:p>
    <w:p>
      <w:pPr>
        <w:pStyle w:val="null3"/>
        <w:ind w:firstLine="560"/>
        <w:jc w:val="both"/>
      </w:pPr>
      <w:r>
        <w:rPr>
          <w:sz w:val="28"/>
        </w:rPr>
        <w:t>③公共区域每月填塞鼠洞两次；</w:t>
      </w:r>
    </w:p>
    <w:p>
      <w:pPr>
        <w:pStyle w:val="null3"/>
        <w:ind w:firstLine="560"/>
        <w:jc w:val="both"/>
      </w:pPr>
      <w:r>
        <w:rPr>
          <w:sz w:val="28"/>
        </w:rPr>
        <w:t>④及时检查鼠屋，保持鼠屋固定良好及标识清楚。</w:t>
      </w:r>
    </w:p>
    <w:p>
      <w:pPr>
        <w:pStyle w:val="null3"/>
        <w:ind w:firstLine="560"/>
        <w:jc w:val="both"/>
      </w:pPr>
      <w:r>
        <w:rPr>
          <w:sz w:val="28"/>
        </w:rPr>
        <w:t>（</w:t>
      </w:r>
      <w:r>
        <w:rPr>
          <w:sz w:val="28"/>
        </w:rPr>
        <w:t>2）灭蚊</w:t>
      </w:r>
    </w:p>
    <w:p>
      <w:pPr>
        <w:pStyle w:val="null3"/>
        <w:ind w:firstLine="560"/>
        <w:jc w:val="both"/>
      </w:pPr>
      <w:r>
        <w:rPr>
          <w:sz w:val="28"/>
        </w:rPr>
        <w:t>①对公共区域如闲置地，居民楼周边环境，非物业管理小区天台、花园等孳生地每月检查治理两次；大、中型水体每周检查一次，发现幼虫孳生立即施药。</w:t>
      </w:r>
    </w:p>
    <w:p>
      <w:pPr>
        <w:pStyle w:val="null3"/>
        <w:ind w:firstLine="560"/>
        <w:jc w:val="both"/>
      </w:pPr>
      <w:r>
        <w:rPr>
          <w:sz w:val="28"/>
        </w:rPr>
        <w:t>②对居民住宅区及人流密集区域、收水口、沉沙井</w:t>
      </w:r>
      <w:r>
        <w:rPr>
          <w:sz w:val="28"/>
        </w:rPr>
        <w:t>投</w:t>
      </w:r>
      <w:r>
        <w:rPr>
          <w:sz w:val="28"/>
        </w:rPr>
        <w:t>放</w:t>
      </w:r>
      <w:r>
        <w:rPr>
          <w:sz w:val="28"/>
        </w:rPr>
        <w:t>苏云金杆菌生物制剂或</w:t>
      </w:r>
      <w:r>
        <w:rPr>
          <w:sz w:val="28"/>
        </w:rPr>
        <w:t>倍硫磷灭蚴砂袋等长效缓释剂，平均每二个月更换一次，控制蚊幼虫孳生。</w:t>
      </w:r>
    </w:p>
    <w:p>
      <w:pPr>
        <w:pStyle w:val="null3"/>
        <w:ind w:firstLine="560"/>
        <w:jc w:val="both"/>
      </w:pPr>
      <w:r>
        <w:rPr>
          <w:sz w:val="28"/>
        </w:rPr>
        <w:t>③对外环境容器积水，以清除积水，翻转容器等环境处理为首要方式。</w:t>
      </w:r>
    </w:p>
    <w:p>
      <w:pPr>
        <w:pStyle w:val="null3"/>
        <w:ind w:firstLine="560"/>
        <w:jc w:val="both"/>
      </w:pPr>
      <w:r>
        <w:rPr>
          <w:sz w:val="28"/>
        </w:rPr>
        <w:t>④下水道烟熏灭蚊：结合</w:t>
      </w:r>
      <w:r>
        <w:rPr>
          <w:sz w:val="28"/>
        </w:rPr>
        <w:t>投</w:t>
      </w:r>
      <w:r>
        <w:rPr>
          <w:sz w:val="28"/>
        </w:rPr>
        <w:t>放长效缓释剂，平均每月对外环境的下水道进行一次热烟雾处理。</w:t>
      </w:r>
    </w:p>
    <w:p>
      <w:pPr>
        <w:pStyle w:val="null3"/>
        <w:ind w:firstLine="560"/>
        <w:jc w:val="both"/>
      </w:pPr>
      <w:r>
        <w:rPr>
          <w:sz w:val="28"/>
        </w:rPr>
        <w:t>⑤公共区域的外环境，平均每月空间消杀两次。</w:t>
      </w:r>
    </w:p>
    <w:p>
      <w:pPr>
        <w:pStyle w:val="null3"/>
        <w:ind w:firstLine="560"/>
        <w:jc w:val="both"/>
      </w:pPr>
      <w:r>
        <w:rPr>
          <w:sz w:val="28"/>
        </w:rPr>
        <w:t>⑥对居民楼周边环境、非物业管理小区的落水巷、楼梯间、楼顶天台、花园杂物堆放处、绿化带等藏蚊地、孳生地进行重点处理，同时灭杀成蚊，平均每月两次。</w:t>
      </w:r>
    </w:p>
    <w:p>
      <w:pPr>
        <w:pStyle w:val="null3"/>
        <w:ind w:firstLine="560"/>
        <w:jc w:val="both"/>
      </w:pPr>
      <w:r>
        <w:rPr>
          <w:sz w:val="28"/>
        </w:rPr>
        <w:t>⑦对公共区域的闲置地、市政道路、公共街区、非物业管理小区的草丛，绿化带、树木、杂物堆等蚊虫藏身地、孳生地进行处理并灭杀成蚊，平均每月两次。</w:t>
      </w:r>
    </w:p>
    <w:p>
      <w:pPr>
        <w:pStyle w:val="null3"/>
        <w:ind w:firstLine="560"/>
        <w:jc w:val="both"/>
      </w:pPr>
      <w:r>
        <w:rPr>
          <w:sz w:val="28"/>
        </w:rPr>
        <w:t>⑧有条件的情况下尽量使用车载式超低容量喷雾器进行灭杀，以增强消杀效果。对车载式超低容量喷雾器未能覆盖的区域一定要用肩背式喷雾器进行消杀，不能留死角；</w:t>
      </w:r>
    </w:p>
    <w:p>
      <w:pPr>
        <w:pStyle w:val="null3"/>
        <w:ind w:firstLine="560"/>
        <w:jc w:val="both"/>
      </w:pPr>
      <w:r>
        <w:rPr>
          <w:sz w:val="28"/>
        </w:rPr>
        <w:t>⑨</w:t>
      </w:r>
      <w:r>
        <w:rPr>
          <w:sz w:val="28"/>
        </w:rPr>
        <w:t>配合疾控、爱卫等部门或其它委托方委托测评单位对承包区域开展蚊媒密度的测定。</w:t>
      </w:r>
    </w:p>
    <w:p>
      <w:pPr>
        <w:pStyle w:val="null3"/>
        <w:ind w:firstLine="560"/>
        <w:jc w:val="both"/>
      </w:pPr>
      <w:r>
        <w:rPr>
          <w:sz w:val="28"/>
        </w:rPr>
        <w:t>（</w:t>
      </w:r>
      <w:r>
        <w:rPr>
          <w:sz w:val="28"/>
        </w:rPr>
        <w:t>3）灭蝇</w:t>
      </w:r>
    </w:p>
    <w:p>
      <w:pPr>
        <w:pStyle w:val="null3"/>
        <w:ind w:firstLine="560"/>
        <w:jc w:val="both"/>
      </w:pPr>
      <w:r>
        <w:rPr>
          <w:sz w:val="28"/>
        </w:rPr>
        <w:t>①每月对公共区域的蝇类及其孳生地检查消杀两次。</w:t>
      </w:r>
    </w:p>
    <w:p>
      <w:pPr>
        <w:pStyle w:val="null3"/>
        <w:ind w:firstLine="560"/>
        <w:jc w:val="both"/>
      </w:pPr>
      <w:r>
        <w:rPr>
          <w:sz w:val="28"/>
        </w:rPr>
        <w:t>（</w:t>
      </w:r>
      <w:r>
        <w:rPr>
          <w:sz w:val="28"/>
        </w:rPr>
        <w:t>4）灭蟑螂</w:t>
      </w:r>
    </w:p>
    <w:p>
      <w:pPr>
        <w:pStyle w:val="null3"/>
        <w:ind w:firstLine="560"/>
        <w:jc w:val="both"/>
      </w:pPr>
      <w:r>
        <w:rPr>
          <w:sz w:val="28"/>
        </w:rPr>
        <w:t>①下水道灭蟑螂：平均每月热烟雾处理一次。</w:t>
      </w:r>
    </w:p>
    <w:p>
      <w:pPr>
        <w:pStyle w:val="null3"/>
        <w:ind w:firstLine="560"/>
        <w:jc w:val="both"/>
      </w:pPr>
      <w:r>
        <w:rPr>
          <w:sz w:val="28"/>
        </w:rPr>
        <w:t>②对外环境的重点区域每月检查蟑迹并清理。</w:t>
      </w:r>
    </w:p>
    <w:p>
      <w:pPr>
        <w:pStyle w:val="null3"/>
        <w:ind w:firstLine="560"/>
        <w:jc w:val="both"/>
      </w:pPr>
      <w:r>
        <w:rPr>
          <w:sz w:val="28"/>
        </w:rPr>
        <w:t>3、</w:t>
      </w:r>
      <w:r>
        <w:rPr>
          <w:sz w:val="28"/>
        </w:rPr>
        <w:t>作业质量标准</w:t>
      </w:r>
    </w:p>
    <w:p>
      <w:pPr>
        <w:pStyle w:val="null3"/>
        <w:ind w:firstLine="560"/>
        <w:jc w:val="both"/>
      </w:pPr>
      <w:r>
        <w:rPr>
          <w:sz w:val="28"/>
        </w:rPr>
        <w:t>参照《中华人民共和国国家标准</w:t>
      </w:r>
      <w:r>
        <w:rPr>
          <w:sz w:val="28"/>
        </w:rPr>
        <w:t>GB/T27773-2011》及结合本项目实际，确定四害防控水平指标：</w:t>
      </w:r>
    </w:p>
    <w:p>
      <w:pPr>
        <w:pStyle w:val="null3"/>
        <w:ind w:firstLine="560"/>
        <w:jc w:val="both"/>
      </w:pPr>
      <w:r>
        <w:rPr>
          <w:sz w:val="28"/>
        </w:rPr>
        <w:t>（</w:t>
      </w:r>
      <w:r>
        <w:rPr>
          <w:sz w:val="28"/>
        </w:rPr>
        <w:t>1）灭鼠标准：</w:t>
      </w:r>
    </w:p>
    <w:p>
      <w:pPr>
        <w:pStyle w:val="null3"/>
        <w:ind w:firstLine="560"/>
        <w:jc w:val="both"/>
      </w:pPr>
      <w:r>
        <w:rPr>
          <w:sz w:val="28"/>
        </w:rPr>
        <w:t>①不同类型的外环境每 1000 米鼠迹累计少于或等于 5 处；</w:t>
      </w:r>
    </w:p>
    <w:p>
      <w:pPr>
        <w:pStyle w:val="null3"/>
        <w:ind w:firstLine="560"/>
        <w:jc w:val="both"/>
      </w:pPr>
      <w:r>
        <w:rPr>
          <w:sz w:val="28"/>
        </w:rPr>
        <w:t>（</w:t>
      </w:r>
      <w:r>
        <w:rPr>
          <w:sz w:val="28"/>
        </w:rPr>
        <w:t>2</w:t>
      </w:r>
      <w:r>
        <w:rPr>
          <w:sz w:val="28"/>
        </w:rPr>
        <w:t>）</w:t>
      </w:r>
      <w:r>
        <w:rPr>
          <w:sz w:val="28"/>
        </w:rPr>
        <w:t>灭蚊标准：</w:t>
      </w:r>
    </w:p>
    <w:p>
      <w:pPr>
        <w:pStyle w:val="null3"/>
        <w:ind w:firstLine="560"/>
        <w:jc w:val="both"/>
      </w:pPr>
      <w:r>
        <w:rPr>
          <w:sz w:val="28"/>
        </w:rPr>
        <w:t>①小型积水路径指数小于或等于 0.8；</w:t>
      </w:r>
    </w:p>
    <w:p>
      <w:pPr>
        <w:pStyle w:val="null3"/>
        <w:ind w:firstLine="560"/>
        <w:jc w:val="both"/>
      </w:pPr>
      <w:r>
        <w:rPr>
          <w:sz w:val="28"/>
        </w:rPr>
        <w:t>②大中型水体，用 500 毫升勺检查，有蚊幼虫（蛹）阳性勺不超过 5％，每阳性勺平均不超过 8 只；</w:t>
      </w:r>
    </w:p>
    <w:p>
      <w:pPr>
        <w:pStyle w:val="null3"/>
        <w:ind w:firstLine="560"/>
        <w:jc w:val="both"/>
      </w:pPr>
      <w:r>
        <w:rPr>
          <w:sz w:val="28"/>
        </w:rPr>
        <w:t>③</w:t>
      </w:r>
      <w:r>
        <w:rPr>
          <w:sz w:val="28"/>
        </w:rPr>
        <w:t>外环境蚊虫停落指数少于或等</w:t>
      </w:r>
      <w:r>
        <w:rPr>
          <w:sz w:val="28"/>
        </w:rPr>
        <w:t>1.5。</w:t>
      </w:r>
    </w:p>
    <w:p>
      <w:pPr>
        <w:pStyle w:val="null3"/>
        <w:ind w:firstLine="560"/>
        <w:jc w:val="both"/>
      </w:pPr>
      <w:r>
        <w:rPr>
          <w:sz w:val="28"/>
        </w:rPr>
        <w:t>（</w:t>
      </w:r>
      <w:r>
        <w:rPr>
          <w:sz w:val="28"/>
        </w:rPr>
        <w:t>3）灭蝇标准：①孳生地蝇幼虫及蛹检出率少于或等于 5%；</w:t>
      </w:r>
    </w:p>
    <w:p>
      <w:pPr>
        <w:pStyle w:val="null3"/>
        <w:ind w:firstLine="560"/>
        <w:jc w:val="both"/>
      </w:pPr>
      <w:r>
        <w:rPr>
          <w:sz w:val="28"/>
        </w:rPr>
        <w:t>（</w:t>
      </w:r>
      <w:r>
        <w:rPr>
          <w:sz w:val="28"/>
        </w:rPr>
        <w:t>4）灭蟑螂标准：</w:t>
      </w:r>
    </w:p>
    <w:p>
      <w:pPr>
        <w:pStyle w:val="null3"/>
        <w:ind w:firstLine="560"/>
        <w:jc w:val="both"/>
      </w:pPr>
      <w:r>
        <w:rPr>
          <w:sz w:val="28"/>
        </w:rPr>
        <w:t>①下水道砂井、化粪池、户外堆积物折算平均每 100 个井口（处），有蟑螂不超过 60 只。</w:t>
      </w:r>
    </w:p>
    <w:p>
      <w:pPr>
        <w:pStyle w:val="null3"/>
        <w:ind w:firstLine="560"/>
        <w:jc w:val="both"/>
      </w:pPr>
      <w:r>
        <w:rPr>
          <w:sz w:val="28"/>
        </w:rPr>
        <w:t>4、</w:t>
      </w:r>
      <w:r>
        <w:rPr>
          <w:sz w:val="28"/>
        </w:rPr>
        <w:t>人员要求</w:t>
      </w:r>
    </w:p>
    <w:p>
      <w:pPr>
        <w:pStyle w:val="null3"/>
        <w:ind w:left="420" w:firstLine="560"/>
        <w:jc w:val="both"/>
      </w:pPr>
      <w:r>
        <w:rPr>
          <w:sz w:val="28"/>
        </w:rPr>
        <w:t>在本项目承包期间，服务方按项目要求长期派驻工作人员不少于</w:t>
      </w:r>
      <w:r>
        <w:rPr>
          <w:sz w:val="28"/>
        </w:rPr>
        <w:t>6 人（工作人员持有病媒生物防治（制）员或有害生物防治（制）员资格证上岗）， 其中项目管理人员不少于 1 人，一线作业人员不少于 5 人。</w:t>
      </w:r>
    </w:p>
    <w:p>
      <w:pPr>
        <w:pStyle w:val="null3"/>
        <w:ind w:left="420"/>
        <w:jc w:val="both"/>
      </w:pPr>
      <w:r>
        <w:rPr>
          <w:sz w:val="28"/>
        </w:rPr>
        <w:t>5、设备要求</w:t>
      </w:r>
    </w:p>
    <w:p>
      <w:pPr>
        <w:pStyle w:val="null3"/>
        <w:ind w:left="420" w:firstLine="560"/>
        <w:jc w:val="both"/>
      </w:pPr>
      <w:r>
        <w:rPr>
          <w:sz w:val="28"/>
        </w:rPr>
        <w:t>皮卡小货车或</w:t>
      </w:r>
      <w:r>
        <w:rPr>
          <w:sz w:val="28"/>
        </w:rPr>
        <w:t>1.25T 小货车不少于 1 辆，热烟雾机不少于 3台，肩背式燃油动力喷雾机不少于 3 台，背负式超低容量喷雾机不少于 3 台，车载式燃油动力超低容量喷雾机不少于 1 台。</w:t>
      </w:r>
    </w:p>
    <w:p>
      <w:pPr>
        <w:pStyle w:val="null3"/>
        <w:ind w:left="420"/>
        <w:jc w:val="both"/>
      </w:pPr>
      <w:r>
        <w:rPr>
          <w:sz w:val="28"/>
        </w:rPr>
        <w:t>6、其他要求</w:t>
      </w:r>
    </w:p>
    <w:p>
      <w:pPr>
        <w:pStyle w:val="null3"/>
        <w:ind w:left="420"/>
        <w:jc w:val="both"/>
      </w:pPr>
      <w:r>
        <w:rPr>
          <w:sz w:val="28"/>
        </w:rPr>
        <w:t>（</w:t>
      </w:r>
      <w:r>
        <w:rPr>
          <w:sz w:val="28"/>
        </w:rPr>
        <w:t>1）安全用药要求</w:t>
      </w:r>
    </w:p>
    <w:p>
      <w:pPr>
        <w:pStyle w:val="null3"/>
        <w:ind w:left="420"/>
        <w:jc w:val="both"/>
      </w:pPr>
      <w:r>
        <w:rPr>
          <w:sz w:val="28"/>
        </w:rPr>
        <w:t>①</w:t>
      </w:r>
      <w:r>
        <w:rPr>
          <w:sz w:val="28"/>
        </w:rPr>
        <w:t>不使用国家禁用或伪劣的除四害药物，禁用毒鼠强、敌敌畏等剧毒药物，合理配置、</w:t>
      </w:r>
      <w:r>
        <w:rPr>
          <w:sz w:val="28"/>
        </w:rPr>
        <w:t>轮换</w:t>
      </w:r>
      <w:r>
        <w:rPr>
          <w:sz w:val="28"/>
        </w:rPr>
        <w:t>用药，不污染环境，不造成人、畜、禽和鱼类</w:t>
      </w:r>
      <w:r>
        <w:rPr>
          <w:sz w:val="28"/>
        </w:rPr>
        <w:t>及有益生物的</w:t>
      </w:r>
      <w:r>
        <w:rPr>
          <w:sz w:val="28"/>
        </w:rPr>
        <w:t>中毒事故。</w:t>
      </w:r>
    </w:p>
    <w:p>
      <w:pPr>
        <w:pStyle w:val="null3"/>
        <w:ind w:left="420"/>
        <w:jc w:val="both"/>
      </w:pPr>
      <w:r>
        <w:rPr>
          <w:sz w:val="28"/>
        </w:rPr>
        <w:t>②</w:t>
      </w:r>
      <w:r>
        <w:rPr>
          <w:sz w:val="28"/>
        </w:rPr>
        <w:t>药物、器械、施药方法三者要相匹配，灭蚊空间喷杀要求按说明书指引用药以减缓蚊虫抗药性产生。</w:t>
      </w:r>
    </w:p>
    <w:p>
      <w:pPr>
        <w:pStyle w:val="null3"/>
        <w:ind w:left="420"/>
        <w:jc w:val="both"/>
      </w:pPr>
      <w:r>
        <w:rPr>
          <w:sz w:val="28"/>
        </w:rPr>
        <w:t>③</w:t>
      </w:r>
      <w:r>
        <w:rPr>
          <w:sz w:val="28"/>
        </w:rPr>
        <w:t>药品采购必须有合法来源证明和</w:t>
      </w:r>
      <w:r>
        <w:rPr>
          <w:sz w:val="28"/>
        </w:rPr>
        <w:t>“三证”齐全（相关票据证明需整理归档备查）。</w:t>
      </w:r>
    </w:p>
    <w:p>
      <w:pPr>
        <w:pStyle w:val="null3"/>
        <w:ind w:left="420"/>
        <w:jc w:val="both"/>
      </w:pPr>
      <w:r>
        <w:rPr>
          <w:sz w:val="28"/>
        </w:rPr>
        <w:t>（</w:t>
      </w:r>
      <w:r>
        <w:rPr>
          <w:sz w:val="28"/>
        </w:rPr>
        <w:t>2）重视个人防护及作业安全</w:t>
      </w:r>
    </w:p>
    <w:p>
      <w:pPr>
        <w:pStyle w:val="null3"/>
        <w:ind w:left="420"/>
        <w:jc w:val="both"/>
      </w:pPr>
      <w:r>
        <w:rPr>
          <w:sz w:val="28"/>
        </w:rPr>
        <w:t>①</w:t>
      </w:r>
      <w:r>
        <w:rPr>
          <w:sz w:val="28"/>
        </w:rPr>
        <w:t>根据自身实际，制定切实可行的除四害常规工作流程，严格要求员工按工作规章执行。</w:t>
      </w:r>
    </w:p>
    <w:p>
      <w:pPr>
        <w:pStyle w:val="null3"/>
        <w:ind w:left="420"/>
        <w:jc w:val="both"/>
      </w:pPr>
      <w:r>
        <w:rPr>
          <w:sz w:val="28"/>
        </w:rPr>
        <w:t>②</w:t>
      </w:r>
      <w:r>
        <w:rPr>
          <w:sz w:val="28"/>
        </w:rPr>
        <w:t>每年组织在岗人员开展职业健康体检。</w:t>
      </w:r>
    </w:p>
    <w:p>
      <w:pPr>
        <w:pStyle w:val="null3"/>
        <w:ind w:left="420"/>
        <w:jc w:val="both"/>
      </w:pPr>
      <w:r>
        <w:rPr>
          <w:sz w:val="28"/>
        </w:rPr>
        <w:t>③</w:t>
      </w:r>
      <w:r>
        <w:rPr>
          <w:sz w:val="28"/>
        </w:rPr>
        <w:t>注重员工防护，要求工作服、手套、口罩等防护措施穿戴齐全方能作业。</w:t>
      </w:r>
    </w:p>
    <w:p>
      <w:pPr>
        <w:pStyle w:val="null3"/>
        <w:ind w:left="420"/>
        <w:jc w:val="both"/>
      </w:pPr>
      <w:r>
        <w:rPr>
          <w:sz w:val="28"/>
        </w:rPr>
        <w:t>④热烟雾机下水道烟熏时应</w:t>
      </w:r>
      <w:r>
        <w:rPr>
          <w:sz w:val="28"/>
        </w:rPr>
        <w:t>先开盖通风并</w:t>
      </w:r>
      <w:r>
        <w:rPr>
          <w:sz w:val="28"/>
        </w:rPr>
        <w:t>使用施药盖密封作业。</w:t>
      </w:r>
    </w:p>
    <w:p>
      <w:pPr>
        <w:pStyle w:val="null3"/>
        <w:ind w:left="420"/>
        <w:jc w:val="both"/>
      </w:pPr>
      <w:r>
        <w:rPr>
          <w:sz w:val="28"/>
        </w:rPr>
        <w:t>（</w:t>
      </w:r>
      <w:r>
        <w:rPr>
          <w:sz w:val="28"/>
        </w:rPr>
        <w:t>3）有反应及时的</w:t>
      </w:r>
      <w:r>
        <w:rPr>
          <w:sz w:val="28"/>
        </w:rPr>
        <w:t>应急</w:t>
      </w:r>
      <w:r>
        <w:rPr>
          <w:sz w:val="28"/>
        </w:rPr>
        <w:t>服务体系</w:t>
      </w:r>
    </w:p>
    <w:p>
      <w:pPr>
        <w:pStyle w:val="null3"/>
        <w:ind w:left="420"/>
        <w:jc w:val="both"/>
      </w:pPr>
      <w:r>
        <w:rPr>
          <w:sz w:val="28"/>
        </w:rPr>
        <w:t>①在项目承包期间，要求在本片区范围内具有固定的办公场所（含办公室，药物、器械仓库），并且必须按要求在本片区长期派驻工作人员，随时接受委托方调动。</w:t>
      </w:r>
    </w:p>
    <w:p>
      <w:pPr>
        <w:pStyle w:val="null3"/>
        <w:ind w:left="420"/>
        <w:jc w:val="both"/>
      </w:pPr>
      <w:r>
        <w:rPr>
          <w:sz w:val="28"/>
        </w:rPr>
        <w:t>②必须组建公共突发应急队伍，制定四害消杀应急方案。在发生公共突发事件，需要进行应急消杀时，必须无条件配合政府落实应急消杀工作。</w:t>
      </w:r>
    </w:p>
    <w:p>
      <w:pPr>
        <w:pStyle w:val="null3"/>
        <w:ind w:left="420"/>
        <w:jc w:val="both"/>
      </w:pPr>
      <w:r>
        <w:rPr>
          <w:sz w:val="28"/>
        </w:rPr>
        <w:t>③如出现突发事件或宣传、演练等紧急任务，必须在任何时间无条件服从委托方安排。</w:t>
      </w:r>
    </w:p>
    <w:p>
      <w:pPr>
        <w:pStyle w:val="null3"/>
        <w:ind w:left="420"/>
        <w:jc w:val="both"/>
      </w:pPr>
      <w:r>
        <w:rPr>
          <w:sz w:val="28"/>
        </w:rPr>
        <w:t>（</w:t>
      </w:r>
      <w:r>
        <w:rPr>
          <w:sz w:val="28"/>
        </w:rPr>
        <w:t>4）有计划开展工作，定期汇报工作情况</w:t>
      </w:r>
    </w:p>
    <w:p>
      <w:pPr>
        <w:pStyle w:val="null3"/>
        <w:ind w:left="420"/>
        <w:jc w:val="both"/>
      </w:pPr>
      <w:r>
        <w:rPr>
          <w:sz w:val="28"/>
        </w:rPr>
        <w:t>①须制定详细的除四害工作计划及除四害作业人员防护方案，其中除四害计划至少应包括工作方法、技术方案、工作目标等。做好工作记录，季度总结，建立施药服务档案，做好资料收集、整理归档， 并于每季度考核时将相关作业资料交委托方查核。</w:t>
      </w:r>
    </w:p>
    <w:p>
      <w:pPr>
        <w:pStyle w:val="null3"/>
        <w:ind w:left="420"/>
        <w:jc w:val="both"/>
      </w:pPr>
      <w:r>
        <w:rPr>
          <w:sz w:val="28"/>
        </w:rPr>
        <w:t>②须按委托方要求做好各种规范的监测记录，每季度第一个月 10 号前将上一季度的监测记录交委托方查核。</w:t>
      </w:r>
    </w:p>
    <w:p>
      <w:pPr>
        <w:pStyle w:val="null3"/>
        <w:ind w:left="420"/>
        <w:jc w:val="both"/>
      </w:pPr>
      <w:r>
        <w:rPr>
          <w:sz w:val="28"/>
        </w:rPr>
        <w:t>③委托方有权要求提交与本项目有关的数据和资料，以及有权变更提交时间，须无条件服从。</w:t>
      </w:r>
    </w:p>
    <w:p>
      <w:pPr>
        <w:pStyle w:val="null3"/>
        <w:ind w:left="420"/>
        <w:jc w:val="both"/>
      </w:pPr>
      <w:r>
        <w:rPr>
          <w:sz w:val="28"/>
        </w:rPr>
        <w:t>（</w:t>
      </w:r>
      <w:r>
        <w:rPr>
          <w:sz w:val="28"/>
        </w:rPr>
        <w:t>5）作业质量监督</w:t>
      </w:r>
    </w:p>
    <w:p>
      <w:pPr>
        <w:pStyle w:val="null3"/>
        <w:ind w:left="420"/>
        <w:jc w:val="both"/>
      </w:pPr>
      <w:r>
        <w:rPr>
          <w:sz w:val="28"/>
        </w:rPr>
        <w:t>①建立并落实详细的内部作业质量监督机制及奖罚机制，每月不少于 2次自查。</w:t>
      </w:r>
    </w:p>
    <w:p>
      <w:pPr>
        <w:pStyle w:val="null3"/>
        <w:ind w:left="420"/>
        <w:jc w:val="both"/>
      </w:pPr>
      <w:r>
        <w:rPr>
          <w:sz w:val="28"/>
        </w:rPr>
        <w:t>②每天下班前通过手机短信、微信等方式向委托方报送下一工作日的作业地点及方式，如有特殊原因更改作业地点的，必须在下一工作日上午 8 时前及时通知委托方。每天及时将当天工作动态图片及文字说明发送至委托方。</w:t>
      </w:r>
    </w:p>
    <w:p>
      <w:pPr>
        <w:pStyle w:val="null3"/>
        <w:ind w:left="420"/>
        <w:jc w:val="both"/>
      </w:pPr>
      <w:r>
        <w:rPr>
          <w:sz w:val="28"/>
        </w:rPr>
        <w:t>③服务期内，</w:t>
      </w:r>
      <w:r>
        <w:rPr>
          <w:sz w:val="28"/>
        </w:rPr>
        <w:t>委托方</w:t>
      </w:r>
      <w:r>
        <w:rPr>
          <w:sz w:val="28"/>
        </w:rPr>
        <w:t>将不定期对</w:t>
      </w:r>
      <w:r>
        <w:rPr>
          <w:sz w:val="28"/>
        </w:rPr>
        <w:t>服务方</w:t>
      </w:r>
      <w:r>
        <w:rPr>
          <w:sz w:val="28"/>
        </w:rPr>
        <w:t>的作业质量进行巡视检查，巡视检查过程中涉及的检查工具、巡查车辆（</w:t>
      </w:r>
      <w:r>
        <w:rPr>
          <w:sz w:val="28"/>
        </w:rPr>
        <w:t>1</w:t>
      </w:r>
      <w:r>
        <w:rPr>
          <w:sz w:val="28"/>
        </w:rPr>
        <w:t>辆）等由</w:t>
      </w:r>
      <w:r>
        <w:rPr>
          <w:sz w:val="28"/>
        </w:rPr>
        <w:t>服务方</w:t>
      </w:r>
      <w:r>
        <w:rPr>
          <w:sz w:val="28"/>
        </w:rPr>
        <w:t>在签订合同后</w:t>
      </w:r>
      <w:r>
        <w:rPr>
          <w:sz w:val="28"/>
        </w:rPr>
        <w:t>10</w:t>
      </w:r>
      <w:r>
        <w:rPr>
          <w:sz w:val="28"/>
        </w:rPr>
        <w:t>个日历天内提供，该部分费用已包含在</w:t>
      </w:r>
      <w:r>
        <w:rPr>
          <w:sz w:val="28"/>
        </w:rPr>
        <w:t>合同金额</w:t>
      </w:r>
      <w:r>
        <w:rPr>
          <w:sz w:val="28"/>
        </w:rPr>
        <w:t>中，</w:t>
      </w:r>
      <w:r>
        <w:rPr>
          <w:sz w:val="28"/>
        </w:rPr>
        <w:t>委托方</w:t>
      </w:r>
      <w:r>
        <w:rPr>
          <w:sz w:val="28"/>
        </w:rPr>
        <w:t>不另行支付</w:t>
      </w:r>
      <w:r>
        <w:rPr>
          <w:sz w:val="28"/>
        </w:rPr>
        <w:t>。</w:t>
      </w:r>
    </w:p>
    <w:p>
      <w:pPr>
        <w:pStyle w:val="null3"/>
        <w:ind w:firstLine="840"/>
        <w:jc w:val="both"/>
      </w:pPr>
      <w:r>
        <w:rPr>
          <w:sz w:val="28"/>
        </w:rPr>
        <w:t>四、</w:t>
      </w:r>
      <w:r>
        <w:rPr>
          <w:sz w:val="28"/>
        </w:rPr>
        <w:t>服务费用及支付方式</w:t>
      </w:r>
    </w:p>
    <w:p>
      <w:pPr>
        <w:pStyle w:val="null3"/>
        <w:ind w:left="420" w:firstLine="560"/>
        <w:jc w:val="both"/>
      </w:pPr>
      <w:r>
        <w:rPr>
          <w:sz w:val="28"/>
        </w:rPr>
        <w:t>本合同金额：</w:t>
      </w:r>
      <w:r>
        <w:rPr>
          <w:sz w:val="28"/>
        </w:rPr>
        <w:t>人民币</w:t>
      </w:r>
      <w:r>
        <w:rPr>
          <w:sz w:val="21"/>
          <w:u w:val="single"/>
        </w:rPr>
        <w:t xml:space="preserve">                    </w:t>
      </w:r>
      <w:r>
        <w:rPr>
          <w:sz w:val="28"/>
          <w:u w:val="single"/>
        </w:rPr>
        <w:t>（</w:t>
      </w:r>
      <w:r>
        <w:rPr>
          <w:sz w:val="28"/>
          <w:u w:val="single"/>
        </w:rPr>
        <w:t>¥</w:t>
      </w:r>
      <w:r>
        <w:rPr>
          <w:sz w:val="28"/>
          <w:u w:val="single"/>
        </w:rPr>
        <w:t xml:space="preserve">       </w:t>
      </w:r>
      <w:r>
        <w:rPr>
          <w:sz w:val="28"/>
          <w:u w:val="single"/>
        </w:rPr>
        <w:t>）</w:t>
      </w:r>
    </w:p>
    <w:p>
      <w:pPr>
        <w:pStyle w:val="null3"/>
        <w:ind w:left="420" w:firstLine="560"/>
        <w:jc w:val="both"/>
      </w:pPr>
      <w:r>
        <w:rPr>
          <w:sz w:val="28"/>
        </w:rPr>
        <w:t>本项目合同价（总价包干）应包含费用：除四害防控费、货物费、运输费、保险费、技术服务费（含联络费、培训费）、税费、验收费、不可预见费、购买药物、人工、工具等完成本服务内容所需的一切费用。（</w:t>
      </w:r>
      <w:r>
        <w:rPr>
          <w:sz w:val="28"/>
        </w:rPr>
        <w:t>合同价</w:t>
      </w:r>
      <w:r>
        <w:rPr>
          <w:sz w:val="28"/>
        </w:rPr>
        <w:t>包含灭蚊防疫应急服务</w:t>
      </w:r>
      <w:r>
        <w:rPr>
          <w:sz w:val="28"/>
        </w:rPr>
        <w:t>48次，其中官窑片、小塘片、罗村片、松岗大圃片各12次，费用共423176.88元，该部分费用按实结算，发生一次的服务费用为423176.88×折扣率÷48，服务范围与本项目一致。（折扣率=</w:t>
      </w:r>
      <w:r>
        <w:rPr>
          <w:sz w:val="28"/>
        </w:rPr>
        <w:t>合同金额</w:t>
      </w:r>
      <w:r>
        <w:rPr>
          <w:sz w:val="28"/>
        </w:rPr>
        <w:t>/</w:t>
      </w:r>
      <w:r>
        <w:rPr>
          <w:sz w:val="28"/>
        </w:rPr>
        <w:t>预算金额</w:t>
      </w:r>
      <w:r>
        <w:rPr>
          <w:sz w:val="28"/>
        </w:rPr>
        <w:t>））</w:t>
      </w:r>
    </w:p>
    <w:p>
      <w:pPr>
        <w:pStyle w:val="null3"/>
        <w:ind w:left="420"/>
        <w:jc w:val="both"/>
      </w:pPr>
      <w:r>
        <w:rPr>
          <w:sz w:val="28"/>
        </w:rPr>
        <w:t>1、每年服务费分4个</w:t>
      </w:r>
      <w:r>
        <w:rPr>
          <w:sz w:val="28"/>
        </w:rPr>
        <w:t>季度服务费进行支付，每个季度服务费</w:t>
      </w:r>
      <w:r>
        <w:rPr>
          <w:sz w:val="28"/>
        </w:rPr>
        <w:t>按年</w:t>
      </w:r>
      <w:r>
        <w:rPr>
          <w:sz w:val="28"/>
        </w:rPr>
        <w:t>度合同价</w:t>
      </w:r>
      <w:r>
        <w:rPr>
          <w:sz w:val="28"/>
        </w:rPr>
        <w:t>25%的方式支付，季度服务费支付时间为下个季度的第一个月内，具体如下：</w:t>
      </w:r>
    </w:p>
    <w:p>
      <w:pPr>
        <w:pStyle w:val="null3"/>
        <w:ind w:left="420"/>
        <w:jc w:val="both"/>
      </w:pPr>
      <w:r>
        <w:rPr>
          <w:sz w:val="28"/>
        </w:rPr>
        <w:t>季度结算金额</w:t>
      </w:r>
      <w:r>
        <w:rPr>
          <w:sz w:val="28"/>
        </w:rPr>
        <w:t>=【（当年合同总额/12）*实际工作月数】-扣除当季度的罚款</w:t>
      </w:r>
    </w:p>
    <w:p>
      <w:pPr>
        <w:pStyle w:val="null3"/>
        <w:ind w:left="420"/>
        <w:jc w:val="both"/>
      </w:pPr>
      <w:r>
        <w:rPr>
          <w:sz w:val="28"/>
        </w:rPr>
        <w:t>不足一个季度的服务费用按实际服务天数支付：季度结算金额</w:t>
      </w:r>
      <w:r>
        <w:rPr>
          <w:sz w:val="28"/>
        </w:rPr>
        <w:t>=【（当年合同总额/12）*实际工作月数】*（实际服务天数/当季度的天数合计）-扣除当季度的罚款</w:t>
      </w:r>
    </w:p>
    <w:p>
      <w:pPr>
        <w:pStyle w:val="null3"/>
        <w:ind w:left="420"/>
        <w:jc w:val="both"/>
      </w:pPr>
      <w:r>
        <w:rPr>
          <w:sz w:val="28"/>
        </w:rPr>
        <w:t>2、因政策性等原因需变更承包区域的，采购人有权变更承包区域面积，承包区域面积变更幅度在（±10%）（含±10%）以内的，不调整承包款，超出±10%的（不含±10%），按超出部分计算增减承包款，增加承包款的上限按当时财政政策执行，服务方必须服从</w:t>
      </w:r>
      <w:r>
        <w:rPr>
          <w:sz w:val="28"/>
        </w:rPr>
        <w:t>。</w:t>
      </w:r>
    </w:p>
    <w:p>
      <w:pPr>
        <w:pStyle w:val="null3"/>
        <w:ind w:left="420"/>
        <w:jc w:val="both"/>
      </w:pPr>
      <w:r>
        <w:rPr>
          <w:sz w:val="28"/>
        </w:rPr>
        <w:t>3、收款方、出具发票方、合同乙方均必须与乙方名称一致。</w:t>
      </w:r>
    </w:p>
    <w:p>
      <w:pPr>
        <w:pStyle w:val="null3"/>
        <w:ind w:left="420"/>
        <w:jc w:val="both"/>
      </w:pPr>
      <w:r>
        <w:rPr>
          <w:sz w:val="28"/>
        </w:rPr>
        <w:t>4、甲方凭以下文件支付合同款：</w:t>
      </w:r>
    </w:p>
    <w:p>
      <w:pPr>
        <w:pStyle w:val="null3"/>
        <w:ind w:left="420" w:firstLine="280"/>
        <w:jc w:val="both"/>
      </w:pPr>
      <w:r>
        <w:rPr>
          <w:sz w:val="28"/>
        </w:rPr>
        <w:t>①合同复印件；</w:t>
      </w:r>
    </w:p>
    <w:p>
      <w:pPr>
        <w:pStyle w:val="null3"/>
        <w:ind w:left="420" w:firstLine="280"/>
        <w:jc w:val="both"/>
      </w:pPr>
      <w:r>
        <w:rPr>
          <w:sz w:val="28"/>
        </w:rPr>
        <w:t>②乙方开具等额有效的发票。</w:t>
      </w:r>
    </w:p>
    <w:p>
      <w:pPr>
        <w:pStyle w:val="null3"/>
        <w:ind w:left="420" w:firstLine="280"/>
        <w:jc w:val="both"/>
      </w:pPr>
      <w:r>
        <w:rPr>
          <w:sz w:val="28"/>
        </w:rPr>
        <w:t>③工作记录</w:t>
      </w:r>
    </w:p>
    <w:p>
      <w:pPr>
        <w:pStyle w:val="null3"/>
        <w:ind w:left="420" w:firstLine="280"/>
        <w:jc w:val="both"/>
      </w:pPr>
      <w:r>
        <w:rPr>
          <w:sz w:val="28"/>
        </w:rPr>
        <w:t>④</w:t>
      </w:r>
      <w:r>
        <w:rPr>
          <w:sz w:val="28"/>
        </w:rPr>
        <w:t>每季度工作考核记录</w:t>
      </w:r>
    </w:p>
    <w:p>
      <w:pPr>
        <w:pStyle w:val="null3"/>
        <w:ind w:left="420"/>
        <w:jc w:val="both"/>
      </w:pPr>
      <w:r>
        <w:rPr>
          <w:sz w:val="28"/>
        </w:rPr>
        <w:t>5、因甲方使用的是财政资金，委托方在前款规定的付款时间为向政府采购支付部门提出办理财政支付申请手续的时间（不含政府财政支付部门审核的时间），在规定时间内提出支付申请手续后即视为甲方已经按期支付。</w:t>
      </w:r>
    </w:p>
    <w:p>
      <w:pPr>
        <w:pStyle w:val="null3"/>
        <w:ind w:left="420"/>
        <w:jc w:val="both"/>
      </w:pPr>
      <w:r>
        <w:rPr>
          <w:sz w:val="28"/>
        </w:rPr>
        <w:t>6、由于该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w:t>
      </w:r>
    </w:p>
    <w:p>
      <w:pPr>
        <w:pStyle w:val="null3"/>
        <w:ind w:firstLine="560"/>
        <w:jc w:val="both"/>
      </w:pPr>
      <w:r>
        <w:rPr>
          <w:sz w:val="28"/>
        </w:rPr>
        <w:t>五、争议解决</w:t>
      </w:r>
      <w:r>
        <w:rPr>
          <w:sz w:val="28"/>
        </w:rPr>
        <w:t xml:space="preserve">  </w:t>
      </w:r>
    </w:p>
    <w:p>
      <w:pPr>
        <w:pStyle w:val="null3"/>
        <w:ind w:firstLine="560"/>
        <w:jc w:val="both"/>
      </w:pPr>
      <w:r>
        <w:rPr>
          <w:sz w:val="28"/>
        </w:rPr>
        <w:t>因履行本合同发生纠纷，双方应友好协商解决，协商不成的，任何一方均有权依法向甲方住地人民法院提起诉讼。</w:t>
      </w:r>
    </w:p>
    <w:p>
      <w:pPr>
        <w:pStyle w:val="null3"/>
        <w:ind w:firstLine="560"/>
        <w:jc w:val="both"/>
      </w:pPr>
      <w:r>
        <w:rPr>
          <w:sz w:val="28"/>
        </w:rPr>
        <w:t>六、合同中未尽事宜由双方协商解决或签订书面补充协议，补充协议与本合同具有同等法律效力，补充协议与本合同不一致的以补充协议为准。</w:t>
      </w:r>
    </w:p>
    <w:p>
      <w:pPr>
        <w:pStyle w:val="null3"/>
        <w:ind w:firstLine="560"/>
        <w:jc w:val="both"/>
      </w:pPr>
      <w:r>
        <w:rPr>
          <w:sz w:val="28"/>
        </w:rPr>
        <w:t>七、本合同一式肆份，甲乙双方各执两份，具有同等法律效力，本合同自签字盖章之日起生效。</w:t>
      </w:r>
    </w:p>
    <w:p>
      <w:pPr>
        <w:pStyle w:val="null3"/>
        <w:ind w:firstLine="560"/>
        <w:jc w:val="both"/>
      </w:pPr>
      <w:r>
        <w:rPr>
          <w:sz w:val="28"/>
        </w:rPr>
        <w:t>八、附件</w:t>
      </w:r>
    </w:p>
    <w:tbl>
      <w:tblPr>
        <w:tblW w:w="0" w:type="auto"/>
        <w:tblBorders>
          <w:top w:val="none" w:color="000000" w:sz="4"/>
          <w:left w:val="none" w:color="000000" w:sz="4"/>
          <w:bottom w:val="none" w:color="000000" w:sz="4"/>
          <w:right w:val="none" w:color="000000" w:sz="4"/>
          <w:insideH w:val="none"/>
          <w:insideV w:val="none"/>
        </w:tblBorders>
      </w:tblPr>
      <w:tblGrid>
        <w:gridCol w:w="912"/>
        <w:gridCol w:w="688"/>
        <w:gridCol w:w="5477"/>
        <w:gridCol w:w="1212"/>
      </w:tblGrid>
      <w:tr>
        <w:tc>
          <w:tcPr>
            <w:tcW w:type="dxa" w:w="828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随机抽检考核细则</w:t>
            </w:r>
          </w:p>
        </w:tc>
      </w:tr>
      <w:tr>
        <w:tc>
          <w:tcPr>
            <w:tcW w:type="dxa" w:w="16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5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考核项目</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扣款（元）</w:t>
            </w:r>
          </w:p>
        </w:tc>
      </w:tr>
      <w:tr>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p>
            <w:pPr>
              <w:pStyle w:val="null3"/>
              <w:jc w:val="center"/>
            </w:pPr>
            <w:r>
              <w:rPr>
                <w:sz w:val="24"/>
              </w:rPr>
              <w:t>、</w:t>
            </w:r>
          </w:p>
          <w:p>
            <w:pPr>
              <w:pStyle w:val="null3"/>
              <w:jc w:val="center"/>
            </w:pPr>
            <w:r>
              <w:rPr>
                <w:sz w:val="24"/>
              </w:rPr>
              <w:t>基</w:t>
            </w:r>
          </w:p>
          <w:p>
            <w:pPr>
              <w:pStyle w:val="null3"/>
              <w:jc w:val="center"/>
            </w:pPr>
            <w:r>
              <w:rPr>
                <w:sz w:val="24"/>
              </w:rPr>
              <w:t>本</w:t>
            </w:r>
          </w:p>
          <w:p>
            <w:pPr>
              <w:pStyle w:val="null3"/>
              <w:jc w:val="center"/>
            </w:pPr>
            <w:r>
              <w:rPr>
                <w:sz w:val="24"/>
              </w:rPr>
              <w:t>要</w:t>
            </w:r>
          </w:p>
          <w:p>
            <w:pPr>
              <w:pStyle w:val="null3"/>
              <w:jc w:val="center"/>
            </w:pPr>
            <w:r>
              <w:rPr>
                <w:sz w:val="24"/>
              </w:rPr>
              <w:t>求</w:t>
            </w:r>
          </w:p>
        </w:tc>
        <w:tc>
          <w:tcPr>
            <w:tcW w:type="dxa" w:w="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1.按要求进行人员配置，未达要求的，每缺 1人次</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 按要求配置设备，未达要求的，每缺一台设备</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 按要求定期进行各项四害灭杀，未落实的，每项</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5000-10000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4.按要求落实滋生地调查处理，未落实的，每项</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 按委托方要求报送工作记录、季度工作总结、内部质检记录（含文字说明及带日期的照片）、用药记录、在岗人</w:t>
            </w:r>
          </w:p>
        </w:tc>
        <w:tc>
          <w:tcPr>
            <w:tcW w:type="dxa" w:w="12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 通过微信及时通知委托方下一工作日的作业地点及作业种类，同时须及时报送每天到岗照片及工作动态照片（含时间及地点）未达要求的，每次</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 提前一个工作日将作业内容告知市政部门</w:t>
            </w:r>
          </w:p>
          <w:p>
            <w:pPr>
              <w:pStyle w:val="null3"/>
              <w:jc w:val="left"/>
            </w:pPr>
            <w:r>
              <w:rPr>
                <w:sz w:val="24"/>
              </w:rPr>
              <w:t>的相关负责人</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8.每次作业前须先通知市政部门相关负责人，作业完成后方可由市政项目负责人签名确认，作业过程自觉接受市政工作人员的监督未达要求</w:t>
            </w:r>
          </w:p>
          <w:p>
            <w:pPr>
              <w:pStyle w:val="null3"/>
              <w:jc w:val="left"/>
            </w:pPr>
            <w:r>
              <w:rPr>
                <w:sz w:val="24"/>
              </w:rPr>
              <w:t>的，每次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9. 消杀过程不得使用违禁药品或无效药物，未达要求的，每次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 消杀人员配备口罩、手套等防护装备齐全，未达要求的，每人每次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11. 消杀人员工作时穿着工作服装并戴带工作证件，未达要求的，每人/次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12.按除四害常规流程进行安全作业，未达要求的，每项</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13.本项目在岗人员必须有职业健康体检档</w:t>
            </w:r>
          </w:p>
          <w:p>
            <w:pPr>
              <w:pStyle w:val="null3"/>
              <w:jc w:val="left"/>
            </w:pPr>
            <w:r>
              <w:rPr>
                <w:sz w:val="24"/>
              </w:rPr>
              <w:t>安，并且在有效期内（不超过</w:t>
            </w:r>
            <w:r>
              <w:rPr>
                <w:sz w:val="24"/>
              </w:rPr>
              <w:t>12 个月），否则每人次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14. 积极配合委托方进行应急消杀，未达要求的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3000-100</w:t>
            </w:r>
          </w:p>
          <w:p>
            <w:pPr>
              <w:pStyle w:val="null3"/>
              <w:jc w:val="center"/>
            </w:pPr>
            <w:r>
              <w:rPr>
                <w:sz w:val="24"/>
              </w:rPr>
              <w:t>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15.群众投诉、媒体负面报道或数字城管所反</w:t>
            </w:r>
          </w:p>
          <w:p>
            <w:pPr>
              <w:pStyle w:val="null3"/>
              <w:jc w:val="left"/>
            </w:pPr>
            <w:r>
              <w:rPr>
                <w:sz w:val="24"/>
              </w:rPr>
              <w:t>映的除四害存在问题，经查实负有责任的，每次（处）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100-300</w:t>
            </w:r>
          </w:p>
        </w:tc>
      </w:tr>
      <w:tr>
        <w:tc>
          <w:tcPr>
            <w:tcW w:type="dxa" w:w="9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p>
            <w:pPr>
              <w:pStyle w:val="null3"/>
              <w:jc w:val="center"/>
            </w:pPr>
            <w:r>
              <w:rPr>
                <w:sz w:val="24"/>
              </w:rPr>
              <w:t>、</w:t>
            </w:r>
          </w:p>
          <w:p>
            <w:pPr>
              <w:pStyle w:val="null3"/>
              <w:jc w:val="center"/>
            </w:pPr>
            <w:r>
              <w:rPr>
                <w:sz w:val="24"/>
              </w:rPr>
              <w:t>作</w:t>
            </w:r>
          </w:p>
          <w:p>
            <w:pPr>
              <w:pStyle w:val="null3"/>
              <w:jc w:val="center"/>
            </w:pPr>
            <w:r>
              <w:rPr>
                <w:sz w:val="24"/>
              </w:rPr>
              <w:t>业</w:t>
            </w:r>
          </w:p>
          <w:p>
            <w:pPr>
              <w:pStyle w:val="null3"/>
              <w:jc w:val="center"/>
            </w:pPr>
            <w:r>
              <w:rPr>
                <w:sz w:val="24"/>
              </w:rPr>
              <w:t>效</w:t>
            </w:r>
          </w:p>
          <w:p>
            <w:pPr>
              <w:pStyle w:val="null3"/>
              <w:jc w:val="center"/>
            </w:pPr>
            <w:r>
              <w:rPr>
                <w:sz w:val="24"/>
              </w:rPr>
              <w:t>果</w:t>
            </w:r>
          </w:p>
        </w:tc>
        <w:tc>
          <w:tcPr>
            <w:tcW w:type="dxa" w:w="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灭鼠</w:t>
            </w: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1.合理选点投放灭鼠毒饵，未达要求的，每处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2.每两月投放毒饵每堆不少于 50 克，并及时</w:t>
            </w:r>
          </w:p>
          <w:p>
            <w:pPr>
              <w:pStyle w:val="null3"/>
              <w:jc w:val="left"/>
            </w:pPr>
            <w:r>
              <w:rPr>
                <w:sz w:val="24"/>
              </w:rPr>
              <w:t>补饵，每堆毒饵残留量不得少于</w:t>
            </w:r>
            <w:r>
              <w:rPr>
                <w:sz w:val="24"/>
              </w:rPr>
              <w:t>10 克，未达要求的，每处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3.及时清除鼠迹及适口性较差的鼠谷，未达要求每 1 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4、每月一次填塞鼠洞，未达要求的，每处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5、及时维护灭鼠屋、保持辖区鼠屋固定良好及标识清楚，未达要求的，每处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6.每两月饱和投药前知会市政及社区，未达要求的，每漏一个灭鼠屋的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 不同类型的外环境折算每 2000 米鼠迹累计不超过 10 处，未达要求的，每超过 1 处（可按比例折算检查）</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灭蚊</w:t>
            </w: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1.积水沉沙井按要求放置灭蚴砂袋并每个月更换一次，更换不全面的，每处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2.按要求对小区楼、居民楼周边环境、闲置绿地、绿篱地进行孳生地处理，未达要求的，每处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3.按要求每月进行下水道热烟雾灭蚊，遗漏的每</w:t>
            </w:r>
          </w:p>
          <w:p>
            <w:pPr>
              <w:pStyle w:val="null3"/>
              <w:jc w:val="left"/>
            </w:pPr>
            <w:r>
              <w:rPr>
                <w:sz w:val="24"/>
              </w:rPr>
              <w:t>30 米</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4.全面落实承包区域外环境灭杀成蚊，未达要求的，每处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100-1000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5、对小区楼、居民楼周边等狭窄的外环境蚊虫藏身地进行灭杀，未达要求的，每处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100-1000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6.车载式超低容量喷雾机与肩背式喷雾机要合理搭配使用，做到不留死角，未达要求的，每处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30-100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7. 公共区域蚊及蚊蚴指标达标，未达要求的，每处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30-100</w:t>
            </w:r>
          </w:p>
        </w:tc>
      </w:tr>
      <w:tr>
        <w:tc>
          <w:tcPr>
            <w:tcW w:type="dxa" w:w="912"/>
            <w:vMerge/>
            <w:tcBorders>
              <w:top w:val="none" w:color="000000" w:sz="4"/>
              <w:left w:val="single" w:color="000000" w:sz="4"/>
              <w:bottom w:val="single" w:color="000000" w:sz="4"/>
              <w:right w:val="single" w:color="000000" w:sz="4"/>
            </w:tcBorders>
          </w:tcPr>
          <w:p/>
        </w:tc>
        <w:tc>
          <w:tcPr>
            <w:tcW w:type="dxa" w:w="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w:t>
            </w:r>
          </w:p>
        </w:tc>
        <w:tc>
          <w:tcPr>
            <w:tcW w:type="dxa" w:w="54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4"/>
              </w:rPr>
              <w:t xml:space="preserve"> </w:t>
            </w:r>
            <w:r>
              <w:rPr>
                <w:sz w:val="24"/>
              </w:rPr>
              <w:t>1.按要求每月处理蝇类孳生地，未达要求的，每处</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2.灭蝇效果达标，未达要求的，检出率每超1</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灭蟑</w:t>
            </w: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1.下水道、化粪池、户外堆积物平均每 100个井口（处），有蟑螂不超过 60 只，每超出10 只（可按比例折算检查）</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30</w:t>
            </w:r>
          </w:p>
        </w:tc>
      </w:tr>
      <w:tr>
        <w:tc>
          <w:tcPr>
            <w:tcW w:type="dxa" w:w="912"/>
            <w:vMerge/>
            <w:tcBorders>
              <w:top w:val="none" w:color="000000" w:sz="4"/>
              <w:left w:val="single" w:color="000000" w:sz="4"/>
              <w:bottom w:val="single" w:color="000000" w:sz="4"/>
              <w:right w:val="single" w:color="000000" w:sz="4"/>
            </w:tcBorders>
          </w:tcPr>
          <w:p/>
        </w:tc>
        <w:tc>
          <w:tcPr>
            <w:tcW w:type="dxa" w:w="688"/>
            <w:vMerge/>
            <w:tcBorders>
              <w:top w:val="none" w:color="000000" w:sz="4"/>
              <w:left w:val="none" w:color="000000" w:sz="4"/>
              <w:bottom w:val="single" w:color="000000" w:sz="4"/>
              <w:right w:val="single" w:color="000000" w:sz="4"/>
            </w:tcBorders>
          </w:tcPr>
          <w:p/>
        </w:tc>
        <w:tc>
          <w:tcPr>
            <w:tcW w:type="dxa" w:w="5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2.下水道每月烟熏一次，作业须使用密封盖作业，未达要求的，每次</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500</w:t>
            </w:r>
          </w:p>
        </w:tc>
      </w:tr>
    </w:tbl>
    <w:p>
      <w:pPr>
        <w:pStyle w:val="null3"/>
        <w:jc w:val="both"/>
      </w:pPr>
      <w:r>
        <w:rPr>
          <w:sz w:val="28"/>
        </w:rPr>
        <w:t>甲方（公章）：</w:t>
      </w:r>
      <w:r>
        <w:rPr>
          <w:sz w:val="28"/>
        </w:rPr>
        <w:t xml:space="preserve">                        </w:t>
      </w:r>
      <w:r>
        <w:rPr>
          <w:sz w:val="28"/>
        </w:rPr>
        <w:t>乙方</w:t>
      </w:r>
      <w:r>
        <w:rPr>
          <w:sz w:val="28"/>
        </w:rPr>
        <w:t xml:space="preserve">(公章):  </w:t>
      </w:r>
    </w:p>
    <w:p>
      <w:pPr>
        <w:pStyle w:val="null3"/>
        <w:jc w:val="both"/>
      </w:pPr>
      <w:r>
        <w:rPr>
          <w:sz w:val="28"/>
        </w:rPr>
        <w:t>签署代表：</w:t>
      </w:r>
      <w:r>
        <w:rPr>
          <w:sz w:val="28"/>
        </w:rPr>
        <w:t xml:space="preserve">                            </w:t>
      </w:r>
      <w:r>
        <w:rPr>
          <w:sz w:val="28"/>
        </w:rPr>
        <w:t>签署代表：</w:t>
      </w:r>
      <w:r>
        <w:rPr>
          <w:sz w:val="28"/>
        </w:rPr>
        <w:t xml:space="preserve">                                </w:t>
      </w:r>
    </w:p>
    <w:p>
      <w:pPr>
        <w:pStyle w:val="null3"/>
        <w:jc w:val="both"/>
      </w:pPr>
      <w:r>
        <w:rPr>
          <w:sz w:val="28"/>
        </w:rPr>
        <w:t>经办人：</w:t>
      </w:r>
      <w:r>
        <w:rPr>
          <w:sz w:val="28"/>
        </w:rPr>
        <w:t xml:space="preserve">                              </w:t>
      </w:r>
      <w:r>
        <w:rPr>
          <w:sz w:val="28"/>
        </w:rPr>
        <w:t>经办人：</w:t>
      </w:r>
    </w:p>
    <w:p>
      <w:pPr>
        <w:pStyle w:val="null3"/>
        <w:jc w:val="both"/>
      </w:pP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sz w:val="28"/>
          <w:b/>
        </w:rPr>
        <w:t>鉴证单位：广东星建项目管理有限公司</w:t>
      </w:r>
    </w:p>
    <w:p>
      <w:pPr>
        <w:pStyle w:val="null3"/>
        <w:jc w:val="both"/>
      </w:pPr>
      <w:r>
        <w:rPr>
          <w:sz w:val="28"/>
        </w:rPr>
        <w:t>经核对，合同条款与采购文件一致。</w:t>
      </w:r>
    </w:p>
    <w:p>
      <w:pPr>
        <w:pStyle w:val="null3"/>
      </w:pPr>
      <w:r>
        <w:rPr>
          <w:sz w:val="28"/>
        </w:rPr>
        <w:t>鉴证日期：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440605-2026-02800</w:t>
      </w:r>
    </w:p>
    <w:p>
      <w:pPr>
        <w:pStyle w:val="null3"/>
        <w:jc w:val="center"/>
        <w:outlineLvl w:val="3"/>
      </w:pPr>
      <w:r>
        <w:rPr>
          <w:sz w:val="24"/>
          <w:b/>
        </w:rPr>
        <w:t>采购项目编号：</w:t>
      </w:r>
      <w:r>
        <w:rPr>
          <w:sz w:val="24"/>
          <w:b/>
        </w:rPr>
        <w:t>SSZ-2026G12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广东星建项目管理有限公司</w:t>
      </w:r>
    </w:p>
    <w:p>
      <w:pPr>
        <w:pStyle w:val="null3"/>
        <w:ind w:firstLine="480"/>
      </w:pPr>
      <w:r>
        <w:rPr/>
        <w:t xml:space="preserve"> 你方组织的</w:t>
      </w:r>
      <w:r>
        <w:rPr>
          <w:u w:val="single"/>
        </w:rPr>
        <w:t>“</w:t>
      </w:r>
      <w:r>
        <w:rPr>
          <w:u w:val="single"/>
        </w:rPr>
        <w:t>狮山镇市政范围消杀服务项目</w:t>
      </w:r>
      <w:r>
        <w:rPr>
          <w:u w:val="single"/>
        </w:rPr>
        <w:t>”</w:t>
      </w:r>
      <w:r>
        <w:rPr/>
        <w:t>项目的竞争性磋商[采购项目编号为：</w:t>
      </w:r>
      <w:r>
        <w:rPr>
          <w:u w:val="single"/>
        </w:rPr>
        <w:t>SSZ-2026G12</w:t>
      </w:r>
      <w:r>
        <w:rPr/>
        <w:t>]，我方愿参与响应。</w:t>
      </w:r>
    </w:p>
    <w:p>
      <w:pPr>
        <w:pStyle w:val="null3"/>
        <w:ind w:firstLine="480"/>
      </w:pPr>
      <w:r>
        <w:rPr/>
        <w:t>我方确认收到贵方提供的</w:t>
      </w:r>
      <w:r>
        <w:rPr>
          <w:u w:val="single"/>
        </w:rPr>
        <w:t>“</w:t>
      </w:r>
      <w:r>
        <w:rPr>
          <w:u w:val="single"/>
        </w:rPr>
        <w:t>狮山镇市政范围消杀服务项目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广东星建项目管理有限公司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狮山镇市政范围消杀服务项目</w:t>
      </w:r>
      <w:r>
        <w:rPr/>
        <w:t>”项目采购[采购项目编号为</w:t>
      </w:r>
      <w:r>
        <w:rPr/>
        <w:t>SSZ-2026G12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佛山市南海区狮山镇城建和水务办公室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广东星建项目管理有限公司</w:t>
      </w:r>
    </w:p>
    <w:p>
      <w:pPr>
        <w:pStyle w:val="null3"/>
        <w:ind w:firstLine="480"/>
      </w:pPr>
      <w:r>
        <w:rPr/>
        <w:t>我单位参加贵公司组织的</w:t>
      </w:r>
      <w:r>
        <w:rPr/>
        <w:t>狮山镇市政范围消杀服务项目</w:t>
      </w:r>
      <w:r>
        <w:rPr/>
        <w:t>（采购项目编号：</w:t>
      </w:r>
      <w:r>
        <w:rPr/>
        <w:t>SSZ-2026G12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广东星建项目管理有限公司</w:t>
      </w:r>
    </w:p>
    <w:p>
      <w:pPr>
        <w:pStyle w:val="null3"/>
        <w:ind w:firstLine="480"/>
      </w:pPr>
      <w:r>
        <w:rPr/>
        <w:t>我单位已登记并准备参与“</w:t>
      </w:r>
      <w:r>
        <w:rPr/>
        <w:t>狮山镇市政范围消杀服务项目</w:t>
      </w:r>
      <w:r>
        <w:rPr/>
        <w:t>”项目（采购项目编号：</w:t>
      </w:r>
      <w:r>
        <w:rPr/>
        <w:t>SSZ-2026G12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