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4440E">
      <w:pPr>
        <w:ind w:firstLine="0" w:firstLineChars="0"/>
        <w:jc w:val="both"/>
        <w:rPr>
          <w:color w:val="auto"/>
        </w:rPr>
      </w:pPr>
      <w:r>
        <w:rPr>
          <w:rFonts w:hint="eastAsia"/>
          <w:color w:val="auto"/>
        </w:rPr>
        <w:t>合同编号：</w:t>
      </w:r>
    </w:p>
    <w:p w14:paraId="7A700FF3">
      <w:pPr>
        <w:rPr>
          <w:color w:val="auto"/>
        </w:rPr>
      </w:pPr>
    </w:p>
    <w:p w14:paraId="1A43130F">
      <w:pPr>
        <w:rPr>
          <w:color w:val="auto"/>
        </w:rPr>
      </w:pPr>
    </w:p>
    <w:p w14:paraId="528C2391">
      <w:pPr>
        <w:rPr>
          <w:color w:val="auto"/>
        </w:rPr>
      </w:pPr>
    </w:p>
    <w:p w14:paraId="367A1447">
      <w:pPr>
        <w:rPr>
          <w:color w:val="auto"/>
        </w:rPr>
      </w:pPr>
    </w:p>
    <w:p w14:paraId="644054B0">
      <w:pPr>
        <w:jc w:val="center"/>
        <w:rPr>
          <w:rFonts w:hint="default" w:eastAsia="仿宋"/>
          <w:color w:val="auto"/>
          <w:sz w:val="52"/>
          <w:szCs w:val="52"/>
          <w:lang w:val="en-US" w:eastAsia="zh-CN"/>
        </w:rPr>
      </w:pPr>
      <w:r>
        <w:rPr>
          <w:rFonts w:hint="eastAsia"/>
          <w:color w:val="auto"/>
          <w:sz w:val="52"/>
          <w:szCs w:val="52"/>
          <w:lang w:val="en-US" w:eastAsia="zh-CN"/>
        </w:rPr>
        <w:t>合 同 书</w:t>
      </w:r>
    </w:p>
    <w:p w14:paraId="10D15381">
      <w:pPr>
        <w:rPr>
          <w:color w:val="auto"/>
        </w:rPr>
      </w:pPr>
    </w:p>
    <w:p w14:paraId="793F95D2">
      <w:pPr>
        <w:rPr>
          <w:color w:val="auto"/>
        </w:rPr>
      </w:pPr>
    </w:p>
    <w:p w14:paraId="245D76D2">
      <w:pPr>
        <w:rPr>
          <w:color w:val="auto"/>
        </w:rPr>
      </w:pPr>
    </w:p>
    <w:p w14:paraId="18663DB0">
      <w:pPr>
        <w:rPr>
          <w:color w:val="auto"/>
        </w:rPr>
      </w:pPr>
    </w:p>
    <w:p w14:paraId="5ED49041">
      <w:pPr>
        <w:rPr>
          <w:color w:val="auto"/>
        </w:rPr>
      </w:pPr>
    </w:p>
    <w:p w14:paraId="118995FC">
      <w:pPr>
        <w:rPr>
          <w:color w:val="auto"/>
        </w:rPr>
      </w:pPr>
    </w:p>
    <w:p w14:paraId="5F5211AC">
      <w:pPr>
        <w:rPr>
          <w:color w:val="auto"/>
        </w:rPr>
      </w:pPr>
    </w:p>
    <w:p w14:paraId="4E8E65A5">
      <w:pPr>
        <w:rPr>
          <w:color w:val="auto"/>
        </w:rPr>
      </w:pPr>
    </w:p>
    <w:p w14:paraId="5B7CA709">
      <w:pPr>
        <w:ind w:firstLine="640" w:firstLineChars="200"/>
        <w:rPr>
          <w:rFonts w:hint="eastAsia"/>
          <w:color w:val="auto"/>
          <w:u w:val="single"/>
        </w:rPr>
      </w:pPr>
      <w:r>
        <w:rPr>
          <w:rFonts w:hint="eastAsia"/>
          <w:color w:val="auto"/>
          <w:lang w:val="en-US" w:eastAsia="zh-CN"/>
        </w:rPr>
        <w:t>项目名称：</w:t>
      </w:r>
      <w:r>
        <w:rPr>
          <w:rFonts w:hint="eastAsia" w:ascii="仿宋" w:hAnsi="仿宋" w:eastAsia="仿宋" w:cs="宋体"/>
          <w:color w:val="auto"/>
          <w:sz w:val="32"/>
          <w:szCs w:val="32"/>
          <w:u w:val="single"/>
          <w:lang w:val="en-US" w:eastAsia="zh-CN"/>
        </w:rPr>
        <w:t>冷库、蔬菜市场、综合水产市场2026年有害生物防治服务项目</w:t>
      </w:r>
      <w:r>
        <w:rPr>
          <w:rFonts w:hint="eastAsia"/>
          <w:color w:val="auto"/>
          <w:u w:val="single"/>
        </w:rPr>
        <w:t xml:space="preserve"> </w:t>
      </w:r>
    </w:p>
    <w:p w14:paraId="7F6F6272">
      <w:pPr>
        <w:ind w:firstLine="640" w:firstLineChars="200"/>
        <w:rPr>
          <w:rFonts w:hint="eastAsia"/>
          <w:color w:val="auto"/>
          <w:u w:val="single"/>
        </w:rPr>
      </w:pPr>
    </w:p>
    <w:p w14:paraId="1ABD5F81">
      <w:pPr>
        <w:rPr>
          <w:rFonts w:hint="eastAsia" w:eastAsia="仿宋"/>
          <w:b w:val="0"/>
          <w:color w:val="000000" w:themeColor="text1"/>
          <w:u w:val="single"/>
          <w:lang w:val="en-US" w:eastAsia="zh-CN"/>
          <w14:textFill>
            <w14:solidFill>
              <w14:schemeClr w14:val="tx1"/>
            </w14:solidFill>
          </w14:textFill>
        </w:rPr>
      </w:pPr>
      <w:r>
        <w:rPr>
          <w:rFonts w:hint="eastAsia"/>
          <w:color w:val="auto"/>
        </w:rPr>
        <w:t xml:space="preserve">甲    方： </w:t>
      </w:r>
      <w:r>
        <w:rPr>
          <w:rFonts w:hint="eastAsia"/>
          <w:b/>
          <w:color w:val="auto"/>
          <w:u w:val="single"/>
          <w:lang w:eastAsia="zh-CN"/>
        </w:rPr>
        <w:t xml:space="preserve"> </w:t>
      </w:r>
      <w:r>
        <w:rPr>
          <w:rFonts w:hint="eastAsia"/>
          <w:color w:val="000000" w:themeColor="text1"/>
          <w:u w:val="single"/>
          <w:lang w:val="en-US" w:eastAsia="zh-CN"/>
          <w14:textFill>
            <w14:solidFill>
              <w14:schemeClr w14:val="tx1"/>
            </w14:solidFill>
          </w14:textFill>
        </w:rPr>
        <w:t>聊城兴农绿色农业发展有限公司</w:t>
      </w:r>
    </w:p>
    <w:p w14:paraId="2412E506">
      <w:pPr>
        <w:rPr>
          <w:rFonts w:hint="eastAsia"/>
          <w:color w:val="auto"/>
        </w:rPr>
      </w:pPr>
    </w:p>
    <w:p w14:paraId="2785557C">
      <w:pPr>
        <w:rPr>
          <w:rFonts w:hint="default"/>
          <w:b/>
          <w:color w:val="auto"/>
          <w:u w:val="single"/>
        </w:rPr>
      </w:pPr>
      <w:r>
        <w:rPr>
          <w:rFonts w:hint="eastAsia"/>
          <w:color w:val="auto"/>
        </w:rPr>
        <w:t>乙    方：</w:t>
      </w:r>
      <w:r>
        <w:rPr>
          <w:rFonts w:hint="eastAsia"/>
          <w:color w:val="auto"/>
          <w:u w:val="single"/>
          <w:lang w:val="en-US" w:eastAsia="zh-CN"/>
        </w:rPr>
        <w:t xml:space="preserve">                          </w:t>
      </w:r>
    </w:p>
    <w:p w14:paraId="31489270">
      <w:pPr>
        <w:rPr>
          <w:color w:val="auto"/>
        </w:rPr>
      </w:pPr>
    </w:p>
    <w:p w14:paraId="7D00A64C">
      <w:pPr>
        <w:ind w:firstLine="1280" w:firstLineChars="400"/>
        <w:rPr>
          <w:b/>
          <w:color w:val="auto"/>
        </w:rPr>
      </w:pPr>
      <w:r>
        <w:rPr>
          <w:rFonts w:hint="eastAsia"/>
          <w:color w:val="auto"/>
        </w:rPr>
        <w:t>日期：       年    月    日</w:t>
      </w:r>
    </w:p>
    <w:p w14:paraId="1F1C59FB">
      <w:pPr>
        <w:rPr>
          <w:color w:val="auto"/>
        </w:rPr>
        <w:sectPr>
          <w:pgSz w:w="11906" w:h="16838"/>
          <w:pgMar w:top="1440" w:right="1800" w:bottom="1440" w:left="1800" w:header="851" w:footer="992" w:gutter="0"/>
          <w:cols w:space="425" w:num="1"/>
          <w:docGrid w:type="lines" w:linePitch="312" w:charSpace="0"/>
        </w:sectPr>
      </w:pPr>
    </w:p>
    <w:p w14:paraId="79E18EE9">
      <w:pPr>
        <w:rPr>
          <w:rFonts w:hint="eastAsia" w:eastAsia="仿宋"/>
          <w:b w:val="0"/>
          <w:color w:val="auto"/>
          <w:lang w:val="en-US" w:eastAsia="zh-CN"/>
        </w:rPr>
      </w:pPr>
      <w:r>
        <w:rPr>
          <w:rFonts w:hint="eastAsia"/>
          <w:color w:val="auto"/>
        </w:rPr>
        <w:t>甲方：</w:t>
      </w:r>
      <w:r>
        <w:rPr>
          <w:rFonts w:hint="eastAsia"/>
          <w:color w:val="auto"/>
          <w:u w:val="single"/>
          <w:lang w:val="en-US" w:eastAsia="zh-CN"/>
        </w:rPr>
        <w:t>聊城兴农绿色农业发展有限公司</w:t>
      </w:r>
    </w:p>
    <w:p w14:paraId="04D5B1DA">
      <w:pPr>
        <w:numPr>
          <w:ilvl w:val="0"/>
          <w:numId w:val="0"/>
        </w:numPr>
        <w:ind w:firstLine="640" w:firstLineChars="200"/>
        <w:rPr>
          <w:rFonts w:hint="eastAsia"/>
          <w:b w:val="0"/>
          <w:color w:val="auto"/>
          <w:u w:val="single"/>
        </w:rPr>
      </w:pPr>
      <w:r>
        <w:rPr>
          <w:rFonts w:hint="eastAsia"/>
          <w:color w:val="auto"/>
        </w:rPr>
        <w:t>乙方：</w:t>
      </w:r>
      <w:r>
        <w:rPr>
          <w:rFonts w:hint="eastAsia"/>
          <w:color w:val="auto"/>
          <w:u w:val="single"/>
        </w:rPr>
        <w:t xml:space="preserve">                          </w:t>
      </w:r>
    </w:p>
    <w:p w14:paraId="7D2A6ADD">
      <w:pPr>
        <w:numPr>
          <w:ilvl w:val="0"/>
          <w:numId w:val="0"/>
        </w:numPr>
        <w:ind w:firstLine="640" w:firstLineChars="200"/>
        <w:rPr>
          <w:b/>
          <w:color w:val="auto"/>
        </w:rPr>
      </w:pPr>
      <w:r>
        <w:rPr>
          <w:rFonts w:hint="eastAsia"/>
          <w:color w:val="auto"/>
        </w:rPr>
        <w:t>甲乙双方根据《中华人民共和国民法典》等相关法律法规的规定，本着平等自愿、互惠互利的原则，就</w:t>
      </w:r>
      <w:r>
        <w:rPr>
          <w:rFonts w:hint="eastAsia" w:ascii="仿宋" w:hAnsi="仿宋" w:eastAsia="仿宋" w:cs="宋体"/>
          <w:color w:val="auto"/>
          <w:sz w:val="32"/>
          <w:szCs w:val="32"/>
          <w:u w:val="single"/>
          <w:lang w:val="en-US" w:eastAsia="zh-CN"/>
        </w:rPr>
        <w:t>冷库、蔬菜市场、综合水产市场2026年有害生物防治服务项目</w:t>
      </w:r>
      <w:r>
        <w:rPr>
          <w:rFonts w:hint="eastAsia"/>
          <w:color w:val="auto"/>
          <w:u w:val="single"/>
        </w:rPr>
        <w:t xml:space="preserve"> </w:t>
      </w:r>
      <w:r>
        <w:rPr>
          <w:rFonts w:hint="eastAsia"/>
          <w:color w:val="auto"/>
        </w:rPr>
        <w:t>事宜协商一致，订立本合同。</w:t>
      </w:r>
    </w:p>
    <w:p w14:paraId="569216C5">
      <w:pPr>
        <w:rPr>
          <w:b/>
          <w:color w:val="auto"/>
        </w:rPr>
      </w:pPr>
      <w:r>
        <w:rPr>
          <w:rFonts w:hint="eastAsia"/>
          <w:color w:val="auto"/>
        </w:rPr>
        <w:t>一、服务范围及内容</w:t>
      </w:r>
    </w:p>
    <w:p w14:paraId="10C86358">
      <w:pPr>
        <w:numPr>
          <w:ilvl w:val="0"/>
          <w:numId w:val="0"/>
        </w:numPr>
        <w:ind w:firstLine="640" w:firstLineChars="200"/>
        <w:rPr>
          <w:rFonts w:hint="eastAsia" w:ascii="仿宋" w:hAnsi="仿宋" w:eastAsia="仿宋" w:cs="宋体"/>
          <w:color w:val="auto"/>
          <w:sz w:val="32"/>
          <w:szCs w:val="32"/>
          <w:lang w:val="en-US" w:eastAsia="zh-CN"/>
        </w:rPr>
      </w:pPr>
      <w:r>
        <w:rPr>
          <w:rFonts w:hint="eastAsia"/>
          <w:color w:val="auto"/>
        </w:rPr>
        <w:t>1.1服务范围：</w:t>
      </w:r>
      <w:r>
        <w:rPr>
          <w:rFonts w:hint="eastAsia" w:ascii="仿宋" w:hAnsi="仿宋" w:eastAsia="仿宋" w:cs="宋体"/>
          <w:color w:val="auto"/>
          <w:sz w:val="32"/>
          <w:szCs w:val="32"/>
          <w:lang w:val="en-US" w:eastAsia="zh-CN"/>
        </w:rPr>
        <w:t>水产市场、肉类市场3#、4#楼、干调市场、冻品市场、熟食市场、茶市场、蔬菜市场东西厅、蔬菜市场理货区、一二期冷库，总防治面积约94000㎡。</w:t>
      </w:r>
    </w:p>
    <w:p w14:paraId="44E598E6">
      <w:pPr>
        <w:numPr>
          <w:ilvl w:val="0"/>
          <w:numId w:val="0"/>
        </w:numPr>
        <w:ind w:firstLine="640" w:firstLineChars="200"/>
        <w:rPr>
          <w:rFonts w:hint="eastAsia" w:ascii="仿宋" w:hAnsi="仿宋" w:eastAsia="仿宋" w:cs="宋体"/>
          <w:color w:val="auto"/>
          <w:sz w:val="32"/>
          <w:szCs w:val="32"/>
          <w:lang w:val="en-US" w:eastAsia="zh-CN"/>
        </w:rPr>
      </w:pPr>
      <w:r>
        <w:rPr>
          <w:rFonts w:hint="eastAsia"/>
          <w:color w:val="auto"/>
        </w:rPr>
        <w:t>1.2服务内容：</w:t>
      </w:r>
      <w:r>
        <w:rPr>
          <w:rFonts w:hint="eastAsia" w:ascii="仿宋" w:hAnsi="仿宋" w:eastAsia="仿宋" w:cs="宋体"/>
          <w:color w:val="auto"/>
          <w:sz w:val="32"/>
          <w:szCs w:val="32"/>
          <w:lang w:val="en-US" w:eastAsia="zh-CN"/>
        </w:rPr>
        <w:t>防治对象，鼠类。服务期内防治频率每月进行一次防治，并根据实际情况进行补药,期间发现鼠迹（鼠粪、鼠咬痕、活鼠及尸体等）,24小时到现场处理。逾期未到每次扣除服务费500元。</w:t>
      </w:r>
    </w:p>
    <w:p w14:paraId="28FFDF8B">
      <w:pPr>
        <w:rPr>
          <w:b/>
          <w:color w:val="auto"/>
        </w:rPr>
      </w:pPr>
      <w:r>
        <w:rPr>
          <w:rFonts w:hint="eastAsia"/>
          <w:color w:val="auto"/>
        </w:rPr>
        <w:t>二、服务期限</w:t>
      </w:r>
    </w:p>
    <w:p w14:paraId="7BF7FEF2">
      <w:pPr>
        <w:numPr>
          <w:ilvl w:val="0"/>
          <w:numId w:val="0"/>
        </w:numPr>
        <w:ind w:firstLine="640" w:firstLineChars="200"/>
        <w:rPr>
          <w:rFonts w:hint="eastAsia"/>
          <w:color w:val="auto"/>
        </w:rPr>
      </w:pPr>
      <w:r>
        <w:rPr>
          <w:rFonts w:hint="eastAsia"/>
          <w:color w:val="auto"/>
        </w:rPr>
        <w:t>本合同服务期限为</w:t>
      </w:r>
      <w:r>
        <w:rPr>
          <w:rFonts w:hint="eastAsia"/>
          <w:color w:val="auto"/>
          <w:lang w:val="en-US" w:eastAsia="zh-CN"/>
        </w:rPr>
        <w:t>一年</w:t>
      </w:r>
      <w:r>
        <w:rPr>
          <w:rFonts w:hint="eastAsia"/>
          <w:color w:val="auto"/>
        </w:rPr>
        <w:t>，自    年    月  日起至     年     月    日止</w:t>
      </w:r>
      <w:r>
        <w:rPr>
          <w:rFonts w:hint="eastAsia"/>
          <w:color w:val="auto"/>
          <w:lang w:eastAsia="zh-CN"/>
        </w:rPr>
        <w:t>。</w:t>
      </w:r>
      <w:r>
        <w:rPr>
          <w:rFonts w:hint="eastAsia" w:ascii="仿宋" w:hAnsi="仿宋" w:eastAsia="仿宋" w:cs="宋体"/>
          <w:color w:val="auto"/>
          <w:sz w:val="32"/>
          <w:szCs w:val="32"/>
          <w:lang w:val="en-US" w:eastAsia="zh-CN"/>
        </w:rPr>
        <w:t>服务期满视甲方需求及乙方服务情况可另行续签下一年度合同，</w:t>
      </w:r>
      <w:bookmarkStart w:id="0" w:name="_GoBack"/>
      <w:bookmarkEnd w:id="0"/>
      <w:r>
        <w:rPr>
          <w:rFonts w:hint="eastAsia" w:ascii="仿宋" w:hAnsi="仿宋" w:eastAsia="仿宋" w:cs="宋体"/>
          <w:color w:val="auto"/>
          <w:sz w:val="32"/>
          <w:szCs w:val="32"/>
          <w:lang w:val="en-US" w:eastAsia="zh-CN"/>
        </w:rPr>
        <w:t>最多续签2年。</w:t>
      </w:r>
    </w:p>
    <w:p w14:paraId="7FC0CA64">
      <w:pPr>
        <w:rPr>
          <w:rFonts w:hint="eastAsia"/>
          <w:color w:val="auto"/>
        </w:rPr>
      </w:pPr>
      <w:r>
        <w:rPr>
          <w:rFonts w:hint="eastAsia"/>
          <w:color w:val="auto"/>
        </w:rPr>
        <w:t>三、服务费用</w:t>
      </w:r>
    </w:p>
    <w:p w14:paraId="2E6F65D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宋体"/>
          <w:color w:val="auto"/>
          <w:sz w:val="32"/>
          <w:szCs w:val="32"/>
          <w:lang w:val="en-US"/>
        </w:rPr>
      </w:pPr>
      <w:r>
        <w:rPr>
          <w:rFonts w:hint="eastAsia"/>
          <w:color w:val="auto"/>
        </w:rPr>
        <w:t>3.1</w:t>
      </w:r>
      <w:r>
        <w:rPr>
          <w:rFonts w:hint="eastAsia" w:ascii="仿宋" w:hAnsi="仿宋" w:eastAsia="仿宋" w:cs="宋体"/>
          <w:color w:val="auto"/>
          <w:sz w:val="32"/>
          <w:szCs w:val="32"/>
          <w:lang w:val="zh-CN"/>
        </w:rPr>
        <w:t>本合同</w:t>
      </w:r>
      <w:r>
        <w:rPr>
          <w:rFonts w:hint="eastAsia" w:ascii="仿宋" w:hAnsi="仿宋" w:eastAsia="仿宋" w:cs="宋体"/>
          <w:color w:val="auto"/>
          <w:sz w:val="32"/>
          <w:szCs w:val="32"/>
          <w:lang w:val="en-US" w:eastAsia="zh-CN"/>
        </w:rPr>
        <w:t>总</w:t>
      </w:r>
      <w:r>
        <w:rPr>
          <w:rFonts w:hint="eastAsia" w:ascii="仿宋" w:hAnsi="仿宋" w:eastAsia="仿宋" w:cs="宋体"/>
          <w:color w:val="auto"/>
          <w:sz w:val="32"/>
          <w:szCs w:val="32"/>
          <w:lang w:val="zh-CN"/>
        </w:rPr>
        <w:t>价款为</w:t>
      </w:r>
      <w:r>
        <w:rPr>
          <w:rFonts w:hint="eastAsia" w:ascii="仿宋" w:hAnsi="仿宋" w:eastAsia="仿宋" w:cs="宋体"/>
          <w:color w:val="auto"/>
          <w:sz w:val="32"/>
          <w:szCs w:val="32"/>
          <w:lang w:val="en-US" w:eastAsia="zh-CN"/>
        </w:rPr>
        <w:t>人</w:t>
      </w:r>
      <w:r>
        <w:rPr>
          <w:rFonts w:hint="eastAsia" w:ascii="仿宋" w:hAnsi="仿宋" w:eastAsia="仿宋" w:cs="宋体"/>
          <w:color w:val="auto"/>
          <w:sz w:val="32"/>
          <w:szCs w:val="32"/>
          <w:lang w:val="zh-CN"/>
        </w:rPr>
        <w:t>民币（</w:t>
      </w:r>
      <w:r>
        <w:rPr>
          <w:rFonts w:hint="eastAsia" w:ascii="仿宋" w:hAnsi="仿宋" w:eastAsia="仿宋" w:cs="宋体"/>
          <w:color w:val="auto"/>
          <w:sz w:val="32"/>
          <w:szCs w:val="32"/>
          <w:lang w:val="en-US" w:eastAsia="zh-CN"/>
        </w:rPr>
        <w:t>大写</w:t>
      </w:r>
      <w:r>
        <w:rPr>
          <w:rFonts w:hint="eastAsia" w:ascii="仿宋" w:hAnsi="仿宋" w:eastAsia="仿宋" w:cs="宋体"/>
          <w:color w:val="auto"/>
          <w:sz w:val="32"/>
          <w:szCs w:val="32"/>
          <w:lang w:val="zh-CN"/>
        </w:rPr>
        <w:t>）</w:t>
      </w:r>
      <w:r>
        <w:rPr>
          <w:rFonts w:hint="eastAsia" w:ascii="仿宋" w:hAnsi="仿宋" w:eastAsia="仿宋" w:cs="宋体"/>
          <w:color w:val="auto"/>
          <w:sz w:val="32"/>
          <w:szCs w:val="32"/>
          <w:lang w:val="en-US" w:eastAsia="zh-CN"/>
        </w:rPr>
        <w:t xml:space="preserve">： </w:t>
      </w:r>
      <w:r>
        <w:rPr>
          <w:rFonts w:hint="eastAsia" w:ascii="仿宋" w:hAnsi="仿宋" w:eastAsia="仿宋" w:cs="宋体"/>
          <w:color w:val="auto"/>
          <w:sz w:val="32"/>
          <w:szCs w:val="32"/>
          <w:u w:val="none"/>
          <w:lang w:val="en-US" w:eastAsia="zh-CN"/>
        </w:rPr>
        <w:t xml:space="preserve">     </w:t>
      </w:r>
      <w:r>
        <w:rPr>
          <w:rFonts w:hint="eastAsia" w:cs="宋体"/>
          <w:color w:val="auto"/>
          <w:sz w:val="32"/>
          <w:szCs w:val="32"/>
          <w:u w:val="none"/>
          <w:lang w:val="en-US" w:eastAsia="zh-CN"/>
        </w:rPr>
        <w:t xml:space="preserve"> </w:t>
      </w:r>
      <w:r>
        <w:rPr>
          <w:rFonts w:hint="eastAsia" w:ascii="仿宋" w:hAnsi="仿宋" w:eastAsia="仿宋" w:cs="宋体"/>
          <w:color w:val="auto"/>
          <w:sz w:val="32"/>
          <w:szCs w:val="32"/>
          <w:u w:val="none"/>
          <w:lang w:val="en-US" w:eastAsia="zh-CN"/>
        </w:rPr>
        <w:t xml:space="preserve"> </w:t>
      </w:r>
      <w:r>
        <w:rPr>
          <w:rFonts w:hint="eastAsia" w:cs="宋体"/>
          <w:color w:val="auto"/>
          <w:sz w:val="32"/>
          <w:szCs w:val="32"/>
          <w:u w:val="none"/>
          <w:lang w:val="en-US" w:eastAsia="zh-CN"/>
        </w:rPr>
        <w:t xml:space="preserve">    </w:t>
      </w:r>
      <w:r>
        <w:rPr>
          <w:rFonts w:hint="eastAsia" w:ascii="仿宋" w:hAnsi="仿宋" w:eastAsia="仿宋" w:cs="宋体"/>
          <w:color w:val="auto"/>
          <w:sz w:val="32"/>
          <w:szCs w:val="32"/>
          <w:lang w:val="en-US" w:eastAsia="zh-CN"/>
        </w:rPr>
        <w:t>其中：不含税金额为</w:t>
      </w:r>
      <w:r>
        <w:rPr>
          <w:rFonts w:hint="eastAsia" w:ascii="仿宋" w:hAnsi="仿宋" w:eastAsia="仿宋" w:cs="宋体"/>
          <w:b w:val="0"/>
          <w:bCs/>
          <w:color w:val="auto"/>
          <w:sz w:val="32"/>
          <w:szCs w:val="32"/>
          <w:u w:val="none"/>
          <w:lang w:val="en-US" w:eastAsia="zh-CN"/>
        </w:rPr>
        <w:t>：</w:t>
      </w:r>
      <w:r>
        <w:rPr>
          <w:rFonts w:hint="eastAsia" w:cs="宋体"/>
          <w:b w:val="0"/>
          <w:bCs/>
          <w:color w:val="auto"/>
          <w:sz w:val="32"/>
          <w:szCs w:val="32"/>
          <w:u w:val="none"/>
          <w:lang w:val="en-US" w:eastAsia="zh-CN"/>
        </w:rPr>
        <w:t xml:space="preserve">     </w:t>
      </w:r>
      <w:r>
        <w:rPr>
          <w:rFonts w:hint="eastAsia" w:ascii="仿宋" w:hAnsi="仿宋" w:eastAsia="仿宋"/>
          <w:b w:val="0"/>
          <w:bCs/>
          <w:color w:val="auto"/>
          <w:sz w:val="32"/>
          <w:szCs w:val="32"/>
          <w:u w:val="none"/>
          <w:lang w:val="en-US" w:eastAsia="zh-CN"/>
        </w:rPr>
        <w:t>元，</w:t>
      </w:r>
      <w:r>
        <w:rPr>
          <w:rFonts w:hint="eastAsia" w:ascii="仿宋" w:hAnsi="仿宋" w:eastAsia="仿宋" w:cs="宋体"/>
          <w:color w:val="auto"/>
          <w:sz w:val="32"/>
          <w:szCs w:val="32"/>
          <w:lang w:val="en-US" w:eastAsia="zh-CN"/>
        </w:rPr>
        <w:t>税额为</w:t>
      </w:r>
      <w:r>
        <w:rPr>
          <w:rFonts w:hint="eastAsia" w:cs="宋体"/>
          <w:color w:val="auto"/>
          <w:sz w:val="32"/>
          <w:szCs w:val="32"/>
          <w:u w:val="none"/>
          <w:lang w:val="en-US" w:eastAsia="zh-CN"/>
        </w:rPr>
        <w:t xml:space="preserve">   </w:t>
      </w:r>
      <w:r>
        <w:rPr>
          <w:rFonts w:hint="eastAsia" w:ascii="仿宋" w:hAnsi="仿宋" w:eastAsia="仿宋" w:cs="宋体"/>
          <w:color w:val="auto"/>
          <w:sz w:val="32"/>
          <w:szCs w:val="32"/>
          <w:u w:val="none"/>
          <w:lang w:val="en-US" w:eastAsia="zh-CN"/>
        </w:rPr>
        <w:t xml:space="preserve">    </w:t>
      </w:r>
      <w:r>
        <w:rPr>
          <w:rFonts w:hint="eastAsia" w:cs="宋体"/>
          <w:color w:val="auto"/>
          <w:sz w:val="32"/>
          <w:szCs w:val="32"/>
          <w:u w:val="none"/>
          <w:lang w:val="en-US" w:eastAsia="zh-CN"/>
        </w:rPr>
        <w:t>元</w:t>
      </w:r>
      <w:r>
        <w:rPr>
          <w:rFonts w:hint="eastAsia" w:ascii="仿宋" w:hAnsi="仿宋" w:eastAsia="仿宋" w:cs="宋体"/>
          <w:color w:val="auto"/>
          <w:sz w:val="32"/>
          <w:szCs w:val="32"/>
          <w:u w:val="none"/>
          <w:lang w:val="en-US" w:eastAsia="zh-CN"/>
        </w:rPr>
        <w:t>。</w:t>
      </w:r>
    </w:p>
    <w:p w14:paraId="177A1167">
      <w:pPr>
        <w:numPr>
          <w:ilvl w:val="0"/>
          <w:numId w:val="0"/>
        </w:numPr>
        <w:rPr>
          <w:rFonts w:hint="eastAsia"/>
          <w:b w:val="0"/>
          <w:color w:val="auto"/>
        </w:rPr>
      </w:pPr>
    </w:p>
    <w:p w14:paraId="18B275A9">
      <w:pPr>
        <w:numPr>
          <w:ilvl w:val="0"/>
          <w:numId w:val="0"/>
        </w:numPr>
        <w:ind w:firstLine="640" w:firstLineChars="200"/>
        <w:jc w:val="left"/>
        <w:rPr>
          <w:rFonts w:hint="eastAsia" w:ascii="仿宋" w:hAnsi="仿宋" w:eastAsia="仿宋" w:cs="宋体"/>
          <w:color w:val="auto"/>
          <w:sz w:val="32"/>
          <w:szCs w:val="32"/>
          <w:lang w:val="en-US" w:eastAsia="zh-CN"/>
        </w:rPr>
      </w:pPr>
      <w:r>
        <w:rPr>
          <w:rFonts w:hint="eastAsia"/>
          <w:color w:val="auto"/>
        </w:rPr>
        <w:t>3.2上述服务费用包括因履行</w:t>
      </w:r>
      <w:r>
        <w:rPr>
          <w:rFonts w:hint="eastAsia"/>
          <w:color w:val="auto"/>
          <w:u w:val="none"/>
          <w:lang w:val="en-US" w:eastAsia="zh-CN"/>
        </w:rPr>
        <w:t>本服务项目</w:t>
      </w:r>
      <w:r>
        <w:rPr>
          <w:rFonts w:hint="eastAsia"/>
          <w:color w:val="auto"/>
        </w:rPr>
        <w:t>而发生的所有相关费用，包括但不限于完成本合同项下服务内容所需</w:t>
      </w:r>
      <w:r>
        <w:rPr>
          <w:rFonts w:hint="eastAsia" w:ascii="仿宋" w:hAnsi="仿宋" w:eastAsia="仿宋" w:cs="宋体"/>
          <w:color w:val="auto"/>
          <w:sz w:val="32"/>
          <w:szCs w:val="32"/>
          <w:lang w:val="en-US" w:eastAsia="zh-CN"/>
        </w:rPr>
        <w:t>人工费、药品费、器械折旧费、交通费、管理费、税金及各类费用。</w:t>
      </w:r>
    </w:p>
    <w:p w14:paraId="56D763A0">
      <w:pPr>
        <w:numPr>
          <w:ilvl w:val="0"/>
          <w:numId w:val="0"/>
        </w:numPr>
        <w:rPr>
          <w:rFonts w:hint="eastAsia"/>
          <w:b w:val="0"/>
          <w:color w:val="auto"/>
        </w:rPr>
      </w:pPr>
      <w:r>
        <w:rPr>
          <w:rFonts w:hint="eastAsia"/>
          <w:color w:val="auto"/>
        </w:rPr>
        <w:t>3.3服务费用包括服务期限内乙方在履行合同义务过程中发生的一切安全事故及由此产生的所有费用。</w:t>
      </w:r>
    </w:p>
    <w:p w14:paraId="67436F7F">
      <w:pPr>
        <w:numPr>
          <w:ilvl w:val="0"/>
          <w:numId w:val="0"/>
        </w:numPr>
        <w:rPr>
          <w:color w:val="auto"/>
        </w:rPr>
      </w:pPr>
      <w:r>
        <w:rPr>
          <w:rFonts w:hint="eastAsia"/>
          <w:color w:val="auto"/>
        </w:rPr>
        <w:t>四、付款方式及结算方式</w:t>
      </w:r>
    </w:p>
    <w:p w14:paraId="39175037">
      <w:pPr>
        <w:numPr>
          <w:ilvl w:val="0"/>
          <w:numId w:val="0"/>
        </w:numPr>
        <w:ind w:firstLine="640" w:firstLineChars="200"/>
        <w:jc w:val="left"/>
        <w:rPr>
          <w:rFonts w:hint="eastAsia" w:ascii="仿宋" w:hAnsi="仿宋" w:eastAsia="仿宋" w:cs="宋体"/>
          <w:color w:val="auto"/>
          <w:sz w:val="32"/>
          <w:szCs w:val="32"/>
          <w:lang w:val="en-US" w:eastAsia="zh-CN"/>
        </w:rPr>
      </w:pPr>
      <w:r>
        <w:rPr>
          <w:rFonts w:hint="eastAsia"/>
          <w:color w:val="auto"/>
        </w:rPr>
        <w:t>4.1本合同项下3.1项约定的服务费无预付款，</w:t>
      </w:r>
      <w:r>
        <w:rPr>
          <w:rFonts w:hint="eastAsia" w:ascii="仿宋" w:hAnsi="仿宋" w:eastAsia="仿宋" w:cs="宋体"/>
          <w:color w:val="auto"/>
          <w:sz w:val="32"/>
          <w:szCs w:val="32"/>
          <w:lang w:val="en-US" w:eastAsia="zh-CN"/>
        </w:rPr>
        <w:t>服务期满6个月且乙方按照合同约定完成相应服务内容的，支付服务费的50%；服务期限届满，乙方完成合同项下全部服务项目，依据服务成效甲方一次性无息结清剩余费用。</w:t>
      </w:r>
    </w:p>
    <w:p w14:paraId="1422C130">
      <w:pPr>
        <w:numPr>
          <w:ilvl w:val="0"/>
          <w:numId w:val="0"/>
        </w:numPr>
        <w:rPr>
          <w:bCs w:val="0"/>
          <w:color w:val="auto"/>
        </w:rPr>
      </w:pPr>
      <w:r>
        <w:rPr>
          <w:rFonts w:hint="eastAsia"/>
          <w:bCs w:val="0"/>
          <w:color w:val="auto"/>
        </w:rPr>
        <w:t>4.2乙方申请付款的，应提供经甲方财务审查通过的正规发票，若乙方未足额提供或逾期提供或提供的发票信息有误的，甲方有权拒绝支付服务费用并且不承担逾期支付的违约责任。</w:t>
      </w:r>
    </w:p>
    <w:p w14:paraId="2873DC0C">
      <w:pPr>
        <w:numPr>
          <w:ilvl w:val="0"/>
          <w:numId w:val="0"/>
        </w:numPr>
        <w:ind w:firstLineChars="200"/>
        <w:rPr>
          <w:rFonts w:hint="eastAsia" w:ascii="仿宋" w:hAnsi="仿宋" w:eastAsia="仿宋" w:cs="宋体"/>
          <w:color w:val="auto"/>
          <w:kern w:val="2"/>
          <w:sz w:val="32"/>
          <w:szCs w:val="32"/>
        </w:rPr>
      </w:pPr>
      <w:r>
        <w:rPr>
          <w:rFonts w:hint="eastAsia" w:ascii="仿宋" w:hAnsi="仿宋" w:eastAsia="仿宋" w:cs="宋体"/>
          <w:color w:val="auto"/>
          <w:kern w:val="2"/>
          <w:sz w:val="32"/>
          <w:szCs w:val="32"/>
        </w:rPr>
        <w:t>4.3乙方应提供长期有效的唯一公司基本账户，甲方只针对此公司基本（账）户付款，不接受任何委托付款。</w:t>
      </w:r>
    </w:p>
    <w:p w14:paraId="7E565C3B">
      <w:pPr>
        <w:numPr>
          <w:ilvl w:val="0"/>
          <w:numId w:val="0"/>
        </w:numPr>
        <w:ind w:firstLineChars="200"/>
        <w:rPr>
          <w:rFonts w:hint="eastAsia" w:ascii="仿宋" w:hAnsi="仿宋" w:eastAsia="仿宋" w:cs="宋体"/>
          <w:color w:val="auto"/>
          <w:kern w:val="2"/>
          <w:sz w:val="32"/>
          <w:szCs w:val="32"/>
        </w:rPr>
      </w:pPr>
      <w:r>
        <w:rPr>
          <w:rFonts w:hint="eastAsia" w:ascii="仿宋" w:hAnsi="仿宋" w:eastAsia="仿宋" w:cs="宋体"/>
          <w:color w:val="auto"/>
          <w:kern w:val="2"/>
          <w:sz w:val="32"/>
          <w:szCs w:val="32"/>
        </w:rPr>
        <w:t>4.4乙方指定账户信息如下：</w:t>
      </w:r>
    </w:p>
    <w:p w14:paraId="313F792F">
      <w:pPr>
        <w:numPr>
          <w:ilvl w:val="0"/>
          <w:numId w:val="0"/>
        </w:numPr>
        <w:ind w:firstLineChars="200"/>
        <w:rPr>
          <w:rFonts w:hint="eastAsia" w:ascii="仿宋" w:hAnsi="仿宋" w:eastAsia="仿宋" w:cs="宋体"/>
          <w:color w:val="auto"/>
          <w:kern w:val="2"/>
          <w:sz w:val="32"/>
          <w:szCs w:val="32"/>
        </w:rPr>
      </w:pPr>
      <w:r>
        <w:rPr>
          <w:rFonts w:hint="eastAsia" w:ascii="仿宋" w:hAnsi="仿宋" w:eastAsia="仿宋" w:cs="宋体"/>
          <w:color w:val="auto"/>
          <w:kern w:val="2"/>
          <w:sz w:val="32"/>
          <w:szCs w:val="32"/>
        </w:rPr>
        <w:t>户名：</w:t>
      </w:r>
    </w:p>
    <w:p w14:paraId="236A82AA">
      <w:pPr>
        <w:numPr>
          <w:ilvl w:val="0"/>
          <w:numId w:val="0"/>
        </w:numPr>
        <w:ind w:firstLineChars="200"/>
        <w:rPr>
          <w:rFonts w:hint="eastAsia" w:ascii="仿宋" w:hAnsi="仿宋" w:eastAsia="仿宋" w:cs="宋体"/>
          <w:color w:val="auto"/>
          <w:kern w:val="2"/>
          <w:sz w:val="32"/>
          <w:szCs w:val="32"/>
        </w:rPr>
      </w:pPr>
      <w:r>
        <w:rPr>
          <w:rFonts w:hint="eastAsia" w:ascii="仿宋" w:hAnsi="仿宋" w:eastAsia="仿宋" w:cs="宋体"/>
          <w:color w:val="auto"/>
          <w:kern w:val="2"/>
          <w:sz w:val="32"/>
          <w:szCs w:val="32"/>
        </w:rPr>
        <w:t>开户行：</w:t>
      </w:r>
    </w:p>
    <w:p w14:paraId="7833AD08">
      <w:pPr>
        <w:numPr>
          <w:ilvl w:val="0"/>
          <w:numId w:val="0"/>
        </w:numPr>
        <w:rPr>
          <w:bCs w:val="0"/>
          <w:color w:val="auto"/>
        </w:rPr>
      </w:pPr>
      <w:r>
        <w:rPr>
          <w:rFonts w:hint="eastAsia"/>
          <w:bCs w:val="0"/>
          <w:color w:val="auto"/>
        </w:rPr>
        <w:t>账号：</w:t>
      </w:r>
    </w:p>
    <w:p w14:paraId="22BC93E4">
      <w:pPr>
        <w:numPr>
          <w:ilvl w:val="0"/>
          <w:numId w:val="0"/>
        </w:numPr>
        <w:rPr>
          <w:bCs w:val="0"/>
          <w:color w:val="auto"/>
        </w:rPr>
      </w:pPr>
      <w:r>
        <w:rPr>
          <w:rFonts w:hint="eastAsia"/>
          <w:bCs w:val="0"/>
          <w:color w:val="auto"/>
        </w:rPr>
        <w:t>4.5结算方式：</w:t>
      </w:r>
      <w:r>
        <w:rPr>
          <w:rFonts w:hint="eastAsia" w:ascii="仿宋" w:hAnsi="仿宋" w:eastAsia="仿宋" w:cs="宋体"/>
          <w:bCs/>
          <w:color w:val="auto"/>
          <w:sz w:val="32"/>
          <w:szCs w:val="32"/>
          <w:lang w:val="en-US" w:eastAsia="zh-CN"/>
        </w:rPr>
        <w:t>采用总价包干方式</w:t>
      </w:r>
      <w:r>
        <w:rPr>
          <w:rFonts w:hint="eastAsia"/>
          <w:bCs w:val="0"/>
          <w:color w:val="auto"/>
        </w:rPr>
        <w:t>，以合同中明确的实际服务内容为准。合同签订后有关政策性调整文件不再执行。</w:t>
      </w:r>
    </w:p>
    <w:p w14:paraId="3155CD92">
      <w:pPr>
        <w:numPr>
          <w:ilvl w:val="0"/>
          <w:numId w:val="0"/>
        </w:numPr>
        <w:rPr>
          <w:bCs w:val="0"/>
          <w:color w:val="auto"/>
        </w:rPr>
      </w:pPr>
      <w:r>
        <w:rPr>
          <w:rFonts w:hint="eastAsia"/>
          <w:bCs w:val="0"/>
          <w:color w:val="auto"/>
        </w:rPr>
        <w:t>五、服务标准</w:t>
      </w:r>
    </w:p>
    <w:p w14:paraId="1CC78428">
      <w:pPr>
        <w:numPr>
          <w:ilvl w:val="0"/>
          <w:numId w:val="0"/>
        </w:numPr>
        <w:rPr>
          <w:rFonts w:hint="eastAsia" w:ascii="仿宋" w:hAnsi="仿宋" w:eastAsia="仿宋" w:cs="宋体"/>
          <w:color w:val="auto"/>
          <w:sz w:val="32"/>
          <w:szCs w:val="32"/>
          <w:lang w:val="en-US" w:eastAsia="zh-CN"/>
        </w:rPr>
      </w:pPr>
      <w:r>
        <w:rPr>
          <w:rFonts w:hint="eastAsia"/>
          <w:bCs w:val="0"/>
          <w:color w:val="auto"/>
        </w:rPr>
        <w:t>5.1</w:t>
      </w:r>
      <w:r>
        <w:rPr>
          <w:rFonts w:hint="eastAsia"/>
          <w:bCs/>
          <w:color w:val="auto"/>
          <w:lang w:val="en-US" w:eastAsia="zh-CN"/>
        </w:rPr>
        <w:t>防治</w:t>
      </w:r>
      <w:r>
        <w:rPr>
          <w:rFonts w:hint="eastAsia"/>
          <w:bCs w:val="0"/>
          <w:color w:val="auto"/>
        </w:rPr>
        <w:t>标准</w:t>
      </w:r>
      <w:r>
        <w:rPr>
          <w:rFonts w:hint="eastAsia"/>
          <w:bCs/>
          <w:color w:val="auto"/>
          <w:lang w:eastAsia="zh-CN"/>
        </w:rPr>
        <w:t>：</w:t>
      </w:r>
      <w:r>
        <w:rPr>
          <w:rFonts w:hint="eastAsia"/>
          <w:bCs/>
          <w:color w:val="auto"/>
          <w:lang w:val="en-US" w:eastAsia="zh-CN"/>
        </w:rPr>
        <w:t>自本合同生效三</w:t>
      </w:r>
      <w:r>
        <w:rPr>
          <w:rFonts w:hint="eastAsia" w:ascii="仿宋" w:hAnsi="仿宋" w:eastAsia="仿宋" w:cs="宋体"/>
          <w:color w:val="auto"/>
          <w:sz w:val="32"/>
          <w:szCs w:val="32"/>
          <w:lang w:val="en-US" w:eastAsia="zh-CN"/>
        </w:rPr>
        <w:t>个月后，鼠类活动逐渐减少，6个月后确保大厅内没有老鼠活动痕迹。如发现，每次扣除服务费500元。</w:t>
      </w:r>
    </w:p>
    <w:p w14:paraId="569A26FF">
      <w:pPr>
        <w:numPr>
          <w:ilvl w:val="0"/>
          <w:numId w:val="0"/>
        </w:numPr>
        <w:ind w:firstLine="640" w:firstLineChars="200"/>
        <w:rPr>
          <w:rFonts w:hint="eastAsia" w:ascii="仿宋" w:hAnsi="仿宋" w:eastAsia="仿宋" w:cs="宋体"/>
          <w:color w:val="auto"/>
          <w:sz w:val="32"/>
          <w:szCs w:val="32"/>
          <w:lang w:val="en-US" w:eastAsia="zh-CN"/>
        </w:rPr>
      </w:pPr>
      <w:r>
        <w:rPr>
          <w:rFonts w:hint="eastAsia"/>
          <w:bCs w:val="0"/>
          <w:color w:val="auto"/>
        </w:rPr>
        <w:t>5.2</w:t>
      </w:r>
      <w:r>
        <w:rPr>
          <w:rFonts w:hint="eastAsia" w:cs="宋体"/>
          <w:bCs/>
          <w:color w:val="auto"/>
          <w:lang w:val="en-US" w:eastAsia="zh-CN"/>
        </w:rPr>
        <w:t>药物使用标准：</w:t>
      </w:r>
      <w:r>
        <w:rPr>
          <w:rFonts w:hint="eastAsia" w:ascii="仿宋" w:hAnsi="仿宋" w:eastAsia="仿宋" w:cs="宋体"/>
          <w:color w:val="auto"/>
          <w:sz w:val="32"/>
          <w:szCs w:val="32"/>
          <w:lang w:val="en-US" w:eastAsia="zh-CN"/>
        </w:rPr>
        <w:t>使用符合国家有关部门允许使用的药物并遵守国家爱卫会规定，使用低毒高效，人畜无害的药物，以保证效果和安全。</w:t>
      </w:r>
    </w:p>
    <w:p w14:paraId="087E0F48">
      <w:pPr>
        <w:widowControl/>
        <w:numPr>
          <w:ilvl w:val="0"/>
          <w:numId w:val="0"/>
        </w:numPr>
        <w:snapToGrid/>
        <w:spacing w:line="240" w:lineRule="auto"/>
        <w:ind w:firstLine="640" w:firstLineChars="200"/>
        <w:rPr>
          <w:rFonts w:hint="eastAsia" w:ascii="仿宋" w:hAnsi="仿宋" w:eastAsia="仿宋" w:cs="宋体"/>
          <w:color w:val="auto"/>
          <w:sz w:val="32"/>
          <w:szCs w:val="32"/>
          <w:lang w:val="en-US" w:eastAsia="zh-CN"/>
        </w:rPr>
      </w:pPr>
      <w:r>
        <w:rPr>
          <w:rFonts w:hint="eastAsia"/>
          <w:bCs/>
          <w:color w:val="auto"/>
          <w:lang w:val="en-US" w:eastAsia="zh-CN"/>
        </w:rPr>
        <w:t>5.3</w:t>
      </w:r>
      <w:r>
        <w:rPr>
          <w:rFonts w:hint="eastAsia" w:cs="宋体"/>
          <w:bCs/>
          <w:color w:val="auto"/>
          <w:lang w:val="en-US" w:eastAsia="zh-CN"/>
        </w:rPr>
        <w:t>防治服务方法</w:t>
      </w:r>
      <w:r>
        <w:rPr>
          <w:rFonts w:hint="eastAsia" w:ascii="仿宋" w:hAnsi="仿宋" w:eastAsia="仿宋" w:cs="宋体"/>
          <w:color w:val="auto"/>
          <w:sz w:val="32"/>
          <w:szCs w:val="32"/>
          <w:lang w:val="en-US" w:eastAsia="zh-CN"/>
        </w:rPr>
        <w:t>:乙方以包工包料的方式进行服务，依据专业灭鼠方案开展服务工作，并于服务期限内，定期检查、补充、更换药物，并做好记录。合同生效3个月后，如甲方检查不合格，每次扣除合同价款的5%。</w:t>
      </w:r>
    </w:p>
    <w:p w14:paraId="51F49F7A">
      <w:pPr>
        <w:widowControl/>
        <w:numPr>
          <w:ilvl w:val="0"/>
          <w:numId w:val="0"/>
        </w:numPr>
        <w:snapToGrid/>
        <w:spacing w:line="240" w:lineRule="auto"/>
        <w:rPr>
          <w:bCs w:val="0"/>
          <w:color w:val="auto"/>
        </w:rPr>
      </w:pPr>
      <w:r>
        <w:rPr>
          <w:rFonts w:hint="eastAsia"/>
          <w:bCs w:val="0"/>
          <w:color w:val="auto"/>
        </w:rPr>
        <w:t>5.</w:t>
      </w:r>
      <w:r>
        <w:rPr>
          <w:rFonts w:hint="eastAsia"/>
          <w:bCs/>
          <w:color w:val="auto"/>
          <w:lang w:val="en-US" w:eastAsia="zh-CN"/>
        </w:rPr>
        <w:t>4</w:t>
      </w:r>
      <w:r>
        <w:rPr>
          <w:rFonts w:hint="eastAsia"/>
          <w:bCs w:val="0"/>
          <w:color w:val="auto"/>
        </w:rPr>
        <w:t>如遇创建文明城市、卫生城市及上级领导检查、观摩等情况，甲方提前通知乙方，乙方应安排人员加班加点，加派人员、车辆，并增加服务频次，提高服务标准，按甲方管理人员的具体要求完成本合同项下服务内容且甲方不再另行支付任何费用。</w:t>
      </w:r>
    </w:p>
    <w:p w14:paraId="4EEAB65D">
      <w:pPr>
        <w:widowControl/>
        <w:numPr>
          <w:ilvl w:val="0"/>
          <w:numId w:val="0"/>
        </w:numPr>
        <w:snapToGrid/>
        <w:spacing w:line="240" w:lineRule="auto"/>
        <w:rPr>
          <w:bCs w:val="0"/>
          <w:color w:val="auto"/>
        </w:rPr>
      </w:pPr>
      <w:r>
        <w:rPr>
          <w:rFonts w:hint="eastAsia"/>
          <w:bCs w:val="0"/>
          <w:color w:val="auto"/>
        </w:rPr>
        <w:t>六、甲方的权利和义务</w:t>
      </w:r>
    </w:p>
    <w:p w14:paraId="1673D0D4">
      <w:pPr>
        <w:widowControl/>
        <w:numPr>
          <w:ilvl w:val="0"/>
          <w:numId w:val="0"/>
        </w:numPr>
        <w:snapToGrid/>
        <w:spacing w:line="240" w:lineRule="auto"/>
        <w:rPr>
          <w:bCs w:val="0"/>
          <w:color w:val="auto"/>
        </w:rPr>
      </w:pPr>
      <w:r>
        <w:rPr>
          <w:rFonts w:hint="eastAsia"/>
          <w:bCs w:val="0"/>
          <w:color w:val="auto"/>
        </w:rPr>
        <w:t>6.1甲方有权对乙方的服务质量进行监督和检查，如发现问题有权通知乙方并要求乙方立即整改。</w:t>
      </w:r>
    </w:p>
    <w:p w14:paraId="7153AE42">
      <w:pPr>
        <w:widowControl/>
        <w:numPr>
          <w:ilvl w:val="0"/>
          <w:numId w:val="0"/>
        </w:numPr>
        <w:snapToGrid/>
        <w:spacing w:line="240" w:lineRule="auto"/>
        <w:rPr>
          <w:bCs w:val="0"/>
          <w:color w:val="auto"/>
        </w:rPr>
      </w:pPr>
      <w:r>
        <w:rPr>
          <w:rFonts w:hint="eastAsia"/>
          <w:bCs w:val="0"/>
          <w:color w:val="auto"/>
        </w:rPr>
        <w:t>6.2甲方应按时支付服务费用，并为乙方提供必要的工作条件和便利。</w:t>
      </w:r>
    </w:p>
    <w:p w14:paraId="066D9D3A">
      <w:pPr>
        <w:widowControl/>
        <w:numPr>
          <w:ilvl w:val="0"/>
          <w:numId w:val="0"/>
        </w:numPr>
        <w:snapToGrid/>
        <w:spacing w:line="240" w:lineRule="auto"/>
        <w:rPr>
          <w:rFonts w:hint="eastAsia"/>
          <w:b w:val="0"/>
          <w:color w:val="auto"/>
        </w:rPr>
      </w:pPr>
      <w:r>
        <w:rPr>
          <w:rFonts w:hint="eastAsia"/>
          <w:bCs w:val="0"/>
          <w:color w:val="auto"/>
        </w:rPr>
        <w:t>6.3</w:t>
      </w:r>
      <w:r>
        <w:rPr>
          <w:rFonts w:hint="eastAsia" w:cs="宋体"/>
          <w:b w:val="0"/>
          <w:bCs/>
          <w:color w:val="auto"/>
        </w:rPr>
        <w:t>甲方每月不定期对乙方服务内容或履行合同义务情况进行检查，</w:t>
      </w:r>
      <w:r>
        <w:rPr>
          <w:rFonts w:hint="eastAsia" w:cs="宋体"/>
          <w:b w:val="0"/>
          <w:bCs/>
          <w:color w:val="auto"/>
          <w:lang w:val="en-US" w:eastAsia="zh-CN"/>
        </w:rPr>
        <w:t>如果发现或商户反映灭鼠效果不明显</w:t>
      </w:r>
      <w:r>
        <w:rPr>
          <w:rFonts w:hint="eastAsia" w:cs="宋体"/>
          <w:b w:val="0"/>
          <w:bCs/>
          <w:color w:val="auto"/>
        </w:rPr>
        <w:t>，乙方</w:t>
      </w:r>
      <w:r>
        <w:rPr>
          <w:rFonts w:hint="eastAsia" w:cs="宋体"/>
          <w:b w:val="0"/>
          <w:bCs/>
          <w:color w:val="auto"/>
          <w:lang w:val="en-US" w:eastAsia="zh-CN"/>
        </w:rPr>
        <w:t>应在收到甲方通知后</w:t>
      </w:r>
      <w:r>
        <w:rPr>
          <w:rFonts w:hint="eastAsia" w:cs="宋体"/>
          <w:b w:val="0"/>
          <w:bCs/>
          <w:color w:val="auto"/>
        </w:rPr>
        <w:t>2</w:t>
      </w:r>
      <w:r>
        <w:rPr>
          <w:rFonts w:hint="eastAsia" w:cs="宋体"/>
          <w:b w:val="0"/>
          <w:bCs/>
          <w:color w:val="auto"/>
          <w:lang w:val="en-US" w:eastAsia="zh-CN"/>
        </w:rPr>
        <w:t>4</w:t>
      </w:r>
      <w:r>
        <w:rPr>
          <w:rFonts w:hint="eastAsia" w:cs="宋体"/>
          <w:b w:val="0"/>
          <w:bCs/>
          <w:color w:val="auto"/>
        </w:rPr>
        <w:t>小时内</w:t>
      </w:r>
      <w:r>
        <w:rPr>
          <w:rFonts w:hint="eastAsia" w:cs="宋体"/>
          <w:b w:val="0"/>
          <w:bCs/>
          <w:color w:val="auto"/>
          <w:lang w:val="en-US" w:eastAsia="zh-CN"/>
        </w:rPr>
        <w:t>到达现场进行整改</w:t>
      </w:r>
      <w:r>
        <w:rPr>
          <w:rFonts w:hint="eastAsia" w:cs="宋体"/>
          <w:b w:val="0"/>
          <w:bCs/>
          <w:color w:val="auto"/>
        </w:rPr>
        <w:t>。超过</w:t>
      </w:r>
      <w:r>
        <w:rPr>
          <w:rFonts w:hint="eastAsia" w:cs="宋体"/>
          <w:b w:val="0"/>
          <w:bCs/>
          <w:color w:val="auto"/>
          <w:lang w:val="en-US" w:eastAsia="zh-CN"/>
        </w:rPr>
        <w:t>5次未整改或商户累计5次反映灭鼠效果不明显的，</w:t>
      </w:r>
      <w:r>
        <w:rPr>
          <w:rFonts w:hint="eastAsia" w:cs="宋体"/>
          <w:b w:val="0"/>
          <w:bCs/>
          <w:color w:val="auto"/>
        </w:rPr>
        <w:t>甲方有权解除合同。</w:t>
      </w:r>
    </w:p>
    <w:p w14:paraId="213E56F0">
      <w:pPr>
        <w:widowControl/>
        <w:numPr>
          <w:ilvl w:val="0"/>
          <w:numId w:val="0"/>
        </w:numPr>
        <w:snapToGrid/>
        <w:spacing w:line="240" w:lineRule="auto"/>
        <w:rPr>
          <w:bCs w:val="0"/>
          <w:color w:val="auto"/>
        </w:rPr>
      </w:pPr>
      <w:r>
        <w:rPr>
          <w:rFonts w:hint="eastAsia"/>
          <w:bCs w:val="0"/>
          <w:color w:val="auto"/>
        </w:rPr>
        <w:t>七、乙方的权利和义务</w:t>
      </w:r>
    </w:p>
    <w:p w14:paraId="6C806B07">
      <w:pPr>
        <w:widowControl/>
        <w:numPr>
          <w:ilvl w:val="0"/>
          <w:numId w:val="0"/>
        </w:numPr>
        <w:snapToGrid/>
        <w:spacing w:line="240" w:lineRule="auto"/>
        <w:ind w:firstLine="640" w:firstLineChars="200"/>
        <w:rPr>
          <w:rFonts w:hint="eastAsia" w:eastAsia="仿宋"/>
          <w:bCs/>
          <w:color w:val="auto"/>
          <w:lang w:eastAsia="zh-CN"/>
        </w:rPr>
      </w:pPr>
      <w:r>
        <w:rPr>
          <w:rFonts w:hint="eastAsia"/>
          <w:bCs w:val="0"/>
          <w:color w:val="auto"/>
        </w:rPr>
        <w:t>7.1 乙方应安排符合本合同项目服务要求的人员、设备、运输工具等提供服务</w:t>
      </w:r>
      <w:r>
        <w:rPr>
          <w:rFonts w:hint="eastAsia"/>
          <w:bCs/>
          <w:color w:val="auto"/>
          <w:lang w:eastAsia="zh-CN"/>
        </w:rPr>
        <w:t>。</w:t>
      </w:r>
    </w:p>
    <w:p w14:paraId="2A830C0D">
      <w:pPr>
        <w:widowControl/>
        <w:numPr>
          <w:ilvl w:val="0"/>
          <w:numId w:val="0"/>
        </w:numPr>
        <w:snapToGrid/>
        <w:spacing w:line="240" w:lineRule="auto"/>
        <w:ind w:firstLine="640" w:firstLineChars="200"/>
        <w:rPr>
          <w:bCs w:val="0"/>
          <w:color w:val="auto"/>
        </w:rPr>
      </w:pPr>
      <w:r>
        <w:rPr>
          <w:rFonts w:hint="eastAsia"/>
          <w:bCs w:val="0"/>
          <w:color w:val="auto"/>
        </w:rPr>
        <w:t>7.2乙方应按照合同约定提供高质量服务，并保证人员、设备和运输工具的安全。</w:t>
      </w:r>
    </w:p>
    <w:p w14:paraId="641B0BA4">
      <w:pPr>
        <w:widowControl/>
        <w:numPr>
          <w:ilvl w:val="0"/>
          <w:numId w:val="0"/>
        </w:numPr>
        <w:snapToGrid/>
        <w:spacing w:line="240" w:lineRule="auto"/>
        <w:rPr>
          <w:bCs w:val="0"/>
          <w:color w:val="auto"/>
        </w:rPr>
      </w:pPr>
      <w:r>
        <w:rPr>
          <w:rFonts w:hint="eastAsia"/>
          <w:bCs w:val="0"/>
          <w:color w:val="auto"/>
        </w:rPr>
        <w:t>7.3 本合同项下服务费不因服务期间物价变化、政策性调整而调整。</w:t>
      </w:r>
    </w:p>
    <w:p w14:paraId="2B990E7B">
      <w:pPr>
        <w:widowControl/>
        <w:numPr>
          <w:ilvl w:val="0"/>
          <w:numId w:val="0"/>
        </w:numPr>
        <w:snapToGrid/>
        <w:spacing w:line="240" w:lineRule="auto"/>
        <w:rPr>
          <w:bCs w:val="0"/>
          <w:color w:val="auto"/>
        </w:rPr>
      </w:pPr>
      <w:r>
        <w:rPr>
          <w:rFonts w:hint="eastAsia"/>
          <w:bCs w:val="0"/>
          <w:color w:val="auto"/>
        </w:rPr>
        <w:t>7.4乙方须指派专人进行现场管理，乙方指派的现场管理人员：</w:t>
      </w:r>
      <w:r>
        <w:rPr>
          <w:rFonts w:hint="eastAsia"/>
          <w:bCs/>
          <w:color w:val="auto"/>
          <w:u w:val="none"/>
        </w:rPr>
        <w:t xml:space="preserve">        </w:t>
      </w:r>
      <w:r>
        <w:rPr>
          <w:rFonts w:hint="eastAsia"/>
          <w:bCs w:val="0"/>
          <w:color w:val="auto"/>
        </w:rPr>
        <w:t>，联系电话</w:t>
      </w:r>
      <w:r>
        <w:rPr>
          <w:rFonts w:hint="eastAsia"/>
          <w:bCs/>
          <w:color w:val="auto"/>
          <w:u w:val="none"/>
        </w:rPr>
        <w:t xml:space="preserve">       </w:t>
      </w:r>
      <w:r>
        <w:rPr>
          <w:rFonts w:hint="eastAsia"/>
          <w:bCs w:val="0"/>
          <w:color w:val="auto"/>
        </w:rPr>
        <w:t xml:space="preserve">。现场管理人员应及时接听甲方管理人员的电话、及时回复微信，高效完成本合同项下服务工作。    </w:t>
      </w:r>
    </w:p>
    <w:p w14:paraId="5F5B5756">
      <w:pPr>
        <w:widowControl/>
        <w:numPr>
          <w:ilvl w:val="0"/>
          <w:numId w:val="0"/>
        </w:numPr>
        <w:snapToGrid/>
        <w:spacing w:line="240" w:lineRule="auto"/>
        <w:ind w:firstLine="640" w:firstLineChars="200"/>
        <w:jc w:val="left"/>
        <w:rPr>
          <w:rFonts w:hint="eastAsia" w:ascii="仿宋" w:hAnsi="仿宋" w:eastAsia="仿宋" w:cs="宋体"/>
          <w:bCs/>
          <w:color w:val="auto"/>
          <w:sz w:val="32"/>
          <w:szCs w:val="32"/>
          <w:lang w:val="en-US" w:eastAsia="zh-CN"/>
        </w:rPr>
      </w:pPr>
      <w:r>
        <w:rPr>
          <w:rFonts w:hint="eastAsia"/>
          <w:bCs w:val="0"/>
          <w:color w:val="auto"/>
        </w:rPr>
        <w:t>7.5</w:t>
      </w:r>
      <w:r>
        <w:rPr>
          <w:bCs w:val="0"/>
          <w:color w:val="auto"/>
        </w:rPr>
        <w:t>乙方在</w:t>
      </w:r>
      <w:r>
        <w:rPr>
          <w:rFonts w:hint="eastAsia" w:eastAsia="仿宋"/>
          <w:bCs/>
          <w:color w:val="auto"/>
          <w:lang w:val="en-US" w:eastAsia="zh-CN"/>
        </w:rPr>
        <w:t>每次进行灭鼠作业后应</w:t>
      </w:r>
      <w:r>
        <w:rPr>
          <w:rFonts w:hint="eastAsia" w:ascii="仿宋" w:hAnsi="仿宋" w:eastAsia="仿宋" w:cs="宋体"/>
          <w:bCs/>
          <w:color w:val="auto"/>
          <w:sz w:val="32"/>
          <w:szCs w:val="32"/>
          <w:lang w:val="en-US" w:eastAsia="zh-CN"/>
        </w:rPr>
        <w:t>提供服务记录单由甲方工作人员签字确认，作为甲方支付费用的依据。</w:t>
      </w:r>
    </w:p>
    <w:p w14:paraId="5BB05C03">
      <w:pPr>
        <w:widowControl/>
        <w:numPr>
          <w:ilvl w:val="0"/>
          <w:numId w:val="0"/>
        </w:numPr>
        <w:snapToGrid/>
        <w:spacing w:line="240" w:lineRule="auto"/>
        <w:rPr>
          <w:bCs w:val="0"/>
          <w:color w:val="auto"/>
        </w:rPr>
      </w:pPr>
      <w:r>
        <w:rPr>
          <w:rFonts w:hint="eastAsia"/>
          <w:bCs w:val="0"/>
          <w:color w:val="auto"/>
        </w:rPr>
        <w:t>7.6服务</w:t>
      </w:r>
      <w:r>
        <w:rPr>
          <w:bCs w:val="0"/>
          <w:color w:val="auto"/>
        </w:rPr>
        <w:t>过程中由于乙方</w:t>
      </w:r>
      <w:r>
        <w:rPr>
          <w:rFonts w:hint="eastAsia"/>
          <w:bCs w:val="0"/>
          <w:color w:val="auto"/>
        </w:rPr>
        <w:t>工作</w:t>
      </w:r>
      <w:r>
        <w:rPr>
          <w:bCs w:val="0"/>
          <w:color w:val="auto"/>
        </w:rPr>
        <w:t>人员不足等原因造成</w:t>
      </w:r>
      <w:r>
        <w:rPr>
          <w:rFonts w:hint="eastAsia"/>
          <w:bCs w:val="0"/>
          <w:color w:val="auto"/>
        </w:rPr>
        <w:t>服务工作</w:t>
      </w:r>
      <w:r>
        <w:rPr>
          <w:bCs w:val="0"/>
          <w:color w:val="auto"/>
        </w:rPr>
        <w:t>延误的，乙方应增加</w:t>
      </w:r>
      <w:r>
        <w:rPr>
          <w:rFonts w:hint="eastAsia"/>
          <w:bCs w:val="0"/>
          <w:color w:val="auto"/>
        </w:rPr>
        <w:t>服务</w:t>
      </w:r>
      <w:r>
        <w:rPr>
          <w:bCs w:val="0"/>
          <w:color w:val="auto"/>
        </w:rPr>
        <w:t>人员</w:t>
      </w:r>
      <w:r>
        <w:rPr>
          <w:rFonts w:hint="eastAsia"/>
          <w:bCs w:val="0"/>
          <w:color w:val="auto"/>
        </w:rPr>
        <w:t>，</w:t>
      </w:r>
      <w:r>
        <w:rPr>
          <w:bCs w:val="0"/>
          <w:color w:val="auto"/>
        </w:rPr>
        <w:t>由此产生的一切费用由乙方承担，甲方并不支付乙方</w:t>
      </w:r>
      <w:r>
        <w:rPr>
          <w:rFonts w:hint="eastAsia"/>
          <w:bCs w:val="0"/>
          <w:color w:val="auto"/>
        </w:rPr>
        <w:t>增加人员的</w:t>
      </w:r>
      <w:r>
        <w:rPr>
          <w:bCs w:val="0"/>
          <w:color w:val="auto"/>
        </w:rPr>
        <w:t>费</w:t>
      </w:r>
      <w:r>
        <w:rPr>
          <w:rFonts w:hint="eastAsia"/>
          <w:bCs w:val="0"/>
          <w:color w:val="auto"/>
        </w:rPr>
        <w:t>用</w:t>
      </w:r>
      <w:r>
        <w:rPr>
          <w:bCs w:val="0"/>
          <w:color w:val="auto"/>
        </w:rPr>
        <w:t>。</w:t>
      </w:r>
    </w:p>
    <w:p w14:paraId="037916AE">
      <w:pPr>
        <w:widowControl/>
        <w:numPr>
          <w:ilvl w:val="0"/>
          <w:numId w:val="0"/>
        </w:numPr>
        <w:snapToGrid/>
        <w:spacing w:line="240" w:lineRule="auto"/>
        <w:rPr>
          <w:bCs w:val="0"/>
          <w:color w:val="auto"/>
        </w:rPr>
      </w:pPr>
      <w:r>
        <w:rPr>
          <w:rFonts w:hint="eastAsia"/>
          <w:bCs w:val="0"/>
          <w:color w:val="auto"/>
        </w:rPr>
        <w:t xml:space="preserve">7.7 </w:t>
      </w:r>
      <w:r>
        <w:rPr>
          <w:bCs w:val="0"/>
          <w:color w:val="auto"/>
        </w:rPr>
        <w:t>甲方对乙方</w:t>
      </w:r>
      <w:r>
        <w:rPr>
          <w:rFonts w:hint="eastAsia"/>
          <w:bCs w:val="0"/>
          <w:color w:val="auto"/>
        </w:rPr>
        <w:t>服务过程中出现的</w:t>
      </w:r>
      <w:r>
        <w:rPr>
          <w:bCs w:val="0"/>
          <w:color w:val="auto"/>
        </w:rPr>
        <w:t>问题，有权要求乙方在</w:t>
      </w:r>
      <w:r>
        <w:rPr>
          <w:rFonts w:hint="eastAsia"/>
          <w:bCs/>
          <w:color w:val="auto"/>
          <w:u w:val="none"/>
        </w:rPr>
        <w:t xml:space="preserve">    </w:t>
      </w:r>
      <w:r>
        <w:rPr>
          <w:bCs w:val="0"/>
          <w:color w:val="auto"/>
        </w:rPr>
        <w:t>日内整改。乙方未在规定时间内完成整改或整改不符合甲方要求的，甲方有权</w:t>
      </w:r>
      <w:r>
        <w:rPr>
          <w:rFonts w:hint="eastAsia"/>
          <w:bCs w:val="0"/>
          <w:color w:val="auto"/>
        </w:rPr>
        <w:t>解除合同</w:t>
      </w:r>
      <w:r>
        <w:rPr>
          <w:bCs w:val="0"/>
          <w:color w:val="auto"/>
        </w:rPr>
        <w:t>，并要求乙方按照合同价款的</w:t>
      </w:r>
      <w:r>
        <w:rPr>
          <w:rFonts w:hint="eastAsia"/>
          <w:bCs w:val="0"/>
          <w:color w:val="auto"/>
        </w:rPr>
        <w:t>2</w:t>
      </w:r>
      <w:r>
        <w:rPr>
          <w:bCs w:val="0"/>
          <w:color w:val="auto"/>
        </w:rPr>
        <w:t>0 %支付违约金</w:t>
      </w:r>
      <w:r>
        <w:rPr>
          <w:rFonts w:hint="eastAsia"/>
          <w:bCs w:val="0"/>
          <w:color w:val="auto"/>
        </w:rPr>
        <w:t>及赔偿给甲方造成的所有损失。</w:t>
      </w:r>
    </w:p>
    <w:p w14:paraId="0A52CD98">
      <w:pPr>
        <w:widowControl/>
        <w:numPr>
          <w:ilvl w:val="0"/>
          <w:numId w:val="0"/>
        </w:numPr>
        <w:snapToGrid/>
        <w:spacing w:line="240" w:lineRule="auto"/>
        <w:rPr>
          <w:bCs w:val="0"/>
          <w:color w:val="auto"/>
        </w:rPr>
      </w:pPr>
      <w:r>
        <w:rPr>
          <w:rFonts w:hint="eastAsia"/>
          <w:bCs w:val="0"/>
          <w:color w:val="auto"/>
        </w:rPr>
        <w:t>7.8 无论何种情况，乙方无权以任何理由（包括但不限于甲方逾期支付服务费、突发事故、天气原因、车辆维修、人员调减等）减少服务频次，延误服务时间或降低服务标准。</w:t>
      </w:r>
    </w:p>
    <w:p w14:paraId="1D6F03D6">
      <w:pPr>
        <w:widowControl/>
        <w:numPr>
          <w:ilvl w:val="0"/>
          <w:numId w:val="0"/>
        </w:numPr>
        <w:snapToGrid/>
        <w:spacing w:line="240" w:lineRule="auto"/>
        <w:rPr>
          <w:rFonts w:hint="eastAsia"/>
          <w:bCs w:val="0"/>
          <w:color w:val="auto"/>
        </w:rPr>
      </w:pPr>
      <w:r>
        <w:rPr>
          <w:rFonts w:hint="eastAsia"/>
          <w:bCs w:val="0"/>
          <w:color w:val="auto"/>
        </w:rPr>
        <w:t>7.9乙方以甲方逾期支付服务费用为由停止服务的，视为乙方违约，尚未支付的服务费用甲方有权不予支付。</w:t>
      </w:r>
    </w:p>
    <w:p w14:paraId="1F05847C">
      <w:pPr>
        <w:widowControl/>
        <w:numPr>
          <w:ilvl w:val="0"/>
          <w:numId w:val="0"/>
        </w:numPr>
        <w:snapToGrid/>
        <w:spacing w:line="240" w:lineRule="auto"/>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7.10乙方在提供服务时，应使用在中国农业管理部门注册的药物，并且应保证服务过程中使用的药物等所有产品均符合国家和行业质量标准，不会对人体健康和环境造成严重危害。否则，因乙方原因导致发生安全事故的，由乙方承担相应赔偿责任，如甲方先行赔付他人损失的，甲方有权向乙方追偿并有权在应付服务费用中予以相应扣除，乙方对此完全认可无异议。</w:t>
      </w:r>
    </w:p>
    <w:p w14:paraId="4DD42A2E">
      <w:pPr>
        <w:widowControl/>
        <w:numPr>
          <w:ilvl w:val="0"/>
          <w:numId w:val="0"/>
        </w:numPr>
        <w:snapToGrid/>
        <w:spacing w:line="240" w:lineRule="auto"/>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7.11乙方服务人员须持有有害生物防治服务相关证书，在工作场合必须统一着装，专人负责现场服务全过程，并服从管理，遵守各项管理规定。</w:t>
      </w:r>
    </w:p>
    <w:p w14:paraId="1A39ABF9">
      <w:pPr>
        <w:widowControl/>
        <w:numPr>
          <w:ilvl w:val="0"/>
          <w:numId w:val="0"/>
        </w:numPr>
        <w:snapToGrid/>
        <w:spacing w:line="240" w:lineRule="auto"/>
        <w:rPr>
          <w:bCs w:val="0"/>
          <w:color w:val="auto"/>
        </w:rPr>
      </w:pPr>
      <w:r>
        <w:rPr>
          <w:rFonts w:hint="eastAsia"/>
          <w:bCs w:val="0"/>
          <w:color w:val="auto"/>
        </w:rPr>
        <w:t>八、安全服务</w:t>
      </w:r>
    </w:p>
    <w:p w14:paraId="651DADE7">
      <w:pPr>
        <w:widowControl/>
        <w:numPr>
          <w:ilvl w:val="0"/>
          <w:numId w:val="0"/>
        </w:numPr>
        <w:snapToGrid/>
        <w:spacing w:line="240" w:lineRule="auto"/>
        <w:rPr>
          <w:bCs w:val="0"/>
          <w:color w:val="auto"/>
        </w:rPr>
      </w:pPr>
      <w:r>
        <w:rPr>
          <w:bCs w:val="0"/>
          <w:color w:val="auto"/>
        </w:rPr>
        <w:t>8.1凡涉及到本</w:t>
      </w:r>
      <w:r>
        <w:rPr>
          <w:rFonts w:hint="eastAsia"/>
          <w:bCs w:val="0"/>
          <w:color w:val="auto"/>
        </w:rPr>
        <w:t>项目所有</w:t>
      </w:r>
      <w:r>
        <w:rPr>
          <w:bCs w:val="0"/>
          <w:color w:val="auto"/>
        </w:rPr>
        <w:t>安全教育及费用、工伤、死亡事故等安全责任及费用均已包含在合同价款中。</w:t>
      </w:r>
    </w:p>
    <w:p w14:paraId="1D96C4D0">
      <w:pPr>
        <w:widowControl/>
        <w:numPr>
          <w:ilvl w:val="0"/>
          <w:numId w:val="0"/>
        </w:numPr>
        <w:snapToGrid/>
        <w:spacing w:line="240" w:lineRule="auto"/>
        <w:rPr>
          <w:bCs w:val="0"/>
          <w:color w:val="auto"/>
        </w:rPr>
      </w:pPr>
      <w:r>
        <w:rPr>
          <w:bCs w:val="0"/>
          <w:color w:val="auto"/>
        </w:rPr>
        <w:t>8.2</w:t>
      </w:r>
      <w:r>
        <w:rPr>
          <w:rFonts w:hint="eastAsia"/>
          <w:bCs w:val="0"/>
          <w:color w:val="auto"/>
        </w:rPr>
        <w:t>乙方应配备安全防护设备设施，安排具有相应资质的人员提供服务，并对现场工作人员进行安全教育及培训。</w:t>
      </w:r>
    </w:p>
    <w:p w14:paraId="044CD238">
      <w:pPr>
        <w:widowControl/>
        <w:numPr>
          <w:ilvl w:val="0"/>
          <w:numId w:val="0"/>
        </w:numPr>
        <w:snapToGrid/>
        <w:spacing w:line="240" w:lineRule="auto"/>
        <w:rPr>
          <w:bCs w:val="0"/>
          <w:color w:val="auto"/>
        </w:rPr>
      </w:pPr>
      <w:r>
        <w:rPr>
          <w:bCs w:val="0"/>
          <w:color w:val="auto"/>
        </w:rPr>
        <w:t>8.3</w:t>
      </w:r>
      <w:r>
        <w:rPr>
          <w:rFonts w:hint="eastAsia"/>
          <w:bCs w:val="0"/>
          <w:color w:val="auto"/>
        </w:rPr>
        <w:t>乙方应严格按照相关法律法规及甲方安全管理要求进行作业。</w:t>
      </w:r>
    </w:p>
    <w:p w14:paraId="0F55C62D">
      <w:pPr>
        <w:widowControl/>
        <w:numPr>
          <w:ilvl w:val="0"/>
          <w:numId w:val="0"/>
        </w:numPr>
        <w:snapToGrid/>
        <w:spacing w:line="240" w:lineRule="auto"/>
        <w:rPr>
          <w:bCs w:val="0"/>
          <w:color w:val="auto"/>
        </w:rPr>
      </w:pPr>
      <w:r>
        <w:rPr>
          <w:bCs w:val="0"/>
          <w:color w:val="auto"/>
        </w:rPr>
        <w:t>8.4</w:t>
      </w:r>
      <w:r>
        <w:rPr>
          <w:rFonts w:hint="eastAsia"/>
          <w:bCs w:val="0"/>
          <w:color w:val="auto"/>
        </w:rPr>
        <w:t>乙方在进场前需对现场服务人员购置人身意外险。</w:t>
      </w:r>
    </w:p>
    <w:p w14:paraId="1A7DEFBC">
      <w:pPr>
        <w:widowControl/>
        <w:numPr>
          <w:ilvl w:val="0"/>
          <w:numId w:val="0"/>
        </w:numPr>
        <w:snapToGrid/>
        <w:spacing w:line="240" w:lineRule="auto"/>
        <w:rPr>
          <w:bCs w:val="0"/>
          <w:color w:val="auto"/>
        </w:rPr>
      </w:pPr>
      <w:r>
        <w:rPr>
          <w:bCs w:val="0"/>
          <w:color w:val="auto"/>
        </w:rPr>
        <w:t>8.5</w:t>
      </w:r>
      <w:r>
        <w:rPr>
          <w:rFonts w:hint="eastAsia"/>
          <w:bCs w:val="0"/>
          <w:color w:val="auto"/>
        </w:rPr>
        <w:t>乙方承担提供服务过程中所有直接或间接安全责任（包括但不限于乙方人员在上下班途中、提供服务过程中受到人身损害或财产损失的赔偿责任，第三方人员受到人身损害或财产损失的赔偿责任等）。因服务期限内产生的所有安全事故或乙方提供服务过程中造成的第三方人身损害或财产损失的，由乙方承担全部责任。</w:t>
      </w:r>
    </w:p>
    <w:p w14:paraId="1AD73859">
      <w:pPr>
        <w:widowControl/>
        <w:numPr>
          <w:ilvl w:val="0"/>
          <w:numId w:val="0"/>
        </w:numPr>
        <w:snapToGrid/>
        <w:spacing w:line="240" w:lineRule="auto"/>
        <w:rPr>
          <w:bCs w:val="0"/>
          <w:color w:val="auto"/>
        </w:rPr>
      </w:pPr>
      <w:r>
        <w:rPr>
          <w:bCs w:val="0"/>
          <w:color w:val="auto"/>
        </w:rPr>
        <w:t xml:space="preserve"> 8.</w:t>
      </w:r>
      <w:r>
        <w:rPr>
          <w:rFonts w:hint="eastAsia"/>
          <w:bCs w:val="0"/>
          <w:color w:val="auto"/>
        </w:rPr>
        <w:t>6因乙方原因导致甲方受到相关部门通报批评或行政处罚的，由乙方支付相应罚款金额，并向甲方承担</w:t>
      </w:r>
      <w:r>
        <w:rPr>
          <w:bCs w:val="0"/>
          <w:color w:val="auto"/>
        </w:rPr>
        <w:t xml:space="preserve"> </w:t>
      </w:r>
      <w:r>
        <w:rPr>
          <w:rFonts w:hint="eastAsia"/>
          <w:bCs w:val="0"/>
          <w:color w:val="auto"/>
        </w:rPr>
        <w:t xml:space="preserve">   </w:t>
      </w:r>
      <w:r>
        <w:rPr>
          <w:bCs w:val="0"/>
          <w:color w:val="auto"/>
        </w:rPr>
        <w:t xml:space="preserve">   </w:t>
      </w:r>
      <w:r>
        <w:rPr>
          <w:rFonts w:hint="eastAsia"/>
          <w:bCs w:val="0"/>
          <w:color w:val="auto"/>
        </w:rPr>
        <w:t>元</w:t>
      </w:r>
      <w:r>
        <w:rPr>
          <w:bCs w:val="0"/>
          <w:color w:val="auto"/>
        </w:rPr>
        <w:t>/</w:t>
      </w:r>
      <w:r>
        <w:rPr>
          <w:rFonts w:hint="eastAsia"/>
          <w:bCs w:val="0"/>
          <w:color w:val="auto"/>
        </w:rPr>
        <w:t>次的违约金。</w:t>
      </w:r>
    </w:p>
    <w:p w14:paraId="0BE4543C">
      <w:pPr>
        <w:widowControl/>
        <w:numPr>
          <w:ilvl w:val="0"/>
          <w:numId w:val="0"/>
        </w:numPr>
        <w:snapToGrid/>
        <w:spacing w:line="240" w:lineRule="auto"/>
        <w:rPr>
          <w:bCs w:val="0"/>
          <w:color w:val="auto"/>
        </w:rPr>
      </w:pPr>
      <w:r>
        <w:rPr>
          <w:bCs w:val="0"/>
          <w:color w:val="auto"/>
        </w:rPr>
        <w:t>8.</w:t>
      </w:r>
      <w:r>
        <w:rPr>
          <w:rFonts w:hint="eastAsia"/>
          <w:bCs w:val="0"/>
          <w:color w:val="auto"/>
        </w:rPr>
        <w:t>7</w:t>
      </w:r>
      <w:r>
        <w:rPr>
          <w:bCs w:val="0"/>
          <w:color w:val="auto"/>
        </w:rPr>
        <w:t xml:space="preserve"> </w:t>
      </w:r>
      <w:r>
        <w:rPr>
          <w:rFonts w:hint="eastAsia"/>
          <w:bCs w:val="0"/>
          <w:color w:val="auto"/>
        </w:rPr>
        <w:t>甲方对乙方服务过程中存在的安全隐患等问题提出整改要求的，乙方应在甲方通知时限内完成整改，否则，承担</w:t>
      </w:r>
      <w:r>
        <w:rPr>
          <w:rFonts w:hint="eastAsia"/>
          <w:bCs/>
          <w:color w:val="auto"/>
          <w:u w:val="none"/>
        </w:rPr>
        <w:t xml:space="preserve">      </w:t>
      </w:r>
      <w:r>
        <w:rPr>
          <w:rFonts w:hint="eastAsia"/>
          <w:bCs w:val="0"/>
          <w:color w:val="auto"/>
        </w:rPr>
        <w:t>元</w:t>
      </w:r>
      <w:r>
        <w:rPr>
          <w:bCs w:val="0"/>
          <w:color w:val="auto"/>
        </w:rPr>
        <w:t>/</w:t>
      </w:r>
      <w:r>
        <w:rPr>
          <w:rFonts w:hint="eastAsia"/>
          <w:bCs w:val="0"/>
          <w:color w:val="auto"/>
        </w:rPr>
        <w:t>次的违约金。</w:t>
      </w:r>
    </w:p>
    <w:p w14:paraId="1A6E095F">
      <w:pPr>
        <w:widowControl/>
        <w:numPr>
          <w:ilvl w:val="0"/>
          <w:numId w:val="0"/>
        </w:numPr>
        <w:snapToGrid/>
        <w:spacing w:line="240" w:lineRule="auto"/>
        <w:rPr>
          <w:rFonts w:hint="eastAsia" w:eastAsia="仿宋"/>
          <w:bCs/>
          <w:color w:val="auto"/>
          <w:u w:val="none"/>
          <w:lang w:val="en-US" w:eastAsia="zh-CN"/>
        </w:rPr>
      </w:pPr>
      <w:r>
        <w:rPr>
          <w:rFonts w:hint="eastAsia"/>
          <w:bCs/>
          <w:color w:val="auto"/>
          <w:u w:val="none"/>
          <w:lang w:val="en-US" w:eastAsia="zh-CN"/>
        </w:rPr>
        <w:t>8.8 乙方应在每次作业时设置警示标识，规范放置灭鼠药物，防止儿童等接触误食。</w:t>
      </w:r>
    </w:p>
    <w:p w14:paraId="479F43A5">
      <w:pPr>
        <w:widowControl/>
        <w:numPr>
          <w:ilvl w:val="0"/>
          <w:numId w:val="0"/>
        </w:numPr>
        <w:snapToGrid/>
        <w:spacing w:line="240" w:lineRule="auto"/>
        <w:rPr>
          <w:bCs w:val="0"/>
          <w:color w:val="auto"/>
        </w:rPr>
      </w:pPr>
      <w:r>
        <w:rPr>
          <w:rFonts w:hint="eastAsia"/>
          <w:bCs w:val="0"/>
          <w:color w:val="auto"/>
        </w:rPr>
        <w:t>九、违约责任</w:t>
      </w:r>
    </w:p>
    <w:p w14:paraId="5297017B">
      <w:pPr>
        <w:widowControl/>
        <w:numPr>
          <w:ilvl w:val="0"/>
          <w:numId w:val="0"/>
        </w:numPr>
        <w:snapToGrid/>
        <w:spacing w:line="240" w:lineRule="auto"/>
        <w:rPr>
          <w:bCs w:val="0"/>
          <w:color w:val="auto"/>
        </w:rPr>
      </w:pPr>
      <w:r>
        <w:rPr>
          <w:rFonts w:hint="eastAsia"/>
          <w:bCs w:val="0"/>
          <w:color w:val="auto"/>
        </w:rPr>
        <w:t xml:space="preserve">9.1本合同履行期间，乙方有义务有效管控工作人员。在任何情况下（包括但不限于甲方逾期支付服务费、乙方欠付劳务费或工资、乙方工作人员发生工伤、人身损害事故等）造成停工、上访、投诉或者其他欠款造成纠纷或群体事件，属乙方违约，乙方向甲方支付违约金5万元/次。如出现乙方人员越级上访(去济南、省外等城市上访)的，甲方有权以此为由不予支付剩余合同价款，乙方按照合同金额的10%向甲方支付违约金。     </w:t>
      </w:r>
    </w:p>
    <w:p w14:paraId="4FBE7296">
      <w:pPr>
        <w:widowControl/>
        <w:numPr>
          <w:ilvl w:val="0"/>
          <w:numId w:val="0"/>
        </w:numPr>
        <w:snapToGrid/>
        <w:spacing w:line="240" w:lineRule="auto"/>
        <w:rPr>
          <w:bCs w:val="0"/>
          <w:color w:val="auto"/>
        </w:rPr>
      </w:pPr>
      <w:r>
        <w:rPr>
          <w:rFonts w:hint="eastAsia"/>
          <w:bCs w:val="0"/>
          <w:color w:val="auto"/>
        </w:rPr>
        <w:t>9.2乙方未征得甲方书面同意，不得私自将合同约定事项转包或违法分包给第三方，否则视为乙方违约，甲方有权解除合同，乙方应按合同金额的    %向甲方支付违约金并赔偿甲方损失。</w:t>
      </w:r>
    </w:p>
    <w:p w14:paraId="56034963">
      <w:pPr>
        <w:widowControl/>
        <w:numPr>
          <w:ilvl w:val="0"/>
          <w:numId w:val="0"/>
        </w:numPr>
        <w:snapToGrid/>
        <w:spacing w:line="240" w:lineRule="auto"/>
        <w:rPr>
          <w:bCs w:val="0"/>
          <w:color w:val="auto"/>
        </w:rPr>
      </w:pPr>
      <w:r>
        <w:rPr>
          <w:rFonts w:hint="eastAsia"/>
          <w:bCs w:val="0"/>
          <w:color w:val="auto"/>
        </w:rPr>
        <w:t>9.3乙方工作人员以在甲方区域提供服务为由向甲方主张权利的（包括但不限于确认劳动关系、要求支付工资、经济补偿金、经济赔偿金等），属乙方违约，乙方应按照本合同约定价款的</w:t>
      </w:r>
      <w:r>
        <w:rPr>
          <w:rFonts w:hint="eastAsia"/>
          <w:bCs/>
          <w:color w:val="auto"/>
          <w:lang w:val="en-US" w:eastAsia="zh-CN"/>
        </w:rPr>
        <w:t>10</w:t>
      </w:r>
      <w:r>
        <w:rPr>
          <w:rFonts w:hint="eastAsia"/>
          <w:bCs w:val="0"/>
          <w:color w:val="auto"/>
        </w:rPr>
        <w:t>%向甲方支付违约金，并赔偿由此给甲方造成的各项损失。</w:t>
      </w:r>
    </w:p>
    <w:p w14:paraId="5FD3A489">
      <w:pPr>
        <w:widowControl/>
        <w:numPr>
          <w:ilvl w:val="0"/>
          <w:numId w:val="0"/>
        </w:numPr>
        <w:snapToGrid/>
        <w:spacing w:line="240" w:lineRule="auto"/>
        <w:rPr>
          <w:bCs w:val="0"/>
          <w:color w:val="auto"/>
        </w:rPr>
      </w:pPr>
      <w:r>
        <w:rPr>
          <w:rFonts w:hint="eastAsia"/>
          <w:bCs w:val="0"/>
          <w:color w:val="auto"/>
        </w:rPr>
        <w:t>9.</w:t>
      </w:r>
      <w:r>
        <w:rPr>
          <w:rFonts w:hint="eastAsia"/>
          <w:bCs/>
          <w:color w:val="auto"/>
          <w:lang w:val="en-US" w:eastAsia="zh-CN"/>
        </w:rPr>
        <w:t>4</w:t>
      </w:r>
      <w:r>
        <w:rPr>
          <w:rFonts w:hint="eastAsia"/>
          <w:bCs w:val="0"/>
          <w:color w:val="auto"/>
        </w:rPr>
        <w:t xml:space="preserve"> 乙方工作人员在上下班途中、服务过程中发生任何工伤、人身损害事故的，均由乙方自行处理，同甲方无关。</w:t>
      </w:r>
    </w:p>
    <w:p w14:paraId="70E7379C">
      <w:pPr>
        <w:widowControl/>
        <w:numPr>
          <w:ilvl w:val="0"/>
          <w:numId w:val="0"/>
        </w:numPr>
        <w:snapToGrid/>
        <w:spacing w:line="240" w:lineRule="auto"/>
        <w:rPr>
          <w:bCs w:val="0"/>
          <w:color w:val="auto"/>
        </w:rPr>
      </w:pPr>
      <w:r>
        <w:rPr>
          <w:rFonts w:hint="eastAsia"/>
          <w:bCs w:val="0"/>
          <w:color w:val="auto"/>
        </w:rPr>
        <w:t>9.</w:t>
      </w:r>
      <w:r>
        <w:rPr>
          <w:rFonts w:hint="eastAsia"/>
          <w:bCs/>
          <w:color w:val="auto"/>
          <w:lang w:val="en-US" w:eastAsia="zh-CN"/>
        </w:rPr>
        <w:t>5</w:t>
      </w:r>
      <w:r>
        <w:rPr>
          <w:rFonts w:hint="eastAsia"/>
          <w:bCs w:val="0"/>
          <w:color w:val="auto"/>
        </w:rPr>
        <w:t>如因乙方违约，双方未能就赔偿损失达成协议，引起诉讼或仲裁时，乙方除应赔偿对方经济损失外，还应承担甲方因诉讼或仲裁所支付的律师代理费、保全保险费等相关费用。</w:t>
      </w:r>
    </w:p>
    <w:p w14:paraId="3F6C4E28">
      <w:pPr>
        <w:widowControl/>
        <w:numPr>
          <w:ilvl w:val="0"/>
          <w:numId w:val="0"/>
        </w:numPr>
        <w:snapToGrid/>
        <w:spacing w:line="240" w:lineRule="auto"/>
        <w:rPr>
          <w:bCs w:val="0"/>
          <w:color w:val="auto"/>
        </w:rPr>
      </w:pPr>
      <w:r>
        <w:rPr>
          <w:rFonts w:hint="eastAsia"/>
          <w:bCs w:val="0"/>
          <w:color w:val="auto"/>
        </w:rPr>
        <w:t>9.</w:t>
      </w:r>
      <w:r>
        <w:rPr>
          <w:rFonts w:hint="eastAsia"/>
          <w:bCs/>
          <w:color w:val="auto"/>
          <w:lang w:val="en-US" w:eastAsia="zh-CN"/>
        </w:rPr>
        <w:t>6</w:t>
      </w:r>
      <w:r>
        <w:rPr>
          <w:rFonts w:hint="eastAsia"/>
          <w:bCs w:val="0"/>
          <w:color w:val="auto"/>
        </w:rPr>
        <w:t>按照本合同规定应该偿付的违约金、赔偿金等，应当在明确责任后5日内，按银行规定或双方商定的结算办法付清，否则按逾期付款处理。</w:t>
      </w:r>
    </w:p>
    <w:p w14:paraId="436EA440">
      <w:pPr>
        <w:widowControl/>
        <w:numPr>
          <w:ilvl w:val="0"/>
          <w:numId w:val="0"/>
        </w:numPr>
        <w:snapToGrid/>
        <w:spacing w:line="240" w:lineRule="auto"/>
        <w:rPr>
          <w:bCs w:val="0"/>
          <w:color w:val="auto"/>
        </w:rPr>
      </w:pPr>
      <w:r>
        <w:rPr>
          <w:rFonts w:hint="eastAsia"/>
          <w:bCs w:val="0"/>
          <w:color w:val="auto"/>
        </w:rPr>
        <w:t>十、合同的解除</w:t>
      </w:r>
    </w:p>
    <w:p w14:paraId="7A0DDB62">
      <w:pPr>
        <w:widowControl/>
        <w:numPr>
          <w:ilvl w:val="0"/>
          <w:numId w:val="0"/>
        </w:numPr>
        <w:snapToGrid/>
        <w:spacing w:line="240" w:lineRule="auto"/>
        <w:rPr>
          <w:bCs w:val="0"/>
          <w:color w:val="auto"/>
        </w:rPr>
      </w:pPr>
      <w:r>
        <w:rPr>
          <w:rFonts w:hint="eastAsia"/>
          <w:bCs w:val="0"/>
          <w:color w:val="auto"/>
        </w:rPr>
        <w:t>有下列情形之一的，甲方有权单方面解除合同，且不承担任何违约或赔偿责任：</w:t>
      </w:r>
    </w:p>
    <w:p w14:paraId="355662EF">
      <w:pPr>
        <w:widowControl/>
        <w:numPr>
          <w:ilvl w:val="0"/>
          <w:numId w:val="0"/>
        </w:numPr>
        <w:snapToGrid/>
        <w:spacing w:line="240" w:lineRule="auto"/>
        <w:rPr>
          <w:bCs w:val="0"/>
          <w:color w:val="auto"/>
        </w:rPr>
      </w:pPr>
      <w:r>
        <w:rPr>
          <w:rFonts w:hint="eastAsia"/>
          <w:bCs w:val="0"/>
          <w:color w:val="auto"/>
        </w:rPr>
        <w:t>10</w:t>
      </w:r>
      <w:r>
        <w:rPr>
          <w:bCs w:val="0"/>
          <w:color w:val="auto"/>
        </w:rPr>
        <w:t xml:space="preserve">.1 </w:t>
      </w:r>
      <w:r>
        <w:rPr>
          <w:rFonts w:hint="eastAsia"/>
          <w:bCs w:val="0"/>
          <w:color w:val="auto"/>
        </w:rPr>
        <w:t>乙方服务标准达不到甲方要求或未能按合同约定的服务频次和时间完成合同约定服务内容，经甲方现场工作人员拍照提醒后，乙方累计五次以上未能在2小时内整改的；</w:t>
      </w:r>
    </w:p>
    <w:p w14:paraId="75850D7C">
      <w:pPr>
        <w:widowControl/>
        <w:numPr>
          <w:ilvl w:val="0"/>
          <w:numId w:val="0"/>
        </w:numPr>
        <w:snapToGrid/>
        <w:spacing w:line="240" w:lineRule="auto"/>
        <w:rPr>
          <w:bCs w:val="0"/>
          <w:color w:val="auto"/>
        </w:rPr>
      </w:pPr>
      <w:r>
        <w:rPr>
          <w:rFonts w:hint="eastAsia"/>
          <w:bCs w:val="0"/>
          <w:color w:val="auto"/>
        </w:rPr>
        <w:t>10</w:t>
      </w:r>
      <w:r>
        <w:rPr>
          <w:bCs w:val="0"/>
          <w:color w:val="auto"/>
        </w:rPr>
        <w:t xml:space="preserve">.2 </w:t>
      </w:r>
      <w:r>
        <w:rPr>
          <w:rFonts w:hint="eastAsia"/>
          <w:bCs w:val="0"/>
          <w:color w:val="auto"/>
        </w:rPr>
        <w:t>乙方服务期间违反环保或安全相关规定，受到相关部门处罚或勒令停工的；</w:t>
      </w:r>
    </w:p>
    <w:p w14:paraId="47E6470A">
      <w:pPr>
        <w:widowControl/>
        <w:numPr>
          <w:ilvl w:val="0"/>
          <w:numId w:val="0"/>
        </w:numPr>
        <w:snapToGrid/>
        <w:spacing w:line="240" w:lineRule="auto"/>
        <w:rPr>
          <w:bCs w:val="0"/>
          <w:color w:val="auto"/>
        </w:rPr>
      </w:pPr>
      <w:r>
        <w:rPr>
          <w:rFonts w:hint="eastAsia"/>
          <w:bCs w:val="0"/>
          <w:color w:val="auto"/>
        </w:rPr>
        <w:t>10</w:t>
      </w:r>
      <w:r>
        <w:rPr>
          <w:bCs w:val="0"/>
          <w:color w:val="auto"/>
        </w:rPr>
        <w:t>.</w:t>
      </w:r>
      <w:r>
        <w:rPr>
          <w:rFonts w:hint="eastAsia"/>
          <w:bCs w:val="0"/>
          <w:color w:val="auto"/>
        </w:rPr>
        <w:t>3乙方服务期间，发生安全事故，引发群体性聚集或上访事件的；</w:t>
      </w:r>
    </w:p>
    <w:p w14:paraId="5158D7F1">
      <w:pPr>
        <w:widowControl/>
        <w:numPr>
          <w:ilvl w:val="0"/>
          <w:numId w:val="0"/>
        </w:numPr>
        <w:rPr>
          <w:rFonts w:hint="eastAsia" w:ascii="仿宋" w:hAnsi="仿宋" w:eastAsia="仿宋" w:cs="宋体"/>
          <w:color w:val="auto"/>
          <w:kern w:val="2"/>
          <w:sz w:val="32"/>
          <w:szCs w:val="32"/>
        </w:rPr>
      </w:pPr>
      <w:r>
        <w:rPr>
          <w:rFonts w:hint="eastAsia" w:ascii="仿宋" w:hAnsi="仿宋" w:eastAsia="仿宋" w:cs="宋体"/>
          <w:color w:val="auto"/>
          <w:kern w:val="2"/>
          <w:sz w:val="32"/>
          <w:szCs w:val="32"/>
        </w:rPr>
        <w:t>10.4 服务期间，因乙方原因形成负面舆情，给甲方造成不利影响或导致甲方被问责或被通报批评的；</w:t>
      </w:r>
    </w:p>
    <w:p w14:paraId="348D8240">
      <w:pPr>
        <w:widowControl/>
        <w:numPr>
          <w:ilvl w:val="0"/>
          <w:numId w:val="0"/>
        </w:numPr>
        <w:snapToGrid/>
        <w:spacing w:line="240" w:lineRule="auto"/>
        <w:rPr>
          <w:bCs w:val="0"/>
          <w:color w:val="auto"/>
        </w:rPr>
      </w:pPr>
      <w:r>
        <w:rPr>
          <w:rFonts w:hint="eastAsia"/>
          <w:bCs w:val="0"/>
          <w:color w:val="auto"/>
        </w:rPr>
        <w:t>10</w:t>
      </w:r>
      <w:r>
        <w:rPr>
          <w:bCs w:val="0"/>
          <w:color w:val="auto"/>
        </w:rPr>
        <w:t>.</w:t>
      </w:r>
      <w:r>
        <w:rPr>
          <w:rFonts w:hint="eastAsia"/>
          <w:bCs w:val="0"/>
          <w:color w:val="auto"/>
        </w:rPr>
        <w:t>5乙方人员配备不足无法完成本合同项下服务工作，经甲方书面通知后乙方不予整改的；</w:t>
      </w:r>
    </w:p>
    <w:p w14:paraId="52C98D30">
      <w:pPr>
        <w:widowControl/>
        <w:numPr>
          <w:ilvl w:val="0"/>
          <w:numId w:val="0"/>
        </w:numPr>
        <w:snapToGrid/>
        <w:spacing w:line="240" w:lineRule="auto"/>
        <w:rPr>
          <w:bCs w:val="0"/>
          <w:color w:val="auto"/>
        </w:rPr>
      </w:pPr>
      <w:r>
        <w:rPr>
          <w:rFonts w:hint="eastAsia"/>
          <w:bCs w:val="0"/>
          <w:color w:val="auto"/>
        </w:rPr>
        <w:t>10</w:t>
      </w:r>
      <w:r>
        <w:rPr>
          <w:bCs w:val="0"/>
          <w:color w:val="auto"/>
        </w:rPr>
        <w:t>.</w:t>
      </w:r>
      <w:r>
        <w:rPr>
          <w:rFonts w:hint="eastAsia"/>
          <w:bCs w:val="0"/>
          <w:color w:val="auto"/>
        </w:rPr>
        <w:t>6</w:t>
      </w:r>
      <w:r>
        <w:rPr>
          <w:bCs w:val="0"/>
          <w:color w:val="auto"/>
        </w:rPr>
        <w:t xml:space="preserve"> 乙方</w:t>
      </w:r>
      <w:r>
        <w:rPr>
          <w:rFonts w:hint="eastAsia"/>
          <w:bCs w:val="0"/>
          <w:color w:val="auto"/>
        </w:rPr>
        <w:t>服务过程中存在较大安全隐患风险的或未按照甲方要求对存在的安全隐患或服务过程中存在的其他问题进行整改的；</w:t>
      </w:r>
    </w:p>
    <w:p w14:paraId="58980F0B">
      <w:pPr>
        <w:widowControl/>
        <w:numPr>
          <w:ilvl w:val="0"/>
          <w:numId w:val="0"/>
        </w:numPr>
        <w:snapToGrid/>
        <w:spacing w:line="240" w:lineRule="auto"/>
        <w:rPr>
          <w:bCs w:val="0"/>
          <w:color w:val="auto"/>
        </w:rPr>
      </w:pPr>
      <w:r>
        <w:rPr>
          <w:rFonts w:hint="eastAsia"/>
          <w:bCs w:val="0"/>
          <w:color w:val="auto"/>
        </w:rPr>
        <w:t>10.7未经甲方书面同意，乙方擅自将本合同项下服务项目擅自转包或违法分包给其他第三人的。</w:t>
      </w:r>
    </w:p>
    <w:p w14:paraId="3C0EB32F">
      <w:pPr>
        <w:widowControl/>
        <w:numPr>
          <w:ilvl w:val="0"/>
          <w:numId w:val="0"/>
        </w:numPr>
        <w:snapToGrid/>
        <w:spacing w:line="240" w:lineRule="auto"/>
        <w:rPr>
          <w:bCs w:val="0"/>
          <w:color w:val="auto"/>
        </w:rPr>
      </w:pPr>
      <w:r>
        <w:rPr>
          <w:rFonts w:hint="eastAsia"/>
          <w:bCs w:val="0"/>
          <w:color w:val="auto"/>
        </w:rPr>
        <w:t>上述单方解除条款与本合同项下其它条款相冲突的，优先适用单方解除条款。甲方依据前款约定解除合同的，不影响甲方按照本合同约定向乙方主张违约责任和赔偿责任。</w:t>
      </w:r>
    </w:p>
    <w:p w14:paraId="78DD37B6">
      <w:pPr>
        <w:widowControl/>
        <w:numPr>
          <w:ilvl w:val="0"/>
          <w:numId w:val="0"/>
        </w:numPr>
        <w:snapToGrid/>
        <w:spacing w:line="240" w:lineRule="auto"/>
        <w:rPr>
          <w:bCs w:val="0"/>
          <w:color w:val="auto"/>
        </w:rPr>
      </w:pPr>
      <w:r>
        <w:rPr>
          <w:rFonts w:hint="eastAsia"/>
          <w:bCs w:val="0"/>
          <w:color w:val="auto"/>
        </w:rPr>
        <w:t>十一、不可抗力条款</w:t>
      </w:r>
    </w:p>
    <w:p w14:paraId="1B822ED7">
      <w:pPr>
        <w:widowControl/>
        <w:numPr>
          <w:ilvl w:val="0"/>
          <w:numId w:val="0"/>
        </w:numPr>
        <w:snapToGrid/>
        <w:spacing w:line="240" w:lineRule="auto"/>
        <w:rPr>
          <w:bCs w:val="0"/>
          <w:color w:val="auto"/>
        </w:rPr>
      </w:pPr>
      <w:r>
        <w:rPr>
          <w:rFonts w:hint="eastAsia"/>
          <w:bCs w:val="0"/>
          <w:color w:val="auto"/>
        </w:rPr>
        <w:t>因不可抗力致使一方不能及时或完全履行合同的，应及时通知另一方，甲乙双方互不承担责任，并在</w:t>
      </w:r>
      <w:r>
        <w:rPr>
          <w:bCs w:val="0"/>
          <w:color w:val="auto"/>
        </w:rPr>
        <w:t>10天内提供有关不可抗力的相应证明，合同未履行部分是否继续履行、如何履行等问题，可由双方协商解决。</w:t>
      </w:r>
    </w:p>
    <w:p w14:paraId="3C69BF1A">
      <w:pPr>
        <w:widowControl/>
        <w:numPr>
          <w:ilvl w:val="0"/>
          <w:numId w:val="0"/>
        </w:numPr>
        <w:snapToGrid/>
        <w:spacing w:line="240" w:lineRule="auto"/>
        <w:rPr>
          <w:bCs w:val="0"/>
          <w:color w:val="auto"/>
        </w:rPr>
      </w:pPr>
      <w:r>
        <w:rPr>
          <w:rFonts w:hint="eastAsia"/>
          <w:bCs w:val="0"/>
          <w:color w:val="auto"/>
        </w:rPr>
        <w:t>十二、争议解决及送达</w:t>
      </w:r>
    </w:p>
    <w:p w14:paraId="0CD3424F">
      <w:pPr>
        <w:widowControl/>
        <w:numPr>
          <w:ilvl w:val="0"/>
          <w:numId w:val="0"/>
        </w:numPr>
        <w:snapToGrid/>
        <w:spacing w:line="240" w:lineRule="auto"/>
        <w:rPr>
          <w:bCs w:val="0"/>
          <w:color w:val="auto"/>
        </w:rPr>
      </w:pPr>
      <w:r>
        <w:rPr>
          <w:bCs w:val="0"/>
          <w:color w:val="auto"/>
        </w:rPr>
        <w:t>1</w:t>
      </w:r>
      <w:r>
        <w:rPr>
          <w:rFonts w:hint="eastAsia"/>
          <w:bCs w:val="0"/>
          <w:color w:val="auto"/>
        </w:rPr>
        <w:t>2</w:t>
      </w:r>
      <w:r>
        <w:rPr>
          <w:bCs w:val="0"/>
          <w:color w:val="auto"/>
        </w:rPr>
        <w:t>.1合同发生纠纷时，双方应协商解决，协商不成的，双方均可向甲方住所地人民法院提起诉讼。</w:t>
      </w:r>
    </w:p>
    <w:p w14:paraId="4D3300FE">
      <w:pPr>
        <w:widowControl/>
        <w:numPr>
          <w:ilvl w:val="0"/>
          <w:numId w:val="0"/>
        </w:numPr>
        <w:snapToGrid/>
        <w:spacing w:line="240" w:lineRule="auto"/>
        <w:rPr>
          <w:bCs w:val="0"/>
          <w:color w:val="auto"/>
        </w:rPr>
      </w:pPr>
      <w:r>
        <w:rPr>
          <w:rFonts w:hint="eastAsia"/>
          <w:bCs w:val="0"/>
          <w:color w:val="auto"/>
        </w:rPr>
        <w:t>12.2甲乙任意一方向对方或第三方(包括但不限于人民法院、仲裁机构、公证处、律师/会计/审计/评估事务所等)给甲乙任意一方送达相关材料(包括但不限于通知书、诉讼文书、律师函等)，以签署页记载的通讯地址为送达地址。专人送达的，则以交付之日为送达日;邮寄送达的，则以寄出后的第五日为送达日；电子邮件或短信送达的，以电子邮件或短信发送成功之日为送达日。因拒收等非不可抗力原因导致材料未送达或退回的，则以材料寄出之日(不含)起第五日为送达日。本单位人员及本人亲属、朋友、同事签收的，视为已送达。一方变更送达地址的，须书面通知对方。</w:t>
      </w:r>
    </w:p>
    <w:p w14:paraId="392DC590">
      <w:pPr>
        <w:widowControl/>
        <w:numPr>
          <w:ilvl w:val="0"/>
          <w:numId w:val="0"/>
        </w:numPr>
        <w:snapToGrid/>
        <w:spacing w:line="240" w:lineRule="auto"/>
        <w:rPr>
          <w:bCs w:val="0"/>
          <w:color w:val="auto"/>
        </w:rPr>
      </w:pPr>
      <w:r>
        <w:rPr>
          <w:rFonts w:hint="eastAsia"/>
          <w:bCs w:val="0"/>
          <w:color w:val="auto"/>
        </w:rPr>
        <w:t>本条确认的送达地址及送达日适用于仲裁程序及民事诉讼一审、二审、再审审查、执行程序。</w:t>
      </w:r>
    </w:p>
    <w:p w14:paraId="61A97032">
      <w:pPr>
        <w:widowControl/>
        <w:numPr>
          <w:ilvl w:val="0"/>
          <w:numId w:val="0"/>
        </w:numPr>
        <w:snapToGrid/>
        <w:spacing w:line="240" w:lineRule="auto"/>
        <w:rPr>
          <w:bCs w:val="0"/>
          <w:color w:val="auto"/>
        </w:rPr>
      </w:pPr>
      <w:r>
        <w:rPr>
          <w:rFonts w:hint="eastAsia"/>
          <w:bCs w:val="0"/>
          <w:color w:val="auto"/>
        </w:rPr>
        <w:t>十三、补充协议</w:t>
      </w:r>
    </w:p>
    <w:p w14:paraId="40A38BD7">
      <w:pPr>
        <w:widowControl/>
        <w:numPr>
          <w:ilvl w:val="0"/>
          <w:numId w:val="0"/>
        </w:numPr>
        <w:snapToGrid/>
        <w:spacing w:line="240" w:lineRule="auto"/>
        <w:rPr>
          <w:bCs w:val="0"/>
          <w:color w:val="auto"/>
        </w:rPr>
      </w:pPr>
      <w:r>
        <w:rPr>
          <w:rFonts w:hint="eastAsia"/>
          <w:bCs w:val="0"/>
          <w:color w:val="auto"/>
        </w:rPr>
        <w:t>合同未尽事宜，经双方协商可签订补充协议，所签订的补充协议与本合同具有同等的法律效力，补充协议的生效应符合本合同的有关规定。</w:t>
      </w:r>
    </w:p>
    <w:p w14:paraId="63615A1A">
      <w:pPr>
        <w:widowControl/>
        <w:numPr>
          <w:ilvl w:val="0"/>
          <w:numId w:val="0"/>
        </w:numPr>
        <w:snapToGrid/>
        <w:spacing w:line="240" w:lineRule="auto"/>
        <w:rPr>
          <w:bCs w:val="0"/>
          <w:color w:val="auto"/>
        </w:rPr>
      </w:pPr>
      <w:r>
        <w:rPr>
          <w:rFonts w:hint="eastAsia"/>
          <w:bCs w:val="0"/>
          <w:color w:val="auto"/>
        </w:rPr>
        <w:t xml:space="preserve">十四、合同生效 </w:t>
      </w:r>
    </w:p>
    <w:p w14:paraId="3F46B7EA">
      <w:pPr>
        <w:widowControl/>
        <w:numPr>
          <w:ilvl w:val="0"/>
          <w:numId w:val="0"/>
        </w:numPr>
        <w:snapToGrid/>
        <w:spacing w:line="240" w:lineRule="auto"/>
        <w:rPr>
          <w:bCs w:val="0"/>
          <w:color w:val="auto"/>
        </w:rPr>
      </w:pPr>
      <w:r>
        <w:rPr>
          <w:rFonts w:hint="eastAsia"/>
          <w:bCs w:val="0"/>
          <w:color w:val="auto"/>
        </w:rPr>
        <w:t>本合同经甲、乙双方法定代表人或其委托代理人签字或盖章并加盖单位公章后生效。</w:t>
      </w:r>
    </w:p>
    <w:p w14:paraId="2441FCAD">
      <w:pPr>
        <w:widowControl/>
        <w:numPr>
          <w:ilvl w:val="0"/>
          <w:numId w:val="0"/>
        </w:numPr>
        <w:snapToGrid/>
        <w:spacing w:line="240" w:lineRule="auto"/>
        <w:rPr>
          <w:bCs w:val="0"/>
          <w:color w:val="auto"/>
        </w:rPr>
      </w:pPr>
      <w:r>
        <w:rPr>
          <w:bCs w:val="0"/>
          <w:color w:val="auto"/>
        </w:rPr>
        <w:t>十</w:t>
      </w:r>
      <w:r>
        <w:rPr>
          <w:rFonts w:hint="eastAsia"/>
          <w:bCs w:val="0"/>
          <w:color w:val="auto"/>
        </w:rPr>
        <w:t>五、本合同一式</w:t>
      </w:r>
      <w:r>
        <w:rPr>
          <w:bCs w:val="0"/>
          <w:color w:val="auto"/>
        </w:rPr>
        <w:t xml:space="preserve"> </w:t>
      </w:r>
      <w:r>
        <w:rPr>
          <w:rFonts w:hint="eastAsia"/>
          <w:bCs w:val="0"/>
          <w:color w:val="auto"/>
        </w:rPr>
        <w:t xml:space="preserve">  </w:t>
      </w:r>
      <w:r>
        <w:rPr>
          <w:bCs w:val="0"/>
          <w:color w:val="auto"/>
        </w:rPr>
        <w:t xml:space="preserve"> </w:t>
      </w:r>
      <w:r>
        <w:rPr>
          <w:rFonts w:hint="eastAsia"/>
          <w:bCs w:val="0"/>
          <w:color w:val="auto"/>
        </w:rPr>
        <w:t>份，甲方    份、乙方   份，均具有同等法律效力。</w:t>
      </w:r>
    </w:p>
    <w:p w14:paraId="6F34D732">
      <w:pPr>
        <w:widowControl/>
        <w:numPr>
          <w:ilvl w:val="0"/>
          <w:numId w:val="0"/>
        </w:numPr>
        <w:snapToGrid/>
        <w:spacing w:line="240" w:lineRule="auto"/>
        <w:rPr>
          <w:rFonts w:hint="eastAsia"/>
          <w:bCs w:val="0"/>
          <w:color w:val="auto"/>
        </w:rPr>
      </w:pPr>
      <w:r>
        <w:rPr>
          <w:bCs w:val="0"/>
          <w:color w:val="auto"/>
        </w:rPr>
        <mc:AlternateContent>
          <mc:Choice Requires="wps">
            <w:drawing>
              <wp:anchor distT="0" distB="0" distL="114300" distR="114300" simplePos="0" relativeHeight="25165926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2" name="矩形 2"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pt;margin-top:10pt;height:5pt;width:5pt;visibility:hidden;z-index:25165926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AAAAABk&#10;cnMvUEsBAhQAFAAAAAgAh07iQMqBXg/VAAAACQEAAA8AAAAAAAAAAQAgAAAAIgAAAGRycy9kb3du&#10;cmV2LnhtbFBLAQIUABQAAAAIAIdO4kAB7kAoPAQAANUGAAAOAAAAAAAAAAEAIAAAACQBAABkcnMv&#10;ZTJvRG9jLnhtbFBLBQYAAAAABgAGAFkBAADSBwAAAAA=&#10;">
                <v:fill on="t" focussize="0,0"/>
                <v:stroke color="#000000" joinstyle="miter"/>
                <v:imagedata o:title=""/>
                <o:lock v:ext="edit" aspectratio="f"/>
              </v:rect>
            </w:pict>
          </mc:Fallback>
        </mc:AlternateContent>
      </w:r>
      <w:r>
        <w:rPr>
          <w:rFonts w:hint="eastAsia"/>
          <w:bCs w:val="0"/>
          <w:color w:val="auto"/>
        </w:rPr>
        <w:t>（以下无正文，为签署页）</w:t>
      </w:r>
    </w:p>
    <w:p w14:paraId="5A00BB97">
      <w:pPr>
        <w:widowControl/>
        <w:numPr>
          <w:ilvl w:val="0"/>
          <w:numId w:val="0"/>
        </w:numPr>
        <w:ind w:firstLine="640" w:firstLineChars="200"/>
        <w:rPr>
          <w:rFonts w:hint="eastAsia"/>
          <w:color w:val="auto"/>
        </w:rPr>
      </w:pPr>
    </w:p>
    <w:p w14:paraId="68C3545B">
      <w:pPr>
        <w:widowControl/>
        <w:numPr>
          <w:ilvl w:val="0"/>
          <w:numId w:val="0"/>
        </w:numPr>
        <w:snapToGrid/>
        <w:spacing w:line="240" w:lineRule="auto"/>
        <w:ind w:firstLine="640" w:firstLineChars="200"/>
        <w:rPr>
          <w:bCs w:val="0"/>
          <w:color w:val="auto"/>
        </w:rPr>
      </w:pPr>
      <w:r>
        <w:rPr>
          <w:rFonts w:hint="eastAsia"/>
          <w:bCs w:val="0"/>
          <w:color w:val="auto"/>
        </w:rPr>
        <w:t>甲方：(公章)                乙方：(公章)</w:t>
      </w:r>
    </w:p>
    <w:p w14:paraId="16361030">
      <w:pPr>
        <w:widowControl/>
        <w:numPr>
          <w:ilvl w:val="0"/>
          <w:numId w:val="0"/>
        </w:numPr>
        <w:snapToGrid/>
        <w:spacing w:line="240" w:lineRule="auto"/>
        <w:ind w:firstLine="0" w:firstLineChars="0"/>
        <w:rPr>
          <w:bCs w:val="0"/>
          <w:color w:val="auto"/>
        </w:rPr>
      </w:pPr>
      <w:r>
        <w:rPr>
          <w:rFonts w:hint="eastAsia"/>
          <w:bCs w:val="0"/>
          <w:color w:val="auto"/>
        </w:rPr>
        <w:t xml:space="preserve">法定代表人或委托代理人：    法定代表人或委托代理人：                     </w:t>
      </w:r>
    </w:p>
    <w:p w14:paraId="0DFFBA82">
      <w:pPr>
        <w:widowControl/>
        <w:numPr>
          <w:ilvl w:val="0"/>
          <w:numId w:val="0"/>
        </w:numPr>
        <w:snapToGrid/>
        <w:spacing w:line="240" w:lineRule="auto"/>
        <w:ind w:firstLine="640" w:firstLineChars="200"/>
        <w:rPr>
          <w:bCs w:val="0"/>
          <w:color w:val="auto"/>
        </w:rPr>
      </w:pPr>
      <w:r>
        <w:rPr>
          <w:rFonts w:hint="eastAsia"/>
          <w:bCs w:val="0"/>
          <w:color w:val="auto"/>
        </w:rPr>
        <w:t>电话：                      电话：</w:t>
      </w:r>
    </w:p>
    <w:p w14:paraId="62484DB7">
      <w:pPr>
        <w:widowControl/>
        <w:numPr>
          <w:ilvl w:val="0"/>
          <w:numId w:val="0"/>
        </w:numPr>
        <w:snapToGrid/>
        <w:spacing w:line="240" w:lineRule="auto"/>
        <w:ind w:firstLine="640" w:firstLineChars="200"/>
        <w:rPr>
          <w:bCs w:val="0"/>
          <w:color w:val="auto"/>
        </w:rPr>
      </w:pPr>
      <w:r>
        <w:rPr>
          <w:rFonts w:hint="eastAsia"/>
          <w:bCs w:val="0"/>
          <w:color w:val="auto"/>
        </w:rPr>
        <w:t xml:space="preserve">地址：                      地址：             </w:t>
      </w:r>
    </w:p>
    <w:p w14:paraId="68EA9F7C">
      <w:pPr>
        <w:widowControl/>
        <w:numPr>
          <w:ilvl w:val="0"/>
          <w:numId w:val="0"/>
        </w:numPr>
        <w:snapToGrid/>
        <w:spacing w:line="240" w:lineRule="auto"/>
        <w:rPr>
          <w:bCs w:val="0"/>
          <w:color w:val="auto"/>
        </w:rPr>
      </w:pPr>
      <w:r>
        <w:rPr>
          <w:rFonts w:hint="eastAsia"/>
          <w:bCs w:val="0"/>
          <w:color w:val="auto"/>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YWRhNDk1ZWM4NjBlZDcyYmU4ZGY5NWI5NjUyNDUifQ=="/>
  </w:docVars>
  <w:rsids>
    <w:rsidRoot w:val="00273635"/>
    <w:rsid w:val="0009063E"/>
    <w:rsid w:val="00143A49"/>
    <w:rsid w:val="00184068"/>
    <w:rsid w:val="002002DB"/>
    <w:rsid w:val="0022564A"/>
    <w:rsid w:val="00273635"/>
    <w:rsid w:val="002D6B91"/>
    <w:rsid w:val="00436DFE"/>
    <w:rsid w:val="00485552"/>
    <w:rsid w:val="00604521"/>
    <w:rsid w:val="006322ED"/>
    <w:rsid w:val="0064363F"/>
    <w:rsid w:val="0066069B"/>
    <w:rsid w:val="007859E1"/>
    <w:rsid w:val="008A3120"/>
    <w:rsid w:val="008D4582"/>
    <w:rsid w:val="00971194"/>
    <w:rsid w:val="009E109C"/>
    <w:rsid w:val="00AE11F9"/>
    <w:rsid w:val="00BC372D"/>
    <w:rsid w:val="00BF721B"/>
    <w:rsid w:val="00C05B4B"/>
    <w:rsid w:val="00E54C8E"/>
    <w:rsid w:val="00F92BAB"/>
    <w:rsid w:val="00FE52B6"/>
    <w:rsid w:val="00FE5B10"/>
    <w:rsid w:val="0204742C"/>
    <w:rsid w:val="043F474B"/>
    <w:rsid w:val="055F2BCB"/>
    <w:rsid w:val="0D2A3ABE"/>
    <w:rsid w:val="118C4D48"/>
    <w:rsid w:val="14902DA1"/>
    <w:rsid w:val="1647748F"/>
    <w:rsid w:val="17E56F60"/>
    <w:rsid w:val="19E70FA6"/>
    <w:rsid w:val="1A073B05"/>
    <w:rsid w:val="1A82318C"/>
    <w:rsid w:val="1B431266"/>
    <w:rsid w:val="1CB01BBA"/>
    <w:rsid w:val="1DA04055"/>
    <w:rsid w:val="1EB614B4"/>
    <w:rsid w:val="23B22A65"/>
    <w:rsid w:val="267E0369"/>
    <w:rsid w:val="2A1831C5"/>
    <w:rsid w:val="30140E93"/>
    <w:rsid w:val="317A4570"/>
    <w:rsid w:val="335334BF"/>
    <w:rsid w:val="367A04E1"/>
    <w:rsid w:val="37FC376C"/>
    <w:rsid w:val="389229F3"/>
    <w:rsid w:val="3C3B3F1B"/>
    <w:rsid w:val="414A661D"/>
    <w:rsid w:val="4477084E"/>
    <w:rsid w:val="4661119F"/>
    <w:rsid w:val="46AF05B5"/>
    <w:rsid w:val="4E1458CD"/>
    <w:rsid w:val="4F165675"/>
    <w:rsid w:val="4FBF1ED2"/>
    <w:rsid w:val="50940F47"/>
    <w:rsid w:val="518913A5"/>
    <w:rsid w:val="51954A63"/>
    <w:rsid w:val="54F11D28"/>
    <w:rsid w:val="55B64426"/>
    <w:rsid w:val="55C0458D"/>
    <w:rsid w:val="5AD42B17"/>
    <w:rsid w:val="5C514191"/>
    <w:rsid w:val="608D150F"/>
    <w:rsid w:val="61E74036"/>
    <w:rsid w:val="638E3DEF"/>
    <w:rsid w:val="63AF2967"/>
    <w:rsid w:val="63B06AE5"/>
    <w:rsid w:val="6A00324B"/>
    <w:rsid w:val="6BDF70C3"/>
    <w:rsid w:val="6E4C2A0A"/>
    <w:rsid w:val="7025681A"/>
    <w:rsid w:val="707B3132"/>
    <w:rsid w:val="76456CAA"/>
    <w:rsid w:val="7662101C"/>
    <w:rsid w:val="786B50EA"/>
    <w:rsid w:val="7CB46D65"/>
    <w:rsid w:val="7DA0242A"/>
    <w:rsid w:val="7DA60233"/>
    <w:rsid w:val="7F9809B8"/>
    <w:rsid w:val="7F9E2999"/>
    <w:rsid w:val="7FA33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line="360" w:lineRule="auto"/>
      <w:ind w:firstLine="640" w:firstLineChars="200"/>
    </w:pPr>
    <w:rPr>
      <w:rFonts w:ascii="仿宋" w:hAnsi="仿宋" w:eastAsia="仿宋" w:cs="宋体"/>
      <w:bCs/>
      <w:color w:val="FF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alloon Text"/>
    <w:basedOn w:val="1"/>
    <w:link w:val="9"/>
    <w:semiHidden/>
    <w:unhideWhenUsed/>
    <w:qFormat/>
    <w:uiPriority w:val="99"/>
    <w:pPr>
      <w:spacing w:line="240" w:lineRule="auto"/>
    </w:pPr>
    <w:rPr>
      <w:sz w:val="18"/>
      <w:szCs w:val="18"/>
    </w:rPr>
  </w:style>
  <w:style w:type="character" w:styleId="6">
    <w:name w:val="annotation reference"/>
    <w:basedOn w:val="5"/>
    <w:semiHidden/>
    <w:unhideWhenUsed/>
    <w:qFormat/>
    <w:uiPriority w:val="99"/>
    <w:rPr>
      <w:sz w:val="21"/>
      <w:szCs w:val="21"/>
    </w:rPr>
  </w:style>
  <w:style w:type="paragraph" w:customStyle="1" w:styleId="7">
    <w:name w:val="首行缩进"/>
    <w:basedOn w:val="8"/>
    <w:next w:val="1"/>
    <w:autoRedefine/>
    <w:qFormat/>
    <w:uiPriority w:val="99"/>
    <w:pPr>
      <w:ind w:firstLine="480"/>
    </w:pPr>
    <w:rPr>
      <w:rFonts w:ascii="宋体" w:hAnsi="宋体"/>
      <w:kern w:val="0"/>
      <w:szCs w:val="20"/>
    </w:rPr>
  </w:style>
  <w:style w:type="paragraph" w:customStyle="1" w:styleId="8">
    <w:name w:val="正文 New New New New New New"/>
    <w:next w:val="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
    <w:name w:val="批注框文本 Char"/>
    <w:basedOn w:val="5"/>
    <w:link w:val="3"/>
    <w:semiHidden/>
    <w:qFormat/>
    <w:uiPriority w:val="99"/>
    <w:rPr>
      <w:rFonts w:ascii="仿宋" w:hAnsi="仿宋" w:eastAsia="仿宋" w:cs="宋体"/>
      <w:b/>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4194</Words>
  <Characters>4337</Characters>
  <Lines>30</Lines>
  <Paragraphs>8</Paragraphs>
  <TotalTime>7</TotalTime>
  <ScaleCrop>false</ScaleCrop>
  <LinksUpToDate>false</LinksUpToDate>
  <CharactersWithSpaces>4665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2024-08-31T10:14:00Z</dcterms:created>
  <dc:creator>xb21cn</dc:creator>
  <cp:lastModifiedBy>青春岁月</cp:lastModifiedBy>
  <dcterms:modified xsi:type="dcterms:W3CDTF">2026-06-23T03:26:29Z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BBAF158D07954466918835BE76E0BE38_13</vt:lpwstr>
  </property>
  <property fmtid="{D5CDD505-2E9C-101B-9397-08002B2CF9AE}" pid="4" name="KSOTemplateDocerSaveRecord">
    <vt:lpwstr>eyJoZGlkIjoiOTA1NjFmNjRlYjIxNWM0ZTFiMGMzZTI3ODQzMjY4MDYiLCJ1c2VySWQiOiI2Njg0OTUyMDQifQ==</vt:lpwstr>
  </property>
</Properties>
</file>