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1B716">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val="0"/>
          <w:color w:val="auto"/>
          <w:sz w:val="32"/>
          <w:szCs w:val="32"/>
          <w:highlight w:val="none"/>
        </w:rPr>
      </w:pPr>
      <w:r>
        <w:rPr>
          <w:rFonts w:hint="eastAsia" w:ascii="Times New Roman" w:hAnsi="Times New Roman" w:eastAsia="宋体" w:cs="Times New Roman"/>
          <w:color w:val="auto"/>
          <w:sz w:val="32"/>
          <w:szCs w:val="32"/>
          <w:highlight w:val="none"/>
        </w:rPr>
        <w:t>公共区域部分楼宇白蚁防治服务</w:t>
      </w:r>
      <w:r>
        <w:rPr>
          <w:rFonts w:hint="default" w:ascii="Times New Roman" w:hAnsi="Times New Roman" w:eastAsia="宋体" w:cs="Times New Roman"/>
          <w:b/>
          <w:bCs w:val="0"/>
          <w:color w:val="auto"/>
          <w:sz w:val="32"/>
          <w:szCs w:val="32"/>
          <w:highlight w:val="none"/>
        </w:rPr>
        <w:t>项目招标文件</w:t>
      </w:r>
    </w:p>
    <w:p w14:paraId="28EEA72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东部机场集团有限公司</w:t>
      </w:r>
      <w:r>
        <w:rPr>
          <w:rFonts w:hint="default" w:ascii="Times New Roman" w:hAnsi="Times New Roman" w:eastAsia="宋体" w:cs="Times New Roman"/>
          <w:color w:val="auto"/>
          <w:szCs w:val="21"/>
          <w:highlight w:val="none"/>
          <w:lang w:val="en-US" w:eastAsia="zh-CN"/>
        </w:rPr>
        <w:t>南京禄口国际机场</w:t>
      </w:r>
      <w:r>
        <w:rPr>
          <w:rFonts w:hint="default" w:ascii="Times New Roman" w:hAnsi="Times New Roman" w:eastAsia="宋体" w:cs="Times New Roman"/>
          <w:color w:val="auto"/>
          <w:szCs w:val="21"/>
          <w:highlight w:val="none"/>
        </w:rPr>
        <w:t>采用自主</w:t>
      </w:r>
      <w:r>
        <w:rPr>
          <w:rFonts w:hint="default" w:ascii="Times New Roman" w:hAnsi="Times New Roman" w:eastAsia="宋体" w:cs="Times New Roman"/>
          <w:color w:val="auto"/>
          <w:szCs w:val="21"/>
          <w:highlight w:val="none"/>
          <w:lang w:val="en-US" w:eastAsia="zh-CN"/>
        </w:rPr>
        <w:t>公开</w:t>
      </w:r>
      <w:r>
        <w:rPr>
          <w:rFonts w:hint="default" w:ascii="Times New Roman" w:hAnsi="Times New Roman" w:eastAsia="宋体" w:cs="Times New Roman"/>
          <w:color w:val="auto"/>
          <w:szCs w:val="21"/>
          <w:highlight w:val="none"/>
        </w:rPr>
        <w:t>招标方式选择</w:t>
      </w:r>
      <w:r>
        <w:rPr>
          <w:rFonts w:hint="default" w:ascii="Times New Roman" w:hAnsi="Times New Roman" w:eastAsia="宋体" w:cs="Times New Roman"/>
          <w:color w:val="auto"/>
          <w:szCs w:val="21"/>
          <w:highlight w:val="none"/>
          <w:lang w:val="en-US" w:eastAsia="zh-CN"/>
        </w:rPr>
        <w:t>公共区域部分楼宇白蚁防治服务</w:t>
      </w:r>
      <w:r>
        <w:rPr>
          <w:rFonts w:hint="default" w:ascii="Times New Roman" w:hAnsi="Times New Roman" w:eastAsia="宋体" w:cs="Times New Roman"/>
          <w:color w:val="auto"/>
          <w:szCs w:val="21"/>
          <w:highlight w:val="none"/>
        </w:rPr>
        <w:t>项目服务单位，</w:t>
      </w:r>
      <w:r>
        <w:rPr>
          <w:rFonts w:hint="default" w:ascii="Times New Roman" w:hAnsi="Times New Roman" w:eastAsia="宋体" w:cs="Times New Roman"/>
          <w:b w:val="0"/>
          <w:color w:val="auto"/>
          <w:sz w:val="21"/>
          <w:szCs w:val="21"/>
          <w:highlight w:val="none"/>
        </w:rPr>
        <w:t>本项目不属于依法必须进行招标的项目，也不属于政府采购项目，为招标人自行采购的项目。</w:t>
      </w:r>
      <w:r>
        <w:rPr>
          <w:rFonts w:hint="default" w:ascii="Times New Roman" w:hAnsi="Times New Roman" w:eastAsia="宋体" w:cs="Times New Roman"/>
          <w:color w:val="auto"/>
          <w:szCs w:val="21"/>
          <w:highlight w:val="none"/>
        </w:rPr>
        <w:t>现邀请有意向且满足基本资质要求的投标人参加，为统一投标文件的编制标准，明确如下事项：</w:t>
      </w:r>
    </w:p>
    <w:p w14:paraId="43B0A807">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一、项目内容</w:t>
      </w:r>
    </w:p>
    <w:p w14:paraId="225BFF8B">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2"/>
          <w:sz w:val="21"/>
          <w:szCs w:val="21"/>
          <w:lang w:val="en-US" w:eastAsia="zh-CN" w:bidi="ar-SA"/>
        </w:rPr>
        <w:t>1．</w:t>
      </w:r>
      <w:r>
        <w:rPr>
          <w:rFonts w:hint="default" w:ascii="Times New Roman" w:hAnsi="Times New Roman" w:cs="Times New Roman" w:eastAsiaTheme="minorEastAsia"/>
          <w:color w:val="auto"/>
          <w:sz w:val="21"/>
          <w:szCs w:val="21"/>
          <w:highlight w:val="none"/>
        </w:rPr>
        <w:t>招标内容：</w:t>
      </w:r>
      <w:r>
        <w:rPr>
          <w:rFonts w:hint="default" w:ascii="Times New Roman" w:hAnsi="Times New Roman" w:cs="Times New Roman" w:eastAsiaTheme="minorEastAsia"/>
          <w:color w:val="auto"/>
          <w:sz w:val="21"/>
          <w:szCs w:val="21"/>
          <w:highlight w:val="none"/>
          <w:lang w:val="en-US" w:eastAsia="zh-CN"/>
        </w:rPr>
        <w:t>公共区域部分楼宇白蚁防治服务，</w:t>
      </w:r>
      <w:r>
        <w:rPr>
          <w:rFonts w:hint="default" w:ascii="Times New Roman" w:hAnsi="Times New Roman" w:cs="Times New Roman" w:eastAsiaTheme="minorEastAsia"/>
          <w:color w:val="auto"/>
          <w:kern w:val="0"/>
          <w:sz w:val="21"/>
          <w:szCs w:val="21"/>
          <w:highlight w:val="none"/>
          <w:lang w:val="en-US" w:eastAsia="zh-CN" w:bidi="ar"/>
        </w:rPr>
        <w:t>各楼栋室内及室外周边3米范围区域，</w:t>
      </w:r>
      <w:r>
        <w:rPr>
          <w:rFonts w:hint="default" w:ascii="Times New Roman" w:hAnsi="Times New Roman" w:cs="Times New Roman" w:eastAsiaTheme="minorEastAsia"/>
          <w:color w:val="auto"/>
          <w:sz w:val="21"/>
          <w:szCs w:val="21"/>
          <w:highlight w:val="none"/>
          <w:lang w:val="zh-CN"/>
        </w:rPr>
        <w:t>包含</w:t>
      </w:r>
      <w:r>
        <w:rPr>
          <w:rFonts w:hint="default" w:ascii="Times New Roman" w:hAnsi="Times New Roman" w:cs="Times New Roman" w:eastAsiaTheme="minorEastAsia"/>
          <w:color w:val="auto"/>
          <w:sz w:val="21"/>
          <w:szCs w:val="21"/>
          <w:highlight w:val="none"/>
          <w:lang w:val="en-US" w:eastAsia="zh-CN"/>
        </w:rPr>
        <w:t>5个</w:t>
      </w:r>
      <w:r>
        <w:rPr>
          <w:rFonts w:hint="default" w:ascii="Times New Roman" w:hAnsi="Times New Roman" w:cs="Times New Roman" w:eastAsiaTheme="minorEastAsia"/>
          <w:color w:val="auto"/>
          <w:sz w:val="21"/>
          <w:szCs w:val="21"/>
          <w:highlight w:val="none"/>
          <w:lang w:val="zh-CN"/>
        </w:rPr>
        <w:t>服务</w:t>
      </w:r>
      <w:r>
        <w:rPr>
          <w:rFonts w:hint="default" w:ascii="Times New Roman" w:hAnsi="Times New Roman" w:cs="Times New Roman" w:eastAsiaTheme="minorEastAsia"/>
          <w:color w:val="auto"/>
          <w:sz w:val="21"/>
          <w:szCs w:val="21"/>
          <w:highlight w:val="none"/>
          <w:lang w:val="en-US" w:eastAsia="zh-CN"/>
        </w:rPr>
        <w:t>场地：</w:t>
      </w:r>
    </w:p>
    <w:p w14:paraId="22401279">
      <w:pPr>
        <w:keepNext w:val="0"/>
        <w:keepLines w:val="0"/>
        <w:pageBreakBefore w:val="0"/>
        <w:widowControl w:val="0"/>
        <w:numPr>
          <w:ilvl w:val="0"/>
          <w:numId w:val="0"/>
        </w:numPr>
        <w:kinsoku/>
        <w:wordWrap/>
        <w:overflowPunct/>
        <w:topLinePunct w:val="0"/>
        <w:autoSpaceDE/>
        <w:autoSpaceDN/>
        <w:bidi w:val="0"/>
        <w:adjustRightInd/>
        <w:spacing w:line="360" w:lineRule="auto"/>
        <w:ind w:left="400" w:leftChars="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（1）职工公寓翔宇居（含报告厅楼宇）</w:t>
      </w:r>
      <w:r>
        <w:rPr>
          <w:rFonts w:hint="eastAsia" w:ascii="Times New Roman" w:hAnsi="Times New Roman" w:cs="Times New Roman" w:eastAsiaTheme="minorEastAsia"/>
          <w:color w:val="auto"/>
          <w:sz w:val="21"/>
          <w:szCs w:val="21"/>
          <w:highlight w:val="none"/>
          <w:lang w:val="en-US" w:eastAsia="zh-CN"/>
        </w:rPr>
        <w:t>共</w:t>
      </w:r>
      <w:r>
        <w:rPr>
          <w:rFonts w:hint="default" w:ascii="Times New Roman" w:hAnsi="Times New Roman" w:cs="Times New Roman" w:eastAsiaTheme="minorEastAsia"/>
          <w:color w:val="auto"/>
          <w:sz w:val="21"/>
          <w:szCs w:val="21"/>
          <w:highlight w:val="none"/>
          <w:lang w:val="en-US" w:eastAsia="zh-CN"/>
        </w:rPr>
        <w:t>14</w:t>
      </w:r>
      <w:r>
        <w:rPr>
          <w:rFonts w:hint="eastAsia" w:ascii="Times New Roman" w:hAnsi="Times New Roman" w:cs="Times New Roman" w:eastAsiaTheme="minorEastAsia"/>
          <w:color w:val="auto"/>
          <w:sz w:val="21"/>
          <w:szCs w:val="21"/>
          <w:highlight w:val="none"/>
          <w:lang w:val="en-US" w:eastAsia="zh-CN"/>
        </w:rPr>
        <w:t>层</w:t>
      </w:r>
      <w:r>
        <w:rPr>
          <w:rFonts w:hint="default" w:ascii="Times New Roman" w:hAnsi="Times New Roman" w:cs="Times New Roman" w:eastAsiaTheme="minorEastAsia"/>
          <w:color w:val="auto"/>
          <w:sz w:val="21"/>
          <w:szCs w:val="21"/>
          <w:highlight w:val="none"/>
          <w:lang w:val="en-US" w:eastAsia="zh-CN"/>
        </w:rPr>
        <w:t>+2层；</w:t>
      </w:r>
    </w:p>
    <w:p w14:paraId="288692F3">
      <w:pPr>
        <w:pStyle w:val="8"/>
        <w:ind w:firstLine="420" w:firstLineChars="20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职工公寓汇安居</w:t>
      </w:r>
      <w:r>
        <w:rPr>
          <w:rFonts w:hint="eastAsia" w:ascii="Times New Roman" w:hAnsi="Times New Roman" w:cs="Times New Roman" w:eastAsiaTheme="minorEastAsia"/>
          <w:color w:val="auto"/>
          <w:sz w:val="21"/>
          <w:szCs w:val="21"/>
          <w:highlight w:val="none"/>
          <w:lang w:val="en-US" w:eastAsia="zh-CN"/>
        </w:rPr>
        <w:t>共</w:t>
      </w:r>
      <w:r>
        <w:rPr>
          <w:rFonts w:hint="default" w:ascii="Times New Roman" w:hAnsi="Times New Roman" w:cs="Times New Roman" w:eastAsiaTheme="minorEastAsia"/>
          <w:color w:val="auto"/>
          <w:sz w:val="21"/>
          <w:szCs w:val="21"/>
          <w:highlight w:val="none"/>
          <w:lang w:val="en-US" w:eastAsia="zh-CN"/>
        </w:rPr>
        <w:t>5层；</w:t>
      </w:r>
    </w:p>
    <w:p w14:paraId="3E58431C">
      <w:pPr>
        <w:ind w:left="420" w:leftChars="200" w:firstLine="0" w:firstLineChars="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（3）职工公寓鲲鹏居</w:t>
      </w:r>
      <w:r>
        <w:rPr>
          <w:rFonts w:hint="eastAsia" w:ascii="Times New Roman" w:hAnsi="Times New Roman" w:cs="Times New Roman" w:eastAsiaTheme="minorEastAsia"/>
          <w:color w:val="auto"/>
          <w:sz w:val="21"/>
          <w:szCs w:val="21"/>
          <w:highlight w:val="none"/>
          <w:lang w:val="en-US" w:eastAsia="zh-CN"/>
        </w:rPr>
        <w:t>共</w:t>
      </w:r>
      <w:r>
        <w:rPr>
          <w:rFonts w:hint="default" w:ascii="Times New Roman" w:hAnsi="Times New Roman" w:cs="Times New Roman" w:eastAsiaTheme="minorEastAsia"/>
          <w:color w:val="auto"/>
          <w:sz w:val="21"/>
          <w:szCs w:val="21"/>
          <w:highlight w:val="none"/>
          <w:lang w:val="en-US" w:eastAsia="zh-CN"/>
        </w:rPr>
        <w:t>4层+1层平房；</w:t>
      </w:r>
      <w:bookmarkStart w:id="0" w:name="_GoBack"/>
      <w:bookmarkEnd w:id="0"/>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（4）职工活动中心室内场馆；</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shd w:val="clear"/>
          <w:lang w:val="en-US" w:eastAsia="zh-CN"/>
        </w:rPr>
        <w:t>）</w:t>
      </w:r>
      <w:r>
        <w:rPr>
          <w:rFonts w:hint="eastAsia" w:ascii="Times New Roman" w:hAnsi="Times New Roman" w:eastAsia="宋体" w:cs="Times New Roman"/>
          <w:color w:val="auto"/>
          <w:spacing w:val="0"/>
          <w:w w:val="100"/>
          <w:position w:val="0"/>
          <w:highlight w:val="none"/>
          <w:shd w:val="clear"/>
          <w:vertAlign w:val="baseline"/>
          <w:lang w:val="en-US" w:eastAsia="zh-CN"/>
        </w:rPr>
        <w:t>污水站建筑共</w:t>
      </w:r>
      <w:r>
        <w:rPr>
          <w:rFonts w:hint="default" w:ascii="Times New Roman" w:hAnsi="Times New Roman" w:cs="Times New Roman" w:eastAsiaTheme="minorEastAsia"/>
          <w:color w:val="auto"/>
          <w:sz w:val="21"/>
          <w:szCs w:val="21"/>
          <w:highlight w:val="none"/>
          <w:shd w:val="clear"/>
          <w:lang w:val="en-US" w:eastAsia="zh-CN"/>
        </w:rPr>
        <w:t>2层。</w:t>
      </w:r>
    </w:p>
    <w:p w14:paraId="36A9D57A">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2"/>
          <w:sz w:val="21"/>
          <w:szCs w:val="21"/>
          <w:lang w:val="en-US" w:eastAsia="zh-CN" w:bidi="ar-SA"/>
        </w:rPr>
        <w:t>2．</w:t>
      </w:r>
      <w:r>
        <w:rPr>
          <w:rFonts w:hint="default" w:ascii="Times New Roman" w:hAnsi="Times New Roman" w:cs="Times New Roman" w:eastAsiaTheme="minorEastAsia"/>
          <w:color w:val="auto"/>
          <w:sz w:val="21"/>
          <w:szCs w:val="21"/>
          <w:highlight w:val="none"/>
        </w:rPr>
        <w:t>服务期限：</w:t>
      </w:r>
      <w:r>
        <w:rPr>
          <w:rFonts w:hint="default" w:ascii="Times New Roman" w:hAnsi="Times New Roman" w:cs="Times New Roman" w:eastAsiaTheme="minorEastAsia"/>
          <w:color w:val="auto"/>
          <w:sz w:val="21"/>
          <w:szCs w:val="21"/>
          <w:highlight w:val="none"/>
          <w:u w:val="none"/>
          <w:lang w:val="en-US" w:eastAsia="zh-CN"/>
        </w:rPr>
        <w:t>2</w:t>
      </w:r>
      <w:r>
        <w:rPr>
          <w:rFonts w:hint="default" w:ascii="Times New Roman" w:hAnsi="Times New Roman" w:cs="Times New Roman" w:eastAsiaTheme="minorEastAsia"/>
          <w:color w:val="auto"/>
          <w:sz w:val="21"/>
          <w:szCs w:val="21"/>
          <w:highlight w:val="none"/>
        </w:rPr>
        <w:t>年。</w:t>
      </w:r>
    </w:p>
    <w:p w14:paraId="5AC94137">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sz w:val="21"/>
          <w:szCs w:val="21"/>
          <w:highlight w:val="none"/>
        </w:rPr>
        <w:t>招标限价（含税）：</w:t>
      </w:r>
      <w:r>
        <w:rPr>
          <w:rFonts w:hint="eastAsia" w:ascii="Times New Roman" w:hAnsi="Times New Roman" w:cs="Times New Roman" w:eastAsiaTheme="minorEastAsia"/>
          <w:color w:val="auto"/>
          <w:sz w:val="21"/>
          <w:szCs w:val="21"/>
          <w:highlight w:val="none"/>
          <w:u w:val="none"/>
          <w:lang w:val="en-US" w:eastAsia="zh-CN"/>
        </w:rPr>
        <w:t>17.1</w:t>
      </w:r>
      <w:r>
        <w:rPr>
          <w:rFonts w:hint="default" w:ascii="Times New Roman" w:hAnsi="Times New Roman" w:cs="Times New Roman" w:eastAsiaTheme="minorEastAsia"/>
          <w:color w:val="auto"/>
          <w:sz w:val="21"/>
          <w:szCs w:val="21"/>
          <w:highlight w:val="none"/>
        </w:rPr>
        <w:t>万元。</w:t>
      </w:r>
    </w:p>
    <w:p w14:paraId="4FDE38A8">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二、合格投标人资格要求</w:t>
      </w:r>
    </w:p>
    <w:p w14:paraId="70D42A16">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1．</w:t>
      </w:r>
      <w:r>
        <w:rPr>
          <w:rFonts w:hint="default" w:ascii="Times New Roman" w:hAnsi="Times New Roman" w:eastAsia="宋体" w:cs="Times New Roman"/>
          <w:color w:val="auto"/>
          <w:szCs w:val="21"/>
          <w:highlight w:val="none"/>
        </w:rPr>
        <w:t>投标人须为在中华人民共和国境内合法注册的独立法人</w:t>
      </w:r>
      <w:r>
        <w:rPr>
          <w:rFonts w:hint="eastAsia"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经营范围含白蚁防治服务等</w:t>
      </w:r>
      <w:r>
        <w:rPr>
          <w:rFonts w:hint="default" w:ascii="Times New Roman" w:hAnsi="Times New Roman" w:eastAsia="宋体" w:cs="Times New Roman"/>
          <w:color w:val="auto"/>
          <w:szCs w:val="21"/>
          <w:highlight w:val="none"/>
        </w:rPr>
        <w:t>。（提供营业执照复印件并加盖公章）</w:t>
      </w:r>
    </w:p>
    <w:p w14:paraId="7D200E2B">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hint="default" w:ascii="Times New Roman Regular" w:hAnsi="Times New Roman Regular" w:eastAsia="宋体" w:cs="Times New Roman Regular"/>
          <w:color w:val="auto"/>
          <w:kern w:val="2"/>
          <w:sz w:val="21"/>
          <w:szCs w:val="21"/>
          <w:highlight w:val="none"/>
          <w:lang w:val="en-US" w:eastAsia="zh-CN" w:bidi="ar-SA"/>
        </w:rPr>
      </w:pPr>
      <w:r>
        <w:rPr>
          <w:rFonts w:hint="default" w:ascii="Times New Roman Regular" w:hAnsi="Times New Roman Regular" w:eastAsia="宋体" w:cs="Times New Roman Regular"/>
          <w:color w:val="auto"/>
          <w:kern w:val="2"/>
          <w:sz w:val="21"/>
          <w:szCs w:val="21"/>
          <w:highlight w:val="none"/>
          <w:lang w:val="en-US" w:eastAsia="zh-CN" w:bidi="ar-SA"/>
        </w:rPr>
        <w:t>2投标人须满足下列任一有效资质要求，并提供对应资质证明材料复印件加盖公章：</w:t>
      </w:r>
    </w:p>
    <w:p w14:paraId="05635EC0">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hint="default" w:ascii="Times New Roman Regular" w:hAnsi="Times New Roman Regular" w:eastAsia="宋体" w:cs="Times New Roman Regular"/>
          <w:color w:val="auto"/>
          <w:kern w:val="2"/>
          <w:sz w:val="21"/>
          <w:szCs w:val="21"/>
          <w:highlight w:val="none"/>
          <w:lang w:val="en-US" w:eastAsia="zh-CN" w:bidi="ar-SA"/>
        </w:rPr>
      </w:pPr>
      <w:r>
        <w:rPr>
          <w:rFonts w:hint="default" w:ascii="Times New Roman Regular" w:hAnsi="Times New Roman Regular" w:eastAsia="宋体" w:cs="Times New Roman Regular"/>
          <w:color w:val="auto"/>
          <w:kern w:val="2"/>
          <w:sz w:val="21"/>
          <w:szCs w:val="21"/>
          <w:highlight w:val="none"/>
          <w:lang w:val="en-US" w:eastAsia="zh-CN" w:bidi="ar-SA"/>
        </w:rPr>
        <w:t>（1）持有卫生有害生物防制行业协会颁发的有害生物防制服务机构资质证书，资质等级为B级（含）以上或乙级（含）以上；</w:t>
      </w:r>
    </w:p>
    <w:p w14:paraId="0D11393F">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hint="default" w:ascii="Times New Roman Regular" w:hAnsi="Times New Roman Regular" w:eastAsia="宋体" w:cs="Times New Roman Regular"/>
          <w:color w:val="auto"/>
          <w:kern w:val="2"/>
          <w:sz w:val="21"/>
          <w:szCs w:val="21"/>
          <w:highlight w:val="none"/>
          <w:lang w:val="en-US" w:eastAsia="zh-CN" w:bidi="ar-SA"/>
        </w:rPr>
      </w:pPr>
      <w:r>
        <w:rPr>
          <w:rFonts w:hint="default" w:ascii="Times New Roman Regular" w:hAnsi="Times New Roman Regular" w:eastAsia="宋体" w:cs="Times New Roman Regular"/>
          <w:color w:val="auto"/>
          <w:kern w:val="2"/>
          <w:sz w:val="21"/>
          <w:szCs w:val="21"/>
          <w:highlight w:val="none"/>
          <w:lang w:val="en-US" w:eastAsia="zh-CN" w:bidi="ar-SA"/>
        </w:rPr>
        <w:t>（2）列入市级住房保障和房产管理局公示的房屋白蚁防治单位名录库内处于有效期内的企业。</w:t>
      </w:r>
    </w:p>
    <w:p w14:paraId="2AC14CB8">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hint="eastAsia" w:ascii="Times New Roman Regular" w:hAnsi="Times New Roman Regular" w:eastAsia="宋体" w:cs="Times New Roman Regular"/>
          <w:color w:val="auto"/>
          <w:highlight w:val="none"/>
          <w:lang w:eastAsia="zh-CN"/>
        </w:rPr>
      </w:pPr>
      <w:r>
        <w:rPr>
          <w:rFonts w:hint="eastAsia" w:ascii="Times New Roman Regular" w:hAnsi="Times New Roman Regular" w:eastAsia="宋体" w:cs="Times New Roman Regular"/>
          <w:color w:val="auto"/>
          <w:kern w:val="2"/>
          <w:sz w:val="21"/>
          <w:szCs w:val="24"/>
          <w:highlight w:val="none"/>
          <w:lang w:val="en-US" w:eastAsia="zh-CN" w:bidi="ar-SA"/>
        </w:rPr>
        <w:t>3</w:t>
      </w:r>
      <w:r>
        <w:rPr>
          <w:rFonts w:hint="default" w:ascii="Times New Roman Regular" w:hAnsi="Times New Roman Regular" w:eastAsia="宋体" w:cs="Times New Roman Regular"/>
          <w:color w:val="auto"/>
          <w:kern w:val="2"/>
          <w:sz w:val="21"/>
          <w:szCs w:val="24"/>
          <w:highlight w:val="none"/>
          <w:lang w:val="en-US" w:eastAsia="zh-CN" w:bidi="ar-SA"/>
        </w:rPr>
        <w:t>．</w:t>
      </w:r>
      <w:r>
        <w:rPr>
          <w:rFonts w:hint="eastAsia" w:ascii="Times New Roman Regular" w:hAnsi="Times New Roman Regular" w:eastAsia="宋体" w:cs="Times New Roman Regular"/>
          <w:color w:val="auto"/>
          <w:highlight w:val="none"/>
        </w:rPr>
        <w:t>投标人须为本项目配置不少于1名专职技术负责人</w:t>
      </w:r>
      <w:r>
        <w:rPr>
          <w:rFonts w:hint="eastAsia" w:ascii="Times New Roman Regular" w:hAnsi="Times New Roman Regular" w:eastAsia="宋体" w:cs="Times New Roman Regular"/>
          <w:color w:val="auto"/>
          <w:highlight w:val="none"/>
          <w:lang w:val="en-US" w:eastAsia="zh-CN"/>
        </w:rPr>
        <w:t>以及</w:t>
      </w:r>
      <w:r>
        <w:rPr>
          <w:rFonts w:hint="eastAsia" w:ascii="Times New Roman Regular" w:hAnsi="Times New Roman Regular" w:eastAsia="宋体" w:cs="Times New Roman Regular"/>
          <w:color w:val="auto"/>
          <w:highlight w:val="none"/>
        </w:rPr>
        <w:t>不少于3名现场作业人员；技术负责人、现场作业人员均须持有白蚁防治技术岗位证或高级有害生物防制员证，并提供2026年3月至2026年5月在投标单位连续缴纳的社保证明。（提供全部人员身份证、资格证书及社保缴纳证明复印件并加盖公章，原件备查</w:t>
      </w:r>
      <w:r>
        <w:rPr>
          <w:rFonts w:hint="eastAsia" w:ascii="Times New Roman Regular" w:hAnsi="Times New Roman Regular" w:eastAsia="宋体" w:cs="Times New Roman Regular"/>
          <w:color w:val="auto"/>
          <w:highlight w:val="none"/>
          <w:lang w:eastAsia="zh-CN"/>
        </w:rPr>
        <w:t>）。</w:t>
      </w:r>
    </w:p>
    <w:p w14:paraId="0BC8A1EA">
      <w:pPr>
        <w:keepNext w:val="0"/>
        <w:keepLines w:val="0"/>
        <w:pageBreakBefore w:val="0"/>
        <w:widowControl w:val="0"/>
        <w:numPr>
          <w:ilvl w:val="0"/>
          <w:numId w:val="0"/>
        </w:numPr>
        <w:kinsoku/>
        <w:wordWrap/>
        <w:overflowPunct/>
        <w:topLinePunct w:val="0"/>
        <w:autoSpaceDE/>
        <w:autoSpaceDN/>
        <w:bidi w:val="0"/>
        <w:adjustRightInd/>
        <w:spacing w:line="360" w:lineRule="auto"/>
        <w:ind w:left="20" w:firstLine="400"/>
        <w:textAlignment w:val="auto"/>
        <w:rPr>
          <w:rFonts w:hint="eastAsia" w:ascii="Times New Roman" w:hAnsi="Times New Roman" w:eastAsia="宋体" w:cs="Times New Roman"/>
          <w:color w:val="auto"/>
          <w:highlight w:val="none"/>
          <w:lang w:val="en-US" w:eastAsia="zh-CN"/>
        </w:rPr>
      </w:pPr>
      <w:r>
        <w:rPr>
          <w:rFonts w:hint="eastAsia" w:ascii="Times New Roman Regular" w:hAnsi="Times New Roman Regular" w:eastAsia="宋体" w:cs="Times New Roman Regular"/>
          <w:color w:val="auto"/>
          <w:kern w:val="2"/>
          <w:sz w:val="21"/>
          <w:szCs w:val="24"/>
          <w:lang w:val="en-US" w:eastAsia="zh-CN" w:bidi="ar-SA"/>
        </w:rPr>
        <w:t>4</w:t>
      </w:r>
      <w:r>
        <w:rPr>
          <w:rFonts w:hint="default" w:ascii="Times New Roman Regular" w:hAnsi="Times New Roman Regular" w:eastAsia="宋体" w:cs="Times New Roman Regular"/>
          <w:color w:val="auto"/>
          <w:kern w:val="2"/>
          <w:sz w:val="21"/>
          <w:szCs w:val="24"/>
          <w:lang w:val="en-US" w:eastAsia="zh-CN" w:bidi="ar-SA"/>
        </w:rPr>
        <w:t>．</w:t>
      </w:r>
      <w:r>
        <w:rPr>
          <w:rFonts w:hint="default" w:ascii="Times New Roman" w:hAnsi="Times New Roman" w:eastAsia="宋体" w:cs="Times New Roman"/>
          <w:color w:val="auto"/>
          <w:szCs w:val="21"/>
          <w:highlight w:val="none"/>
        </w:rPr>
        <w:t>投标人自</w:t>
      </w:r>
      <w:r>
        <w:rPr>
          <w:rFonts w:hint="default" w:ascii="Times New Roman" w:hAnsi="Times New Roman" w:cs="Times New Roman"/>
          <w:color w:val="auto"/>
          <w:szCs w:val="21"/>
          <w:highlight w:val="none"/>
          <w:lang w:val="en-US" w:eastAsia="zh-CN"/>
        </w:rPr>
        <w:t>2024</w:t>
      </w:r>
      <w:r>
        <w:rPr>
          <w:rFonts w:hint="default" w:ascii="Times New Roman" w:hAnsi="Times New Roman" w:eastAsia="宋体" w:cs="Times New Roman"/>
          <w:color w:val="auto"/>
          <w:szCs w:val="21"/>
          <w:highlight w:val="none"/>
        </w:rPr>
        <w:t>年1月1日以来有不少于</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个</w:t>
      </w:r>
      <w:r>
        <w:rPr>
          <w:rFonts w:hint="eastAsia" w:ascii="Times New Roman" w:hAnsi="Times New Roman" w:eastAsia="宋体" w:cs="Times New Roman"/>
          <w:color w:val="auto"/>
          <w:szCs w:val="21"/>
          <w:highlight w:val="none"/>
          <w:lang w:val="en-US" w:eastAsia="zh-CN"/>
        </w:rPr>
        <w:t>白蚁防治服务类</w:t>
      </w:r>
      <w:r>
        <w:rPr>
          <w:rFonts w:hint="default" w:ascii="Times New Roman" w:hAnsi="Times New Roman" w:eastAsia="宋体" w:cs="Times New Roman"/>
          <w:color w:val="auto"/>
          <w:szCs w:val="21"/>
          <w:highlight w:val="none"/>
        </w:rPr>
        <w:t>项目业绩。（</w:t>
      </w:r>
      <w:r>
        <w:rPr>
          <w:rFonts w:hint="default" w:ascii="Times New Roman" w:hAnsi="Times New Roman" w:eastAsia="宋体" w:cs="Times New Roman"/>
          <w:color w:val="auto"/>
          <w:szCs w:val="21"/>
          <w:highlight w:val="none"/>
          <w:lang w:val="en-US" w:eastAsia="zh-CN"/>
        </w:rPr>
        <w:t>以合同签订日期为准</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提供有关合同复印件并加盖公章）</w:t>
      </w:r>
      <w:r>
        <w:rPr>
          <w:rFonts w:hint="eastAsia" w:ascii="Times New Roman" w:hAnsi="Times New Roman" w:eastAsia="宋体" w:cs="Times New Roman"/>
          <w:color w:val="auto"/>
          <w:szCs w:val="21"/>
          <w:highlight w:val="none"/>
          <w:lang w:eastAsia="zh-CN"/>
        </w:rPr>
        <w:t>。</w:t>
      </w:r>
    </w:p>
    <w:p w14:paraId="2788D745">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三、项目技术要求</w:t>
      </w:r>
    </w:p>
    <w:p w14:paraId="7A14B4F5">
      <w:pPr>
        <w:keepNext w:val="0"/>
        <w:keepLines w:val="0"/>
        <w:pageBreakBefore w:val="0"/>
        <w:widowControl w:val="0"/>
        <w:kinsoku/>
        <w:wordWrap/>
        <w:overflowPunct/>
        <w:topLinePunct w:val="0"/>
        <w:autoSpaceDE/>
        <w:autoSpaceDN/>
        <w:bidi w:val="0"/>
        <w:adjustRightInd/>
        <w:spacing w:line="360" w:lineRule="auto"/>
        <w:ind w:left="400"/>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详见附件一</w:t>
      </w:r>
    </w:p>
    <w:p w14:paraId="66E249CF">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四、评标方法</w:t>
      </w:r>
    </w:p>
    <w:p w14:paraId="5340991C">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ascii="Times New Roman" w:hAnsi="Times New Roman" w:cs="Times New Roman"/>
          <w:color w:val="auto"/>
          <w:highlight w:val="none"/>
        </w:rPr>
      </w:pPr>
      <w:r>
        <w:rPr>
          <w:rFonts w:hint="default" w:ascii="Times New Roman" w:hAnsi="Times New Roman" w:eastAsia="宋体" w:cs="Times New Roman"/>
          <w:color w:val="auto"/>
          <w:szCs w:val="21"/>
          <w:highlight w:val="none"/>
        </w:rPr>
        <w:t>评审办法：经评审的综合评估法</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不含税</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p>
    <w:tbl>
      <w:tblPr>
        <w:tblStyle w:val="14"/>
        <w:tblW w:w="5498"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455"/>
        <w:gridCol w:w="6480"/>
      </w:tblGrid>
      <w:tr w14:paraId="08E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6" w:type="pct"/>
            <w:noWrap w:val="0"/>
            <w:vAlign w:val="center"/>
          </w:tcPr>
          <w:p w14:paraId="75495C3A">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lang w:val="en-US" w:eastAsia="zh-CN"/>
              </w:rPr>
              <w:t>评审因素</w:t>
            </w:r>
          </w:p>
        </w:tc>
        <w:tc>
          <w:tcPr>
            <w:tcW w:w="4233" w:type="pct"/>
            <w:gridSpan w:val="2"/>
            <w:noWrap w:val="0"/>
            <w:vAlign w:val="center"/>
          </w:tcPr>
          <w:p w14:paraId="4D79352E">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lang w:val="en-US" w:eastAsia="zh-CN"/>
              </w:rPr>
              <w:t>评分标准</w:t>
            </w:r>
            <w:r>
              <w:rPr>
                <w:rFonts w:hint="default" w:ascii="Times New Roman" w:hAnsi="Times New Roman" w:cs="Times New Roman" w:eastAsiaTheme="majorEastAsia"/>
                <w:color w:val="auto"/>
                <w:sz w:val="21"/>
                <w:szCs w:val="21"/>
                <w:highlight w:val="none"/>
              </w:rPr>
              <w:t>(总分100分)</w:t>
            </w:r>
          </w:p>
        </w:tc>
      </w:tr>
      <w:tr w14:paraId="7E90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766" w:type="pct"/>
            <w:noWrap w:val="0"/>
            <w:vAlign w:val="center"/>
          </w:tcPr>
          <w:p w14:paraId="376967D5">
            <w:pPr>
              <w:spacing w:line="360" w:lineRule="auto"/>
              <w:rPr>
                <w:rFonts w:hint="default" w:ascii="Times New Roman" w:hAnsi="Times New Roman" w:cs="Times New Roman" w:eastAsiaTheme="majorEastAsia"/>
                <w:color w:val="auto"/>
                <w:sz w:val="21"/>
                <w:szCs w:val="21"/>
                <w:highlight w:val="none"/>
              </w:rPr>
            </w:pPr>
          </w:p>
          <w:p w14:paraId="048FB21E">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投标报价</w:t>
            </w:r>
          </w:p>
          <w:p w14:paraId="7C74F0A1">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lang w:val="en-US" w:eastAsia="zh-CN"/>
              </w:rPr>
              <w:t>60</w:t>
            </w:r>
            <w:r>
              <w:rPr>
                <w:rFonts w:hint="default" w:ascii="Times New Roman" w:hAnsi="Times New Roman" w:cs="Times New Roman" w:eastAsiaTheme="majorEastAsia"/>
                <w:color w:val="auto"/>
                <w:sz w:val="21"/>
                <w:szCs w:val="21"/>
                <w:highlight w:val="none"/>
              </w:rPr>
              <w:t>分</w:t>
            </w:r>
          </w:p>
        </w:tc>
        <w:tc>
          <w:tcPr>
            <w:tcW w:w="4233" w:type="pct"/>
            <w:gridSpan w:val="2"/>
            <w:noWrap w:val="0"/>
            <w:vAlign w:val="center"/>
          </w:tcPr>
          <w:p w14:paraId="353D5714">
            <w:pPr>
              <w:spacing w:line="360" w:lineRule="auto"/>
              <w:jc w:val="left"/>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1）以有效投标文件的评标价算术平均值为A（有效投标文件≥7家时,去掉其中的一个最高价和一个最低价后取算术平均值为A；有效投标文件≥10家时,去掉其中的二个最高价和二个最低价后取算术平均值为A）；评标基准价=A×98%。</w:t>
            </w:r>
          </w:p>
          <w:p w14:paraId="56AE546B">
            <w:pPr>
              <w:spacing w:line="360" w:lineRule="auto"/>
              <w:jc w:val="left"/>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（2）评标价等于评标基准价的得满分；评标价相对评标基准价每偏离1%,正偏离扣减</w:t>
            </w:r>
            <w:r>
              <w:rPr>
                <w:rFonts w:hint="default" w:ascii="Times New Roman" w:hAnsi="Times New Roman" w:cs="Times New Roman" w:eastAsiaTheme="majorEastAsia"/>
                <w:color w:val="auto"/>
                <w:sz w:val="21"/>
                <w:szCs w:val="21"/>
                <w:highlight w:val="none"/>
                <w:lang w:val="en-US" w:eastAsia="zh-CN"/>
              </w:rPr>
              <w:t>0.5</w:t>
            </w:r>
            <w:r>
              <w:rPr>
                <w:rFonts w:hint="default" w:ascii="Times New Roman" w:hAnsi="Times New Roman" w:cs="Times New Roman" w:eastAsiaTheme="majorEastAsia"/>
                <w:color w:val="auto"/>
                <w:sz w:val="21"/>
                <w:szCs w:val="21"/>
                <w:highlight w:val="none"/>
              </w:rPr>
              <w:t>分,负偏离的扣</w:t>
            </w:r>
            <w:r>
              <w:rPr>
                <w:rFonts w:hint="default" w:ascii="Times New Roman" w:hAnsi="Times New Roman" w:cs="Times New Roman" w:eastAsiaTheme="majorEastAsia"/>
                <w:color w:val="auto"/>
                <w:sz w:val="21"/>
                <w:szCs w:val="21"/>
                <w:highlight w:val="none"/>
                <w:lang w:val="en-US" w:eastAsia="zh-CN"/>
              </w:rPr>
              <w:t>0.3</w:t>
            </w:r>
            <w:r>
              <w:rPr>
                <w:rFonts w:hint="default" w:ascii="Times New Roman" w:hAnsi="Times New Roman" w:cs="Times New Roman" w:eastAsiaTheme="majorEastAsia"/>
                <w:color w:val="auto"/>
                <w:sz w:val="21"/>
                <w:szCs w:val="21"/>
                <w:highlight w:val="none"/>
              </w:rPr>
              <w:t>分；偏离不足1%的,按照插入法计算得分；保留小数点后两位有效数字。</w:t>
            </w:r>
          </w:p>
        </w:tc>
      </w:tr>
      <w:tr w14:paraId="1747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766" w:type="pct"/>
            <w:vMerge w:val="restart"/>
            <w:noWrap w:val="0"/>
            <w:vAlign w:val="center"/>
          </w:tcPr>
          <w:p w14:paraId="0741F26E">
            <w:pPr>
              <w:spacing w:line="360" w:lineRule="auto"/>
              <w:rPr>
                <w:rFonts w:hint="default" w:ascii="Times New Roman" w:hAnsi="Times New Roman" w:cs="Times New Roman" w:eastAsiaTheme="majorEastAsia"/>
                <w:color w:val="auto"/>
                <w:sz w:val="21"/>
                <w:szCs w:val="21"/>
                <w:highlight w:val="none"/>
              </w:rPr>
            </w:pPr>
          </w:p>
          <w:p w14:paraId="0C84E841">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技术评议</w:t>
            </w:r>
          </w:p>
          <w:p w14:paraId="57BE6F62">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lang w:val="en-US" w:eastAsia="zh-CN"/>
              </w:rPr>
              <w:t>40</w:t>
            </w:r>
            <w:r>
              <w:rPr>
                <w:rFonts w:hint="default" w:ascii="Times New Roman" w:hAnsi="Times New Roman" w:cs="Times New Roman" w:eastAsiaTheme="majorEastAsia"/>
                <w:color w:val="auto"/>
                <w:sz w:val="21"/>
                <w:szCs w:val="21"/>
                <w:highlight w:val="none"/>
              </w:rPr>
              <w:t>分</w:t>
            </w:r>
          </w:p>
        </w:tc>
        <w:tc>
          <w:tcPr>
            <w:tcW w:w="776" w:type="pct"/>
            <w:noWrap w:val="0"/>
            <w:vAlign w:val="center"/>
          </w:tcPr>
          <w:p w14:paraId="1DFCB146">
            <w:pPr>
              <w:spacing w:line="360" w:lineRule="auto"/>
              <w:jc w:val="center"/>
              <w:rPr>
                <w:rFonts w:hint="default" w:ascii="Times New Roman" w:hAnsi="Times New Roman" w:cs="Times New Roman" w:eastAsiaTheme="majorEastAsia"/>
                <w:b w:val="0"/>
                <w:bCs w:val="0"/>
                <w:color w:val="auto"/>
                <w:sz w:val="21"/>
                <w:szCs w:val="21"/>
                <w:highlight w:val="none"/>
              </w:rPr>
            </w:pPr>
            <w:r>
              <w:rPr>
                <w:rFonts w:hint="default" w:ascii="Times New Roman" w:hAnsi="Times New Roman" w:cs="Times New Roman" w:eastAsiaTheme="majorEastAsia"/>
                <w:b w:val="0"/>
                <w:bCs w:val="0"/>
                <w:color w:val="auto"/>
                <w:sz w:val="21"/>
                <w:szCs w:val="21"/>
                <w:highlight w:val="none"/>
              </w:rPr>
              <w:t>规模和资信</w:t>
            </w:r>
          </w:p>
          <w:p w14:paraId="7AEEB451">
            <w:pPr>
              <w:pStyle w:val="29"/>
              <w:spacing w:line="360" w:lineRule="auto"/>
              <w:ind w:firstLine="420" w:firstLineChars="200"/>
              <w:rPr>
                <w:rFonts w:hint="default" w:ascii="Times New Roman" w:hAnsi="Times New Roman" w:cs="Times New Roman" w:eastAsiaTheme="majorEastAsia"/>
                <w:b w:val="0"/>
                <w:bCs w:val="0"/>
                <w:color w:val="auto"/>
                <w:kern w:val="2"/>
                <w:sz w:val="21"/>
                <w:szCs w:val="21"/>
                <w:highlight w:val="none"/>
                <w:lang w:val="en-US" w:eastAsia="zh-CN" w:bidi="ar-SA"/>
              </w:rPr>
            </w:pPr>
            <w:r>
              <w:rPr>
                <w:rFonts w:hint="default" w:ascii="Times New Roman" w:hAnsi="Times New Roman" w:cs="Times New Roman" w:eastAsiaTheme="majorEastAsia"/>
                <w:b w:val="0"/>
                <w:bCs w:val="0"/>
                <w:color w:val="auto"/>
                <w:sz w:val="21"/>
                <w:szCs w:val="21"/>
                <w:highlight w:val="none"/>
                <w:lang w:val="en-US" w:eastAsia="zh-CN"/>
              </w:rPr>
              <w:t>6</w:t>
            </w:r>
            <w:r>
              <w:rPr>
                <w:rFonts w:hint="default" w:ascii="Times New Roman" w:hAnsi="Times New Roman" w:cs="Times New Roman" w:eastAsiaTheme="majorEastAsia"/>
                <w:b w:val="0"/>
                <w:bCs w:val="0"/>
                <w:color w:val="auto"/>
                <w:sz w:val="21"/>
                <w:szCs w:val="21"/>
                <w:highlight w:val="none"/>
              </w:rPr>
              <w:t>分</w:t>
            </w:r>
          </w:p>
        </w:tc>
        <w:tc>
          <w:tcPr>
            <w:tcW w:w="3456" w:type="pct"/>
            <w:noWrap w:val="0"/>
            <w:vAlign w:val="center"/>
          </w:tcPr>
          <w:p w14:paraId="11F0C213">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根据投标人的企业规模、业务范围、财务状况、经营信誉、人员专项资质情况和是否具有优势等情况打分。</w:t>
            </w:r>
          </w:p>
          <w:p w14:paraId="54E70E9B">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优良6分；较好4分；一般2分。</w:t>
            </w:r>
          </w:p>
          <w:p w14:paraId="3D503788">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color w:val="auto"/>
                <w:sz w:val="21"/>
                <w:szCs w:val="21"/>
                <w:highlight w:val="none"/>
              </w:rPr>
              <w:t>（</w:t>
            </w:r>
            <w:r>
              <w:rPr>
                <w:rFonts w:hint="default" w:ascii="Times New Roman" w:hAnsi="Times New Roman" w:cs="Times New Roman" w:eastAsiaTheme="majorEastAsia"/>
                <w:b w:val="0"/>
                <w:bCs/>
                <w:color w:val="auto"/>
                <w:sz w:val="21"/>
                <w:szCs w:val="21"/>
                <w:highlight w:val="none"/>
                <w:lang w:val="en-US" w:eastAsia="zh-CN"/>
              </w:rPr>
              <w:t>须</w:t>
            </w:r>
            <w:r>
              <w:rPr>
                <w:rFonts w:hint="default" w:ascii="Times New Roman" w:hAnsi="Times New Roman" w:cs="Times New Roman" w:eastAsiaTheme="majorEastAsia"/>
                <w:b w:val="0"/>
                <w:bCs/>
                <w:color w:val="auto"/>
                <w:sz w:val="21"/>
                <w:szCs w:val="21"/>
                <w:highlight w:val="none"/>
              </w:rPr>
              <w:t>提供</w:t>
            </w:r>
            <w:r>
              <w:rPr>
                <w:rFonts w:hint="default" w:ascii="Times New Roman" w:hAnsi="Times New Roman" w:cs="Times New Roman" w:eastAsiaTheme="majorEastAsia"/>
                <w:b w:val="0"/>
                <w:bCs/>
                <w:color w:val="auto"/>
                <w:sz w:val="21"/>
                <w:szCs w:val="21"/>
                <w:highlight w:val="none"/>
                <w:lang w:val="en-US" w:eastAsia="zh-CN"/>
              </w:rPr>
              <w:t>相关</w:t>
            </w:r>
            <w:r>
              <w:rPr>
                <w:rFonts w:hint="default" w:ascii="Times New Roman" w:hAnsi="Times New Roman" w:cs="Times New Roman" w:eastAsiaTheme="majorEastAsia"/>
                <w:b w:val="0"/>
                <w:bCs/>
                <w:color w:val="auto"/>
                <w:sz w:val="21"/>
                <w:szCs w:val="21"/>
                <w:highlight w:val="none"/>
              </w:rPr>
              <w:t>证明文件</w:t>
            </w:r>
            <w:r>
              <w:rPr>
                <w:rFonts w:hint="default" w:ascii="Times New Roman" w:hAnsi="Times New Roman" w:cs="Times New Roman" w:eastAsiaTheme="majorEastAsia"/>
                <w:b w:val="0"/>
                <w:bCs/>
                <w:color w:val="auto"/>
                <w:sz w:val="21"/>
                <w:szCs w:val="21"/>
                <w:highlight w:val="none"/>
                <w:lang w:val="en-US" w:eastAsia="zh-CN"/>
              </w:rPr>
              <w:t>并加盖公章</w:t>
            </w:r>
            <w:r>
              <w:rPr>
                <w:rFonts w:hint="default" w:ascii="Times New Roman" w:hAnsi="Times New Roman" w:cs="Times New Roman" w:eastAsiaTheme="majorEastAsia"/>
                <w:b w:val="0"/>
                <w:bCs/>
                <w:color w:val="auto"/>
                <w:sz w:val="21"/>
                <w:szCs w:val="21"/>
                <w:highlight w:val="none"/>
              </w:rPr>
              <w:t>）</w:t>
            </w:r>
          </w:p>
        </w:tc>
      </w:tr>
      <w:tr w14:paraId="2169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766" w:type="pct"/>
            <w:vMerge w:val="continue"/>
            <w:noWrap w:val="0"/>
            <w:vAlign w:val="center"/>
          </w:tcPr>
          <w:p w14:paraId="0E2C7CDA">
            <w:pPr>
              <w:spacing w:line="360" w:lineRule="auto"/>
              <w:jc w:val="center"/>
              <w:rPr>
                <w:rFonts w:hint="default" w:ascii="Times New Roman" w:hAnsi="Times New Roman" w:cs="Times New Roman" w:eastAsiaTheme="majorEastAsia"/>
                <w:color w:val="auto"/>
                <w:sz w:val="21"/>
                <w:szCs w:val="21"/>
                <w:highlight w:val="none"/>
              </w:rPr>
            </w:pPr>
          </w:p>
        </w:tc>
        <w:tc>
          <w:tcPr>
            <w:tcW w:w="776" w:type="pct"/>
            <w:noWrap w:val="0"/>
            <w:vAlign w:val="center"/>
          </w:tcPr>
          <w:p w14:paraId="12700296">
            <w:pPr>
              <w:spacing w:line="360" w:lineRule="auto"/>
              <w:jc w:val="center"/>
              <w:rPr>
                <w:rFonts w:hint="default" w:ascii="Times New Roman" w:hAnsi="Times New Roman" w:cs="Times New Roman" w:eastAsiaTheme="majorEastAsia"/>
                <w:b w:val="0"/>
                <w:bCs w:val="0"/>
                <w:color w:val="auto"/>
                <w:sz w:val="21"/>
                <w:szCs w:val="21"/>
                <w:highlight w:val="none"/>
              </w:rPr>
            </w:pPr>
            <w:r>
              <w:rPr>
                <w:rFonts w:hint="default" w:ascii="Times New Roman" w:hAnsi="Times New Roman" w:cs="Times New Roman" w:eastAsiaTheme="majorEastAsia"/>
                <w:b w:val="0"/>
                <w:bCs w:val="0"/>
                <w:color w:val="auto"/>
                <w:sz w:val="21"/>
                <w:szCs w:val="21"/>
                <w:highlight w:val="none"/>
              </w:rPr>
              <w:t>业绩经验</w:t>
            </w:r>
          </w:p>
          <w:p w14:paraId="33EC7E61">
            <w:pPr>
              <w:spacing w:line="360" w:lineRule="auto"/>
              <w:jc w:val="center"/>
              <w:rPr>
                <w:rFonts w:hint="default" w:ascii="Times New Roman" w:hAnsi="Times New Roman" w:cs="Times New Roman" w:eastAsiaTheme="majorEastAsia"/>
                <w:b w:val="0"/>
                <w:bCs w:val="0"/>
                <w:color w:val="auto"/>
                <w:kern w:val="2"/>
                <w:sz w:val="21"/>
                <w:szCs w:val="21"/>
                <w:highlight w:val="none"/>
                <w:lang w:val="en-US" w:eastAsia="zh-CN" w:bidi="ar-SA"/>
              </w:rPr>
            </w:pPr>
            <w:r>
              <w:rPr>
                <w:rFonts w:hint="default" w:ascii="Times New Roman" w:hAnsi="Times New Roman" w:cs="Times New Roman" w:eastAsiaTheme="majorEastAsia"/>
                <w:b w:val="0"/>
                <w:bCs w:val="0"/>
                <w:color w:val="auto"/>
                <w:sz w:val="21"/>
                <w:szCs w:val="21"/>
                <w:highlight w:val="none"/>
              </w:rPr>
              <w:t>1</w:t>
            </w:r>
            <w:r>
              <w:rPr>
                <w:rFonts w:hint="default" w:ascii="Times New Roman" w:hAnsi="Times New Roman" w:cs="Times New Roman" w:eastAsiaTheme="majorEastAsia"/>
                <w:b w:val="0"/>
                <w:bCs w:val="0"/>
                <w:color w:val="auto"/>
                <w:sz w:val="21"/>
                <w:szCs w:val="21"/>
                <w:highlight w:val="none"/>
                <w:lang w:val="en-US" w:eastAsia="zh-CN"/>
              </w:rPr>
              <w:t>4</w:t>
            </w:r>
            <w:r>
              <w:rPr>
                <w:rFonts w:hint="default" w:ascii="Times New Roman" w:hAnsi="Times New Roman" w:cs="Times New Roman" w:eastAsiaTheme="majorEastAsia"/>
                <w:b w:val="0"/>
                <w:bCs w:val="0"/>
                <w:color w:val="auto"/>
                <w:sz w:val="21"/>
                <w:szCs w:val="21"/>
                <w:highlight w:val="none"/>
              </w:rPr>
              <w:t>分</w:t>
            </w:r>
          </w:p>
        </w:tc>
        <w:tc>
          <w:tcPr>
            <w:tcW w:w="3456" w:type="pct"/>
            <w:noWrap w:val="0"/>
            <w:vAlign w:val="center"/>
          </w:tcPr>
          <w:p w14:paraId="56D54D65">
            <w:pPr>
              <w:pStyle w:val="6"/>
              <w:spacing w:line="360" w:lineRule="auto"/>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1.合格投标人资格要求的白蚁专项防制项目业绩：2024年1月以来每提供1个白蚁专项防制合同得2分，最高得4分。</w:t>
            </w:r>
            <w:r>
              <w:rPr>
                <w:rFonts w:hint="default" w:ascii="Times New Roman" w:hAnsi="Times New Roman" w:eastAsia="宋体" w:cs="Times New Roman"/>
                <w:b w:val="0"/>
                <w:bCs w:val="0"/>
                <w:color w:val="auto"/>
                <w:kern w:val="2"/>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以合同签订生效之日为准</w:t>
            </w:r>
            <w:r>
              <w:rPr>
                <w:rFonts w:hint="default" w:ascii="Times New Roman" w:hAnsi="Times New Roman" w:eastAsia="宋体" w:cs="Times New Roman"/>
                <w:b w:val="0"/>
                <w:bCs w:val="0"/>
                <w:color w:val="auto"/>
                <w:kern w:val="2"/>
                <w:sz w:val="21"/>
                <w:szCs w:val="21"/>
                <w:highlight w:val="none"/>
                <w:lang w:val="en-US" w:eastAsia="zh-CN"/>
              </w:rPr>
              <w:t>）</w:t>
            </w:r>
          </w:p>
          <w:p w14:paraId="47E212D5">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2.除合格投标人资格要求的白蚁专项防制项目业绩外，另2024年1月以来承担过省会及以上城市</w:t>
            </w:r>
            <w:r>
              <w:rPr>
                <w:rFonts w:hint="default" w:ascii="Times New Roman" w:hAnsi="Times New Roman" w:eastAsia="宋体" w:cs="Times New Roman"/>
                <w:b w:val="0"/>
                <w:bCs w:val="0"/>
                <w:color w:val="auto"/>
                <w:kern w:val="2"/>
                <w:sz w:val="21"/>
                <w:szCs w:val="21"/>
                <w:highlight w:val="none"/>
                <w:lang w:val="en-US" w:eastAsia="zh-CN"/>
              </w:rPr>
              <w:t>大型机场单位建筑物白蚁专项防制合同，每提供1个白蚁专项防制合同得5分，最高得10分。（</w:t>
            </w:r>
            <w:r>
              <w:rPr>
                <w:rFonts w:hint="default" w:ascii="Times New Roman" w:hAnsi="Times New Roman" w:eastAsia="宋体" w:cs="Times New Roman"/>
                <w:color w:val="auto"/>
                <w:sz w:val="21"/>
                <w:szCs w:val="21"/>
                <w:highlight w:val="none"/>
                <w:lang w:eastAsia="zh-CN"/>
              </w:rPr>
              <w:t>以合同签订生效之日为准</w:t>
            </w:r>
            <w:r>
              <w:rPr>
                <w:rFonts w:hint="default" w:ascii="Times New Roman" w:hAnsi="Times New Roman" w:eastAsia="宋体" w:cs="Times New Roman"/>
                <w:b w:val="0"/>
                <w:bCs w:val="0"/>
                <w:color w:val="auto"/>
                <w:kern w:val="2"/>
                <w:sz w:val="21"/>
                <w:szCs w:val="21"/>
                <w:highlight w:val="none"/>
                <w:lang w:val="en-US" w:eastAsia="zh-CN"/>
              </w:rPr>
              <w:t>）</w:t>
            </w:r>
          </w:p>
          <w:p w14:paraId="549A2E17">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（以上须提供合同复印件并加盖公章，原件备查）</w:t>
            </w:r>
          </w:p>
        </w:tc>
      </w:tr>
      <w:tr w14:paraId="0EB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pct"/>
            <w:vMerge w:val="continue"/>
            <w:noWrap w:val="0"/>
            <w:vAlign w:val="center"/>
          </w:tcPr>
          <w:p w14:paraId="6C762367">
            <w:pPr>
              <w:spacing w:line="360" w:lineRule="auto"/>
              <w:jc w:val="center"/>
              <w:rPr>
                <w:rFonts w:hint="default" w:ascii="Times New Roman" w:hAnsi="Times New Roman" w:cs="Times New Roman" w:eastAsiaTheme="majorEastAsia"/>
                <w:color w:val="auto"/>
                <w:sz w:val="21"/>
                <w:szCs w:val="21"/>
                <w:highlight w:val="none"/>
              </w:rPr>
            </w:pPr>
          </w:p>
        </w:tc>
        <w:tc>
          <w:tcPr>
            <w:tcW w:w="776" w:type="pct"/>
            <w:noWrap w:val="0"/>
            <w:vAlign w:val="center"/>
          </w:tcPr>
          <w:p w14:paraId="64C98ADF">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实施方案</w:t>
            </w:r>
          </w:p>
          <w:p w14:paraId="13E5D5E2">
            <w:pPr>
              <w:spacing w:line="360" w:lineRule="auto"/>
              <w:jc w:val="center"/>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lang w:val="en-US" w:eastAsia="zh-CN"/>
              </w:rPr>
              <w:t>20</w:t>
            </w:r>
            <w:r>
              <w:rPr>
                <w:rFonts w:hint="default" w:ascii="Times New Roman" w:hAnsi="Times New Roman" w:cs="Times New Roman" w:eastAsiaTheme="majorEastAsia"/>
                <w:color w:val="auto"/>
                <w:sz w:val="21"/>
                <w:szCs w:val="21"/>
                <w:highlight w:val="none"/>
              </w:rPr>
              <w:t>分</w:t>
            </w:r>
          </w:p>
        </w:tc>
        <w:tc>
          <w:tcPr>
            <w:tcW w:w="3456" w:type="pct"/>
            <w:noWrap w:val="0"/>
            <w:vAlign w:val="center"/>
          </w:tcPr>
          <w:p w14:paraId="4958A639">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1.根据投标人所提供的人员配置、职业资格及管理经验进行打分。</w:t>
            </w:r>
          </w:p>
          <w:p w14:paraId="129A9A60">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优良5分；较好3分；一般1分。</w:t>
            </w:r>
          </w:p>
          <w:p w14:paraId="2527CC7E">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2.根据投标人所提供的防制技术方式、作业计划、台账文案进行打分。</w:t>
            </w:r>
          </w:p>
          <w:p w14:paraId="2879988D">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优良5分；较好3分；一般1分。</w:t>
            </w:r>
          </w:p>
          <w:p w14:paraId="5C3BB91E">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b w:val="0"/>
                <w:bCs w:val="0"/>
                <w:color w:val="auto"/>
                <w:kern w:val="2"/>
                <w:sz w:val="21"/>
                <w:szCs w:val="21"/>
                <w:highlight w:val="none"/>
                <w:lang w:val="en-US" w:eastAsia="zh-CN"/>
              </w:rPr>
              <w:t>3.根据投标人对本项目所提供的安全管理、应急预案等进行打分。</w:t>
            </w:r>
          </w:p>
          <w:p w14:paraId="623EBB98">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color w:val="auto"/>
                <w:sz w:val="21"/>
                <w:szCs w:val="21"/>
                <w:highlight w:val="none"/>
              </w:rPr>
              <w:t>优良5分；较好3分；一般1分</w:t>
            </w:r>
          </w:p>
          <w:p w14:paraId="3FDE1407">
            <w:pPr>
              <w:numPr>
                <w:ilvl w:val="0"/>
                <w:numId w:val="0"/>
              </w:numPr>
              <w:ind w:left="0" w:firstLine="0"/>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eastAsiaTheme="majorEastAsia"/>
                <w:color w:val="auto"/>
                <w:kern w:val="2"/>
                <w:sz w:val="21"/>
                <w:szCs w:val="21"/>
                <w:lang w:val="en-US" w:eastAsia="zh-CN" w:bidi="ar-SA"/>
              </w:rPr>
              <w:t>4.</w:t>
            </w:r>
            <w:r>
              <w:rPr>
                <w:rFonts w:hint="default" w:ascii="Times New Roman" w:hAnsi="Times New Roman" w:cs="Times New Roman" w:eastAsiaTheme="majorEastAsia"/>
                <w:color w:val="auto"/>
                <w:sz w:val="21"/>
                <w:szCs w:val="21"/>
                <w:highlight w:val="none"/>
              </w:rPr>
              <w:t>针对本</w:t>
            </w:r>
            <w:r>
              <w:rPr>
                <w:rFonts w:hint="default" w:ascii="Times New Roman" w:hAnsi="Times New Roman" w:cs="Times New Roman" w:eastAsiaTheme="majorEastAsia"/>
                <w:color w:val="auto"/>
                <w:sz w:val="21"/>
                <w:szCs w:val="21"/>
                <w:highlight w:val="none"/>
                <w:lang w:val="en-US" w:eastAsia="zh-CN"/>
              </w:rPr>
              <w:t>项目现有招标要求条件外，另能提供更好的增值服务</w:t>
            </w:r>
            <w:r>
              <w:rPr>
                <w:rFonts w:hint="default" w:ascii="Times New Roman" w:hAnsi="Times New Roman" w:cs="Times New Roman" w:eastAsiaTheme="majorEastAsia"/>
                <w:b w:val="0"/>
                <w:bCs w:val="0"/>
                <w:color w:val="auto"/>
                <w:kern w:val="2"/>
                <w:sz w:val="21"/>
                <w:szCs w:val="21"/>
                <w:highlight w:val="none"/>
                <w:lang w:val="en-US" w:eastAsia="zh-CN"/>
              </w:rPr>
              <w:t>进行打分</w:t>
            </w:r>
            <w:r>
              <w:rPr>
                <w:rFonts w:hint="default" w:ascii="Times New Roman" w:hAnsi="Times New Roman" w:cs="Times New Roman" w:eastAsiaTheme="majorEastAsia"/>
                <w:color w:val="auto"/>
                <w:sz w:val="21"/>
                <w:szCs w:val="21"/>
                <w:highlight w:val="none"/>
                <w:lang w:val="en-US" w:eastAsia="zh-CN"/>
              </w:rPr>
              <w:t>。</w:t>
            </w:r>
          </w:p>
          <w:p w14:paraId="0B4F28D5">
            <w:pPr>
              <w:pStyle w:val="6"/>
              <w:spacing w:line="360" w:lineRule="auto"/>
              <w:rPr>
                <w:rFonts w:hint="default" w:ascii="Times New Roman" w:hAnsi="Times New Roman" w:cs="Times New Roman" w:eastAsiaTheme="majorEastAsia"/>
                <w:b w:val="0"/>
                <w:bCs w:val="0"/>
                <w:color w:val="auto"/>
                <w:kern w:val="2"/>
                <w:sz w:val="21"/>
                <w:szCs w:val="21"/>
                <w:highlight w:val="none"/>
                <w:lang w:val="en-US" w:eastAsia="zh-CN"/>
              </w:rPr>
            </w:pPr>
            <w:r>
              <w:rPr>
                <w:rFonts w:hint="default" w:ascii="Times New Roman" w:hAnsi="Times New Roman" w:cs="Times New Roman" w:eastAsiaTheme="majorEastAsia"/>
                <w:color w:val="auto"/>
                <w:sz w:val="21"/>
                <w:szCs w:val="21"/>
                <w:highlight w:val="none"/>
              </w:rPr>
              <w:t>优良5分；较好3分；一般1分</w:t>
            </w:r>
          </w:p>
          <w:p w14:paraId="755B78C6">
            <w:pPr>
              <w:pStyle w:val="8"/>
              <w:numPr>
                <w:ilvl w:val="0"/>
                <w:numId w:val="0"/>
              </w:numPr>
              <w:rPr>
                <w:rFonts w:hint="default" w:ascii="Times New Roman" w:hAnsi="Times New Roman" w:cs="Times New Roman"/>
                <w:color w:val="auto"/>
                <w:highlight w:val="none"/>
                <w:lang w:val="en-US" w:eastAsia="zh-CN"/>
              </w:rPr>
            </w:pPr>
          </w:p>
        </w:tc>
      </w:tr>
    </w:tbl>
    <w:p w14:paraId="19217567">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投标文件有下述情形之一的，视为未能对招标文件作出实质性响应，作为无效投标文件处理：</w:t>
      </w:r>
    </w:p>
    <w:p w14:paraId="70CBA2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（1）不满足合格投标人资格要求的。</w:t>
      </w:r>
    </w:p>
    <w:p w14:paraId="6921680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（2）投标文件中的报价函未加盖投标人的公章的。</w:t>
      </w:r>
    </w:p>
    <w:p w14:paraId="53CA93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（3）未按招标文件规定的格式填写，内容不全或关键内容字迹模糊、无法辨认的。</w:t>
      </w:r>
    </w:p>
    <w:p w14:paraId="739108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（4）投标人递交多份内容不同的投标文件，或对同一项目报有两个或多个报价的。</w:t>
      </w:r>
    </w:p>
    <w:p w14:paraId="6EA252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（5）改变招标文件提供的设备/物资清单中的计量单位、数量的。</w:t>
      </w:r>
    </w:p>
    <w:p w14:paraId="3D0F15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（6）投标文件中提供虚假材料的（将被列入不诚信单位名单）</w:t>
      </w:r>
    </w:p>
    <w:p w14:paraId="6CE638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w:t>
      </w:r>
      <w:r>
        <w:rPr>
          <w:rFonts w:hint="default" w:ascii="Times New Roman" w:hAnsi="Times New Roman" w:eastAsia="宋体" w:cs="Times New Roman"/>
          <w:color w:val="auto"/>
          <w:szCs w:val="21"/>
          <w:highlight w:val="none"/>
          <w:lang w:val="en-US" w:eastAsia="zh-CN"/>
        </w:rPr>
        <w:t>投标文件中提供的技术或服务条款不能实质性满足招标文件要求或不能提供实质性满足证明的</w:t>
      </w:r>
      <w:r>
        <w:rPr>
          <w:rFonts w:ascii="Times New Roman" w:hAnsi="Times New Roman" w:eastAsia="宋体" w:cs="Times New Roman"/>
          <w:color w:val="auto"/>
          <w:szCs w:val="21"/>
          <w:highlight w:val="none"/>
        </w:rPr>
        <w:t>。</w:t>
      </w:r>
    </w:p>
    <w:p w14:paraId="6EA262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（8）未完全响应招标文件规定的其他实质性要求的。</w:t>
      </w:r>
    </w:p>
    <w:p w14:paraId="548BA6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（9）不同投标人的投标文件出现了评审委员会认为不应当雷同的情况。</w:t>
      </w:r>
    </w:p>
    <w:p w14:paraId="610CD3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（10）经评审委员会认定投标人的报价低于成本价的。</w:t>
      </w:r>
    </w:p>
    <w:p w14:paraId="0A050B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（11）超过项目招标限价的（如有）。</w:t>
      </w:r>
    </w:p>
    <w:p w14:paraId="362764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（12）投标人为招标人内部员工参股、投资的有控制权的单位。</w:t>
      </w:r>
    </w:p>
    <w:p w14:paraId="6A017A4D">
      <w:pPr>
        <w:pStyle w:val="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13</w:t>
      </w:r>
      <w:r>
        <w:rPr>
          <w:rFonts w:hint="default" w:ascii="Times New Roman" w:hAnsi="Times New Roman" w:cs="Times New Roman"/>
          <w:color w:val="auto"/>
          <w:szCs w:val="21"/>
          <w:highlight w:val="none"/>
          <w:lang w:eastAsia="zh-CN"/>
        </w:rPr>
        <w:t>）投标人电子投标</w:t>
      </w:r>
      <w:r>
        <w:rPr>
          <w:rFonts w:hint="default" w:ascii="Times New Roman" w:hAnsi="Times New Roman" w:cs="Times New Roman" w:eastAsiaTheme="minorEastAsia"/>
          <w:color w:val="auto"/>
          <w:sz w:val="21"/>
          <w:szCs w:val="21"/>
          <w:highlight w:val="none"/>
          <w:lang w:val="en-US" w:eastAsia="zh-CN"/>
        </w:rPr>
        <w:t>MAC或IP</w:t>
      </w:r>
      <w:r>
        <w:rPr>
          <w:rFonts w:hint="default" w:ascii="Times New Roman" w:hAnsi="Times New Roman" w:cs="Times New Roman"/>
          <w:color w:val="auto"/>
          <w:szCs w:val="21"/>
          <w:highlight w:val="none"/>
          <w:lang w:eastAsia="zh-CN"/>
        </w:rPr>
        <w:t>地址相同的。</w:t>
      </w:r>
    </w:p>
    <w:p w14:paraId="486CB200">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五、中标及合同授予</w:t>
      </w:r>
    </w:p>
    <w:p w14:paraId="371253A8">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1．</w:t>
      </w:r>
      <w:r>
        <w:rPr>
          <w:rFonts w:hint="default" w:ascii="Times New Roman" w:hAnsi="Times New Roman" w:eastAsia="宋体" w:cs="Times New Roman"/>
          <w:color w:val="auto"/>
          <w:szCs w:val="21"/>
          <w:highlight w:val="none"/>
        </w:rPr>
        <w:t>确定中标人后，招标人以书面方式通知中标人，并签订具体的采购合同，未接到中标通知的单位视为不中标，招标人没有义务解释不中标原因。</w:t>
      </w:r>
    </w:p>
    <w:p w14:paraId="7E55A5C8">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2．</w:t>
      </w:r>
      <w:r>
        <w:rPr>
          <w:rFonts w:hint="default" w:ascii="Times New Roman" w:hAnsi="Times New Roman" w:eastAsia="宋体" w:cs="Times New Roman"/>
          <w:color w:val="auto"/>
          <w:szCs w:val="21"/>
          <w:highlight w:val="none"/>
        </w:rPr>
        <w:t>中标单位如在项目实施时</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 xml:space="preserve">违反了国家法律法规或严重违反招标方公司相关规定，以及产品、服务质量差，不符合招标方要求，招标人可终止合同，取消该单位中标人资格，并没收全部履约保证金（如有）。招标方可通知第二候选单位中标。 </w:t>
      </w:r>
    </w:p>
    <w:p w14:paraId="12789F8F">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3．</w:t>
      </w:r>
      <w:r>
        <w:rPr>
          <w:rFonts w:hint="default" w:ascii="Times New Roman" w:hAnsi="Times New Roman" w:eastAsia="宋体" w:cs="Times New Roman"/>
          <w:color w:val="auto"/>
          <w:szCs w:val="21"/>
          <w:highlight w:val="none"/>
        </w:rPr>
        <w:t>招标人一旦发现投标人的投标文件中资质证明等材料文件造假，有权取消该投标人的中标资格并没收投标保证金及合同履约保证金（如有），且该投标人将被列入不诚信单位名单。</w:t>
      </w:r>
    </w:p>
    <w:p w14:paraId="6C7E90D7">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4．</w:t>
      </w:r>
      <w:r>
        <w:rPr>
          <w:rFonts w:hint="default" w:ascii="Times New Roman" w:hAnsi="Times New Roman" w:eastAsia="宋体" w:cs="Times New Roman"/>
          <w:color w:val="auto"/>
          <w:szCs w:val="21"/>
          <w:highlight w:val="none"/>
        </w:rPr>
        <w:t>非招标人原因中标人拒签合同或中标人严重违约的，该中标人将被列入不诚信单位名单。</w:t>
      </w:r>
    </w:p>
    <w:p w14:paraId="6420E967">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5．</w:t>
      </w:r>
      <w:r>
        <w:rPr>
          <w:rFonts w:hint="default" w:ascii="Times New Roman" w:hAnsi="Times New Roman" w:eastAsia="宋体" w:cs="Times New Roman"/>
          <w:color w:val="auto"/>
          <w:szCs w:val="21"/>
          <w:highlight w:val="none"/>
        </w:rPr>
        <w:t>被列入不诚信单位名单的单位，招标人有权拒绝该单位之后</w:t>
      </w:r>
      <w:r>
        <w:rPr>
          <w:rFonts w:hint="default" w:ascii="Times New Roman" w:hAnsi="Times New Roman" w:eastAsia="宋体" w:cs="Times New Roman"/>
          <w:color w:val="auto"/>
          <w:szCs w:val="21"/>
          <w:highlight w:val="none"/>
          <w:lang w:eastAsia="zh-CN"/>
        </w:rPr>
        <w:t>其他项目的</w:t>
      </w:r>
      <w:r>
        <w:rPr>
          <w:rFonts w:hint="default" w:ascii="Times New Roman" w:hAnsi="Times New Roman" w:eastAsia="宋体" w:cs="Times New Roman"/>
          <w:color w:val="auto"/>
          <w:szCs w:val="21"/>
          <w:highlight w:val="none"/>
        </w:rPr>
        <w:t>投标。</w:t>
      </w:r>
    </w:p>
    <w:p w14:paraId="67D4EC8D">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6．</w:t>
      </w:r>
      <w:r>
        <w:rPr>
          <w:rFonts w:hint="default" w:ascii="Times New Roman" w:hAnsi="Times New Roman" w:eastAsia="宋体" w:cs="Times New Roman"/>
          <w:color w:val="auto"/>
          <w:szCs w:val="21"/>
          <w:highlight w:val="none"/>
        </w:rPr>
        <w:t>中标单位如在项目实施时，隐瞒其为内部员工参股、投资</w:t>
      </w:r>
      <w:r>
        <w:rPr>
          <w:rFonts w:hint="default" w:ascii="Times New Roman" w:hAnsi="Times New Roman" w:eastAsia="宋体" w:cs="Times New Roman"/>
          <w:color w:val="auto"/>
          <w:szCs w:val="21"/>
          <w:highlight w:val="none"/>
          <w:lang w:val="en-US" w:eastAsia="zh-CN"/>
        </w:rPr>
        <w:t>的有控制权的</w:t>
      </w:r>
      <w:r>
        <w:rPr>
          <w:rFonts w:hint="default" w:ascii="Times New Roman" w:hAnsi="Times New Roman" w:eastAsia="宋体" w:cs="Times New Roman"/>
          <w:color w:val="auto"/>
          <w:szCs w:val="21"/>
          <w:highlight w:val="none"/>
        </w:rPr>
        <w:t>企业的事实，招标人可终止合同，取消该单位中标人资格，并赔偿招标人由此造成的损失。</w:t>
      </w:r>
    </w:p>
    <w:p w14:paraId="18D1DCE7">
      <w:pPr>
        <w:keepNext w:val="0"/>
        <w:keepLines w:val="0"/>
        <w:pageBreakBefore w:val="0"/>
        <w:widowControl w:val="0"/>
        <w:numPr>
          <w:ilvl w:val="0"/>
          <w:numId w:val="0"/>
        </w:numPr>
        <w:kinsoku/>
        <w:wordWrap/>
        <w:overflowPunct/>
        <w:topLinePunct w:val="0"/>
        <w:autoSpaceDE/>
        <w:autoSpaceDN/>
        <w:bidi w:val="0"/>
        <w:adjustRightInd/>
        <w:spacing w:line="360" w:lineRule="auto"/>
        <w:ind w:firstLine="400"/>
        <w:textAlignment w:val="auto"/>
        <w:rPr>
          <w:rFonts w:ascii="Times New Roman" w:hAnsi="Times New Roman" w:eastAsia="宋体" w:cs="Times New Roman"/>
          <w:color w:val="auto"/>
          <w:szCs w:val="21"/>
          <w:highlight w:val="none"/>
        </w:rPr>
      </w:pPr>
      <w:r>
        <w:rPr>
          <w:rFonts w:hint="default" w:ascii="Times New Roman Regular" w:hAnsi="Times New Roman Regular" w:eastAsia="宋体" w:cs="Times New Roman Regular"/>
          <w:color w:val="auto"/>
          <w:kern w:val="2"/>
          <w:sz w:val="21"/>
          <w:szCs w:val="21"/>
          <w:lang w:val="en-US" w:eastAsia="zh-CN" w:bidi="ar-SA"/>
        </w:rPr>
        <w:t>7．</w:t>
      </w:r>
      <w:r>
        <w:rPr>
          <w:rFonts w:hint="default" w:ascii="Times New Roman" w:hAnsi="Times New Roman" w:eastAsia="宋体" w:cs="Times New Roman"/>
          <w:color w:val="auto"/>
          <w:szCs w:val="21"/>
          <w:highlight w:val="none"/>
        </w:rPr>
        <w:t>中标单位与该项目其他投标单位：负责人为同一人的，或存在控股、管理关系的，一经查实，招标人将取消中标单位的中标资格，将该中标单位及关联投标单位列入不诚信单位名单，同时有权拒绝上述单位</w:t>
      </w:r>
      <w:r>
        <w:rPr>
          <w:rFonts w:hint="default" w:ascii="Times New Roman" w:hAnsi="Times New Roman" w:eastAsia="宋体" w:cs="Times New Roman"/>
          <w:color w:val="auto"/>
          <w:szCs w:val="21"/>
          <w:highlight w:val="none"/>
          <w:lang w:eastAsia="zh-CN"/>
        </w:rPr>
        <w:t>其他</w:t>
      </w:r>
      <w:r>
        <w:rPr>
          <w:rFonts w:hint="default" w:ascii="Times New Roman" w:hAnsi="Times New Roman" w:eastAsia="宋体" w:cs="Times New Roman"/>
          <w:color w:val="auto"/>
          <w:szCs w:val="21"/>
          <w:highlight w:val="none"/>
        </w:rPr>
        <w:t>之后项目的投标</w:t>
      </w:r>
      <w:r>
        <w:rPr>
          <w:rFonts w:hint="default" w:ascii="Times New Roman" w:hAnsi="Times New Roman" w:eastAsia="宋体" w:cs="Times New Roman"/>
          <w:color w:val="auto"/>
          <w:szCs w:val="21"/>
          <w:highlight w:val="none"/>
          <w:lang w:eastAsia="zh-CN"/>
        </w:rPr>
        <w:t>。</w:t>
      </w:r>
    </w:p>
    <w:p w14:paraId="01B62B73">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六、合同条款格式</w:t>
      </w:r>
    </w:p>
    <w:p w14:paraId="2D78F5F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详见附件二</w:t>
      </w:r>
    </w:p>
    <w:p w14:paraId="302F91E0">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七、现场勘测</w:t>
      </w:r>
    </w:p>
    <w:p w14:paraId="3B7BA3EA">
      <w:pPr>
        <w:keepNext w:val="0"/>
        <w:keepLines w:val="0"/>
        <w:pageBreakBefore w:val="0"/>
        <w:widowControl w:val="0"/>
        <w:numPr>
          <w:ilvl w:val="0"/>
          <w:numId w:val="2"/>
        </w:numPr>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现场勘测时间：投标人如需现场勘测，须在投标截止日前联系</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预约勘测时间。联系时间：工作日9:00-11:00，14:00-1</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:00。</w:t>
      </w:r>
    </w:p>
    <w:p w14:paraId="43BCBEE5">
      <w:pPr>
        <w:keepNext w:val="0"/>
        <w:keepLines w:val="0"/>
        <w:pageBreakBefore w:val="0"/>
        <w:widowControl w:val="0"/>
        <w:numPr>
          <w:ilvl w:val="0"/>
          <w:numId w:val="2"/>
        </w:numPr>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如投标人未按时现场勘测，则视为已充分了解项目需求。</w:t>
      </w:r>
    </w:p>
    <w:p w14:paraId="54AAA04D">
      <w:pPr>
        <w:keepNext w:val="0"/>
        <w:keepLines w:val="0"/>
        <w:pageBreakBefore w:val="0"/>
        <w:widowControl w:val="0"/>
        <w:numPr>
          <w:ilvl w:val="0"/>
          <w:numId w:val="2"/>
        </w:numPr>
        <w:kinsoku/>
        <w:wordWrap/>
        <w:overflowPunct/>
        <w:topLinePunct w:val="0"/>
        <w:autoSpaceDE/>
        <w:autoSpaceDN/>
        <w:bidi w:val="0"/>
        <w:adjustRightInd/>
        <w:spacing w:line="360" w:lineRule="auto"/>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color w:val="auto"/>
          <w:szCs w:val="21"/>
          <w:highlight w:val="none"/>
        </w:rPr>
        <w:t>现场勘测联系人：</w:t>
      </w:r>
      <w:r>
        <w:rPr>
          <w:rFonts w:hint="default" w:ascii="Times New Roman" w:hAnsi="Times New Roman" w:eastAsia="宋体" w:cs="Times New Roman"/>
          <w:color w:val="auto"/>
          <w:szCs w:val="21"/>
          <w:highlight w:val="none"/>
          <w:lang w:val="en-US" w:eastAsia="zh-CN"/>
        </w:rPr>
        <w:t>陶工</w:t>
      </w:r>
      <w:r>
        <w:rPr>
          <w:rFonts w:hint="default" w:ascii="Times New Roman" w:hAnsi="Times New Roman" w:eastAsia="宋体" w:cs="Times New Roman"/>
          <w:color w:val="auto"/>
          <w:szCs w:val="21"/>
          <w:highlight w:val="none"/>
        </w:rPr>
        <w:t>；联系电话：</w:t>
      </w:r>
      <w:r>
        <w:rPr>
          <w:rFonts w:hint="default" w:ascii="Times New Roman" w:hAnsi="Times New Roman" w:eastAsia="宋体" w:cs="Times New Roman"/>
          <w:color w:val="auto"/>
          <w:szCs w:val="21"/>
          <w:highlight w:val="none"/>
          <w:lang w:val="en-US" w:eastAsia="zh-CN"/>
        </w:rPr>
        <w:t>025-69821270</w:t>
      </w:r>
      <w:r>
        <w:rPr>
          <w:rFonts w:hint="default" w:ascii="Times New Roman" w:hAnsi="Times New Roman" w:eastAsia="宋体" w:cs="Times New Roman"/>
          <w:color w:val="auto"/>
          <w:szCs w:val="21"/>
          <w:highlight w:val="none"/>
        </w:rPr>
        <w:t>。</w:t>
      </w:r>
    </w:p>
    <w:p w14:paraId="6661D918">
      <w:pPr>
        <w:numPr>
          <w:ilvl w:val="0"/>
          <w:numId w:val="0"/>
        </w:num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八</w:t>
      </w:r>
      <w:r>
        <w:rPr>
          <w:rFonts w:hint="default" w:ascii="Times New Roman" w:hAnsi="Times New Roman" w:eastAsia="宋体" w:cs="Times New Roman"/>
          <w:b/>
          <w:color w:val="auto"/>
          <w:szCs w:val="21"/>
          <w:highlight w:val="none"/>
        </w:rPr>
        <w:t>、招标文件的获取</w:t>
      </w:r>
    </w:p>
    <w:p w14:paraId="00FBA32E">
      <w:pPr>
        <w:numPr>
          <w:ilvl w:val="0"/>
          <w:numId w:val="0"/>
        </w:numPr>
        <w:spacing w:line="360" w:lineRule="auto"/>
        <w:ind w:firstLine="4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kern w:val="2"/>
          <w:sz w:val="21"/>
          <w:szCs w:val="21"/>
          <w:highlight w:val="none"/>
          <w:lang w:val="en-US" w:eastAsia="zh-CN" w:bidi="ar-SA"/>
        </w:rPr>
        <w:t>1.</w:t>
      </w:r>
      <w:r>
        <w:rPr>
          <w:rFonts w:hint="default" w:ascii="Times New Roman" w:hAnsi="Times New Roman" w:eastAsia="宋体" w:cs="Times New Roman"/>
          <w:color w:val="auto"/>
          <w:szCs w:val="21"/>
          <w:highlight w:val="none"/>
        </w:rPr>
        <w:t>招标文件获取时间:公告发布之时起至</w:t>
      </w:r>
      <w:r>
        <w:rPr>
          <w:rFonts w:hint="default" w:ascii="Times New Roman" w:hAnsi="Times New Roman" w:eastAsia="宋体" w:cs="Times New Roman"/>
          <w:color w:val="auto"/>
          <w:szCs w:val="21"/>
          <w:highlight w:val="none"/>
          <w:lang w:val="en-US" w:eastAsia="zh-CN"/>
        </w:rPr>
        <w:t>递交投标文件截止时</w:t>
      </w:r>
      <w:r>
        <w:rPr>
          <w:rFonts w:hint="default" w:ascii="Times New Roman" w:hAnsi="Times New Roman" w:eastAsia="宋体" w:cs="Times New Roman"/>
          <w:color w:val="auto"/>
          <w:szCs w:val="21"/>
          <w:highlight w:val="none"/>
          <w:lang w:eastAsia="zh-CN"/>
        </w:rPr>
        <w:t>。</w:t>
      </w:r>
    </w:p>
    <w:p w14:paraId="68371204">
      <w:pPr>
        <w:numPr>
          <w:ilvl w:val="0"/>
          <w:numId w:val="0"/>
        </w:numPr>
        <w:spacing w:line="360" w:lineRule="auto"/>
        <w:ind w:firstLine="4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b w:val="0"/>
          <w:color w:val="auto"/>
          <w:sz w:val="21"/>
          <w:szCs w:val="21"/>
          <w:highlight w:val="none"/>
        </w:rPr>
        <w:t>网上发售电子版招标文件，不提供纸质文件</w:t>
      </w:r>
      <w:r>
        <w:rPr>
          <w:rFonts w:hint="default" w:ascii="Times New Roman" w:hAnsi="Times New Roman" w:cs="Times New Roman"/>
          <w:b w:val="0"/>
          <w:color w:val="auto"/>
          <w:sz w:val="21"/>
          <w:szCs w:val="21"/>
          <w:highlight w:val="none"/>
          <w:lang w:eastAsia="zh-CN"/>
        </w:rPr>
        <w:t>，</w:t>
      </w:r>
      <w:r>
        <w:rPr>
          <w:rFonts w:hint="default" w:ascii="Times New Roman" w:hAnsi="Times New Roman" w:eastAsia="宋体" w:cs="Times New Roman"/>
          <w:b w:val="0"/>
          <w:color w:val="auto"/>
          <w:sz w:val="21"/>
          <w:szCs w:val="21"/>
          <w:highlight w:val="none"/>
        </w:rPr>
        <w:t>招标服务费</w:t>
      </w:r>
      <w:r>
        <w:rPr>
          <w:rFonts w:hint="default" w:ascii="Times New Roman" w:hAnsi="Times New Roman" w:cs="Times New Roman"/>
          <w:b w:val="0"/>
          <w:color w:val="auto"/>
          <w:sz w:val="21"/>
          <w:szCs w:val="21"/>
          <w:highlight w:val="none"/>
          <w:lang w:val="en-US" w:eastAsia="zh-CN"/>
        </w:rPr>
        <w:t>0</w:t>
      </w:r>
      <w:r>
        <w:rPr>
          <w:rFonts w:hint="default" w:ascii="Times New Roman" w:hAnsi="Times New Roman" w:eastAsia="宋体" w:cs="Times New Roman"/>
          <w:b w:val="0"/>
          <w:color w:val="auto"/>
          <w:sz w:val="21"/>
          <w:szCs w:val="21"/>
          <w:highlight w:val="none"/>
        </w:rPr>
        <w:t>元</w:t>
      </w:r>
      <w:r>
        <w:rPr>
          <w:rFonts w:hint="default" w:ascii="Times New Roman" w:hAnsi="Times New Roman" w:eastAsia="宋体" w:cs="Times New Roman"/>
          <w:color w:val="auto"/>
          <w:szCs w:val="21"/>
          <w:highlight w:val="none"/>
        </w:rPr>
        <w:t>。</w:t>
      </w:r>
    </w:p>
    <w:p w14:paraId="6D14B51A">
      <w:pPr>
        <w:numPr>
          <w:ilvl w:val="0"/>
          <w:numId w:val="0"/>
        </w:numPr>
        <w:spacing w:line="360" w:lineRule="auto"/>
        <w:ind w:firstLine="4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szCs w:val="21"/>
          <w:highlight w:val="none"/>
        </w:rPr>
        <w:t>投标人登录东部机场集团电子采购平台(https://bid.easternairports.com:1443/)报名获取招标文件。</w:t>
      </w:r>
    </w:p>
    <w:p w14:paraId="3966A26C">
      <w:pPr>
        <w:numPr>
          <w:ilvl w:val="0"/>
          <w:numId w:val="0"/>
        </w:num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九</w:t>
      </w:r>
      <w:r>
        <w:rPr>
          <w:rFonts w:hint="default" w:ascii="Times New Roman" w:hAnsi="Times New Roman" w:eastAsia="宋体" w:cs="Times New Roman"/>
          <w:b/>
          <w:color w:val="auto"/>
          <w:szCs w:val="21"/>
          <w:highlight w:val="none"/>
        </w:rPr>
        <w:t>、投标文件的递交</w:t>
      </w:r>
    </w:p>
    <w:p w14:paraId="50865DAB">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bidi="ar-SA"/>
        </w:rPr>
        <w:t>1.</w:t>
      </w:r>
      <w:r>
        <w:rPr>
          <w:rFonts w:hint="default" w:ascii="Times New Roman" w:hAnsi="Times New Roman" w:eastAsia="宋体" w:cs="Times New Roman"/>
          <w:color w:val="auto"/>
          <w:sz w:val="21"/>
          <w:szCs w:val="21"/>
          <w:highlight w:val="none"/>
        </w:rPr>
        <w:t>投标文件组成：详见附件</w:t>
      </w:r>
      <w:r>
        <w:rPr>
          <w:rFonts w:hint="default" w:ascii="Times New Roman" w:hAnsi="Times New Roman" w:eastAsia="宋体" w:cs="Times New Roman"/>
          <w:color w:val="auto"/>
          <w:sz w:val="21"/>
          <w:szCs w:val="21"/>
          <w:highlight w:val="none"/>
          <w:lang w:val="en-US" w:eastAsia="zh-CN"/>
        </w:rPr>
        <w:t>三</w:t>
      </w:r>
    </w:p>
    <w:p w14:paraId="548C2E69">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sz w:val="21"/>
          <w:szCs w:val="21"/>
          <w:highlight w:val="none"/>
        </w:rPr>
        <w:t>投标文件一式三份（正本一份、副本二份），并明确标明“正本”和“副本”，正、副本如有不同之处，以正本为准。密封后加盖公章，否则无效。</w:t>
      </w:r>
    </w:p>
    <w:p w14:paraId="20E48DAE">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sz w:val="21"/>
          <w:szCs w:val="21"/>
          <w:highlight w:val="none"/>
        </w:rPr>
        <w:t>投标人在收到招标文件后，若需答疑，应以书面形式在投标文件的截止时间3天前向招标人提出。</w:t>
      </w:r>
    </w:p>
    <w:p w14:paraId="6F81183A">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sz w:val="21"/>
          <w:szCs w:val="21"/>
          <w:highlight w:val="none"/>
        </w:rPr>
        <w:t>递交投标文件的截止时间为202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29</w:t>
      </w:r>
      <w:r>
        <w:rPr>
          <w:rFonts w:hint="default" w:ascii="Times New Roman" w:hAnsi="Times New Roman" w:eastAsia="宋体" w:cs="Times New Roman"/>
          <w:color w:val="auto"/>
          <w:sz w:val="21"/>
          <w:szCs w:val="21"/>
          <w:highlight w:val="none"/>
        </w:rPr>
        <w:t>日11时整，超过截止时间的投标文件可能被拒绝。</w:t>
      </w:r>
    </w:p>
    <w:p w14:paraId="560C865F">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5.本项目为重新招标项目，至投标文件递交截止时间，投标人若不足3个，则变更采购方式为竞争性谈判/磋商或单一来源采购。</w:t>
      </w:r>
    </w:p>
    <w:p w14:paraId="50C85549">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6.已提交投标文件的投标人未另行递交新文件的，以原有投标文件为准；投标人亦可重新提交密封最终报价，或撤回原文件后重新提交投标文件。</w:t>
      </w:r>
    </w:p>
    <w:p w14:paraId="0902BF7C">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7</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纸质投标文件须在封面注明所投项目名称，密封后由投标人快递（顺丰或EMS）寄至：南京禄口国际机场综合业务楼23</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室。（不接受投标人现场投递）</w:t>
      </w:r>
    </w:p>
    <w:p w14:paraId="74CAED00">
      <w:pPr>
        <w:keepNext w:val="0"/>
        <w:keepLines w:val="0"/>
        <w:pageBreakBefore w:val="0"/>
        <w:widowControl w:val="0"/>
        <w:numPr>
          <w:ilvl w:val="0"/>
          <w:numId w:val="0"/>
        </w:numPr>
        <w:kinsoku/>
        <w:overflowPunct/>
        <w:topLinePunct w:val="0"/>
        <w:autoSpaceDE/>
        <w:autoSpaceDN/>
        <w:bidi w:val="0"/>
        <w:adjustRightInd w:val="0"/>
        <w:snapToGrid w:val="0"/>
        <w:spacing w:line="360" w:lineRule="auto"/>
        <w:ind w:firstLine="40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8</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联系人：</w:t>
      </w:r>
      <w:r>
        <w:rPr>
          <w:rFonts w:hint="default" w:ascii="Times New Roman" w:hAnsi="Times New Roman" w:eastAsia="宋体" w:cs="Times New Roman"/>
          <w:color w:val="auto"/>
          <w:sz w:val="21"/>
          <w:szCs w:val="21"/>
          <w:highlight w:val="none"/>
          <w:lang w:val="en-US" w:eastAsia="zh-CN"/>
        </w:rPr>
        <w:t>周</w:t>
      </w:r>
      <w:r>
        <w:rPr>
          <w:rFonts w:hint="default" w:ascii="Times New Roman" w:hAnsi="Times New Roman" w:eastAsia="宋体" w:cs="Times New Roman"/>
          <w:color w:val="auto"/>
          <w:sz w:val="21"/>
          <w:szCs w:val="21"/>
          <w:highlight w:val="none"/>
        </w:rPr>
        <w:t>工，联系电话：025-6982</w:t>
      </w:r>
      <w:r>
        <w:rPr>
          <w:rFonts w:hint="default" w:ascii="Times New Roman" w:hAnsi="Times New Roman" w:eastAsia="宋体" w:cs="Times New Roman"/>
          <w:color w:val="auto"/>
          <w:sz w:val="21"/>
          <w:szCs w:val="21"/>
          <w:highlight w:val="none"/>
          <w:lang w:val="en-US" w:eastAsia="zh-CN"/>
        </w:rPr>
        <w:t>1281</w:t>
      </w:r>
      <w:r>
        <w:rPr>
          <w:rFonts w:hint="default" w:ascii="Times New Roman" w:hAnsi="Times New Roman" w:eastAsia="宋体" w:cs="Times New Roman"/>
          <w:color w:val="auto"/>
          <w:sz w:val="21"/>
          <w:szCs w:val="21"/>
          <w:highlight w:val="none"/>
        </w:rPr>
        <w:t>。</w:t>
      </w:r>
    </w:p>
    <w:p w14:paraId="27E1516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color w:val="auto"/>
          <w:sz w:val="21"/>
          <w:szCs w:val="21"/>
          <w:highlight w:val="none"/>
        </w:rPr>
      </w:pPr>
    </w:p>
    <w:p w14:paraId="7280C86A">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南京禄口国际机场公共区管理部</w:t>
      </w:r>
    </w:p>
    <w:p w14:paraId="40AADDB3">
      <w:pPr>
        <w:spacing w:line="360" w:lineRule="auto"/>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 xml:space="preserve"> 6</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rPr>
        <w:t>日</w:t>
      </w:r>
    </w:p>
    <w:p w14:paraId="4CF36D6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2D45ABD3">
      <w:pPr>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附件一：项目技术要求</w:t>
      </w:r>
    </w:p>
    <w:p w14:paraId="0E9EAB29">
      <w:pPr>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val="0"/>
          <w:bCs w:val="0"/>
          <w:color w:val="auto"/>
          <w:sz w:val="21"/>
          <w:szCs w:val="21"/>
          <w:highlight w:val="none"/>
          <w:lang w:val="en-US" w:eastAsia="zh-CN"/>
        </w:rPr>
        <w:t>项目名称：公共区域部分楼宇白蚁防治服务项目</w:t>
      </w:r>
    </w:p>
    <w:tbl>
      <w:tblPr>
        <w:tblStyle w:val="14"/>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838"/>
        <w:gridCol w:w="5966"/>
      </w:tblGrid>
      <w:tr w14:paraId="3767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8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lang w:val="en-US"/>
              </w:rPr>
            </w:pPr>
            <w:r>
              <w:rPr>
                <w:rFonts w:hint="default" w:ascii="Times New Roman" w:hAnsi="Times New Roman" w:eastAsia="宋体" w:cs="Times New Roman"/>
                <w:b/>
                <w:bCs/>
                <w:i w:val="0"/>
                <w:iCs w:val="0"/>
                <w:color w:val="auto"/>
                <w:kern w:val="0"/>
                <w:sz w:val="24"/>
                <w:szCs w:val="24"/>
                <w:highlight w:val="none"/>
                <w:u w:val="none"/>
                <w:lang w:val="en-US" w:eastAsia="zh-CN" w:bidi="ar"/>
              </w:rPr>
              <w:t>项目技术要求</w:t>
            </w:r>
            <w:r>
              <w:rPr>
                <w:rFonts w:hint="eastAsia" w:ascii="Times New Roman" w:hAnsi="Times New Roman" w:eastAsia="宋体" w:cs="Times New Roman"/>
                <w:b/>
                <w:bCs/>
                <w:i w:val="0"/>
                <w:iCs w:val="0"/>
                <w:color w:val="auto"/>
                <w:kern w:val="0"/>
                <w:sz w:val="24"/>
                <w:szCs w:val="24"/>
                <w:highlight w:val="none"/>
                <w:u w:val="none"/>
                <w:lang w:val="en-US" w:eastAsia="zh-CN" w:bidi="ar"/>
              </w:rPr>
              <w:t>表</w:t>
            </w:r>
          </w:p>
        </w:tc>
      </w:tr>
      <w:tr w14:paraId="0EEB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74E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D1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作业管控要点</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8B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技术要求</w:t>
            </w:r>
          </w:p>
        </w:tc>
      </w:tr>
      <w:tr w14:paraId="4C82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A2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F5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区域范围</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81C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color w:val="auto"/>
                <w:spacing w:val="0"/>
                <w:w w:val="100"/>
                <w:position w:val="0"/>
                <w:highlight w:val="none"/>
                <w:vertAlign w:val="baseline"/>
                <w:lang w:val="en-US" w:eastAsia="zh-CN"/>
              </w:rPr>
              <w:t>活动中心室内及建筑物外围所有区域</w:t>
            </w:r>
          </w:p>
          <w:p w14:paraId="6BC7ECB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2.职工</w:t>
            </w:r>
            <w:r>
              <w:rPr>
                <w:rFonts w:hint="default" w:ascii="Times New Roman" w:hAnsi="Times New Roman" w:eastAsia="宋体" w:cs="Times New Roman"/>
                <w:color w:val="auto"/>
                <w:spacing w:val="0"/>
                <w:w w:val="100"/>
                <w:position w:val="0"/>
                <w:highlight w:val="none"/>
                <w:vertAlign w:val="baseline"/>
                <w:lang w:val="en-US" w:eastAsia="zh-CN"/>
              </w:rPr>
              <w:t>翔宇居公寓</w:t>
            </w:r>
            <w:r>
              <w:rPr>
                <w:rFonts w:hint="eastAsia" w:ascii="Times New Roman" w:hAnsi="Times New Roman" w:eastAsia="宋体" w:cs="Times New Roman"/>
                <w:color w:val="auto"/>
                <w:spacing w:val="0"/>
                <w:w w:val="100"/>
                <w:position w:val="0"/>
                <w:highlight w:val="none"/>
                <w:vertAlign w:val="baseline"/>
                <w:lang w:val="en-US" w:eastAsia="zh-CN"/>
              </w:rPr>
              <w:t>（</w:t>
            </w:r>
            <w:r>
              <w:rPr>
                <w:rFonts w:hint="default" w:ascii="Times New Roman" w:hAnsi="Times New Roman" w:eastAsia="宋体"/>
                <w:color w:val="auto"/>
                <w:highlight w:val="none"/>
              </w:rPr>
              <w:t>含报告厅楼宇）</w:t>
            </w:r>
            <w:r>
              <w:rPr>
                <w:rFonts w:hint="default" w:ascii="Times New Roman" w:hAnsi="Times New Roman" w:eastAsia="宋体" w:cs="Times New Roman"/>
                <w:color w:val="auto"/>
                <w:spacing w:val="0"/>
                <w:w w:val="100"/>
                <w:position w:val="0"/>
                <w:highlight w:val="none"/>
                <w:vertAlign w:val="baseline"/>
                <w:lang w:val="en-US" w:eastAsia="zh-CN"/>
              </w:rPr>
              <w:t>共14+2层室内及建筑物外围所有区域</w:t>
            </w:r>
          </w:p>
          <w:p w14:paraId="0B2F81F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3职工.</w:t>
            </w:r>
            <w:r>
              <w:rPr>
                <w:rFonts w:hint="default" w:ascii="Times New Roman" w:hAnsi="Times New Roman" w:eastAsia="宋体" w:cs="Times New Roman"/>
                <w:color w:val="auto"/>
                <w:spacing w:val="0"/>
                <w:w w:val="100"/>
                <w:position w:val="0"/>
                <w:highlight w:val="none"/>
                <w:vertAlign w:val="baseline"/>
                <w:lang w:val="en-US" w:eastAsia="zh-CN"/>
              </w:rPr>
              <w:t>鲲鹏居公寓共5层室内及建筑物外围所有区域</w:t>
            </w:r>
          </w:p>
          <w:p w14:paraId="5E88E22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4.职工</w:t>
            </w:r>
            <w:r>
              <w:rPr>
                <w:rFonts w:hint="default" w:ascii="Times New Roman" w:hAnsi="Times New Roman" w:eastAsia="宋体" w:cs="Times New Roman"/>
                <w:color w:val="auto"/>
                <w:kern w:val="0"/>
                <w:szCs w:val="21"/>
                <w:highlight w:val="none"/>
                <w:u w:val="none"/>
                <w:lang w:bidi="ar"/>
              </w:rPr>
              <w:t>汇安居</w:t>
            </w:r>
            <w:r>
              <w:rPr>
                <w:rFonts w:hint="default" w:ascii="Times New Roman" w:hAnsi="Times New Roman" w:eastAsia="宋体" w:cs="Times New Roman"/>
                <w:color w:val="auto"/>
                <w:kern w:val="0"/>
                <w:szCs w:val="21"/>
                <w:highlight w:val="none"/>
                <w:u w:val="none"/>
                <w:lang w:val="en-US" w:eastAsia="zh-CN" w:bidi="ar"/>
              </w:rPr>
              <w:t>公寓</w:t>
            </w:r>
            <w:r>
              <w:rPr>
                <w:rFonts w:hint="default" w:ascii="Times New Roman" w:hAnsi="Times New Roman" w:eastAsia="宋体" w:cs="Times New Roman"/>
                <w:color w:val="auto"/>
                <w:kern w:val="0"/>
                <w:szCs w:val="21"/>
                <w:highlight w:val="none"/>
                <w:u w:val="none"/>
                <w:lang w:bidi="ar"/>
              </w:rPr>
              <w:t>共5层室内及建筑物外围所有区域</w:t>
            </w:r>
          </w:p>
          <w:p w14:paraId="4780EF0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shd w:val="clear"/>
                <w:lang w:val="en-US" w:eastAsia="zh-CN" w:bidi="ar"/>
              </w:rPr>
              <w:t>5.</w:t>
            </w:r>
            <w:r>
              <w:rPr>
                <w:rFonts w:hint="default" w:ascii="Times New Roman" w:hAnsi="Times New Roman" w:eastAsia="宋体" w:cs="Times New Roman"/>
                <w:color w:val="auto"/>
                <w:kern w:val="0"/>
                <w:szCs w:val="21"/>
                <w:highlight w:val="none"/>
                <w:u w:val="none"/>
                <w:shd w:val="clear"/>
                <w:lang w:bidi="ar"/>
              </w:rPr>
              <w:t>污水站建筑共2层</w:t>
            </w:r>
            <w:r>
              <w:rPr>
                <w:rFonts w:hint="default" w:ascii="Times New Roman" w:hAnsi="Times New Roman" w:eastAsia="宋体" w:cs="Times New Roman"/>
                <w:color w:val="auto"/>
                <w:kern w:val="0"/>
                <w:szCs w:val="21"/>
                <w:highlight w:val="none"/>
                <w:u w:val="none"/>
                <w:shd w:val="clear"/>
                <w:lang w:val="en-US" w:eastAsia="zh-CN" w:bidi="ar"/>
              </w:rPr>
              <w:t>室</w:t>
            </w:r>
            <w:r>
              <w:rPr>
                <w:rFonts w:hint="default" w:ascii="Times New Roman" w:hAnsi="Times New Roman" w:eastAsia="宋体" w:cs="Times New Roman"/>
                <w:color w:val="auto"/>
                <w:kern w:val="0"/>
                <w:szCs w:val="21"/>
                <w:highlight w:val="none"/>
                <w:u w:val="none"/>
                <w:shd w:val="clear"/>
                <w:lang w:bidi="ar"/>
              </w:rPr>
              <w:t>内及建筑物外围所有区域</w:t>
            </w:r>
          </w:p>
        </w:tc>
      </w:tr>
      <w:tr w14:paraId="371A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57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EC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作业频次</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E1C1">
            <w:pPr>
              <w:keepNext w:val="0"/>
              <w:keepLines w:val="0"/>
              <w:widowControl/>
              <w:suppressLineNumbers w:val="0"/>
              <w:jc w:val="left"/>
              <w:textAlignment w:val="center"/>
              <w:rPr>
                <w:rFonts w:hint="default" w:ascii="Times New Roman" w:hAnsi="Times New Roman" w:eastAsia="宋体"/>
                <w:color w:val="auto"/>
                <w:kern w:val="0"/>
                <w:szCs w:val="21"/>
                <w:highlight w:val="none"/>
                <w:u w:val="none"/>
                <w:lang w:bidi="ar"/>
              </w:rPr>
            </w:pPr>
            <w:r>
              <w:rPr>
                <w:rFonts w:hint="default" w:ascii="Times New Roman" w:hAnsi="Times New Roman" w:eastAsia="宋体"/>
                <w:color w:val="auto"/>
                <w:kern w:val="0"/>
                <w:szCs w:val="21"/>
                <w:highlight w:val="none"/>
                <w:u w:val="none"/>
                <w:lang w:bidi="ar"/>
              </w:rPr>
              <w:t>实行分季节常态化防治巡检：</w:t>
            </w:r>
          </w:p>
          <w:p w14:paraId="22250B74">
            <w:pPr>
              <w:keepNext w:val="0"/>
              <w:keepLines w:val="0"/>
              <w:widowControl/>
              <w:suppressLineNumbers w:val="0"/>
              <w:jc w:val="left"/>
              <w:textAlignment w:val="center"/>
              <w:rPr>
                <w:rFonts w:hint="default" w:ascii="Times New Roman" w:hAnsi="Times New Roman" w:eastAsia="宋体"/>
                <w:color w:val="auto"/>
                <w:kern w:val="0"/>
                <w:szCs w:val="21"/>
                <w:highlight w:val="none"/>
                <w:u w:val="none"/>
                <w:lang w:bidi="ar"/>
              </w:rPr>
            </w:pPr>
            <w:r>
              <w:rPr>
                <w:rFonts w:hint="eastAsia" w:ascii="Times New Roman" w:hAnsi="Times New Roman" w:eastAsia="宋体"/>
                <w:color w:val="auto"/>
                <w:kern w:val="0"/>
                <w:szCs w:val="21"/>
                <w:highlight w:val="none"/>
                <w:u w:val="none"/>
                <w:lang w:val="en-US" w:eastAsia="zh-CN" w:bidi="ar"/>
              </w:rPr>
              <w:t>1.</w:t>
            </w:r>
            <w:r>
              <w:rPr>
                <w:rFonts w:hint="default" w:ascii="Times New Roman" w:hAnsi="Times New Roman" w:eastAsia="宋体"/>
                <w:color w:val="auto"/>
                <w:kern w:val="0"/>
                <w:szCs w:val="21"/>
                <w:highlight w:val="none"/>
                <w:u w:val="none"/>
                <w:lang w:bidi="ar"/>
              </w:rPr>
              <w:t>高发期（每年3</w:t>
            </w:r>
            <w:r>
              <w:rPr>
                <w:rFonts w:hint="eastAsia" w:ascii="Times New Roman" w:hAnsi="Times New Roman" w:eastAsia="宋体"/>
                <w:color w:val="auto"/>
                <w:kern w:val="0"/>
                <w:szCs w:val="21"/>
                <w:highlight w:val="none"/>
                <w:u w:val="none"/>
                <w:lang w:val="en-US" w:eastAsia="zh-CN" w:bidi="ar"/>
              </w:rPr>
              <w:t>至</w:t>
            </w:r>
            <w:r>
              <w:rPr>
                <w:rFonts w:hint="default" w:ascii="Times New Roman" w:hAnsi="Times New Roman" w:eastAsia="宋体"/>
                <w:color w:val="auto"/>
                <w:kern w:val="0"/>
                <w:szCs w:val="21"/>
                <w:highlight w:val="none"/>
                <w:u w:val="none"/>
                <w:lang w:bidi="ar"/>
              </w:rPr>
              <w:t>9月）：白蚁危害高峰期，每月每点位实施全面治理2次、隐患排查1次；</w:t>
            </w:r>
          </w:p>
          <w:p w14:paraId="3C2F806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olor w:val="auto"/>
                <w:kern w:val="0"/>
                <w:szCs w:val="21"/>
                <w:highlight w:val="none"/>
                <w:u w:val="none"/>
                <w:lang w:val="en-US" w:eastAsia="zh-CN" w:bidi="ar"/>
              </w:rPr>
              <w:t>2.</w:t>
            </w:r>
            <w:r>
              <w:rPr>
                <w:rFonts w:hint="default" w:ascii="Times New Roman" w:hAnsi="Times New Roman" w:eastAsia="宋体"/>
                <w:color w:val="auto"/>
                <w:kern w:val="0"/>
                <w:szCs w:val="21"/>
                <w:highlight w:val="none"/>
                <w:u w:val="none"/>
                <w:lang w:bidi="ar"/>
              </w:rPr>
              <w:t>低活跃期（每年10月</w:t>
            </w:r>
            <w:r>
              <w:rPr>
                <w:rFonts w:hint="eastAsia" w:ascii="Times New Roman" w:hAnsi="Times New Roman" w:eastAsia="宋体"/>
                <w:color w:val="auto"/>
                <w:kern w:val="0"/>
                <w:szCs w:val="21"/>
                <w:highlight w:val="none"/>
                <w:u w:val="none"/>
                <w:lang w:val="en-US" w:eastAsia="zh-CN" w:bidi="ar"/>
              </w:rPr>
              <w:t>至</w:t>
            </w:r>
            <w:r>
              <w:rPr>
                <w:rFonts w:hint="default" w:ascii="Times New Roman" w:hAnsi="Times New Roman" w:eastAsia="宋体"/>
                <w:color w:val="auto"/>
                <w:kern w:val="0"/>
                <w:szCs w:val="21"/>
                <w:highlight w:val="none"/>
                <w:u w:val="none"/>
                <w:lang w:bidi="ar"/>
              </w:rPr>
              <w:t>次年2月）：白蚁蛰伏低发期，每月每点位实施全面治理1次、隐患排查1次。</w:t>
            </w:r>
          </w:p>
        </w:tc>
      </w:tr>
      <w:tr w14:paraId="15FA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F1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highlight w:val="none"/>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74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作业要求</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1BC9">
            <w:pPr>
              <w:keepNext w:val="0"/>
              <w:keepLines w:val="0"/>
              <w:widowControl/>
              <w:suppressLineNumbers w:val="0"/>
              <w:jc w:val="left"/>
              <w:textAlignment w:val="center"/>
              <w:rPr>
                <w:rFonts w:hint="default" w:ascii="Times New Roman" w:hAnsi="Times New Roman" w:eastAsia="宋体"/>
                <w:color w:val="auto"/>
                <w:kern w:val="0"/>
                <w:szCs w:val="21"/>
                <w:highlight w:val="none"/>
                <w:u w:val="none"/>
                <w:lang w:bidi="ar"/>
              </w:rPr>
            </w:pPr>
            <w:r>
              <w:rPr>
                <w:rFonts w:hint="eastAsia" w:ascii="Times New Roman" w:hAnsi="Times New Roman" w:eastAsia="宋体"/>
                <w:color w:val="auto"/>
                <w:kern w:val="0"/>
                <w:szCs w:val="21"/>
                <w:highlight w:val="none"/>
                <w:u w:val="none"/>
                <w:lang w:val="en-US" w:eastAsia="zh-CN" w:bidi="ar"/>
              </w:rPr>
              <w:t>1.</w:t>
            </w:r>
            <w:r>
              <w:rPr>
                <w:rFonts w:hint="default" w:ascii="Times New Roman" w:hAnsi="Times New Roman" w:eastAsia="宋体"/>
                <w:color w:val="auto"/>
                <w:kern w:val="0"/>
                <w:szCs w:val="21"/>
                <w:highlight w:val="none"/>
                <w:u w:val="none"/>
                <w:lang w:bidi="ar"/>
              </w:rPr>
              <w:t>日常作业管理：中标人须按照月度作业计划，提前2个工作日将作业日期、现场作业人员名单报送招标人；单次现场作业配备持证人员不少于3名（持有白蚁防治岗位证或高级有害生物防制员证），各区域现场排查及治理累计作业时长不少于34小时。</w:t>
            </w:r>
          </w:p>
          <w:p w14:paraId="017E42B2">
            <w:pPr>
              <w:keepNext w:val="0"/>
              <w:keepLines w:val="0"/>
              <w:widowControl/>
              <w:suppressLineNumbers w:val="0"/>
              <w:jc w:val="left"/>
              <w:textAlignment w:val="center"/>
              <w:rPr>
                <w:rFonts w:hint="default" w:ascii="Times New Roman" w:hAnsi="Times New Roman" w:eastAsia="宋体"/>
                <w:color w:val="auto"/>
                <w:kern w:val="0"/>
                <w:szCs w:val="21"/>
                <w:highlight w:val="none"/>
                <w:u w:val="none"/>
                <w:lang w:bidi="ar"/>
              </w:rPr>
            </w:pPr>
            <w:r>
              <w:rPr>
                <w:rFonts w:hint="eastAsia" w:ascii="Times New Roman" w:hAnsi="Times New Roman" w:eastAsia="宋体"/>
                <w:color w:val="auto"/>
                <w:kern w:val="0"/>
                <w:szCs w:val="21"/>
                <w:highlight w:val="none"/>
                <w:u w:val="none"/>
                <w:lang w:val="en-US" w:eastAsia="zh-CN" w:bidi="ar"/>
              </w:rPr>
              <w:t>2.</w:t>
            </w:r>
            <w:r>
              <w:rPr>
                <w:rFonts w:hint="default" w:ascii="Times New Roman" w:hAnsi="Times New Roman" w:eastAsia="宋体"/>
                <w:color w:val="auto"/>
                <w:kern w:val="0"/>
                <w:szCs w:val="21"/>
                <w:highlight w:val="none"/>
                <w:u w:val="none"/>
                <w:lang w:bidi="ar"/>
              </w:rPr>
              <w:t>施工方案报批：中标人实施钻孔、挖巢、药剂灌注、粉剂喷施、药物消杀等任一防制措施前，须将实施方案提前报送招标人，经招标人书面确认后方可开展作业。</w:t>
            </w:r>
          </w:p>
          <w:p w14:paraId="07720C5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olor w:val="auto"/>
                <w:kern w:val="0"/>
                <w:szCs w:val="21"/>
                <w:highlight w:val="none"/>
                <w:u w:val="none"/>
                <w:lang w:val="en-US" w:eastAsia="zh-CN" w:bidi="ar"/>
              </w:rPr>
              <w:t>3.</w:t>
            </w:r>
            <w:r>
              <w:rPr>
                <w:rFonts w:hint="default" w:ascii="Times New Roman" w:hAnsi="Times New Roman" w:eastAsia="宋体"/>
                <w:color w:val="auto"/>
                <w:kern w:val="0"/>
                <w:szCs w:val="21"/>
                <w:highlight w:val="none"/>
                <w:u w:val="none"/>
                <w:lang w:bidi="ar"/>
              </w:rPr>
              <w:t>药剂设备管控：中标人投入本项目的药剂、器械须符合国家现行相关标准，具备产品安全合格证明、生产许可资质，所用物资不得危害人身安全与项目周边生态环境。</w:t>
            </w:r>
          </w:p>
        </w:tc>
      </w:tr>
      <w:tr w14:paraId="4353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3C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B2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防治方法</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32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1.全年24小时外围地下型饵站监测诱杀</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2.全年24小时室内饵料盒监测诱杀</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3.工作现场白蚁可视探测仪检测、化学药剂综合治理</w:t>
            </w:r>
          </w:p>
        </w:tc>
      </w:tr>
      <w:tr w14:paraId="0B83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26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A9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药品及器械投入</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28E">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1.药品投入：</w:t>
            </w:r>
          </w:p>
          <w:p w14:paraId="039BC27E">
            <w:pPr>
              <w:keepNext w:val="0"/>
              <w:keepLines w:val="0"/>
              <w:widowControl/>
              <w:suppressLineNumbers w:val="0"/>
              <w:jc w:val="left"/>
              <w:textAlignment w:val="center"/>
              <w:rPr>
                <w:rFonts w:hint="eastAsia" w:ascii="Times New Roman" w:hAnsi="Times New Roman" w:eastAsia="宋体" w:cs="Times New Roman"/>
                <w:color w:val="auto"/>
                <w:spacing w:val="0"/>
                <w:w w:val="100"/>
                <w:position w:val="0"/>
                <w:highlight w:val="none"/>
                <w:vertAlign w:val="baseli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①</w:t>
            </w:r>
            <w:r>
              <w:rPr>
                <w:rFonts w:hint="default" w:ascii="Times New Roman" w:hAnsi="Times New Roman" w:eastAsia="宋体" w:cs="Times New Roman"/>
                <w:color w:val="auto"/>
                <w:spacing w:val="0"/>
                <w:w w:val="100"/>
                <w:position w:val="0"/>
                <w:highlight w:val="none"/>
                <w:vertAlign w:val="baseline"/>
                <w:lang w:val="en-US" w:eastAsia="zh-CN"/>
              </w:rPr>
              <w:t>5%联苯菊酯乳剂</w:t>
            </w:r>
            <w:r>
              <w:rPr>
                <w:rFonts w:hint="eastAsia" w:ascii="Times New Roman" w:hAnsi="Times New Roman" w:eastAsia="宋体" w:cs="Times New Roman"/>
                <w:color w:val="auto"/>
                <w:spacing w:val="0"/>
                <w:w w:val="100"/>
                <w:position w:val="0"/>
                <w:highlight w:val="none"/>
                <w:vertAlign w:val="baseline"/>
                <w:lang w:val="en-US" w:eastAsia="zh-CN"/>
              </w:rPr>
              <w:t>，室内外灌浆，全年不少于100kg；</w:t>
            </w:r>
          </w:p>
          <w:p w14:paraId="2D8DCF8A">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pacing w:val="0"/>
                <w:w w:val="100"/>
                <w:position w:val="0"/>
                <w:highlight w:val="none"/>
                <w:vertAlign w:val="baseline"/>
                <w:lang w:val="en-US" w:eastAsia="zh-CN"/>
              </w:rPr>
              <w:t>②</w:t>
            </w:r>
            <w:r>
              <w:rPr>
                <w:rFonts w:hint="default" w:ascii="Times New Roman" w:hAnsi="Times New Roman" w:eastAsia="宋体" w:cs="Times New Roman"/>
                <w:color w:val="auto"/>
                <w:spacing w:val="0"/>
                <w:w w:val="100"/>
                <w:position w:val="0"/>
                <w:highlight w:val="none"/>
                <w:vertAlign w:val="baseline"/>
                <w:lang w:val="en-US" w:eastAsia="zh-CN"/>
              </w:rPr>
              <w:t>10%吡虫啉水剂</w:t>
            </w:r>
            <w:r>
              <w:rPr>
                <w:rFonts w:hint="eastAsia" w:ascii="Times New Roman" w:hAnsi="Times New Roman" w:eastAsia="宋体" w:cs="Times New Roman"/>
                <w:color w:val="auto"/>
                <w:spacing w:val="0"/>
                <w:w w:val="100"/>
                <w:position w:val="0"/>
                <w:highlight w:val="none"/>
                <w:vertAlign w:val="baseline"/>
                <w:lang w:val="en-US" w:eastAsia="zh-CN"/>
              </w:rPr>
              <w:t>，室内外灌浆，全年不少于80kg；</w:t>
            </w:r>
            <w:r>
              <w:rPr>
                <w:rFonts w:hint="eastAsia" w:ascii="Times New Roman" w:hAnsi="Times New Roman" w:eastAsia="宋体" w:cs="Times New Roman"/>
                <w:color w:val="auto"/>
                <w:spacing w:val="0"/>
                <w:w w:val="100"/>
                <w:position w:val="0"/>
                <w:highlight w:val="none"/>
                <w:vertAlign w:val="baseline"/>
                <w:lang w:val="en-US" w:eastAsia="zh-CN"/>
              </w:rPr>
              <w:br w:type="textWrapping"/>
            </w:r>
            <w:r>
              <w:rPr>
                <w:rFonts w:hint="eastAsia" w:ascii="Times New Roman" w:hAnsi="Times New Roman" w:eastAsia="宋体" w:cs="Times New Roman"/>
                <w:color w:val="auto"/>
                <w:spacing w:val="0"/>
                <w:w w:val="100"/>
                <w:position w:val="0"/>
                <w:highlight w:val="none"/>
                <w:vertAlign w:val="baseline"/>
                <w:lang w:val="en-US" w:eastAsia="zh-CN"/>
              </w:rPr>
              <w:t>③</w:t>
            </w:r>
            <w:r>
              <w:rPr>
                <w:rFonts w:hint="default" w:ascii="Times New Roman" w:hAnsi="Times New Roman" w:eastAsia="宋体" w:cs="Times New Roman"/>
                <w:color w:val="auto"/>
                <w:spacing w:val="0"/>
                <w:w w:val="100"/>
                <w:position w:val="0"/>
                <w:highlight w:val="none"/>
                <w:vertAlign w:val="baseline"/>
                <w:lang w:val="en-US" w:eastAsia="zh-CN"/>
              </w:rPr>
              <w:t>0.5%氟铃脲</w:t>
            </w:r>
            <w:r>
              <w:rPr>
                <w:rFonts w:hint="eastAsia" w:ascii="Times New Roman" w:hAnsi="Times New Roman" w:eastAsia="宋体" w:cs="Times New Roman"/>
                <w:color w:val="auto"/>
                <w:spacing w:val="0"/>
                <w:w w:val="100"/>
                <w:position w:val="0"/>
                <w:highlight w:val="none"/>
                <w:vertAlign w:val="baseline"/>
                <w:lang w:val="en-US" w:eastAsia="zh-CN"/>
              </w:rPr>
              <w:t>，室内外投放，全年不少于</w:t>
            </w:r>
            <w:r>
              <w:rPr>
                <w:rFonts w:hint="eastAsia" w:ascii="Times New Roman" w:hAnsi="Times New Roman" w:eastAsia="宋体" w:cs="Times New Roman"/>
                <w:color w:val="auto"/>
                <w:szCs w:val="21"/>
                <w:highlight w:val="none"/>
                <w:lang w:val="en-US" w:eastAsia="zh-CN"/>
              </w:rPr>
              <w:t>40kg；</w:t>
            </w:r>
          </w:p>
          <w:p w14:paraId="78A67C2F">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④</w:t>
            </w:r>
            <w:r>
              <w:rPr>
                <w:rFonts w:hint="default" w:ascii="Times New Roman" w:hAnsi="Times New Roman" w:eastAsia="宋体" w:cs="Times New Roman"/>
                <w:color w:val="auto"/>
                <w:spacing w:val="0"/>
                <w:w w:val="100"/>
                <w:position w:val="0"/>
                <w:highlight w:val="none"/>
                <w:vertAlign w:val="baseline"/>
                <w:lang w:val="en-US" w:eastAsia="zh-CN"/>
              </w:rPr>
              <w:t>氟虫腈粉</w:t>
            </w:r>
            <w:r>
              <w:rPr>
                <w:rFonts w:hint="eastAsia" w:ascii="Times New Roman" w:hAnsi="Times New Roman" w:eastAsia="宋体" w:cs="Times New Roman"/>
                <w:color w:val="auto"/>
                <w:spacing w:val="0"/>
                <w:w w:val="100"/>
                <w:position w:val="0"/>
                <w:highlight w:val="none"/>
                <w:vertAlign w:val="baseline"/>
                <w:lang w:val="en-US" w:eastAsia="zh-CN"/>
              </w:rPr>
              <w:t>，</w:t>
            </w:r>
            <w:r>
              <w:rPr>
                <w:rFonts w:hint="eastAsia" w:ascii="Times New Roman" w:hAnsi="Times New Roman" w:eastAsia="宋体" w:cs="Times New Roman"/>
                <w:color w:val="auto"/>
                <w:szCs w:val="21"/>
                <w:highlight w:val="none"/>
                <w:lang w:val="en-US" w:eastAsia="zh-CN"/>
              </w:rPr>
              <w:t>室内喷洒，全</w:t>
            </w:r>
            <w:r>
              <w:rPr>
                <w:rFonts w:hint="eastAsia" w:ascii="Times New Roman" w:hAnsi="Times New Roman" w:eastAsia="宋体" w:cs="Times New Roman"/>
                <w:color w:val="auto"/>
                <w:spacing w:val="0"/>
                <w:w w:val="100"/>
                <w:position w:val="0"/>
                <w:highlight w:val="none"/>
                <w:vertAlign w:val="baseline"/>
                <w:lang w:val="en-US" w:eastAsia="zh-CN"/>
              </w:rPr>
              <w:t>年不少于</w:t>
            </w:r>
            <w:r>
              <w:rPr>
                <w:rFonts w:hint="eastAsia" w:ascii="Times New Roman" w:hAnsi="Times New Roman" w:eastAsia="宋体" w:cs="Times New Roman"/>
                <w:color w:val="auto"/>
                <w:szCs w:val="21"/>
                <w:highlight w:val="none"/>
                <w:lang w:val="en-US" w:eastAsia="zh-CN"/>
              </w:rPr>
              <w:t>30kg。</w:t>
            </w:r>
          </w:p>
          <w:p w14:paraId="4657C14B">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2.设备器械投入：</w:t>
            </w:r>
          </w:p>
          <w:p w14:paraId="2BB9FABE">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①</w:t>
            </w:r>
            <w:r>
              <w:rPr>
                <w:rFonts w:hint="default" w:ascii="Times New Roman" w:hAnsi="Times New Roman" w:eastAsia="宋体" w:cs="Times New Roman"/>
                <w:color w:val="auto"/>
                <w:spacing w:val="0"/>
                <w:w w:val="100"/>
                <w:position w:val="0"/>
                <w:highlight w:val="none"/>
                <w:vertAlign w:val="baseline"/>
                <w:lang w:val="en-US" w:eastAsia="zh-CN"/>
              </w:rPr>
              <w:t>电子智能监测站</w:t>
            </w:r>
            <w:r>
              <w:rPr>
                <w:rFonts w:hint="eastAsia" w:ascii="Times New Roman" w:hAnsi="Times New Roman" w:eastAsia="宋体" w:cs="Times New Roman"/>
                <w:color w:val="auto"/>
                <w:spacing w:val="0"/>
                <w:w w:val="100"/>
                <w:position w:val="0"/>
                <w:highlight w:val="none"/>
                <w:vertAlign w:val="baseline"/>
                <w:lang w:val="en-US" w:eastAsia="zh-CN"/>
              </w:rPr>
              <w:t>，</w:t>
            </w:r>
            <w:r>
              <w:rPr>
                <w:rFonts w:hint="eastAsia" w:ascii="Times New Roman" w:hAnsi="Times New Roman" w:eastAsia="宋体" w:cs="Times New Roman"/>
                <w:color w:val="auto"/>
                <w:szCs w:val="21"/>
                <w:highlight w:val="none"/>
                <w:lang w:val="en-US" w:eastAsia="zh-CN"/>
              </w:rPr>
              <w:t>室内室外置放，全</w:t>
            </w:r>
            <w:r>
              <w:rPr>
                <w:rFonts w:hint="eastAsia" w:ascii="Times New Roman" w:hAnsi="Times New Roman" w:eastAsia="宋体" w:cs="Times New Roman"/>
                <w:color w:val="auto"/>
                <w:spacing w:val="0"/>
                <w:w w:val="100"/>
                <w:position w:val="0"/>
                <w:highlight w:val="none"/>
                <w:vertAlign w:val="baseline"/>
                <w:lang w:val="en-US" w:eastAsia="zh-CN"/>
              </w:rPr>
              <w:t>年不少于</w:t>
            </w:r>
            <w:r>
              <w:rPr>
                <w:rFonts w:hint="eastAsia" w:ascii="Times New Roman" w:hAnsi="Times New Roman" w:eastAsia="宋体" w:cs="Times New Roman"/>
                <w:color w:val="auto"/>
                <w:szCs w:val="21"/>
                <w:highlight w:val="none"/>
                <w:lang w:val="en-US" w:eastAsia="zh-CN"/>
              </w:rPr>
              <w:t>40台；</w:t>
            </w:r>
          </w:p>
          <w:p w14:paraId="59D9C7B8">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②</w:t>
            </w:r>
            <w:r>
              <w:rPr>
                <w:rFonts w:hint="default" w:ascii="Times New Roman" w:hAnsi="Times New Roman" w:eastAsia="宋体" w:cs="Times New Roman"/>
                <w:color w:val="auto"/>
                <w:spacing w:val="0"/>
                <w:w w:val="100"/>
                <w:position w:val="0"/>
                <w:highlight w:val="none"/>
                <w:vertAlign w:val="baseline"/>
                <w:lang w:val="en-US" w:eastAsia="zh-CN"/>
              </w:rPr>
              <w:t>强力高压喷粉机</w:t>
            </w:r>
            <w:r>
              <w:rPr>
                <w:rFonts w:hint="eastAsia" w:ascii="Times New Roman" w:hAnsi="Times New Roman" w:eastAsia="宋体" w:cs="Times New Roman"/>
                <w:color w:val="auto"/>
                <w:spacing w:val="0"/>
                <w:w w:val="100"/>
                <w:position w:val="0"/>
                <w:highlight w:val="none"/>
                <w:vertAlign w:val="baseline"/>
                <w:lang w:val="en-US" w:eastAsia="zh-CN"/>
              </w:rPr>
              <w:t>，用于</w:t>
            </w:r>
            <w:r>
              <w:rPr>
                <w:rFonts w:hint="eastAsia" w:ascii="Times New Roman" w:hAnsi="Times New Roman" w:eastAsia="宋体" w:cs="Times New Roman"/>
                <w:color w:val="auto"/>
                <w:szCs w:val="21"/>
                <w:highlight w:val="none"/>
                <w:lang w:val="en-US" w:eastAsia="zh-CN"/>
              </w:rPr>
              <w:t>室内喷洒，全</w:t>
            </w:r>
            <w:r>
              <w:rPr>
                <w:rFonts w:hint="eastAsia" w:ascii="Times New Roman" w:hAnsi="Times New Roman" w:eastAsia="宋体" w:cs="Times New Roman"/>
                <w:color w:val="auto"/>
                <w:spacing w:val="0"/>
                <w:w w:val="100"/>
                <w:position w:val="0"/>
                <w:highlight w:val="none"/>
                <w:vertAlign w:val="baseline"/>
                <w:lang w:val="en-US" w:eastAsia="zh-CN"/>
              </w:rPr>
              <w:t>年不少于</w:t>
            </w:r>
            <w:r>
              <w:rPr>
                <w:rFonts w:hint="eastAsia" w:ascii="Times New Roman" w:hAnsi="Times New Roman" w:eastAsia="宋体" w:cs="Times New Roman"/>
                <w:color w:val="auto"/>
                <w:szCs w:val="21"/>
                <w:highlight w:val="none"/>
                <w:lang w:val="en-US" w:eastAsia="zh-CN"/>
              </w:rPr>
              <w:t>2台；</w:t>
            </w:r>
          </w:p>
          <w:p w14:paraId="5373E821">
            <w:pPr>
              <w:keepNext w:val="0"/>
              <w:keepLines w:val="0"/>
              <w:widowControl/>
              <w:suppressLineNumbers w:val="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③</w:t>
            </w:r>
            <w:r>
              <w:rPr>
                <w:rFonts w:hint="default" w:ascii="Times New Roman" w:hAnsi="Times New Roman" w:eastAsia="宋体" w:cs="Times New Roman"/>
                <w:color w:val="auto"/>
                <w:spacing w:val="0"/>
                <w:w w:val="100"/>
                <w:position w:val="0"/>
                <w:highlight w:val="none"/>
                <w:vertAlign w:val="baseline"/>
                <w:lang w:val="en-US" w:eastAsia="zh-CN"/>
              </w:rPr>
              <w:t>常量电动滞留喷雾机</w:t>
            </w:r>
            <w:r>
              <w:rPr>
                <w:rFonts w:hint="eastAsia" w:ascii="Times New Roman" w:hAnsi="Times New Roman" w:eastAsia="宋体" w:cs="Times New Roman"/>
                <w:color w:val="auto"/>
                <w:spacing w:val="0"/>
                <w:w w:val="100"/>
                <w:position w:val="0"/>
                <w:highlight w:val="none"/>
                <w:vertAlign w:val="baseline"/>
                <w:lang w:val="en-US" w:eastAsia="zh-CN"/>
              </w:rPr>
              <w:t>、</w:t>
            </w:r>
            <w:r>
              <w:rPr>
                <w:rFonts w:hint="default" w:ascii="Times New Roman" w:hAnsi="Times New Roman" w:eastAsia="宋体" w:cs="Times New Roman"/>
                <w:color w:val="auto"/>
                <w:spacing w:val="0"/>
                <w:w w:val="100"/>
                <w:position w:val="0"/>
                <w:highlight w:val="none"/>
                <w:vertAlign w:val="baseline"/>
                <w:lang w:val="en-US" w:eastAsia="zh-CN"/>
              </w:rPr>
              <w:t>消杀手推车</w:t>
            </w:r>
            <w:r>
              <w:rPr>
                <w:rFonts w:hint="eastAsia" w:ascii="Times New Roman" w:hAnsi="Times New Roman" w:eastAsia="宋体" w:cs="Times New Roman"/>
                <w:color w:val="auto"/>
                <w:spacing w:val="0"/>
                <w:w w:val="100"/>
                <w:position w:val="0"/>
                <w:highlight w:val="none"/>
                <w:vertAlign w:val="baseline"/>
                <w:lang w:val="en-US" w:eastAsia="zh-CN"/>
              </w:rPr>
              <w:t>，用于</w:t>
            </w:r>
            <w:r>
              <w:rPr>
                <w:rFonts w:hint="eastAsia" w:ascii="Times New Roman" w:hAnsi="Times New Roman" w:eastAsia="宋体" w:cs="Times New Roman"/>
                <w:color w:val="auto"/>
                <w:szCs w:val="21"/>
                <w:highlight w:val="none"/>
                <w:lang w:val="en-US" w:eastAsia="zh-CN"/>
              </w:rPr>
              <w:t>室内室外喷洒，</w:t>
            </w:r>
            <w:r>
              <w:rPr>
                <w:rFonts w:hint="eastAsia" w:ascii="Times New Roman" w:hAnsi="Times New Roman" w:eastAsia="宋体" w:cs="Times New Roman"/>
                <w:color w:val="auto"/>
                <w:spacing w:val="0"/>
                <w:w w:val="100"/>
                <w:position w:val="0"/>
                <w:highlight w:val="none"/>
                <w:vertAlign w:val="baseline"/>
                <w:lang w:val="en-US" w:eastAsia="zh-CN"/>
              </w:rPr>
              <w:t>全年不少于</w:t>
            </w:r>
            <w:r>
              <w:rPr>
                <w:rFonts w:hint="eastAsia" w:ascii="Times New Roman" w:hAnsi="Times New Roman" w:eastAsia="宋体" w:cs="Times New Roman"/>
                <w:color w:val="auto"/>
                <w:szCs w:val="21"/>
                <w:highlight w:val="none"/>
                <w:lang w:val="en-US" w:eastAsia="zh-CN"/>
              </w:rPr>
              <w:t>6台；</w:t>
            </w:r>
          </w:p>
          <w:p w14:paraId="07B140AF">
            <w:pPr>
              <w:keepNext w:val="0"/>
              <w:keepLines w:val="0"/>
              <w:widowControl/>
              <w:suppressLineNumbers w:val="0"/>
              <w:jc w:val="lef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④</w:t>
            </w:r>
            <w:r>
              <w:rPr>
                <w:rFonts w:hint="default" w:ascii="Times New Roman" w:hAnsi="Times New Roman" w:eastAsia="宋体" w:cs="Times New Roman"/>
                <w:color w:val="auto"/>
                <w:spacing w:val="0"/>
                <w:w w:val="100"/>
                <w:position w:val="0"/>
                <w:highlight w:val="none"/>
                <w:vertAlign w:val="baseline"/>
                <w:lang w:val="en-US" w:eastAsia="zh-CN"/>
              </w:rPr>
              <w:t>可视检测仪</w:t>
            </w:r>
            <w:r>
              <w:rPr>
                <w:rFonts w:hint="eastAsia" w:ascii="Times New Roman" w:hAnsi="Times New Roman" w:eastAsia="宋体" w:cs="Times New Roman"/>
                <w:color w:val="auto"/>
                <w:spacing w:val="0"/>
                <w:w w:val="100"/>
                <w:position w:val="0"/>
                <w:highlight w:val="none"/>
                <w:vertAlign w:val="baseline"/>
                <w:lang w:val="en-US" w:eastAsia="zh-CN"/>
              </w:rPr>
              <w:t>，用于</w:t>
            </w:r>
            <w:r>
              <w:rPr>
                <w:rFonts w:hint="eastAsia" w:ascii="Times New Roman" w:hAnsi="Times New Roman" w:eastAsia="宋体" w:cs="Times New Roman"/>
                <w:color w:val="auto"/>
                <w:szCs w:val="21"/>
                <w:highlight w:val="none"/>
                <w:lang w:val="en-US" w:eastAsia="zh-CN"/>
              </w:rPr>
              <w:t>室内室外检测，</w:t>
            </w:r>
            <w:r>
              <w:rPr>
                <w:rFonts w:hint="eastAsia" w:ascii="Times New Roman" w:hAnsi="Times New Roman" w:eastAsia="宋体" w:cs="Times New Roman"/>
                <w:color w:val="auto"/>
                <w:spacing w:val="0"/>
                <w:w w:val="100"/>
                <w:position w:val="0"/>
                <w:highlight w:val="none"/>
                <w:vertAlign w:val="baseline"/>
                <w:lang w:val="en-US" w:eastAsia="zh-CN"/>
              </w:rPr>
              <w:t>全年不少于</w:t>
            </w:r>
            <w:r>
              <w:rPr>
                <w:rFonts w:hint="eastAsia" w:ascii="Times New Roman" w:hAnsi="Times New Roman" w:eastAsia="宋体" w:cs="Times New Roman"/>
                <w:color w:val="auto"/>
                <w:szCs w:val="21"/>
                <w:highlight w:val="none"/>
                <w:lang w:val="en-US" w:eastAsia="zh-CN"/>
              </w:rPr>
              <w:t>1台。</w:t>
            </w:r>
          </w:p>
        </w:tc>
      </w:tr>
      <w:tr w14:paraId="09AA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54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B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应急服务</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1880">
            <w:pPr>
              <w:keepNext w:val="0"/>
              <w:keepLines w:val="0"/>
              <w:widowControl/>
              <w:suppressLineNumbers w:val="0"/>
              <w:ind w:firstLine="0" w:firstLineChars="0"/>
              <w:jc w:val="left"/>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olor w:val="auto"/>
                <w:szCs w:val="21"/>
                <w:highlight w:val="none"/>
              </w:rPr>
              <w:t>突发白蚁险情时，中标人在收到招标人通知后2小时内抵达现场开展应急灭杀处置，应急消杀不计入常规作业频次；白蚁高发期，招标人有权要求中标人无偿增加消杀作业频次。</w:t>
            </w:r>
          </w:p>
        </w:tc>
      </w:tr>
    </w:tbl>
    <w:p w14:paraId="379AA760">
      <w:pPr>
        <w:spacing w:line="360" w:lineRule="auto"/>
        <w:rPr>
          <w:rFonts w:hint="default" w:ascii="Times New Roman" w:hAnsi="Times New Roman" w:eastAsia="宋体" w:cs="Times New Roman"/>
          <w:b/>
          <w:bCs/>
          <w:color w:val="auto"/>
          <w:sz w:val="24"/>
          <w:highlight w:val="none"/>
        </w:rPr>
      </w:pPr>
      <w:r>
        <w:rPr>
          <w:rFonts w:ascii="Times New Roman" w:hAnsi="Times New Roman" w:eastAsia="宋体" w:cs="Times New Roman"/>
          <w:b/>
          <w:color w:val="auto"/>
          <w:kern w:val="0"/>
          <w:szCs w:val="21"/>
          <w:highlight w:val="none"/>
        </w:rPr>
        <w:br w:type="page"/>
      </w:r>
      <w:r>
        <w:rPr>
          <w:rFonts w:hint="default" w:ascii="Times New Roman" w:hAnsi="Times New Roman" w:eastAsia="宋体" w:cs="Times New Roman"/>
          <w:b/>
          <w:bCs/>
          <w:color w:val="auto"/>
          <w:sz w:val="24"/>
          <w:highlight w:val="none"/>
        </w:rPr>
        <w:t>附件二：合同条款格式</w:t>
      </w:r>
    </w:p>
    <w:p w14:paraId="705C3BA2">
      <w:pPr>
        <w:spacing w:line="240" w:lineRule="auto"/>
        <w:rPr>
          <w:rFonts w:hint="default"/>
        </w:rPr>
      </w:pPr>
    </w:p>
    <w:p w14:paraId="3BDFF86F">
      <w:pPr>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lang w:val="en-US" w:eastAsia="zh-CN"/>
        </w:rPr>
        <w:t>公共区域部分楼宇白蚁防治服务</w:t>
      </w:r>
      <w:r>
        <w:rPr>
          <w:rFonts w:hint="eastAsia" w:ascii="宋体" w:hAnsi="宋体" w:eastAsia="宋体" w:cs="宋体"/>
          <w:b/>
          <w:color w:val="auto"/>
          <w:sz w:val="30"/>
          <w:szCs w:val="30"/>
          <w:highlight w:val="none"/>
        </w:rPr>
        <w:t>合同</w:t>
      </w:r>
    </w:p>
    <w:p w14:paraId="57C5E5A2">
      <w:pPr>
        <w:keepNext w:val="0"/>
        <w:keepLines w:val="0"/>
        <w:pageBreakBefore w:val="0"/>
        <w:kinsoku/>
        <w:wordWrap w:val="0"/>
        <w:overflowPunct/>
        <w:topLinePunct/>
        <w:autoSpaceDE/>
        <w:autoSpaceDN/>
        <w:bidi w:val="0"/>
        <w:adjustRightInd/>
        <w:snapToGrid/>
        <w:spacing w:beforeAutospacing="0" w:afterAutospacing="0" w:line="360" w:lineRule="auto"/>
        <w:ind w:left="0" w:leftChars="0" w:firstLine="482" w:firstLineChars="200"/>
        <w:rPr>
          <w:rFonts w:hint="default" w:ascii="Times New Roman" w:hAnsi="Times New Roman" w:eastAsia="宋体" w:cs="Times New Roman"/>
          <w:b/>
          <w:bCs/>
          <w:color w:val="auto"/>
          <w:sz w:val="24"/>
          <w:szCs w:val="24"/>
          <w:highlight w:val="none"/>
        </w:rPr>
      </w:pPr>
    </w:p>
    <w:p w14:paraId="69F85403">
      <w:pPr>
        <w:keepNext w:val="0"/>
        <w:keepLines w:val="0"/>
        <w:pageBreakBefore w:val="0"/>
        <w:kinsoku/>
        <w:wordWrap w:val="0"/>
        <w:overflowPunct/>
        <w:topLinePunct/>
        <w:autoSpaceDE/>
        <w:autoSpaceDN/>
        <w:bidi w:val="0"/>
        <w:adjustRightInd/>
        <w:snapToGrid/>
        <w:spacing w:beforeAutospacing="0" w:afterAutospacing="0" w:line="360" w:lineRule="auto"/>
        <w:ind w:left="0" w:leftChars="0"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甲方：</w:t>
      </w:r>
    </w:p>
    <w:p w14:paraId="5E850BB0">
      <w:pPr>
        <w:keepNext w:val="0"/>
        <w:keepLines w:val="0"/>
        <w:pageBreakBefore w:val="0"/>
        <w:widowControl/>
        <w:kinsoku/>
        <w:overflowPunct/>
        <w:autoSpaceDE/>
        <w:autoSpaceDN/>
        <w:bidi w:val="0"/>
        <w:adjustRightInd/>
        <w:snapToGrid/>
        <w:spacing w:beforeAutospacing="0" w:afterAutospacing="0" w:line="360" w:lineRule="auto"/>
        <w:ind w:left="0" w:leftChars="0" w:firstLine="422" w:firstLineChars="200"/>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乙方：</w:t>
      </w:r>
    </w:p>
    <w:p w14:paraId="1B19DFFA">
      <w:pPr>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甲乙双方依据《中华人民共和国民法典》及其他有关法律、法规的规定，本着平等、自愿、公平和诚实信用原则，就</w:t>
      </w:r>
      <w:r>
        <w:rPr>
          <w:rFonts w:hint="default" w:ascii="Times New Roman" w:hAnsi="Times New Roman" w:eastAsia="宋体" w:cs="Times New Roman"/>
          <w:bCs/>
          <w:color w:val="auto"/>
          <w:sz w:val="21"/>
          <w:szCs w:val="21"/>
          <w:highlight w:val="none"/>
          <w:u w:val="single"/>
          <w:lang w:val="en-US" w:eastAsia="zh-CN"/>
        </w:rPr>
        <w:t>公共区域部分楼宇白蚁防治</w:t>
      </w:r>
      <w:r>
        <w:rPr>
          <w:rFonts w:hint="default" w:ascii="Times New Roman" w:hAnsi="Times New Roman" w:eastAsia="宋体" w:cs="Times New Roman"/>
          <w:bCs/>
          <w:color w:val="auto"/>
          <w:sz w:val="21"/>
          <w:szCs w:val="21"/>
          <w:highlight w:val="none"/>
        </w:rPr>
        <w:t>项目</w:t>
      </w:r>
      <w:r>
        <w:rPr>
          <w:rFonts w:hint="default" w:ascii="Times New Roman" w:hAnsi="Times New Roman" w:eastAsia="宋体" w:cs="Times New Roman"/>
          <w:bCs/>
          <w:color w:val="auto"/>
          <w:sz w:val="21"/>
          <w:szCs w:val="21"/>
          <w:highlight w:val="none"/>
          <w:lang w:val="en-US" w:eastAsia="zh-CN"/>
        </w:rPr>
        <w:t>有关事宜</w:t>
      </w:r>
      <w:r>
        <w:rPr>
          <w:rFonts w:hint="default" w:ascii="Times New Roman" w:hAnsi="Times New Roman" w:eastAsia="宋体" w:cs="Times New Roman"/>
          <w:bCs/>
          <w:color w:val="auto"/>
          <w:sz w:val="21"/>
          <w:szCs w:val="21"/>
          <w:highlight w:val="none"/>
        </w:rPr>
        <w:t>协商一致，共同达成如下协议：</w:t>
      </w:r>
    </w:p>
    <w:p w14:paraId="719763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303012D3">
      <w:pPr>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1.项目名称：</w:t>
      </w:r>
      <w:r>
        <w:rPr>
          <w:rFonts w:hint="default" w:ascii="Times New Roman" w:hAnsi="Times New Roman" w:eastAsia="宋体" w:cs="Times New Roman"/>
          <w:b w:val="0"/>
          <w:bCs w:val="0"/>
          <w:color w:val="auto"/>
          <w:sz w:val="21"/>
          <w:szCs w:val="21"/>
          <w:highlight w:val="none"/>
          <w:u w:val="single"/>
          <w:lang w:val="en-US" w:eastAsia="zh-CN"/>
        </w:rPr>
        <w:t>公共区域部分楼宇白蚁防治服务项目</w:t>
      </w:r>
    </w:p>
    <w:p w14:paraId="1883E0CA">
      <w:pPr>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2.项目地点：</w:t>
      </w:r>
      <w:r>
        <w:rPr>
          <w:rFonts w:hint="default" w:ascii="Times New Roman" w:hAnsi="Times New Roman" w:eastAsia="宋体" w:cs="Times New Roman"/>
          <w:b w:val="0"/>
          <w:bCs w:val="0"/>
          <w:color w:val="auto"/>
          <w:sz w:val="21"/>
          <w:szCs w:val="21"/>
          <w:highlight w:val="none"/>
          <w:u w:val="single"/>
          <w:lang w:val="en-US" w:eastAsia="zh-CN"/>
        </w:rPr>
        <w:t xml:space="preserve">南京禄口国际机场 </w:t>
      </w:r>
    </w:p>
    <w:p w14:paraId="606616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rPr>
        <w:t>二、项目</w:t>
      </w:r>
      <w:r>
        <w:rPr>
          <w:rFonts w:hint="default" w:ascii="Times New Roman" w:hAnsi="Times New Roman" w:eastAsia="宋体" w:cs="Times New Roman"/>
          <w:b/>
          <w:color w:val="auto"/>
          <w:sz w:val="21"/>
          <w:szCs w:val="21"/>
          <w:highlight w:val="none"/>
          <w:lang w:val="en-US" w:eastAsia="zh-CN"/>
        </w:rPr>
        <w:t>范围</w:t>
      </w:r>
      <w:r>
        <w:rPr>
          <w:rFonts w:hint="default" w:ascii="Times New Roman" w:hAnsi="Times New Roman" w:eastAsia="宋体" w:cs="Times New Roman"/>
          <w:b/>
          <w:color w:val="auto"/>
          <w:sz w:val="21"/>
          <w:szCs w:val="21"/>
          <w:highlight w:val="none"/>
        </w:rPr>
        <w:t>及</w:t>
      </w:r>
      <w:r>
        <w:rPr>
          <w:rFonts w:hint="default" w:ascii="Times New Roman" w:hAnsi="Times New Roman" w:eastAsia="宋体" w:cs="Times New Roman"/>
          <w:b/>
          <w:color w:val="auto"/>
          <w:sz w:val="21"/>
          <w:szCs w:val="21"/>
          <w:highlight w:val="none"/>
          <w:lang w:val="en-US" w:eastAsia="zh-CN"/>
        </w:rPr>
        <w:t>内容</w:t>
      </w:r>
    </w:p>
    <w:p w14:paraId="59883C3A">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1.白蚁防治服务范围：覆盖各楼栋室内及室外周边3米范围区域，共涉及5个服务场地</w:t>
      </w:r>
      <w:r>
        <w:rPr>
          <w:rFonts w:hint="eastAsia" w:ascii="Times New Roman" w:hAnsi="Times New Roman" w:eastAsia="宋体" w:cs="Times New Roman"/>
          <w:color w:val="auto"/>
          <w:sz w:val="21"/>
          <w:szCs w:val="21"/>
          <w:highlight w:val="none"/>
          <w:u w:val="none"/>
          <w:lang w:val="en-US" w:eastAsia="zh-CN"/>
        </w:rPr>
        <w:t>。</w:t>
      </w:r>
    </w:p>
    <w:p w14:paraId="425335E3">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w:t>
      </w:r>
      <w:r>
        <w:rPr>
          <w:rFonts w:hint="default" w:ascii="Times New Roman" w:hAnsi="Times New Roman" w:eastAsia="宋体" w:cs="Times New Roman"/>
          <w:color w:val="auto"/>
          <w:sz w:val="21"/>
          <w:szCs w:val="21"/>
          <w:highlight w:val="none"/>
          <w:u w:val="none"/>
          <w:lang w:val="en-US" w:eastAsia="zh-CN"/>
        </w:rPr>
        <w:t>职工公寓翔宇居（含报告厅楼宇）共14层+2层；</w:t>
      </w:r>
    </w:p>
    <w:p w14:paraId="387F083A">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（2）职工公寓汇安居共5层；</w:t>
      </w:r>
    </w:p>
    <w:p w14:paraId="2F1EA7AA">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（3）职工公寓鲲鹏居共4层+1层平房；</w:t>
      </w:r>
    </w:p>
    <w:p w14:paraId="79A4EB09">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（4）职工活动中心室内场馆；</w:t>
      </w:r>
    </w:p>
    <w:p w14:paraId="0847DB00">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0"/>
        <w:jc w:val="left"/>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（5）污水站建筑共2层。</w:t>
      </w:r>
    </w:p>
    <w:p w14:paraId="335177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0"/>
          <w:sz w:val="21"/>
          <w:szCs w:val="21"/>
          <w:highlight w:val="none"/>
          <w:u w:val="single"/>
          <w:lang w:val="en-US" w:eastAsia="zh-CN" w:bidi="ar-SA"/>
        </w:rPr>
      </w:pPr>
      <w:r>
        <w:rPr>
          <w:rFonts w:hint="default" w:ascii="Times New Roman" w:hAnsi="Times New Roman" w:eastAsia="宋体" w:cs="Times New Roman"/>
          <w:color w:val="auto"/>
          <w:sz w:val="21"/>
          <w:szCs w:val="21"/>
          <w:highlight w:val="none"/>
          <w:u w:val="none"/>
          <w:lang w:val="en-US" w:eastAsia="zh-CN"/>
        </w:rPr>
        <w:t>2.维保服务内容及要求：</w:t>
      </w:r>
      <w:r>
        <w:rPr>
          <w:rFonts w:hint="default" w:ascii="Times New Roman" w:hAnsi="Times New Roman" w:eastAsia="宋体" w:cs="Times New Roman"/>
          <w:color w:val="auto"/>
          <w:kern w:val="0"/>
          <w:sz w:val="21"/>
          <w:szCs w:val="21"/>
          <w:highlight w:val="none"/>
          <w:u w:val="single"/>
          <w:lang w:val="en-US" w:eastAsia="zh-CN" w:bidi="ar-SA"/>
        </w:rPr>
        <w:t>详见招标文件技术需求书，投标文件与招标文件有不符之处，甲方有权要求乙方按招标文件执行</w:t>
      </w:r>
      <w:r>
        <w:rPr>
          <w:rFonts w:hint="default" w:ascii="Times New Roman" w:hAnsi="Times New Roman" w:eastAsia="宋体" w:cs="Times New Roman"/>
          <w:color w:val="auto"/>
          <w:kern w:val="0"/>
          <w:sz w:val="21"/>
          <w:szCs w:val="21"/>
          <w:highlight w:val="none"/>
          <w:u w:val="none"/>
          <w:lang w:val="en-US" w:eastAsia="zh-CN" w:bidi="ar-SA"/>
        </w:rPr>
        <w:t xml:space="preserve">。 </w:t>
      </w:r>
    </w:p>
    <w:p w14:paraId="1CF35D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val="en-US" w:eastAsia="zh-CN"/>
        </w:rPr>
        <w:t>三</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服务期限</w:t>
      </w:r>
    </w:p>
    <w:p w14:paraId="7A089037">
      <w:pPr>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本合同服务期限为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年</w:t>
      </w:r>
      <w:r>
        <w:rPr>
          <w:rFonts w:hint="default" w:ascii="Times New Roman" w:hAnsi="Times New Roman" w:eastAsia="宋体" w:cs="Times New Roman"/>
          <w:color w:val="auto"/>
          <w:sz w:val="21"/>
          <w:szCs w:val="21"/>
          <w:highlight w:val="none"/>
        </w:rPr>
        <w:t>，自</w:t>
      </w:r>
      <w:r>
        <w:rPr>
          <w:rFonts w:hint="default" w:ascii="Times New Roman" w:hAnsi="Times New Roman" w:eastAsia="宋体" w:cs="Times New Roman"/>
          <w:color w:val="auto"/>
          <w:sz w:val="21"/>
          <w:szCs w:val="21"/>
          <w:highlight w:val="none"/>
          <w:u w:val="single"/>
        </w:rPr>
        <w:t xml:space="preserve">    年   月  日</w:t>
      </w:r>
      <w:r>
        <w:rPr>
          <w:rFonts w:hint="default" w:ascii="Times New Roman" w:hAnsi="Times New Roman" w:eastAsia="宋体" w:cs="Times New Roman"/>
          <w:color w:val="auto"/>
          <w:sz w:val="21"/>
          <w:szCs w:val="21"/>
          <w:highlight w:val="none"/>
        </w:rPr>
        <w:t>起，至</w:t>
      </w:r>
      <w:r>
        <w:rPr>
          <w:rFonts w:hint="default" w:ascii="Times New Roman" w:hAnsi="Times New Roman" w:eastAsia="宋体" w:cs="Times New Roman"/>
          <w:color w:val="auto"/>
          <w:sz w:val="21"/>
          <w:szCs w:val="21"/>
          <w:highlight w:val="none"/>
          <w:u w:val="single"/>
        </w:rPr>
        <w:t xml:space="preserve">     年   月   日</w:t>
      </w:r>
      <w:r>
        <w:rPr>
          <w:rFonts w:hint="default" w:ascii="Times New Roman" w:hAnsi="Times New Roman" w:eastAsia="宋体" w:cs="Times New Roman"/>
          <w:color w:val="auto"/>
          <w:sz w:val="21"/>
          <w:szCs w:val="21"/>
          <w:highlight w:val="none"/>
        </w:rPr>
        <w:t>止。</w:t>
      </w:r>
    </w:p>
    <w:p w14:paraId="14248A8C">
      <w:pPr>
        <w:pStyle w:val="8"/>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若因非甲方原因导致服务暂停/中止/暂缓的，服务期限相应延长，甲方无需支付额外费用。</w:t>
      </w:r>
    </w:p>
    <w:p w14:paraId="26910C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四</w:t>
      </w:r>
      <w:r>
        <w:rPr>
          <w:rFonts w:hint="default" w:ascii="Times New Roman" w:hAnsi="Times New Roman" w:eastAsia="宋体" w:cs="Times New Roman"/>
          <w:b/>
          <w:color w:val="auto"/>
          <w:sz w:val="21"/>
          <w:szCs w:val="21"/>
          <w:highlight w:val="none"/>
        </w:rPr>
        <w:t>、合同价款</w:t>
      </w:r>
    </w:p>
    <w:p w14:paraId="1E0548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default" w:ascii="Times New Roman" w:hAnsi="Times New Roman" w:eastAsia="宋体" w:cs="Times New Roman"/>
          <w:b/>
          <w:bCs/>
          <w:color w:val="auto"/>
          <w:sz w:val="21"/>
          <w:szCs w:val="21"/>
          <w:highlight w:val="none"/>
          <w:u w:val="none"/>
          <w:shd w:val="clear" w:color="auto" w:fill="auto"/>
          <w:lang w:val="en-US"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服务</w:t>
      </w:r>
      <w:r>
        <w:rPr>
          <w:rFonts w:hint="default" w:ascii="Times New Roman" w:hAnsi="Times New Roman" w:eastAsia="宋体" w:cs="Times New Roman"/>
          <w:color w:val="auto"/>
          <w:kern w:val="0"/>
          <w:sz w:val="21"/>
          <w:szCs w:val="21"/>
          <w:highlight w:val="none"/>
        </w:rPr>
        <w:t>费用按人民币</w:t>
      </w:r>
      <w:r>
        <w:rPr>
          <w:rFonts w:hint="default" w:ascii="Times New Roman" w:hAnsi="Times New Roman" w:eastAsia="宋体" w:cs="Times New Roman"/>
          <w:color w:val="auto"/>
          <w:kern w:val="0"/>
          <w:sz w:val="21"/>
          <w:szCs w:val="21"/>
          <w:highlight w:val="none"/>
          <w:u w:val="single"/>
        </w:rPr>
        <w:t xml:space="preserve">        元</w:t>
      </w:r>
      <w:r>
        <w:rPr>
          <w:rFonts w:hint="default" w:ascii="Times New Roman" w:hAnsi="Times New Roman" w:eastAsia="宋体" w:cs="Times New Roman"/>
          <w:color w:val="auto"/>
          <w:kern w:val="0"/>
          <w:sz w:val="21"/>
          <w:szCs w:val="21"/>
          <w:highlight w:val="none"/>
        </w:rPr>
        <w:t>/年计算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合同期内总费用合计为人民币（含税）：</w:t>
      </w:r>
      <w:r>
        <w:rPr>
          <w:rFonts w:hint="default" w:ascii="Times New Roman" w:hAnsi="Times New Roman" w:eastAsia="宋体" w:cs="Times New Roman"/>
          <w:color w:val="auto"/>
          <w:kern w:val="0"/>
          <w:sz w:val="21"/>
          <w:szCs w:val="21"/>
          <w:highlight w:val="none"/>
          <w:u w:val="single"/>
          <w:lang w:val="en-US" w:eastAsia="zh-CN"/>
        </w:rPr>
        <w:t>¥         元（大写：      ），税率为    ，不含税价为¥       元（大写：           ）</w:t>
      </w:r>
      <w:r>
        <w:rPr>
          <w:rFonts w:hint="default" w:ascii="Times New Roman" w:hAnsi="Times New Roman" w:eastAsia="宋体" w:cs="Times New Roman"/>
          <w:b w:val="0"/>
          <w:bCs w:val="0"/>
          <w:color w:val="auto"/>
          <w:sz w:val="21"/>
          <w:szCs w:val="21"/>
          <w:highlight w:val="none"/>
          <w:u w:val="none"/>
          <w:shd w:val="clear" w:color="auto" w:fill="auto"/>
          <w:lang w:val="en-US" w:eastAsia="zh-CN"/>
        </w:rPr>
        <w:t>。上述费用已包含交通费、食宿费、税金等乙方为完成本合同所需的全部费用。除此之外，甲方无须向乙方支付其他任何费用。</w:t>
      </w:r>
    </w:p>
    <w:p w14:paraId="287C2A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default" w:ascii="Times New Roman" w:hAnsi="Times New Roman" w:eastAsia="宋体" w:cs="Times New Roman"/>
          <w:b w:val="0"/>
          <w:bCs w:val="0"/>
          <w:color w:val="auto"/>
          <w:sz w:val="21"/>
          <w:szCs w:val="21"/>
          <w:highlight w:val="none"/>
          <w:u w:val="none"/>
          <w:shd w:val="clear" w:color="auto" w:fill="auto"/>
          <w:lang w:val="en-US" w:eastAsia="zh-CN"/>
        </w:rPr>
      </w:pPr>
      <w:r>
        <w:rPr>
          <w:rFonts w:hint="default" w:ascii="Times New Roman" w:hAnsi="Times New Roman" w:eastAsia="宋体" w:cs="Times New Roman"/>
          <w:b w:val="0"/>
          <w:bCs w:val="0"/>
          <w:color w:val="auto"/>
          <w:sz w:val="21"/>
          <w:szCs w:val="21"/>
          <w:highlight w:val="none"/>
          <w:u w:val="none"/>
          <w:shd w:val="clear" w:color="auto" w:fill="auto"/>
          <w:lang w:val="en-US" w:eastAsia="zh-CN"/>
        </w:rPr>
        <w:t>2.在合同有效期限内，若因国家税收政策调整而引起的增值税税率变化的，应按照国家税收政策调整，合同金额变更为原合同不含增值税价格与调整后税率计算税额的合计金额。</w:t>
      </w:r>
    </w:p>
    <w:p w14:paraId="6E8024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五</w:t>
      </w:r>
      <w:r>
        <w:rPr>
          <w:rFonts w:hint="default" w:ascii="Times New Roman" w:hAnsi="Times New Roman" w:eastAsia="宋体" w:cs="Times New Roman"/>
          <w:b/>
          <w:color w:val="auto"/>
          <w:sz w:val="21"/>
          <w:szCs w:val="21"/>
          <w:highlight w:val="none"/>
        </w:rPr>
        <w:t>、双方</w:t>
      </w:r>
      <w:r>
        <w:rPr>
          <w:rFonts w:hint="default" w:ascii="Times New Roman" w:hAnsi="Times New Roman" w:eastAsia="宋体" w:cs="Times New Roman"/>
          <w:b/>
          <w:color w:val="auto"/>
          <w:sz w:val="21"/>
          <w:szCs w:val="21"/>
          <w:highlight w:val="none"/>
          <w:lang w:val="en-US" w:eastAsia="zh-CN"/>
        </w:rPr>
        <w:t>权利与</w:t>
      </w:r>
      <w:r>
        <w:rPr>
          <w:rFonts w:hint="default" w:ascii="Times New Roman" w:hAnsi="Times New Roman" w:eastAsia="宋体" w:cs="Times New Roman"/>
          <w:b/>
          <w:color w:val="auto"/>
          <w:sz w:val="21"/>
          <w:szCs w:val="21"/>
          <w:highlight w:val="none"/>
        </w:rPr>
        <w:t>义务</w:t>
      </w:r>
    </w:p>
    <w:p w14:paraId="75C090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 xml:space="preserve">1.在合同期内甲方配合乙方工作，乙方作业人员每次现场投（施）药时甲方应派出相关负责人监督检查，作业完毕后，乙方应出示消杀记录服务单，双方签字确认并留存备查。 </w:t>
      </w:r>
    </w:p>
    <w:p w14:paraId="4648E5D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 xml:space="preserve">2.甲方对乙方防治作业质量、相关人员作业操作有异议时，甲方向乙方提出技术要求整改，若乙方未有效整改，甲方有权要求乙方对失职或屡教不改的人员进行更换。 </w:t>
      </w:r>
    </w:p>
    <w:p w14:paraId="5270497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3.甲方在日常管理中发现服务区域内出现新的或乙方尚未察觉的白蚁活动迹象时，应及时通知乙方，乙方须在接到甲方通知后2小时内组织人员赶赴现场，并进行有效应急处置和灭治作业。</w:t>
      </w:r>
    </w:p>
    <w:p w14:paraId="51614CA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4.乙方应实行分季节常态化防治巡检，其中每年3—9月白蚁危害高峰季节，每月开展全面治理2次、全面隐患检查1次，10月至次年2月白蚁低活跃期，每月开展全面治理1次、全面隐患检查1次</w:t>
      </w:r>
    </w:p>
    <w:p w14:paraId="506C9D4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5.出现白蚁情况，乙方接到甲方通知后，2小时内应及时组织灭杀，不受消杀次数限制；虫害发生高峰期，甲方可要求乙方免费增加消杀频次；</w:t>
      </w:r>
    </w:p>
    <w:p w14:paraId="31CDF51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3.乙方实施白蚁灭杀后，后续复查发现灭杀的蚁患未能完全消灭时，须进行第二次药物触杀处理，杜绝蚁患的复发机会。</w:t>
      </w:r>
    </w:p>
    <w:p w14:paraId="72C7980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4.乙方每次作业前，应与甲方负责人就现场蚁患情况进行沟通确认，并告知消杀实施方案。乙方作业结束后，应向甲方提供包含消药剂布放点、使用剂量等消杀记录服务单，双方签字确认并留存备查。</w:t>
      </w:r>
    </w:p>
    <w:p w14:paraId="1A042AC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5.乙方在消杀过程中，应充分考虑甲方现场的各种特殊环境因素，在确保治理质量的同时，不得对甲方人员安全及现场环境造成二次损害或污染。</w:t>
      </w:r>
    </w:p>
    <w:p w14:paraId="0CEC8F4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6.若经有关权威部门鉴定，因乙方使用药物不当从而引起人﹑畜造成的中毒或相关责任事故，由乙方承担全部责任。</w:t>
      </w:r>
    </w:p>
    <w:p w14:paraId="6FE5ED7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7.若国家或地方政府出台与白蚁防治相关的最新规定、规范，乙方应及时办理相关手续并提交甲方查验，否则甲方有权单方解除合同，由此产生的一切责任由乙方承担。</w:t>
      </w:r>
    </w:p>
    <w:p w14:paraId="4EC39C24">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2" w:firstLineChars="200"/>
        <w:jc w:val="left"/>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六、项目负责人</w:t>
      </w:r>
    </w:p>
    <w:p w14:paraId="138C233F">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 xml:space="preserve">    1.乙方确定如下项目负责人（紧急联系人）：</w:t>
      </w:r>
    </w:p>
    <w:p w14:paraId="3D169379">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color w:val="auto"/>
          <w:kern w:val="0"/>
          <w:sz w:val="21"/>
          <w:szCs w:val="21"/>
          <w:highlight w:val="none"/>
          <w:u w:val="single"/>
          <w:lang w:val="en-US" w:eastAsia="zh-CN"/>
        </w:rPr>
      </w:pPr>
      <w:r>
        <w:rPr>
          <w:rFonts w:hint="default" w:ascii="Times New Roman" w:hAnsi="Times New Roman" w:eastAsia="宋体" w:cs="Times New Roman"/>
          <w:color w:val="auto"/>
          <w:kern w:val="0"/>
          <w:sz w:val="21"/>
          <w:szCs w:val="21"/>
          <w:highlight w:val="none"/>
          <w:lang w:val="en-US" w:eastAsia="zh-CN"/>
        </w:rPr>
        <w:t>负责人姓名：</w:t>
      </w:r>
      <w:r>
        <w:rPr>
          <w:rFonts w:hint="default" w:ascii="Times New Roman" w:hAnsi="Times New Roman" w:eastAsia="宋体" w:cs="Times New Roman"/>
          <w:color w:val="auto"/>
          <w:kern w:val="0"/>
          <w:sz w:val="21"/>
          <w:szCs w:val="21"/>
          <w:highlight w:val="none"/>
          <w:u w:val="single"/>
          <w:lang w:val="en-US" w:eastAsia="zh-CN"/>
        </w:rPr>
        <w:t xml:space="preserve">                    </w:t>
      </w:r>
    </w:p>
    <w:p w14:paraId="6A7C7FD2">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身份证号：</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lang w:val="en-US" w:eastAsia="zh-CN"/>
        </w:rPr>
        <w:t xml:space="preserve">  </w:t>
      </w:r>
    </w:p>
    <w:p w14:paraId="70032CA3">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联系方式：</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lang w:val="en-US" w:eastAsia="zh-CN"/>
        </w:rPr>
        <w:t xml:space="preserve">  </w:t>
      </w:r>
    </w:p>
    <w:p w14:paraId="779D4475">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项目负责人的权限：负责本项目的项目管理、统筹相关工作，监督项目执行与情况汇报；控制工作质量，执行变更和应急情况管理；根据实际情况调整乙方工作人员工作，以保证项目的正常高效运作；代表乙方处理紧急维修及故障排查；代表乙方对甲方发出的文函签字确认。</w:t>
      </w:r>
    </w:p>
    <w:p w14:paraId="6E325624">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3.未经甲方书面同意乙方不得擅自变更项目负责人。</w:t>
      </w:r>
    </w:p>
    <w:p w14:paraId="2E0F536F">
      <w:pPr>
        <w:pStyle w:val="20"/>
        <w:keepNext w:val="0"/>
        <w:keepLines w:val="0"/>
        <w:pageBreakBefore w:val="0"/>
        <w:widowControl w:val="0"/>
        <w:numPr>
          <w:ilvl w:val="0"/>
          <w:numId w:val="0"/>
        </w:numPr>
        <w:tabs>
          <w:tab w:val="left" w:pos="567"/>
          <w:tab w:val="left" w:pos="993"/>
        </w:tabs>
        <w:kinsoku/>
        <w:wordWrap/>
        <w:overflowPunct/>
        <w:topLinePunct w:val="0"/>
        <w:autoSpaceDE/>
        <w:autoSpaceDN/>
        <w:bidi w:val="0"/>
        <w:adjustRightInd/>
        <w:snapToGrid/>
        <w:spacing w:beforeAutospacing="0" w:afterAutospacing="0" w:line="360" w:lineRule="auto"/>
        <w:ind w:firstLine="420" w:firstLineChars="200"/>
        <w:jc w:val="left"/>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4.乙方提供的项目负责人必须24小时全天保持通信畅通，并为甲方提供全天24小时的紧急维修服务。</w:t>
      </w:r>
    </w:p>
    <w:p w14:paraId="4B8BA3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七</w:t>
      </w:r>
      <w:r>
        <w:rPr>
          <w:rFonts w:hint="default" w:ascii="Times New Roman" w:hAnsi="Times New Roman" w:eastAsia="宋体" w:cs="Times New Roman"/>
          <w:b/>
          <w:color w:val="auto"/>
          <w:sz w:val="21"/>
          <w:szCs w:val="21"/>
          <w:highlight w:val="none"/>
        </w:rPr>
        <w:t>、验收</w:t>
      </w:r>
    </w:p>
    <w:p w14:paraId="39321AA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1.验收标准：乙方应确保所完成的治理达到甲方要求，每次治理结束后，乙方必须出具书面《服务单》交甲方确认，以备案待查，服务单必须体现所防治种类、所用药品、治理情况等内容。</w:t>
      </w:r>
    </w:p>
    <w:p w14:paraId="59808DA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2.验收方式：甲方在收到乙方书面服务单，验收合格后，双方签署《服务单》，并留存备查。</w:t>
      </w:r>
    </w:p>
    <w:p w14:paraId="2EC11B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val="en-US" w:eastAsia="zh-CN"/>
        </w:rPr>
        <w:t>八</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支付</w:t>
      </w:r>
      <w:r>
        <w:rPr>
          <w:rFonts w:hint="default" w:ascii="Times New Roman" w:hAnsi="Times New Roman" w:eastAsia="宋体" w:cs="Times New Roman"/>
          <w:b/>
          <w:color w:val="auto"/>
          <w:sz w:val="21"/>
          <w:szCs w:val="21"/>
          <w:highlight w:val="none"/>
        </w:rPr>
        <w:t>方式</w:t>
      </w:r>
    </w:p>
    <w:p w14:paraId="47C4EE85">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239" w:leftChars="114" w:firstLine="210" w:firstLineChars="1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1.甲方收到乙方提供的</w:t>
      </w:r>
      <w:r>
        <w:rPr>
          <w:rFonts w:hint="default" w:ascii="Times New Roman" w:hAnsi="Times New Roman" w:eastAsia="宋体" w:cs="Times New Roman"/>
          <w:color w:val="auto"/>
          <w:kern w:val="0"/>
          <w:sz w:val="21"/>
          <w:szCs w:val="21"/>
          <w:highlight w:val="none"/>
          <w:u w:val="single"/>
          <w:lang w:val="en-US" w:eastAsia="zh-CN" w:bidi="ar-SA"/>
        </w:rPr>
        <w:t>全年白蚁防治服务记录</w:t>
      </w:r>
      <w:r>
        <w:rPr>
          <w:rFonts w:hint="eastAsia" w:ascii="Times New Roman" w:hAnsi="Times New Roman" w:eastAsia="宋体" w:cs="Times New Roman"/>
          <w:color w:val="auto"/>
          <w:kern w:val="0"/>
          <w:sz w:val="21"/>
          <w:szCs w:val="21"/>
          <w:highlight w:val="none"/>
          <w:u w:val="single"/>
          <w:lang w:val="en-US" w:eastAsia="zh-CN" w:bidi="ar-SA"/>
        </w:rPr>
        <w:t>单</w:t>
      </w:r>
      <w:r>
        <w:rPr>
          <w:rFonts w:hint="default" w:ascii="Times New Roman" w:hAnsi="Times New Roman" w:eastAsia="宋体" w:cs="Times New Roman"/>
          <w:color w:val="auto"/>
          <w:kern w:val="0"/>
          <w:sz w:val="21"/>
          <w:szCs w:val="21"/>
          <w:highlight w:val="none"/>
          <w:lang w:val="en-US" w:eastAsia="zh-CN" w:bidi="ar-SA"/>
        </w:rPr>
        <w:t>和</w:t>
      </w:r>
      <w:r>
        <w:rPr>
          <w:rFonts w:hint="default" w:ascii="Times New Roman" w:hAnsi="Times New Roman" w:eastAsia="宋体" w:cs="Times New Roman"/>
          <w:color w:val="auto"/>
          <w:kern w:val="0"/>
          <w:sz w:val="21"/>
          <w:szCs w:val="21"/>
          <w:highlight w:val="none"/>
          <w:u w:val="single"/>
          <w:lang w:val="en-US" w:eastAsia="zh-CN" w:bidi="ar-SA"/>
        </w:rPr>
        <w:t>等额增值税专用发票</w:t>
      </w:r>
      <w:r>
        <w:rPr>
          <w:rFonts w:hint="default" w:ascii="Times New Roman" w:hAnsi="Times New Roman" w:eastAsia="宋体" w:cs="Times New Roman"/>
          <w:color w:val="auto"/>
          <w:kern w:val="0"/>
          <w:sz w:val="21"/>
          <w:szCs w:val="21"/>
          <w:highlight w:val="none"/>
          <w:lang w:val="en-US" w:eastAsia="zh-CN" w:bidi="ar-SA"/>
        </w:rPr>
        <w:t>后</w:t>
      </w:r>
      <w:r>
        <w:rPr>
          <w:rFonts w:hint="default" w:ascii="Times New Roman" w:hAnsi="Times New Roman" w:eastAsia="宋体" w:cs="Times New Roman"/>
          <w:color w:val="auto"/>
          <w:kern w:val="0"/>
          <w:sz w:val="21"/>
          <w:szCs w:val="21"/>
          <w:highlight w:val="none"/>
          <w:u w:val="single"/>
          <w:lang w:val="en-US" w:eastAsia="zh-CN" w:bidi="ar-SA"/>
        </w:rPr>
        <w:t xml:space="preserve"> 15个</w:t>
      </w:r>
      <w:r>
        <w:rPr>
          <w:rFonts w:hint="default" w:ascii="Times New Roman" w:hAnsi="Times New Roman" w:eastAsia="宋体" w:cs="Times New Roman"/>
          <w:color w:val="auto"/>
          <w:kern w:val="0"/>
          <w:sz w:val="21"/>
          <w:szCs w:val="21"/>
          <w:highlight w:val="none"/>
          <w:lang w:val="en-US" w:eastAsia="zh-CN" w:bidi="ar-SA"/>
        </w:rPr>
        <w:t>工作日内，支付上一合同年的服务费用。如果乙方未能按要求提供发票，甲方有权顺延支付相应款项的期限且不承担迟延付款违约责任。</w:t>
      </w:r>
    </w:p>
    <w:p w14:paraId="6B169D19">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2.每次付款前，乙方均需提供符合要求的增值税</w:t>
      </w:r>
      <w:r>
        <w:rPr>
          <w:rFonts w:hint="default" w:ascii="Times New Roman" w:hAnsi="Times New Roman" w:eastAsia="宋体" w:cs="Times New Roman"/>
          <w:color w:val="auto"/>
          <w:kern w:val="0"/>
          <w:sz w:val="21"/>
          <w:szCs w:val="21"/>
          <w:highlight w:val="none"/>
          <w:u w:val="single"/>
          <w:lang w:val="en-US" w:eastAsia="zh-CN" w:bidi="ar-SA"/>
        </w:rPr>
        <w:t xml:space="preserve"> 专用 </w:t>
      </w:r>
      <w:r>
        <w:rPr>
          <w:rFonts w:hint="default" w:ascii="Times New Roman" w:hAnsi="Times New Roman" w:eastAsia="宋体" w:cs="Times New Roman"/>
          <w:color w:val="auto"/>
          <w:kern w:val="0"/>
          <w:sz w:val="21"/>
          <w:szCs w:val="21"/>
          <w:highlight w:val="none"/>
          <w:lang w:val="en-US" w:eastAsia="zh-CN" w:bidi="ar-SA"/>
        </w:rPr>
        <w:t>发票。如果乙方未能按要求提供发票，甲方有权顺延支付相应款项的期限且不承担迟延付款违约责任。</w:t>
      </w:r>
    </w:p>
    <w:p w14:paraId="30A648D0">
      <w:pPr>
        <w:keepNext w:val="0"/>
        <w:keepLines w:val="0"/>
        <w:pageBreakBefore w:val="0"/>
        <w:kinsoku/>
        <w:overflowPunct/>
        <w:autoSpaceDE/>
        <w:autoSpaceDN/>
        <w:bidi w:val="0"/>
        <w:adjustRightInd/>
        <w:snapToGrid/>
        <w:spacing w:beforeAutospacing="0" w:afterAutospacing="0" w:line="360" w:lineRule="auto"/>
        <w:ind w:left="0" w:leftChars="0" w:firstLine="420" w:firstLineChars="200"/>
        <w:jc w:val="left"/>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3.开票收款信息</w:t>
      </w:r>
    </w:p>
    <w:tbl>
      <w:tblPr>
        <w:tblStyle w:val="15"/>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7"/>
        <w:gridCol w:w="4261"/>
      </w:tblGrid>
      <w:tr w14:paraId="2DBE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6C94BF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甲方开票信息</w:t>
            </w:r>
          </w:p>
        </w:tc>
        <w:tc>
          <w:tcPr>
            <w:tcW w:w="4261" w:type="dxa"/>
            <w:vAlign w:val="center"/>
          </w:tcPr>
          <w:p w14:paraId="3595BB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乙方收款信息</w:t>
            </w:r>
          </w:p>
        </w:tc>
      </w:tr>
      <w:tr w14:paraId="265C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010BCA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名称：</w:t>
            </w:r>
          </w:p>
        </w:tc>
        <w:tc>
          <w:tcPr>
            <w:tcW w:w="4261" w:type="dxa"/>
            <w:vAlign w:val="center"/>
          </w:tcPr>
          <w:p w14:paraId="6E256D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收款人：</w:t>
            </w:r>
          </w:p>
        </w:tc>
      </w:tr>
      <w:tr w14:paraId="11B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2965CC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纳税人识别号：</w:t>
            </w:r>
          </w:p>
        </w:tc>
        <w:tc>
          <w:tcPr>
            <w:tcW w:w="4261" w:type="dxa"/>
            <w:vAlign w:val="center"/>
          </w:tcPr>
          <w:p w14:paraId="611A48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纳税人识别号：</w:t>
            </w:r>
          </w:p>
        </w:tc>
      </w:tr>
      <w:tr w14:paraId="3B6B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644147C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地址、电话：</w:t>
            </w:r>
          </w:p>
        </w:tc>
        <w:tc>
          <w:tcPr>
            <w:tcW w:w="4261" w:type="dxa"/>
            <w:vAlign w:val="center"/>
          </w:tcPr>
          <w:p w14:paraId="128BE5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开户银行：</w:t>
            </w:r>
          </w:p>
        </w:tc>
      </w:tr>
      <w:tr w14:paraId="63CE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1B4222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开户行：</w:t>
            </w:r>
          </w:p>
        </w:tc>
        <w:tc>
          <w:tcPr>
            <w:tcW w:w="4261" w:type="dxa"/>
            <w:vAlign w:val="center"/>
          </w:tcPr>
          <w:p w14:paraId="2F5991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银行账号：</w:t>
            </w:r>
          </w:p>
        </w:tc>
      </w:tr>
      <w:tr w14:paraId="31D7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32FD0C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银行账号：</w:t>
            </w:r>
          </w:p>
        </w:tc>
        <w:tc>
          <w:tcPr>
            <w:tcW w:w="4261" w:type="dxa"/>
            <w:vAlign w:val="center"/>
          </w:tcPr>
          <w:p w14:paraId="061300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联行号：</w:t>
            </w:r>
          </w:p>
        </w:tc>
      </w:tr>
      <w:tr w14:paraId="5ED4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8" w:type="dxa"/>
            <w:gridSpan w:val="2"/>
            <w:vAlign w:val="center"/>
          </w:tcPr>
          <w:p w14:paraId="2123F9D3">
            <w:pPr>
              <w:keepNext w:val="0"/>
              <w:keepLines w:val="0"/>
              <w:pageBreakBefore w:val="0"/>
              <w:kinsoku/>
              <w:overflowPunct/>
              <w:autoSpaceDE/>
              <w:autoSpaceDN/>
              <w:bidi w:val="0"/>
              <w:adjustRightInd/>
              <w:snapToGrid/>
              <w:spacing w:beforeAutospacing="0" w:afterAutospacing="0" w:line="360" w:lineRule="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备注：</w:t>
            </w:r>
            <w:r>
              <w:rPr>
                <w:rFonts w:hint="default" w:ascii="Times New Roman" w:hAnsi="Times New Roman" w:eastAsia="宋体" w:cs="Times New Roman"/>
                <w:color w:val="auto"/>
                <w:sz w:val="21"/>
                <w:szCs w:val="21"/>
                <w:highlight w:val="none"/>
                <w:lang w:val="en-US" w:eastAsia="zh-CN"/>
              </w:rPr>
              <w:t>若乙方收款账户发生变化，应当及时书面（盖章）通知甲方，否则引起的一切后果由乙方自担。</w:t>
            </w:r>
          </w:p>
        </w:tc>
      </w:tr>
    </w:tbl>
    <w:p w14:paraId="4CFC98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九</w:t>
      </w:r>
      <w:r>
        <w:rPr>
          <w:rFonts w:hint="default" w:ascii="Times New Roman" w:hAnsi="Times New Roman" w:eastAsia="宋体" w:cs="Times New Roman"/>
          <w:b/>
          <w:color w:val="auto"/>
          <w:sz w:val="21"/>
          <w:szCs w:val="21"/>
          <w:highlight w:val="none"/>
        </w:rPr>
        <w:t>、违约责任</w:t>
      </w:r>
    </w:p>
    <w:p w14:paraId="1B3C3AFF">
      <w:pPr>
        <w:numPr>
          <w:ilvl w:val="255"/>
          <w:numId w:val="0"/>
        </w:num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1.甲方未按照约定时间付款，经乙方书面催告后仍未支付的，应支付违约金，违约金计算方法为：</w:t>
      </w:r>
      <w:r>
        <w:rPr>
          <w:rFonts w:hint="default" w:ascii="Times New Roman" w:hAnsi="Times New Roman" w:eastAsia="宋体" w:cs="Times New Roman"/>
          <w:color w:val="auto"/>
          <w:sz w:val="21"/>
          <w:szCs w:val="21"/>
          <w:highlight w:val="none"/>
          <w:u w:val="single"/>
        </w:rPr>
        <w:t>甲方逾期金额×(合同订立时1年期贷款市场报价利率÷365)×逾期天数</w:t>
      </w:r>
      <w:r>
        <w:rPr>
          <w:rFonts w:hint="default" w:ascii="Times New Roman" w:hAnsi="Times New Roman" w:eastAsia="宋体" w:cs="Times New Roman"/>
          <w:color w:val="auto"/>
          <w:sz w:val="21"/>
          <w:szCs w:val="21"/>
          <w:highlight w:val="none"/>
        </w:rPr>
        <w:t>。甲方支付违约金的金额累计不超过逾期金额的</w:t>
      </w:r>
      <w:r>
        <w:rPr>
          <w:rFonts w:hint="default" w:ascii="Times New Roman" w:hAnsi="Times New Roman" w:eastAsia="宋体" w:cs="Times New Roman"/>
          <w:color w:val="auto"/>
          <w:sz w:val="21"/>
          <w:szCs w:val="21"/>
          <w:highlight w:val="none"/>
          <w:u w:val="single"/>
        </w:rPr>
        <w:t xml:space="preserve"> 10  %</w:t>
      </w:r>
      <w:r>
        <w:rPr>
          <w:rFonts w:hint="default" w:ascii="Times New Roman" w:hAnsi="Times New Roman" w:eastAsia="宋体" w:cs="Times New Roman"/>
          <w:color w:val="auto"/>
          <w:sz w:val="21"/>
          <w:szCs w:val="21"/>
          <w:highlight w:val="none"/>
        </w:rPr>
        <w:t>。该利率作为本项计算基准，且不因后续LPR的调整而变更。</w:t>
      </w:r>
    </w:p>
    <w:p w14:paraId="723860B0">
      <w:pPr>
        <w:pStyle w:val="8"/>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2.乙方应在甲方指定时间内按照约定标准完成</w:t>
      </w:r>
      <w:r>
        <w:rPr>
          <w:rFonts w:hint="default" w:ascii="Times New Roman" w:hAnsi="Times New Roman" w:cs="Times New Roman"/>
          <w:color w:val="auto"/>
          <w:kern w:val="0"/>
          <w:sz w:val="21"/>
          <w:szCs w:val="21"/>
          <w:highlight w:val="none"/>
          <w:lang w:val="en-US" w:eastAsia="zh-CN"/>
        </w:rPr>
        <w:t>白蚁防治</w:t>
      </w:r>
      <w:r>
        <w:rPr>
          <w:rFonts w:hint="default" w:ascii="Times New Roman" w:hAnsi="Times New Roman" w:eastAsia="宋体" w:cs="Times New Roman"/>
          <w:color w:val="auto"/>
          <w:kern w:val="0"/>
          <w:sz w:val="21"/>
          <w:szCs w:val="21"/>
          <w:highlight w:val="none"/>
          <w:lang w:val="en-US" w:eastAsia="zh-CN"/>
        </w:rPr>
        <w:t>服务并通过甲方验收，乙方逾期完成的，</w:t>
      </w:r>
      <w:r>
        <w:rPr>
          <w:rFonts w:hint="default" w:ascii="Times New Roman" w:hAnsi="Times New Roman" w:eastAsia="宋体" w:cs="Times New Roman"/>
          <w:color w:val="auto"/>
          <w:kern w:val="0"/>
          <w:sz w:val="21"/>
          <w:szCs w:val="21"/>
          <w:highlight w:val="none"/>
        </w:rPr>
        <w:t>每</w:t>
      </w:r>
      <w:r>
        <w:rPr>
          <w:rFonts w:hint="default" w:ascii="Times New Roman" w:hAnsi="Times New Roman" w:eastAsia="宋体" w:cs="Times New Roman"/>
          <w:color w:val="auto"/>
          <w:kern w:val="0"/>
          <w:sz w:val="21"/>
          <w:szCs w:val="21"/>
          <w:highlight w:val="none"/>
          <w:lang w:val="en-US" w:eastAsia="zh-CN"/>
        </w:rPr>
        <w:t>逾期</w:t>
      </w:r>
      <w:r>
        <w:rPr>
          <w:rFonts w:hint="default" w:ascii="Times New Roman" w:hAnsi="Times New Roman" w:eastAsia="宋体" w:cs="Times New Roman"/>
          <w:color w:val="auto"/>
          <w:kern w:val="0"/>
          <w:sz w:val="21"/>
          <w:szCs w:val="21"/>
          <w:highlight w:val="none"/>
        </w:rPr>
        <w:t>一天，</w:t>
      </w:r>
      <w:r>
        <w:rPr>
          <w:rFonts w:hint="default" w:ascii="Times New Roman" w:hAnsi="Times New Roman" w:eastAsia="宋体" w:cs="Times New Roman"/>
          <w:color w:val="auto"/>
          <w:kern w:val="0"/>
          <w:sz w:val="21"/>
          <w:szCs w:val="21"/>
          <w:highlight w:val="none"/>
          <w:lang w:val="en-US" w:eastAsia="zh-CN"/>
        </w:rPr>
        <w:t>违约金</w:t>
      </w:r>
      <w:r>
        <w:rPr>
          <w:rFonts w:hint="default" w:ascii="Times New Roman" w:hAnsi="Times New Roman" w:eastAsia="宋体" w:cs="Times New Roman"/>
          <w:color w:val="auto"/>
          <w:kern w:val="0"/>
          <w:sz w:val="21"/>
          <w:szCs w:val="21"/>
          <w:highlight w:val="none"/>
        </w:rPr>
        <w:t>按合同价的</w:t>
      </w:r>
      <w:r>
        <w:rPr>
          <w:rFonts w:hint="default" w:ascii="Times New Roman" w:hAnsi="Times New Roman" w:eastAsia="宋体" w:cs="Times New Roman"/>
          <w:color w:val="auto"/>
          <w:kern w:val="0"/>
          <w:sz w:val="21"/>
          <w:szCs w:val="21"/>
          <w:highlight w:val="none"/>
          <w:u w:val="single"/>
          <w:lang w:val="en-US" w:eastAsia="zh-CN"/>
        </w:rPr>
        <w:t xml:space="preserve"> 千分之一（0.1%）</w:t>
      </w:r>
      <w:r>
        <w:rPr>
          <w:rFonts w:hint="default" w:ascii="Times New Roman" w:hAnsi="Times New Roman" w:eastAsia="宋体" w:cs="Times New Roman"/>
          <w:color w:val="auto"/>
          <w:kern w:val="0"/>
          <w:sz w:val="21"/>
          <w:szCs w:val="21"/>
          <w:highlight w:val="none"/>
          <w:lang w:val="en-US" w:eastAsia="zh-CN"/>
        </w:rPr>
        <w:t>计算并</w:t>
      </w:r>
      <w:r>
        <w:rPr>
          <w:rFonts w:hint="default" w:ascii="Times New Roman" w:hAnsi="Times New Roman" w:eastAsia="宋体" w:cs="Times New Roman"/>
          <w:color w:val="auto"/>
          <w:kern w:val="0"/>
          <w:sz w:val="21"/>
          <w:szCs w:val="21"/>
          <w:highlight w:val="none"/>
        </w:rPr>
        <w:t>在结算中扣除。</w:t>
      </w:r>
      <w:r>
        <w:rPr>
          <w:rFonts w:hint="default" w:ascii="Times New Roman" w:hAnsi="Times New Roman" w:eastAsia="宋体" w:cs="Times New Roman"/>
          <w:color w:val="auto"/>
          <w:kern w:val="0"/>
          <w:sz w:val="21"/>
          <w:szCs w:val="21"/>
          <w:highlight w:val="none"/>
          <w:lang w:val="en-US" w:eastAsia="zh-CN"/>
        </w:rPr>
        <w:t>逾期</w:t>
      </w:r>
      <w:r>
        <w:rPr>
          <w:rFonts w:hint="default" w:ascii="Times New Roman" w:hAnsi="Times New Roman" w:eastAsia="宋体" w:cs="Times New Roman"/>
          <w:color w:val="auto"/>
          <w:kern w:val="0"/>
          <w:sz w:val="21"/>
          <w:szCs w:val="21"/>
          <w:highlight w:val="none"/>
        </w:rPr>
        <w:t>超过</w:t>
      </w:r>
      <w:r>
        <w:rPr>
          <w:rFonts w:hint="default" w:ascii="Times New Roman" w:hAnsi="Times New Roman" w:eastAsia="宋体" w:cs="Times New Roman"/>
          <w:color w:val="auto"/>
          <w:kern w:val="0"/>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15 </w:t>
      </w:r>
      <w:r>
        <w:rPr>
          <w:rFonts w:hint="default" w:ascii="Times New Roman" w:hAnsi="Times New Roman" w:eastAsia="宋体" w:cs="Times New Roman"/>
          <w:color w:val="auto"/>
          <w:kern w:val="0"/>
          <w:sz w:val="21"/>
          <w:szCs w:val="21"/>
          <w:highlight w:val="none"/>
          <w:u w:val="single"/>
        </w:rPr>
        <w:t>天</w:t>
      </w:r>
      <w:r>
        <w:rPr>
          <w:rFonts w:hint="default" w:ascii="Times New Roman" w:hAnsi="Times New Roman" w:eastAsia="宋体" w:cs="Times New Roman"/>
          <w:color w:val="auto"/>
          <w:kern w:val="0"/>
          <w:sz w:val="21"/>
          <w:szCs w:val="21"/>
          <w:highlight w:val="none"/>
        </w:rPr>
        <w:t>的，甲方有权解除本合同，乙方应按合同价的</w:t>
      </w:r>
      <w:r>
        <w:rPr>
          <w:rFonts w:hint="default" w:ascii="Times New Roman" w:hAnsi="Times New Roman" w:eastAsia="宋体" w:cs="Times New Roman"/>
          <w:color w:val="auto"/>
          <w:kern w:val="0"/>
          <w:sz w:val="21"/>
          <w:szCs w:val="21"/>
          <w:highlight w:val="none"/>
          <w:u w:val="single"/>
          <w:lang w:val="en-US" w:eastAsia="zh-CN"/>
        </w:rPr>
        <w:t xml:space="preserve"> 20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rPr>
        <w:t>支付违约金。违约金不足以赔偿甲方损失的，乙方应赔偿甲方全部损失。</w:t>
      </w:r>
    </w:p>
    <w:p w14:paraId="66E3F43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eastAsia="zh-CN"/>
        </w:rPr>
        <w:t>.若甲方</w:t>
      </w:r>
      <w:r>
        <w:rPr>
          <w:rFonts w:hint="default" w:ascii="Times New Roman" w:hAnsi="Times New Roman" w:eastAsia="宋体" w:cs="Times New Roman"/>
          <w:color w:val="auto"/>
          <w:kern w:val="0"/>
          <w:sz w:val="21"/>
          <w:szCs w:val="21"/>
          <w:highlight w:val="none"/>
          <w:lang w:val="en-US" w:eastAsia="zh-CN"/>
        </w:rPr>
        <w:t>需求变化、设备不再使用</w:t>
      </w:r>
      <w:r>
        <w:rPr>
          <w:rFonts w:hint="default" w:ascii="Times New Roman" w:hAnsi="Times New Roman" w:eastAsia="宋体" w:cs="Times New Roman"/>
          <w:color w:val="auto"/>
          <w:kern w:val="0"/>
          <w:sz w:val="21"/>
          <w:szCs w:val="21"/>
          <w:highlight w:val="none"/>
          <w:lang w:eastAsia="zh-CN"/>
        </w:rPr>
        <w:t>或其他正当理由需提前解除合同的，甲方应提前</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7 </w:t>
      </w:r>
      <w:r>
        <w:rPr>
          <w:rFonts w:hint="default" w:ascii="Times New Roman" w:hAnsi="Times New Roman" w:eastAsia="宋体" w:cs="Times New Roman"/>
          <w:color w:val="auto"/>
          <w:kern w:val="0"/>
          <w:sz w:val="21"/>
          <w:szCs w:val="21"/>
          <w:highlight w:val="none"/>
          <w:lang w:eastAsia="zh-CN"/>
        </w:rPr>
        <w:t>天书面通知乙方。在此情况下，甲方无须承担违约责任</w:t>
      </w:r>
      <w:r>
        <w:rPr>
          <w:rFonts w:hint="default" w:ascii="Times New Roman" w:hAnsi="Times New Roman" w:eastAsia="宋体" w:cs="Times New Roman"/>
          <w:color w:val="auto"/>
          <w:kern w:val="0"/>
          <w:sz w:val="21"/>
          <w:szCs w:val="21"/>
          <w:highlight w:val="none"/>
          <w:lang w:val="en-US" w:eastAsia="zh-CN"/>
        </w:rPr>
        <w:t>或赔偿乙方损失（包括但不限于预期可得利益损失等）</w:t>
      </w:r>
      <w:r>
        <w:rPr>
          <w:rFonts w:hint="default" w:ascii="Times New Roman" w:hAnsi="Times New Roman" w:eastAsia="宋体" w:cs="Times New Roman"/>
          <w:color w:val="auto"/>
          <w:kern w:val="0"/>
          <w:sz w:val="21"/>
          <w:szCs w:val="21"/>
          <w:highlight w:val="none"/>
          <w:lang w:eastAsia="zh-CN"/>
        </w:rPr>
        <w:t>，但应就已</w:t>
      </w:r>
      <w:r>
        <w:rPr>
          <w:rFonts w:hint="default" w:ascii="Times New Roman" w:hAnsi="Times New Roman" w:eastAsia="宋体" w:cs="Times New Roman"/>
          <w:color w:val="auto"/>
          <w:kern w:val="0"/>
          <w:sz w:val="21"/>
          <w:szCs w:val="21"/>
          <w:highlight w:val="none"/>
          <w:lang w:val="en-US" w:eastAsia="zh-CN"/>
        </w:rPr>
        <w:t>完工并经甲方</w:t>
      </w:r>
      <w:r>
        <w:rPr>
          <w:rFonts w:hint="default" w:ascii="Times New Roman" w:hAnsi="Times New Roman" w:eastAsia="宋体" w:cs="Times New Roman"/>
          <w:color w:val="auto"/>
          <w:kern w:val="0"/>
          <w:sz w:val="21"/>
          <w:szCs w:val="21"/>
          <w:highlight w:val="none"/>
          <w:lang w:eastAsia="zh-CN"/>
        </w:rPr>
        <w:t>验收合格</w:t>
      </w:r>
      <w:r>
        <w:rPr>
          <w:rFonts w:hint="default" w:ascii="Times New Roman" w:hAnsi="Times New Roman" w:eastAsia="宋体" w:cs="Times New Roman"/>
          <w:color w:val="auto"/>
          <w:kern w:val="0"/>
          <w:sz w:val="21"/>
          <w:szCs w:val="21"/>
          <w:highlight w:val="none"/>
          <w:lang w:val="en-US" w:eastAsia="zh-CN"/>
        </w:rPr>
        <w:t>部分工作</w:t>
      </w:r>
      <w:r>
        <w:rPr>
          <w:rFonts w:hint="default" w:ascii="Times New Roman" w:hAnsi="Times New Roman" w:eastAsia="宋体" w:cs="Times New Roman"/>
          <w:color w:val="auto"/>
          <w:kern w:val="0"/>
          <w:sz w:val="21"/>
          <w:szCs w:val="21"/>
          <w:highlight w:val="none"/>
          <w:lang w:eastAsia="zh-CN"/>
        </w:rPr>
        <w:t>按照合同约定支付相应款项。</w:t>
      </w:r>
    </w:p>
    <w:p w14:paraId="55BC4D4C">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.除因不可抗力因素或本合同另有明确约定外，乙方未能按本合同约定履行或有下列情形之一的，</w:t>
      </w:r>
      <w:r>
        <w:rPr>
          <w:rFonts w:hint="default" w:ascii="Times New Roman" w:hAnsi="Times New Roman" w:eastAsia="宋体" w:cs="Times New Roman"/>
          <w:color w:val="auto"/>
          <w:kern w:val="0"/>
          <w:sz w:val="21"/>
          <w:szCs w:val="21"/>
          <w:highlight w:val="none"/>
          <w:lang w:val="en-US" w:eastAsia="zh-CN"/>
        </w:rPr>
        <w:t>甲方有权解除合同，不予支付合同价款，且乙方</w:t>
      </w:r>
      <w:r>
        <w:rPr>
          <w:rFonts w:hint="default" w:ascii="Times New Roman" w:hAnsi="Times New Roman" w:eastAsia="宋体" w:cs="Times New Roman"/>
          <w:color w:val="auto"/>
          <w:kern w:val="0"/>
          <w:sz w:val="21"/>
          <w:szCs w:val="21"/>
          <w:highlight w:val="none"/>
          <w:lang w:eastAsia="zh-CN"/>
        </w:rPr>
        <w:t>应当按照合同总价的</w:t>
      </w:r>
      <w:r>
        <w:rPr>
          <w:rFonts w:hint="default" w:ascii="Times New Roman" w:hAnsi="Times New Roman" w:eastAsia="宋体" w:cs="Times New Roman"/>
          <w:color w:val="auto"/>
          <w:kern w:val="0"/>
          <w:sz w:val="21"/>
          <w:szCs w:val="21"/>
          <w:highlight w:val="none"/>
          <w:u w:val="single"/>
          <w:lang w:val="en-US" w:eastAsia="zh-CN"/>
        </w:rPr>
        <w:t xml:space="preserve"> 20 </w:t>
      </w:r>
      <w:r>
        <w:rPr>
          <w:rFonts w:hint="default" w:ascii="Times New Roman" w:hAnsi="Times New Roman" w:eastAsia="宋体" w:cs="Times New Roman"/>
          <w:color w:val="auto"/>
          <w:kern w:val="0"/>
          <w:sz w:val="21"/>
          <w:szCs w:val="21"/>
          <w:highlight w:val="none"/>
          <w:lang w:eastAsia="zh-CN"/>
        </w:rPr>
        <w:t>%向甲方支付违约金，违约金不足以弥补甲方损失的，乙方还应赔偿甲方全部损失：</w:t>
      </w:r>
    </w:p>
    <w:p w14:paraId="2F67282D">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eastAsia="zh-CN"/>
        </w:rPr>
        <w:t>）乙方</w:t>
      </w:r>
      <w:r>
        <w:rPr>
          <w:rFonts w:hint="default" w:ascii="Times New Roman" w:hAnsi="Times New Roman" w:eastAsia="宋体" w:cs="Times New Roman"/>
          <w:color w:val="auto"/>
          <w:kern w:val="0"/>
          <w:sz w:val="21"/>
          <w:szCs w:val="21"/>
          <w:highlight w:val="none"/>
          <w:lang w:val="en-US" w:eastAsia="zh-CN"/>
        </w:rPr>
        <w:t>无故要求解除合同或拒不履行合同义务超过</w:t>
      </w:r>
      <w:r>
        <w:rPr>
          <w:rFonts w:hint="default" w:ascii="Times New Roman" w:hAnsi="Times New Roman" w:eastAsia="宋体" w:cs="Times New Roman"/>
          <w:color w:val="auto"/>
          <w:kern w:val="0"/>
          <w:sz w:val="21"/>
          <w:szCs w:val="21"/>
          <w:highlight w:val="none"/>
          <w:u w:val="single"/>
          <w:lang w:val="en-US" w:eastAsia="zh-CN"/>
        </w:rPr>
        <w:t xml:space="preserve"> 7 </w:t>
      </w:r>
      <w:r>
        <w:rPr>
          <w:rFonts w:hint="default" w:ascii="Times New Roman" w:hAnsi="Times New Roman" w:eastAsia="宋体" w:cs="Times New Roman"/>
          <w:color w:val="auto"/>
          <w:kern w:val="0"/>
          <w:sz w:val="21"/>
          <w:szCs w:val="21"/>
          <w:highlight w:val="none"/>
          <w:lang w:val="en-US" w:eastAsia="zh-CN"/>
        </w:rPr>
        <w:t>天</w:t>
      </w:r>
      <w:r>
        <w:rPr>
          <w:rFonts w:hint="default" w:ascii="Times New Roman" w:hAnsi="Times New Roman" w:eastAsia="宋体" w:cs="Times New Roman"/>
          <w:color w:val="auto"/>
          <w:kern w:val="0"/>
          <w:sz w:val="21"/>
          <w:szCs w:val="21"/>
          <w:highlight w:val="none"/>
          <w:lang w:eastAsia="zh-CN"/>
        </w:rPr>
        <w:t>；</w:t>
      </w:r>
    </w:p>
    <w:p w14:paraId="42F8B2B9">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）乙方在</w:t>
      </w:r>
      <w:r>
        <w:rPr>
          <w:rFonts w:hint="default" w:ascii="Times New Roman" w:hAnsi="Times New Roman" w:eastAsia="宋体" w:cs="Times New Roman"/>
          <w:color w:val="auto"/>
          <w:kern w:val="0"/>
          <w:sz w:val="21"/>
          <w:szCs w:val="21"/>
          <w:highlight w:val="none"/>
          <w:lang w:val="en-US" w:eastAsia="zh-CN"/>
        </w:rPr>
        <w:t>白蚁防治服务</w:t>
      </w:r>
      <w:r>
        <w:rPr>
          <w:rFonts w:hint="default" w:ascii="Times New Roman" w:hAnsi="Times New Roman" w:eastAsia="宋体" w:cs="Times New Roman"/>
          <w:color w:val="auto"/>
          <w:kern w:val="0"/>
          <w:sz w:val="21"/>
          <w:szCs w:val="21"/>
          <w:highlight w:val="none"/>
          <w:lang w:eastAsia="zh-CN"/>
        </w:rPr>
        <w:t>工作中累计</w:t>
      </w:r>
      <w:r>
        <w:rPr>
          <w:rFonts w:hint="default" w:ascii="Times New Roman" w:hAnsi="Times New Roman" w:eastAsia="宋体"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kern w:val="0"/>
          <w:sz w:val="21"/>
          <w:szCs w:val="21"/>
          <w:highlight w:val="none"/>
          <w:lang w:eastAsia="zh-CN"/>
        </w:rPr>
        <w:t>次未及时响应甲方</w:t>
      </w:r>
      <w:r>
        <w:rPr>
          <w:rFonts w:hint="default" w:ascii="Times New Roman" w:hAnsi="Times New Roman" w:eastAsia="宋体" w:cs="Times New Roman"/>
          <w:color w:val="auto"/>
          <w:kern w:val="0"/>
          <w:sz w:val="21"/>
          <w:szCs w:val="21"/>
          <w:highlight w:val="none"/>
          <w:lang w:val="en-US" w:eastAsia="zh-CN"/>
        </w:rPr>
        <w:t>服务</w:t>
      </w:r>
      <w:r>
        <w:rPr>
          <w:rFonts w:hint="default" w:ascii="Times New Roman" w:hAnsi="Times New Roman" w:eastAsia="宋体" w:cs="Times New Roman"/>
          <w:color w:val="auto"/>
          <w:kern w:val="0"/>
          <w:sz w:val="21"/>
          <w:szCs w:val="21"/>
          <w:highlight w:val="none"/>
          <w:lang w:eastAsia="zh-CN"/>
        </w:rPr>
        <w:t>要求；</w:t>
      </w:r>
    </w:p>
    <w:p w14:paraId="4CF7C987">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eastAsia="zh-CN"/>
        </w:rPr>
        <w:t>）乙方将合同义务转包或</w:t>
      </w:r>
      <w:r>
        <w:rPr>
          <w:rFonts w:hint="default" w:ascii="Times New Roman" w:hAnsi="Times New Roman" w:eastAsia="宋体" w:cs="Times New Roman"/>
          <w:color w:val="auto"/>
          <w:kern w:val="0"/>
          <w:sz w:val="21"/>
          <w:szCs w:val="21"/>
          <w:highlight w:val="none"/>
          <w:lang w:val="en-US" w:eastAsia="zh-CN"/>
        </w:rPr>
        <w:t>违法</w:t>
      </w:r>
      <w:r>
        <w:rPr>
          <w:rFonts w:hint="default" w:ascii="Times New Roman" w:hAnsi="Times New Roman" w:eastAsia="宋体" w:cs="Times New Roman"/>
          <w:color w:val="auto"/>
          <w:kern w:val="0"/>
          <w:sz w:val="21"/>
          <w:szCs w:val="21"/>
          <w:highlight w:val="none"/>
          <w:lang w:eastAsia="zh-CN"/>
        </w:rPr>
        <w:t>分包给第三方；</w:t>
      </w:r>
    </w:p>
    <w:p w14:paraId="7761FD3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）其他因乙方原因导致本合同无法继续履行或甲方合同目的无法实现的情形。</w:t>
      </w:r>
    </w:p>
    <w:p w14:paraId="3CDFDEBF">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eastAsia="zh-CN"/>
        </w:rPr>
        <w:t>上述甲方的损失包括但不限于甲方为本合同项下事宜进行招标以及重新进行招标的费用、重新招标的中标价格与本合同价格的差价损失，以及因</w:t>
      </w:r>
      <w:r>
        <w:rPr>
          <w:rFonts w:hint="default" w:ascii="Times New Roman" w:hAnsi="Times New Roman" w:eastAsia="宋体" w:cs="Times New Roman"/>
          <w:color w:val="auto"/>
          <w:kern w:val="0"/>
          <w:sz w:val="21"/>
          <w:szCs w:val="21"/>
          <w:highlight w:val="none"/>
          <w:lang w:val="en-US" w:eastAsia="zh-CN"/>
        </w:rPr>
        <w:t>项目</w:t>
      </w:r>
      <w:r>
        <w:rPr>
          <w:rFonts w:hint="default" w:ascii="Times New Roman" w:hAnsi="Times New Roman" w:eastAsia="宋体" w:cs="Times New Roman"/>
          <w:color w:val="auto"/>
          <w:kern w:val="0"/>
          <w:sz w:val="21"/>
          <w:szCs w:val="21"/>
          <w:highlight w:val="none"/>
          <w:lang w:eastAsia="zh-CN"/>
        </w:rPr>
        <w:t>迟延而导致的经营损失，并且还包括甲方为主张和实现债权而发生的律师费、诉讼费、</w:t>
      </w:r>
      <w:r>
        <w:rPr>
          <w:rFonts w:hint="default" w:ascii="Times New Roman" w:hAnsi="Times New Roman" w:eastAsia="宋体" w:cs="Times New Roman"/>
          <w:color w:val="auto"/>
          <w:kern w:val="0"/>
          <w:sz w:val="21"/>
          <w:szCs w:val="21"/>
          <w:highlight w:val="none"/>
          <w:lang w:val="en-US" w:eastAsia="zh-CN"/>
        </w:rPr>
        <w:t>鉴定费、</w:t>
      </w:r>
      <w:r>
        <w:rPr>
          <w:rFonts w:hint="default" w:ascii="Times New Roman" w:hAnsi="Times New Roman" w:eastAsia="宋体" w:cs="Times New Roman"/>
          <w:color w:val="auto"/>
          <w:kern w:val="0"/>
          <w:sz w:val="21"/>
          <w:szCs w:val="21"/>
          <w:highlight w:val="none"/>
          <w:lang w:eastAsia="zh-CN"/>
        </w:rPr>
        <w:t>公证费等导致的直接经济损失和间接损失。</w:t>
      </w:r>
    </w:p>
    <w:p w14:paraId="43A21A2F">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1"/>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lang w:eastAsia="zh-CN"/>
        </w:rPr>
        <w:t>对于本合同项下乙方应支付的损害赔偿或违约金，甲方有权从应付乙方的</w:t>
      </w:r>
      <w:r>
        <w:rPr>
          <w:rFonts w:hint="default" w:ascii="Times New Roman" w:hAnsi="Times New Roman" w:eastAsia="宋体" w:cs="Times New Roman"/>
          <w:color w:val="auto"/>
          <w:kern w:val="0"/>
          <w:sz w:val="21"/>
          <w:szCs w:val="21"/>
          <w:highlight w:val="none"/>
          <w:lang w:val="en-US" w:eastAsia="zh-CN"/>
        </w:rPr>
        <w:t>费用</w:t>
      </w:r>
      <w:r>
        <w:rPr>
          <w:rFonts w:hint="default" w:ascii="Times New Roman" w:hAnsi="Times New Roman" w:eastAsia="宋体" w:cs="Times New Roman"/>
          <w:color w:val="auto"/>
          <w:kern w:val="0"/>
          <w:sz w:val="21"/>
          <w:szCs w:val="21"/>
          <w:highlight w:val="none"/>
          <w:lang w:eastAsia="zh-CN"/>
        </w:rPr>
        <w:t>中直接扣除，若扣除后仍有不足部分，甲方有权继续向乙方进行追偿。</w:t>
      </w:r>
    </w:p>
    <w:p w14:paraId="51985A9A">
      <w:pPr>
        <w:pStyle w:val="8"/>
        <w:ind w:firstLine="422" w:firstLineChars="200"/>
        <w:jc w:val="left"/>
        <w:outlineLvl w:val="0"/>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十、其他约</w:t>
      </w:r>
      <w:r>
        <w:rPr>
          <w:rFonts w:hint="default" w:ascii="Times New Roman" w:hAnsi="Times New Roman" w:eastAsia="宋体" w:cs="Times New Roman"/>
          <w:b/>
          <w:bCs w:val="0"/>
          <w:color w:val="auto"/>
          <w:sz w:val="21"/>
          <w:szCs w:val="21"/>
          <w:highlight w:val="none"/>
          <w:lang w:val="en-US" w:eastAsia="zh-CN"/>
        </w:rPr>
        <w:t>定</w:t>
      </w:r>
    </w:p>
    <w:p w14:paraId="122DC2C2">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firstLine="422" w:firstLineChars="200"/>
        <w:contextualSpacing/>
        <w:jc w:val="left"/>
        <w:textAlignment w:val="auto"/>
        <w:outlineLvl w:val="9"/>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（一）不可抗力</w:t>
      </w:r>
    </w:p>
    <w:p w14:paraId="7356A7DA">
      <w:pPr>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合同所称“不可抗力”是指不能预见、不能避免且不能克服的事件（如政府行为、自然灾害、流行疾病、战争等）。如果因不可抗力导致一方无法履行或延迟履行其在本合同项下的义务，该方不承担违约责任。受影响方应在不可抗力事件发生后尽快通知对方，并提供相关证明文件。如果不可抗力持续超过</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u w:val="single"/>
          <w:lang w:val="en-US" w:eastAsia="zh-CN"/>
        </w:rPr>
        <w:t>7</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天，任何一方有权书面通知对方解除合同，双方互不承担责任。</w:t>
      </w:r>
    </w:p>
    <w:p w14:paraId="61FAB412">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firstLine="422" w:firstLineChars="200"/>
        <w:contextualSpacing/>
        <w:jc w:val="left"/>
        <w:textAlignment w:val="auto"/>
        <w:outlineLvl w:val="9"/>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（二）保密</w:t>
      </w:r>
    </w:p>
    <w:p w14:paraId="36307D6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应对为签订及履行本合同而获得的甲方信息（包括但不限于协议条款、文件、技术资料、商业秘密、个人信息等）严格保密，未经甲方书面同意，不得向第三方披露或用于本合同之外的目的，否则应承担由此给甲方造成的损失及相应的法律责任。保密期限为永久保密，无论本协议是否被撤销、解除或终止，直至信息合法公开或甲方书面同意解除保密义务。若乙方违反本保密条款，擅自披露或使用甲方信息，应按</w:t>
      </w:r>
      <w:r>
        <w:rPr>
          <w:rFonts w:hint="default" w:ascii="Times New Roman" w:hAnsi="Times New Roman" w:eastAsia="宋体" w:cs="Times New Roman"/>
          <w:color w:val="auto"/>
          <w:sz w:val="21"/>
          <w:szCs w:val="21"/>
          <w:highlight w:val="none"/>
          <w:u w:val="none"/>
          <w:lang w:val="en-US" w:eastAsia="zh-CN"/>
        </w:rPr>
        <w:t>合同总额的</w:t>
      </w:r>
      <w:r>
        <w:rPr>
          <w:rFonts w:hint="default" w:ascii="Times New Roman" w:hAnsi="Times New Roman" w:eastAsia="宋体" w:cs="Times New Roman"/>
          <w:color w:val="auto"/>
          <w:sz w:val="21"/>
          <w:szCs w:val="21"/>
          <w:highlight w:val="none"/>
          <w:u w:val="single"/>
          <w:lang w:val="en-US" w:eastAsia="zh-CN"/>
        </w:rPr>
        <w:t>20%</w:t>
      </w:r>
      <w:r>
        <w:rPr>
          <w:rFonts w:hint="default" w:ascii="Times New Roman" w:hAnsi="Times New Roman" w:eastAsia="宋体" w:cs="Times New Roman"/>
          <w:color w:val="auto"/>
          <w:sz w:val="21"/>
          <w:szCs w:val="21"/>
          <w:highlight w:val="none"/>
          <w:lang w:val="en-US" w:eastAsia="zh-CN"/>
        </w:rPr>
        <w:t>向甲方支付违约金。除支付违约金外，乙方还应赔偿甲方因此遭受的所有直接和间接损失，包括但不限于诉讼费用、律师费、调查费用及其他相关费用。如有需要，乙方应根据甲方要求签署相应的保密协议，如有不一致之处，以保密协议为准。</w:t>
      </w:r>
    </w:p>
    <w:p w14:paraId="092478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outlineLvl w:val="9"/>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（三）通知</w:t>
      </w:r>
    </w:p>
    <w:p w14:paraId="6AA7EF4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1.乙方发生名称、住所、经营范围、注册资本金等工商登记事项变更的，应当在变更后五个工作日内书面通知甲方，并附变更后的相关材料。</w:t>
      </w:r>
    </w:p>
    <w:p w14:paraId="07E1D4B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乙方发生包括但不限于申请/被申请破产、停产、歇业、被吊销营业执照或相关资质、涉及重大法律纠纷、生产经营出现严重困难或财务状况恶化等可能影响履行本合同约定义务的，乙方应立即书面通知甲方，甲方有权要求乙方为本合同的履行安排提供甲方认可的担保，在乙方安排提供甲方认可的担保前，甲方有权暂停履行本合同项下的发包或支付义务，且不承担违约责任。</w:t>
      </w:r>
    </w:p>
    <w:p w14:paraId="57F7A6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contextualSpacing/>
        <w:jc w:val="left"/>
        <w:textAlignment w:val="auto"/>
        <w:outlineLvl w:val="1"/>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十一、联系方式</w:t>
      </w:r>
    </w:p>
    <w:p w14:paraId="067A59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1.本合同项下的所有通知均应以书面形式进行，双方确认以下联系方式作为司法送达及其他文书的有效送达地址：</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6156E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Borders>
              <w:tl2br w:val="nil"/>
              <w:tr2bl w:val="nil"/>
            </w:tcBorders>
            <w:shd w:val="clear" w:color="auto" w:fill="FFFFFF"/>
          </w:tcPr>
          <w:p w14:paraId="68F9E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甲方联系方式</w:t>
            </w:r>
          </w:p>
        </w:tc>
        <w:tc>
          <w:tcPr>
            <w:tcW w:w="4261" w:type="dxa"/>
            <w:tcBorders>
              <w:tl2br w:val="nil"/>
              <w:tr2bl w:val="nil"/>
            </w:tcBorders>
            <w:shd w:val="clear" w:color="auto" w:fill="FFFFFF"/>
          </w:tcPr>
          <w:p w14:paraId="4F620E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乙方联系方式</w:t>
            </w:r>
          </w:p>
        </w:tc>
      </w:tr>
      <w:tr w14:paraId="3542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Borders>
              <w:tl2br w:val="nil"/>
              <w:tr2bl w:val="nil"/>
            </w:tcBorders>
            <w:shd w:val="clear" w:color="auto" w:fill="FFFFFF"/>
          </w:tcPr>
          <w:p w14:paraId="48653A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联系人（必填）：</w:t>
            </w:r>
          </w:p>
        </w:tc>
        <w:tc>
          <w:tcPr>
            <w:tcW w:w="4261" w:type="dxa"/>
            <w:tcBorders>
              <w:tl2br w:val="nil"/>
              <w:tr2bl w:val="nil"/>
            </w:tcBorders>
            <w:shd w:val="clear" w:color="auto" w:fill="FFFFFF"/>
            <w:vAlign w:val="top"/>
          </w:tcPr>
          <w:p w14:paraId="6ADEBA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联系人（必填）：</w:t>
            </w:r>
          </w:p>
        </w:tc>
      </w:tr>
      <w:tr w14:paraId="04D36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Borders>
              <w:tl2br w:val="nil"/>
              <w:tr2bl w:val="nil"/>
            </w:tcBorders>
            <w:shd w:val="clear" w:color="auto" w:fill="FFFFFF"/>
          </w:tcPr>
          <w:p w14:paraId="6B8234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地址（必填）：</w:t>
            </w:r>
          </w:p>
        </w:tc>
        <w:tc>
          <w:tcPr>
            <w:tcW w:w="4261" w:type="dxa"/>
            <w:tcBorders>
              <w:tl2br w:val="nil"/>
              <w:tr2bl w:val="nil"/>
            </w:tcBorders>
            <w:shd w:val="clear" w:color="auto" w:fill="FFFFFF"/>
            <w:vAlign w:val="top"/>
          </w:tcPr>
          <w:p w14:paraId="397C47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地址（必填）：</w:t>
            </w:r>
          </w:p>
        </w:tc>
      </w:tr>
      <w:tr w14:paraId="0572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Borders>
              <w:tl2br w:val="nil"/>
              <w:tr2bl w:val="nil"/>
            </w:tcBorders>
            <w:shd w:val="clear" w:color="auto" w:fill="FFFFFF"/>
          </w:tcPr>
          <w:p w14:paraId="348573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手机/电话（必填）：</w:t>
            </w:r>
          </w:p>
        </w:tc>
        <w:tc>
          <w:tcPr>
            <w:tcW w:w="4261" w:type="dxa"/>
            <w:tcBorders>
              <w:tl2br w:val="nil"/>
              <w:tr2bl w:val="nil"/>
            </w:tcBorders>
            <w:shd w:val="clear" w:color="auto" w:fill="FFFFFF"/>
            <w:vAlign w:val="top"/>
          </w:tcPr>
          <w:p w14:paraId="545023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手机/电话（必填）：</w:t>
            </w:r>
          </w:p>
        </w:tc>
      </w:tr>
      <w:tr w14:paraId="1862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Borders>
              <w:tl2br w:val="nil"/>
              <w:tr2bl w:val="nil"/>
            </w:tcBorders>
            <w:shd w:val="clear" w:color="auto" w:fill="FFFFFF"/>
          </w:tcPr>
          <w:p w14:paraId="253E71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电子邮箱（选填）：</w:t>
            </w:r>
          </w:p>
        </w:tc>
        <w:tc>
          <w:tcPr>
            <w:tcW w:w="4261" w:type="dxa"/>
            <w:tcBorders>
              <w:tl2br w:val="nil"/>
              <w:tr2bl w:val="nil"/>
            </w:tcBorders>
            <w:shd w:val="clear" w:color="auto" w:fill="FFFFFF"/>
            <w:vAlign w:val="top"/>
          </w:tcPr>
          <w:p w14:paraId="708F43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contextualSpacing/>
              <w:jc w:val="both"/>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电子邮箱（选填）：</w:t>
            </w:r>
          </w:p>
        </w:tc>
      </w:tr>
    </w:tbl>
    <w:p w14:paraId="35C914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通过电子邮箱及其他电子方式送达时，发出之日即视为有效送达。通过快递等方式送达时，对方签收之日视为有效送达；对方拒收或退回的，文书留置或退回之日视为有效送达。若一方变更联系方式，应以书面形式通知对方。否则该联系方式仍视为有效，由未通知方承担由此而引起的相关损失。本合同未载明通讯地址的，以住所地为联系地址。</w:t>
      </w:r>
    </w:p>
    <w:p w14:paraId="76C596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contextualSpacing/>
        <w:jc w:val="left"/>
        <w:textAlignment w:val="auto"/>
        <w:outlineLvl w:val="1"/>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十二、争议解决</w:t>
      </w:r>
    </w:p>
    <w:p w14:paraId="71289D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本合同适用中华人民共和国法律。因本合同以及本合同项下附件/补充协议等（如有）引起或有关的任何争议，由合同各方协商解决。协商不成的，应向</w:t>
      </w:r>
      <w:r>
        <w:rPr>
          <w:rFonts w:hint="default" w:ascii="Times New Roman" w:hAnsi="Times New Roman" w:eastAsia="宋体" w:cs="Times New Roman"/>
          <w:color w:val="auto"/>
          <w:kern w:val="2"/>
          <w:sz w:val="21"/>
          <w:szCs w:val="21"/>
          <w:highlight w:val="none"/>
          <w:u w:val="single"/>
          <w:lang w:val="en-US" w:eastAsia="zh-CN" w:bidi="ar-SA"/>
        </w:rPr>
        <w:t xml:space="preserve"> 甲方所在地 </w:t>
      </w:r>
      <w:r>
        <w:rPr>
          <w:rFonts w:hint="default" w:ascii="Times New Roman" w:hAnsi="Times New Roman" w:eastAsia="宋体" w:cs="Times New Roman"/>
          <w:color w:val="auto"/>
          <w:kern w:val="2"/>
          <w:sz w:val="21"/>
          <w:szCs w:val="21"/>
          <w:highlight w:val="none"/>
          <w:lang w:val="en-US" w:eastAsia="zh-CN" w:bidi="ar-SA"/>
        </w:rPr>
        <w:t>有管辖权的人民法院起诉。</w:t>
      </w:r>
    </w:p>
    <w:p w14:paraId="3E80E9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contextualSpacing/>
        <w:jc w:val="left"/>
        <w:textAlignment w:val="auto"/>
        <w:outlineLvl w:val="1"/>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十三、附则</w:t>
      </w:r>
    </w:p>
    <w:p w14:paraId="330D7B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1.本合同中的</w:t>
      </w:r>
      <w:r>
        <w:rPr>
          <w:rFonts w:hint="default" w:ascii="Times New Roman" w:hAnsi="Times New Roman" w:eastAsia="宋体" w:cs="Times New Roman"/>
          <w:color w:val="auto"/>
          <w:kern w:val="2"/>
          <w:sz w:val="21"/>
          <w:szCs w:val="21"/>
          <w:highlight w:val="none"/>
          <w:u w:val="single"/>
          <w:lang w:val="en-US" w:eastAsia="zh-CN" w:bidi="ar-SA"/>
        </w:rPr>
        <w:t>保密条款、联系方式条款、争议解决条款</w:t>
      </w:r>
      <w:r>
        <w:rPr>
          <w:rFonts w:hint="default" w:ascii="Times New Roman" w:hAnsi="Times New Roman" w:eastAsia="宋体" w:cs="Times New Roman"/>
          <w:color w:val="auto"/>
          <w:kern w:val="2"/>
          <w:sz w:val="21"/>
          <w:szCs w:val="21"/>
          <w:highlight w:val="none"/>
          <w:lang w:val="en-US" w:eastAsia="zh-CN" w:bidi="ar-SA"/>
        </w:rPr>
        <w:t>均为独立条款，不受合同整体或其他条款的效力影响，始终有效。</w:t>
      </w:r>
    </w:p>
    <w:p w14:paraId="4A4234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2.本合同未尽事宜，双方以补充协议或其他书面形式另行约定。</w:t>
      </w:r>
    </w:p>
    <w:p w14:paraId="024AA2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contextualSpacing/>
        <w:jc w:val="left"/>
        <w:textAlignment w:val="auto"/>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3.本合同</w:t>
      </w:r>
      <w:r>
        <w:rPr>
          <w:rFonts w:hint="eastAsia" w:ascii="宋体" w:hAnsi="宋体" w:eastAsia="宋体" w:cs="宋体"/>
          <w:color w:val="auto"/>
          <w:kern w:val="2"/>
          <w:sz w:val="21"/>
          <w:szCs w:val="21"/>
          <w:highlight w:val="none"/>
          <w:lang w:val="en-US" w:eastAsia="zh-CN" w:bidi="ar-SA"/>
        </w:rPr>
        <w:t>一式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lang w:val="en-US" w:eastAsia="zh-CN" w:bidi="ar-SA"/>
        </w:rPr>
        <w:t>，具有同等法律效力。</w:t>
      </w:r>
    </w:p>
    <w:p w14:paraId="152E1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4.本合同自双方法定代表人或者授权代表签字并加盖公章或合同章之</w:t>
      </w:r>
      <w:r>
        <w:rPr>
          <w:rFonts w:hint="default" w:ascii="Times New Roman" w:hAnsi="Times New Roman" w:eastAsia="宋体" w:cs="Times New Roman"/>
          <w:color w:val="auto"/>
          <w:kern w:val="2"/>
          <w:sz w:val="21"/>
          <w:szCs w:val="21"/>
          <w:highlight w:val="none"/>
          <w:lang w:val="en-US" w:eastAsia="zh-CN" w:bidi="ar-SA"/>
        </w:rPr>
        <w:t>日起生效。</w:t>
      </w:r>
    </w:p>
    <w:p w14:paraId="3E5A6A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5.与履行本合同有关的下列文件均构成本合同不可分割的一部分，具有同等法律效力。文件的优先解释顺序如下：</w:t>
      </w:r>
    </w:p>
    <w:p w14:paraId="663AEC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（1）本合同与附件；</w:t>
      </w:r>
    </w:p>
    <w:p w14:paraId="6D3FE007">
      <w:pPr>
        <w:spacing w:line="360" w:lineRule="auto"/>
        <w:ind w:firstLine="420" w:firstLineChars="200"/>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合同</w:t>
      </w:r>
      <w:r>
        <w:rPr>
          <w:rFonts w:hint="default" w:ascii="Times New Roman" w:hAnsi="Times New Roman" w:cs="Times New Roman" w:eastAsiaTheme="minorEastAsia"/>
          <w:color w:val="auto"/>
          <w:kern w:val="2"/>
          <w:sz w:val="21"/>
          <w:szCs w:val="21"/>
          <w:highlight w:val="none"/>
          <w:lang w:val="en-US" w:eastAsia="zh-CN" w:bidi="ar-SA"/>
        </w:rPr>
        <w:t xml:space="preserve">附件一 </w:t>
      </w:r>
      <w:r>
        <w:rPr>
          <w:rFonts w:hint="default" w:ascii="Times New Roman" w:hAnsi="Times New Roman" w:cs="Times New Roman" w:eastAsiaTheme="minorEastAsia"/>
          <w:color w:val="auto"/>
          <w:kern w:val="2"/>
          <w:sz w:val="21"/>
          <w:szCs w:val="21"/>
          <w:highlight w:val="none"/>
          <w:u w:val="single"/>
          <w:lang w:val="en-US" w:eastAsia="zh-CN" w:bidi="ar-SA"/>
        </w:rPr>
        <w:t xml:space="preserve">           </w:t>
      </w:r>
      <w:r>
        <w:rPr>
          <w:rFonts w:hint="eastAsia" w:ascii="Times New Roman" w:hAnsi="Times New Roman" w:cs="Times New Roman" w:eastAsiaTheme="minorEastAsia"/>
          <w:color w:val="auto"/>
          <w:kern w:val="2"/>
          <w:sz w:val="21"/>
          <w:szCs w:val="21"/>
          <w:highlight w:val="none"/>
          <w:u w:val="none"/>
          <w:lang w:val="en-US" w:eastAsia="zh-CN" w:bidi="ar-SA"/>
        </w:rPr>
        <w:t>；</w:t>
      </w:r>
    </w:p>
    <w:p w14:paraId="5D25699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lang w:val="en-US" w:eastAsia="zh-CN" w:bidi="ar-SA"/>
        </w:rPr>
        <w:t>（2）</w:t>
      </w:r>
      <w:r>
        <w:rPr>
          <w:rFonts w:hint="eastAsia" w:ascii="Times New Roman" w:hAnsi="Times New Roman" w:cs="Times New Roman" w:eastAsiaTheme="minorEastAsia"/>
          <w:color w:val="auto"/>
          <w:kern w:val="2"/>
          <w:sz w:val="21"/>
          <w:szCs w:val="21"/>
          <w:highlight w:val="none"/>
          <w:lang w:val="en-US" w:eastAsia="zh-CN" w:bidi="ar-SA"/>
        </w:rPr>
        <w:t>甲方招标文件；</w:t>
      </w:r>
    </w:p>
    <w:p w14:paraId="134C101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（3）</w:t>
      </w:r>
      <w:r>
        <w:rPr>
          <w:rFonts w:hint="eastAsia" w:ascii="Times New Roman" w:hAnsi="Times New Roman" w:eastAsia="宋体" w:cs="Times New Roman"/>
          <w:color w:val="auto"/>
          <w:sz w:val="21"/>
          <w:szCs w:val="21"/>
          <w:highlight w:val="none"/>
          <w:lang w:val="en-US" w:eastAsia="zh-CN"/>
        </w:rPr>
        <w:t>乙方投标文件。</w:t>
      </w:r>
    </w:p>
    <w:p w14:paraId="1F371DC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left"/>
        <w:rPr>
          <w:rFonts w:hint="default" w:ascii="Times New Roman" w:hAnsi="Times New Roman" w:eastAsia="宋体" w:cs="Times New Roman"/>
          <w:color w:val="auto"/>
          <w:sz w:val="21"/>
          <w:szCs w:val="21"/>
          <w:highlight w:val="none"/>
          <w:lang w:val="en-US" w:eastAsia="zh-CN"/>
        </w:rPr>
      </w:pPr>
    </w:p>
    <w:p w14:paraId="22558A76">
      <w:pPr>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420" w:leftChars="200" w:firstLine="0" w:firstLineChars="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（以下无正文）</w:t>
      </w:r>
    </w:p>
    <w:tbl>
      <w:tblPr>
        <w:tblStyle w:val="15"/>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9"/>
        <w:gridCol w:w="4261"/>
      </w:tblGrid>
      <w:tr w14:paraId="7402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069" w:type="dxa"/>
            <w:tcBorders>
              <w:top w:val="nil"/>
              <w:left w:val="nil"/>
              <w:bottom w:val="nil"/>
              <w:right w:val="nil"/>
              <w:tl2br w:val="nil"/>
            </w:tcBorders>
            <w:shd w:val="clear" w:color="auto" w:fill="FFFFFF"/>
          </w:tcPr>
          <w:p w14:paraId="62DA6DAD">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甲方（盖章）：</w:t>
            </w:r>
          </w:p>
        </w:tc>
        <w:tc>
          <w:tcPr>
            <w:tcW w:w="4261" w:type="dxa"/>
            <w:tcBorders>
              <w:top w:val="nil"/>
              <w:left w:val="nil"/>
              <w:bottom w:val="nil"/>
              <w:right w:val="nil"/>
            </w:tcBorders>
            <w:shd w:val="clear" w:color="auto" w:fill="FFFFFF"/>
          </w:tcPr>
          <w:p w14:paraId="1A23E9F8">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乙方（盖章）：</w:t>
            </w:r>
          </w:p>
        </w:tc>
      </w:tr>
      <w:tr w14:paraId="234B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69" w:type="dxa"/>
            <w:tcBorders>
              <w:top w:val="nil"/>
              <w:left w:val="nil"/>
              <w:bottom w:val="nil"/>
              <w:right w:val="nil"/>
            </w:tcBorders>
            <w:shd w:val="clear" w:color="auto" w:fill="FFFFFF"/>
          </w:tcPr>
          <w:p w14:paraId="495CE70E">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法定代表人或授权代表（签字或盖章）：</w:t>
            </w:r>
          </w:p>
        </w:tc>
        <w:tc>
          <w:tcPr>
            <w:tcW w:w="4261" w:type="dxa"/>
            <w:tcBorders>
              <w:top w:val="nil"/>
              <w:left w:val="nil"/>
              <w:bottom w:val="nil"/>
              <w:right w:val="nil"/>
            </w:tcBorders>
            <w:shd w:val="clear" w:color="auto" w:fill="FFFFFF"/>
          </w:tcPr>
          <w:p w14:paraId="3BE3A03A">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法定代表人或授权代表（签字或盖章）：</w:t>
            </w:r>
          </w:p>
        </w:tc>
      </w:tr>
      <w:tr w14:paraId="244E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069" w:type="dxa"/>
            <w:tcBorders>
              <w:top w:val="nil"/>
              <w:left w:val="nil"/>
              <w:bottom w:val="nil"/>
              <w:right w:val="nil"/>
            </w:tcBorders>
            <w:shd w:val="clear" w:color="auto" w:fill="FFFFFF"/>
          </w:tcPr>
          <w:p w14:paraId="1DCC248D">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签订时间：   年   月   日</w:t>
            </w:r>
          </w:p>
        </w:tc>
        <w:tc>
          <w:tcPr>
            <w:tcW w:w="4261" w:type="dxa"/>
            <w:tcBorders>
              <w:top w:val="nil"/>
              <w:left w:val="nil"/>
              <w:bottom w:val="nil"/>
              <w:right w:val="nil"/>
            </w:tcBorders>
            <w:shd w:val="clear" w:color="auto" w:fill="FFFFFF"/>
          </w:tcPr>
          <w:p w14:paraId="49E40543">
            <w:pPr>
              <w:keepNext w:val="0"/>
              <w:keepLines w:val="0"/>
              <w:pageBreakBefore w:val="0"/>
              <w:kinsoku/>
              <w:overflowPunct/>
              <w:autoSpaceDE/>
              <w:autoSpaceDN/>
              <w:bidi w:val="0"/>
              <w:adjustRightInd/>
              <w:snapToGrid/>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签订时间：    年   月   日</w:t>
            </w:r>
          </w:p>
        </w:tc>
      </w:tr>
    </w:tbl>
    <w:p w14:paraId="7C5D319F">
      <w:pPr>
        <w:tabs>
          <w:tab w:val="left" w:pos="4680"/>
        </w:tabs>
        <w:spacing w:line="360" w:lineRule="auto"/>
        <w:rPr>
          <w:rFonts w:ascii="Times New Roman" w:hAnsi="Times New Roman" w:eastAsia="宋体" w:cs="Times New Roman"/>
          <w:color w:val="auto"/>
          <w:szCs w:val="21"/>
          <w:highlight w:val="none"/>
        </w:rPr>
        <w:sectPr>
          <w:footerReference r:id="rId3" w:type="default"/>
          <w:pgSz w:w="11906" w:h="16838"/>
          <w:pgMar w:top="1246" w:right="1800" w:bottom="1090" w:left="1800" w:header="851" w:footer="992" w:gutter="0"/>
          <w:cols w:space="720" w:num="1"/>
          <w:docGrid w:type="lines" w:linePitch="312" w:charSpace="0"/>
        </w:sectPr>
      </w:pPr>
    </w:p>
    <w:p w14:paraId="7BEB3D44">
      <w:pPr>
        <w:tabs>
          <w:tab w:val="left" w:pos="4680"/>
        </w:tabs>
        <w:spacing w:line="360" w:lineRule="auto"/>
        <w:rPr>
          <w:rFonts w:ascii="Times New Roman" w:hAnsi="Times New Roman" w:eastAsia="黑体" w:cs="Times New Roman"/>
          <w:color w:val="auto"/>
          <w:szCs w:val="21"/>
          <w:highlight w:val="none"/>
        </w:rPr>
      </w:pPr>
      <w:r>
        <w:rPr>
          <w:rFonts w:hint="default" w:ascii="Times New Roman" w:hAnsi="Times New Roman" w:eastAsia="宋体" w:cs="Times New Roman"/>
          <w:b/>
          <w:bCs/>
          <w:color w:val="auto"/>
          <w:sz w:val="24"/>
          <w:highlight w:val="none"/>
        </w:rPr>
        <w:t>附件三：投标文件组成</w:t>
      </w:r>
    </w:p>
    <w:p w14:paraId="7964B106">
      <w:pPr>
        <w:snapToGrid w:val="0"/>
        <w:spacing w:line="360" w:lineRule="auto"/>
        <w:jc w:val="center"/>
        <w:rPr>
          <w:rFonts w:ascii="Times New Roman" w:hAnsi="Times New Roman" w:eastAsia="宋体" w:cs="Times New Roman"/>
          <w:color w:val="auto"/>
          <w:szCs w:val="21"/>
          <w:highlight w:val="none"/>
        </w:rPr>
      </w:pPr>
    </w:p>
    <w:p w14:paraId="3B3A69FF">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一、投标人承诺书（格式附后）</w:t>
      </w:r>
    </w:p>
    <w:p w14:paraId="3573D1C5">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二、投标函（格式附后）</w:t>
      </w:r>
    </w:p>
    <w:p w14:paraId="377A2006">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三、报价清单（格式附后）</w:t>
      </w:r>
    </w:p>
    <w:p w14:paraId="00B5F385">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四、法定代表人授权书</w:t>
      </w:r>
    </w:p>
    <w:p w14:paraId="6BB31C95">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五、合格投标人资格证明文件（包括但不限于招标文件第二条内容）</w:t>
      </w:r>
    </w:p>
    <w:p w14:paraId="55D78ED1">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六、投标人认为应提交的其它材料</w:t>
      </w:r>
    </w:p>
    <w:p w14:paraId="3F852DDA">
      <w:pPr>
        <w:adjustRightInd w:val="0"/>
        <w:snapToGrid w:val="0"/>
        <w:spacing w:line="360" w:lineRule="auto"/>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br w:type="page"/>
      </w:r>
      <w:r>
        <w:rPr>
          <w:rFonts w:hint="eastAsia" w:ascii="宋体" w:hAnsi="宋体" w:eastAsia="宋体" w:cs="宋体"/>
          <w:b/>
          <w:bCs/>
          <w:color w:val="auto"/>
          <w:szCs w:val="21"/>
          <w:highlight w:val="none"/>
        </w:rPr>
        <w:t>一、投标</w:t>
      </w:r>
      <w:r>
        <w:rPr>
          <w:rFonts w:hint="eastAsia" w:ascii="宋体" w:hAnsi="宋体" w:eastAsia="宋体" w:cs="宋体"/>
          <w:b/>
          <w:bCs/>
          <w:color w:val="auto"/>
          <w:szCs w:val="21"/>
          <w:highlight w:val="none"/>
          <w:lang w:val="en-US" w:eastAsia="zh-CN"/>
        </w:rPr>
        <w:t>人承诺书</w:t>
      </w:r>
      <w:r>
        <w:rPr>
          <w:rFonts w:hint="eastAsia" w:ascii="宋体" w:hAnsi="宋体" w:eastAsia="宋体" w:cs="宋体"/>
          <w:b/>
          <w:bCs/>
          <w:color w:val="auto"/>
          <w:szCs w:val="21"/>
          <w:highlight w:val="none"/>
        </w:rPr>
        <w:t>（格式）</w:t>
      </w:r>
    </w:p>
    <w:p w14:paraId="52875230">
      <w:pPr>
        <w:pStyle w:val="24"/>
        <w:jc w:val="center"/>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t>投标人承诺书</w:t>
      </w:r>
    </w:p>
    <w:p w14:paraId="2FE2324D">
      <w:pPr>
        <w:spacing w:line="360" w:lineRule="auto"/>
        <w:rPr>
          <w:rFonts w:hint="default" w:ascii="Times New Roman" w:hAnsi="Times New Roman" w:eastAsia="宋体" w:cs="Times New Roman"/>
          <w:color w:val="auto"/>
          <w:highlight w:val="none"/>
        </w:rPr>
      </w:pPr>
    </w:p>
    <w:p w14:paraId="70016D8B">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致</w:t>
      </w:r>
      <w:r>
        <w:rPr>
          <w:rFonts w:hint="default" w:ascii="Times New Roman" w:hAnsi="Times New Roman" w:eastAsia="宋体" w:cs="Times New Roman"/>
          <w:color w:val="auto"/>
          <w:highlight w:val="none"/>
          <w:u w:val="single"/>
        </w:rPr>
        <w:t>（招标人）</w:t>
      </w:r>
      <w:r>
        <w:rPr>
          <w:rFonts w:hint="default" w:ascii="Times New Roman" w:hAnsi="Times New Roman" w:eastAsia="宋体" w:cs="Times New Roman"/>
          <w:color w:val="auto"/>
          <w:highlight w:val="none"/>
        </w:rPr>
        <w:t>：</w:t>
      </w:r>
    </w:p>
    <w:p w14:paraId="7A767782">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本公司作为在中华人民共和国境内依法成立的独立法人，在此郑重承诺：</w:t>
      </w:r>
    </w:p>
    <w:p w14:paraId="562893F8">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1.我单位认可，从东部机场集团电子采购平台下载的采购文件（招标文件等）及上传的应答文件（投标文件等）对双方都具有约束力。</w:t>
      </w:r>
    </w:p>
    <w:p w14:paraId="2B637421">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2.我单位在本次投标过程中无弄虚作假或串通投标等违法、违规行为，并愿意承担因弄虚作假或串通投标所引起的一切责任。</w:t>
      </w:r>
    </w:p>
    <w:p w14:paraId="1A59CA63">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我单位</w:t>
      </w:r>
      <w:r>
        <w:rPr>
          <w:rFonts w:hint="default" w:ascii="Times New Roman" w:hAnsi="Times New Roman" w:eastAsia="宋体" w:cs="Times New Roman"/>
          <w:color w:val="auto"/>
          <w:szCs w:val="21"/>
          <w:highlight w:val="none"/>
        </w:rPr>
        <w:t>未被列入严重违法失信企业名单（http://www.gsxt.gov.cn/）、失信被执行人名单（http://www.creditchina.gov.cn/）</w:t>
      </w:r>
      <w:r>
        <w:rPr>
          <w:rFonts w:hint="default" w:ascii="Times New Roman" w:hAnsi="Times New Roman" w:eastAsia="宋体" w:cs="Times New Roman"/>
          <w:color w:val="auto"/>
          <w:highlight w:val="none"/>
        </w:rPr>
        <w:t>。</w:t>
      </w:r>
    </w:p>
    <w:p w14:paraId="620828EA">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4.在投标文件有效期内，我单位投标联系人的联系电话将一直保持在线，否则，错过提醒信息、价格谈判等情况造成的后果由我单位承担，我单位无权追究招标人的责任。</w:t>
      </w:r>
    </w:p>
    <w:p w14:paraId="1DAE3772">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我单位电子投标文件如与纸质投标文件不一致，以何为准的裁定权归本项目评标委员会（或评标小组）。如电子投标文件如与纸质投标文件有实质性内容不一致，本项目评标委员会（或评标小组）有权判定我单位投标无效。</w:t>
      </w:r>
    </w:p>
    <w:p w14:paraId="67E544EB">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本承诺既是投标文件的有效组成内容，也是我</w:t>
      </w:r>
      <w:r>
        <w:rPr>
          <w:rFonts w:hint="default" w:ascii="Times New Roman" w:hAnsi="Times New Roman" w:eastAsia="宋体" w:cs="Times New Roman"/>
          <w:color w:val="auto"/>
          <w:highlight w:val="none"/>
          <w:lang w:val="en-US" w:eastAsia="zh-CN"/>
        </w:rPr>
        <w:t>单位</w:t>
      </w:r>
      <w:r>
        <w:rPr>
          <w:rFonts w:hint="default" w:ascii="Times New Roman" w:hAnsi="Times New Roman" w:eastAsia="宋体" w:cs="Times New Roman"/>
          <w:color w:val="auto"/>
          <w:highlight w:val="none"/>
        </w:rPr>
        <w:t>真实意思的表示，对我</w:t>
      </w:r>
      <w:r>
        <w:rPr>
          <w:rFonts w:hint="default" w:ascii="Times New Roman" w:hAnsi="Times New Roman" w:eastAsia="宋体" w:cs="Times New Roman"/>
          <w:color w:val="auto"/>
          <w:highlight w:val="none"/>
          <w:lang w:val="en-US" w:eastAsia="zh-CN"/>
        </w:rPr>
        <w:t>单位</w:t>
      </w:r>
      <w:r>
        <w:rPr>
          <w:rFonts w:hint="default" w:ascii="Times New Roman" w:hAnsi="Times New Roman" w:eastAsia="宋体" w:cs="Times New Roman"/>
          <w:color w:val="auto"/>
          <w:highlight w:val="none"/>
        </w:rPr>
        <w:t>在与该项目有关的任何行为中始终具有优先的约束力</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如有任何违反，招标人有权判定我单位本项目投标无效</w:t>
      </w:r>
      <w:r>
        <w:rPr>
          <w:rFonts w:hint="default" w:ascii="Times New Roman" w:hAnsi="Times New Roman" w:eastAsia="宋体" w:cs="Times New Roman"/>
          <w:color w:val="auto"/>
          <w:highlight w:val="none"/>
        </w:rPr>
        <w:t>。</w:t>
      </w:r>
    </w:p>
    <w:p w14:paraId="266D3D3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7.若我单位存在本次投标过程中弄虚作假或串通投标、非</w:t>
      </w:r>
      <w:r>
        <w:rPr>
          <w:rFonts w:hint="default" w:ascii="Times New Roman" w:hAnsi="Times New Roman" w:eastAsia="宋体" w:cs="Times New Roman"/>
          <w:color w:val="auto"/>
          <w:highlight w:val="none"/>
        </w:rPr>
        <w:t>招标人原因中标</w:t>
      </w:r>
      <w:r>
        <w:rPr>
          <w:rFonts w:hint="default" w:ascii="Times New Roman" w:hAnsi="Times New Roman" w:eastAsia="宋体" w:cs="Times New Roman"/>
          <w:color w:val="auto"/>
          <w:highlight w:val="none"/>
          <w:lang w:val="en-US" w:eastAsia="zh-CN"/>
        </w:rPr>
        <w:t>后</w:t>
      </w:r>
      <w:r>
        <w:rPr>
          <w:rFonts w:hint="default" w:ascii="Times New Roman" w:hAnsi="Times New Roman" w:eastAsia="宋体" w:cs="Times New Roman"/>
          <w:color w:val="auto"/>
          <w:highlight w:val="none"/>
        </w:rPr>
        <w:t>拒签合同</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履约过程中</w:t>
      </w:r>
      <w:r>
        <w:rPr>
          <w:rFonts w:hint="default" w:ascii="Times New Roman" w:hAnsi="Times New Roman" w:eastAsia="宋体" w:cs="Times New Roman"/>
          <w:color w:val="auto"/>
          <w:highlight w:val="none"/>
        </w:rPr>
        <w:t>严重违约</w:t>
      </w:r>
      <w:r>
        <w:rPr>
          <w:rFonts w:hint="default" w:ascii="Times New Roman" w:hAnsi="Times New Roman" w:eastAsia="宋体" w:cs="Times New Roman"/>
          <w:color w:val="auto"/>
          <w:highlight w:val="none"/>
          <w:lang w:val="en-US" w:eastAsia="zh-CN"/>
        </w:rPr>
        <w:t>等不诚信行为，招标人有权</w:t>
      </w:r>
      <w:r>
        <w:rPr>
          <w:rFonts w:hint="default" w:ascii="Times New Roman" w:hAnsi="Times New Roman" w:eastAsia="宋体" w:cs="Times New Roman"/>
          <w:color w:val="auto"/>
          <w:highlight w:val="none"/>
        </w:rPr>
        <w:t>将</w:t>
      </w:r>
      <w:r>
        <w:rPr>
          <w:rFonts w:hint="default" w:ascii="Times New Roman" w:hAnsi="Times New Roman" w:eastAsia="宋体" w:cs="Times New Roman"/>
          <w:color w:val="auto"/>
          <w:highlight w:val="none"/>
          <w:lang w:val="en-US" w:eastAsia="zh-CN"/>
        </w:rPr>
        <w:t>我单位</w:t>
      </w:r>
      <w:r>
        <w:rPr>
          <w:rFonts w:hint="default" w:ascii="Times New Roman" w:hAnsi="Times New Roman" w:eastAsia="宋体" w:cs="Times New Roman"/>
          <w:color w:val="auto"/>
          <w:highlight w:val="none"/>
        </w:rPr>
        <w:t>列入不诚信单位名单，</w:t>
      </w:r>
      <w:r>
        <w:rPr>
          <w:rFonts w:hint="default" w:ascii="Times New Roman" w:hAnsi="Times New Roman" w:eastAsia="宋体" w:cs="Times New Roman"/>
          <w:color w:val="auto"/>
          <w:highlight w:val="none"/>
          <w:lang w:val="en-US" w:eastAsia="zh-CN"/>
        </w:rPr>
        <w:t>并</w:t>
      </w:r>
      <w:r>
        <w:rPr>
          <w:rFonts w:hint="default" w:ascii="Times New Roman" w:hAnsi="Times New Roman" w:eastAsia="宋体" w:cs="Times New Roman"/>
          <w:color w:val="auto"/>
          <w:highlight w:val="none"/>
        </w:rPr>
        <w:t>有权拒绝</w:t>
      </w:r>
      <w:r>
        <w:rPr>
          <w:rFonts w:hint="default" w:ascii="Times New Roman" w:hAnsi="Times New Roman" w:eastAsia="宋体" w:cs="Times New Roman"/>
          <w:color w:val="auto"/>
          <w:highlight w:val="none"/>
          <w:lang w:val="en-US" w:eastAsia="zh-CN"/>
        </w:rPr>
        <w:t>我</w:t>
      </w:r>
      <w:r>
        <w:rPr>
          <w:rFonts w:hint="default" w:ascii="Times New Roman" w:hAnsi="Times New Roman" w:eastAsia="宋体" w:cs="Times New Roman"/>
          <w:color w:val="auto"/>
          <w:highlight w:val="none"/>
        </w:rPr>
        <w:t>单位之后</w:t>
      </w:r>
      <w:r>
        <w:rPr>
          <w:rFonts w:hint="default" w:ascii="Times New Roman" w:hAnsi="Times New Roman" w:eastAsia="宋体" w:cs="Times New Roman"/>
          <w:color w:val="auto"/>
          <w:highlight w:val="none"/>
          <w:lang w:eastAsia="zh-CN"/>
        </w:rPr>
        <w:t>其他项目的</w:t>
      </w:r>
      <w:r>
        <w:rPr>
          <w:rFonts w:hint="default" w:ascii="Times New Roman" w:hAnsi="Times New Roman" w:eastAsia="宋体" w:cs="Times New Roman"/>
          <w:color w:val="auto"/>
          <w:highlight w:val="none"/>
        </w:rPr>
        <w:t>投标。</w:t>
      </w:r>
    </w:p>
    <w:p w14:paraId="327F03EF">
      <w:pPr>
        <w:spacing w:line="360" w:lineRule="auto"/>
        <w:ind w:firstLine="0" w:firstLineChars="0"/>
        <w:rPr>
          <w:rFonts w:hint="default" w:ascii="Times New Roman" w:hAnsi="Times New Roman" w:eastAsia="宋体" w:cs="Times New Roman"/>
          <w:color w:val="auto"/>
          <w:highlight w:val="none"/>
        </w:rPr>
      </w:pPr>
    </w:p>
    <w:p w14:paraId="57F07D97">
      <w:pPr>
        <w:spacing w:line="360" w:lineRule="auto"/>
        <w:ind w:firstLine="420" w:firstLineChars="200"/>
        <w:rPr>
          <w:rFonts w:hint="default" w:ascii="Times New Roman" w:hAnsi="Times New Roman" w:eastAsia="宋体" w:cs="Times New Roman"/>
          <w:color w:val="auto"/>
          <w:highlight w:val="none"/>
        </w:rPr>
      </w:pPr>
    </w:p>
    <w:p w14:paraId="39D391FE">
      <w:pPr>
        <w:wordWrap w:val="0"/>
        <w:spacing w:line="400" w:lineRule="exact"/>
        <w:ind w:firstLine="420" w:firstLineChars="200"/>
        <w:jc w:val="righ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w:t>
      </w:r>
    </w:p>
    <w:p w14:paraId="291FC893">
      <w:pPr>
        <w:wordWrap w:val="0"/>
        <w:spacing w:line="400" w:lineRule="exact"/>
        <w:ind w:firstLine="420" w:firstLineChars="20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投标人：（盖单位公章）</w:t>
      </w:r>
    </w:p>
    <w:p w14:paraId="0C75E8ED">
      <w:pPr>
        <w:spacing w:line="400" w:lineRule="exact"/>
        <w:ind w:firstLine="420" w:firstLineChars="20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法定代表人或其授权代理人：（签字或盖章）</w:t>
      </w:r>
    </w:p>
    <w:p w14:paraId="17307B6A">
      <w:pPr>
        <w:spacing w:line="400" w:lineRule="exact"/>
        <w:ind w:firstLine="420" w:firstLineChars="20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日期：</w:t>
      </w:r>
    </w:p>
    <w:p w14:paraId="1B93771B">
      <w:pPr>
        <w:adjustRightInd/>
        <w:spacing w:line="240" w:lineRule="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br w:type="page"/>
      </w:r>
    </w:p>
    <w:p w14:paraId="21F511B7">
      <w:pPr>
        <w:adjustRightInd w:val="0"/>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lang w:val="en-US" w:eastAsia="zh-CN"/>
        </w:rPr>
        <w:t>二</w:t>
      </w:r>
      <w:r>
        <w:rPr>
          <w:rFonts w:hint="default" w:ascii="Times New Roman" w:hAnsi="Times New Roman" w:eastAsia="宋体" w:cs="Times New Roman"/>
          <w:b/>
          <w:bCs/>
          <w:color w:val="auto"/>
          <w:szCs w:val="21"/>
          <w:highlight w:val="none"/>
        </w:rPr>
        <w:t>、投标函（格式）</w:t>
      </w:r>
    </w:p>
    <w:p w14:paraId="4799A2BA">
      <w:pPr>
        <w:pStyle w:val="8"/>
        <w:spacing w:line="360" w:lineRule="auto"/>
        <w:jc w:val="center"/>
        <w:rPr>
          <w:rFonts w:ascii="Times New Roman" w:hAnsi="Times New Roman" w:cs="Times New Roman"/>
          <w:color w:val="auto"/>
          <w:highlight w:val="none"/>
        </w:rPr>
      </w:pPr>
    </w:p>
    <w:p w14:paraId="34E71E7E">
      <w:pPr>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东部机场集团有限公司</w:t>
      </w:r>
      <w:r>
        <w:rPr>
          <w:rFonts w:hint="default" w:ascii="Times New Roman" w:hAnsi="Times New Roman" w:eastAsia="宋体" w:cs="Times New Roman"/>
          <w:color w:val="auto"/>
          <w:szCs w:val="21"/>
          <w:highlight w:val="none"/>
          <w:lang w:val="en-US" w:eastAsia="zh-CN"/>
        </w:rPr>
        <w:t>南京禄口国际机场</w:t>
      </w:r>
      <w:r>
        <w:rPr>
          <w:rFonts w:hint="default" w:ascii="Times New Roman" w:hAnsi="Times New Roman" w:eastAsia="宋体" w:cs="Times New Roman"/>
          <w:color w:val="auto"/>
          <w:szCs w:val="21"/>
          <w:highlight w:val="none"/>
        </w:rPr>
        <w:t>：</w:t>
      </w:r>
    </w:p>
    <w:p w14:paraId="304965D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（投标人全称）</w:t>
      </w:r>
      <w:r>
        <w:rPr>
          <w:rFonts w:hint="default" w:ascii="Times New Roman" w:hAnsi="Times New Roman" w:eastAsia="宋体" w:cs="Times New Roman"/>
          <w:color w:val="auto"/>
          <w:szCs w:val="21"/>
          <w:highlight w:val="none"/>
        </w:rPr>
        <w:t>授权</w:t>
      </w:r>
      <w:r>
        <w:rPr>
          <w:rFonts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（全权代表姓名、职务）</w:t>
      </w:r>
      <w:r>
        <w:rPr>
          <w:rFonts w:hint="default" w:ascii="Times New Roman" w:hAnsi="Times New Roman" w:eastAsia="宋体" w:cs="Times New Roman"/>
          <w:color w:val="auto"/>
          <w:szCs w:val="21"/>
          <w:highlight w:val="none"/>
        </w:rPr>
        <w:t>为全权代表，参加贵方组织的</w:t>
      </w:r>
      <w:r>
        <w:rPr>
          <w:rFonts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（项目名称）</w:t>
      </w:r>
      <w:r>
        <w:rPr>
          <w:rFonts w:hint="default" w:ascii="Times New Roman" w:hAnsi="Times New Roman" w:eastAsia="宋体" w:cs="Times New Roman"/>
          <w:color w:val="auto"/>
          <w:szCs w:val="21"/>
          <w:highlight w:val="none"/>
        </w:rPr>
        <w:t>的有关活动，为此：</w:t>
      </w:r>
    </w:p>
    <w:p w14:paraId="16C294A7">
      <w:pPr>
        <w:numPr>
          <w:ilvl w:val="0"/>
          <w:numId w:val="3"/>
        </w:numPr>
        <w:tabs>
          <w:tab w:val="left" w:pos="1260"/>
        </w:tabs>
        <w:spacing w:line="360" w:lineRule="auto"/>
        <w:ind w:firstLine="420" w:firstLineChars="200"/>
        <w:rPr>
          <w:rFonts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提供投标文件规定的全部投标文件（正本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份，副本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份）。</w:t>
      </w:r>
    </w:p>
    <w:p w14:paraId="1D06B6D8">
      <w:pPr>
        <w:numPr>
          <w:ilvl w:val="0"/>
          <w:numId w:val="3"/>
        </w:numPr>
        <w:tabs>
          <w:tab w:val="left" w:pos="1260"/>
        </w:tabs>
        <w:spacing w:line="36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在研究了上述项目的招标文件和考察了</w:t>
      </w:r>
      <w:r>
        <w:rPr>
          <w:rFonts w:hint="default" w:ascii="Times New Roman" w:hAnsi="Times New Roman" w:eastAsia="宋体" w:cs="Times New Roman"/>
          <w:color w:val="auto"/>
          <w:kern w:val="0"/>
          <w:szCs w:val="21"/>
          <w:highlight w:val="none"/>
        </w:rPr>
        <w:t>项目</w:t>
      </w:r>
      <w:r>
        <w:rPr>
          <w:rFonts w:ascii="Times New Roman" w:hAnsi="Times New Roman" w:eastAsia="宋体" w:cs="Times New Roman"/>
          <w:color w:val="auto"/>
          <w:kern w:val="0"/>
          <w:szCs w:val="21"/>
          <w:highlight w:val="none"/>
        </w:rPr>
        <w:t>现场后，我们已完全了解本</w:t>
      </w:r>
      <w:r>
        <w:rPr>
          <w:rFonts w:hint="default" w:ascii="Times New Roman" w:hAnsi="Times New Roman" w:eastAsia="宋体" w:cs="Times New Roman"/>
          <w:color w:val="auto"/>
          <w:kern w:val="0"/>
          <w:szCs w:val="21"/>
          <w:highlight w:val="none"/>
        </w:rPr>
        <w:t>项目</w:t>
      </w:r>
      <w:r>
        <w:rPr>
          <w:rFonts w:ascii="Times New Roman" w:hAnsi="Times New Roman" w:eastAsia="宋体" w:cs="Times New Roman"/>
          <w:color w:val="auto"/>
          <w:kern w:val="0"/>
          <w:szCs w:val="21"/>
          <w:highlight w:val="none"/>
        </w:rPr>
        <w:t>的工作内容和外部条件，愿意以人民币（大写）__________元（</w:t>
      </w:r>
      <w:r>
        <w:rPr>
          <w:rFonts w:hint="default" w:ascii="Times New Roman" w:hAnsi="Times New Roman" w:eastAsia="宋体" w:cs="Times New Roman"/>
          <w:color w:val="auto"/>
          <w:kern w:val="0"/>
          <w:szCs w:val="21"/>
          <w:highlight w:val="none"/>
        </w:rPr>
        <w:t>RMB</w:t>
      </w:r>
      <w:r>
        <w:rPr>
          <w:rFonts w:ascii="Times New Roman" w:hAnsi="Times New Roman" w:eastAsia="宋体" w:cs="Times New Roman"/>
          <w:color w:val="auto"/>
          <w:kern w:val="0"/>
          <w:szCs w:val="21"/>
          <w:highlight w:val="none"/>
        </w:rPr>
        <w:t>________元）的报价（</w:t>
      </w:r>
      <w:r>
        <w:rPr>
          <w:rFonts w:hint="default" w:ascii="Times New Roman" w:hAnsi="Times New Roman" w:eastAsia="宋体" w:cs="Times New Roman"/>
          <w:color w:val="auto"/>
          <w:kern w:val="0"/>
          <w:szCs w:val="21"/>
          <w:highlight w:val="none"/>
        </w:rPr>
        <w:t>报价表附</w:t>
      </w:r>
      <w:r>
        <w:rPr>
          <w:rFonts w:ascii="Times New Roman" w:hAnsi="Times New Roman" w:eastAsia="宋体" w:cs="Times New Roman"/>
          <w:color w:val="auto"/>
          <w:kern w:val="0"/>
          <w:szCs w:val="21"/>
          <w:highlight w:val="none"/>
        </w:rPr>
        <w:t>后），完成本合同工作及其缺陷修复。</w:t>
      </w:r>
    </w:p>
    <w:p w14:paraId="439D11CB">
      <w:pPr>
        <w:numPr>
          <w:ilvl w:val="0"/>
          <w:numId w:val="3"/>
        </w:numPr>
        <w:tabs>
          <w:tab w:val="left" w:pos="1260"/>
        </w:tabs>
        <w:spacing w:line="36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如果你单位接受我们的报价，我们将保证</w:t>
      </w:r>
      <w:r>
        <w:rPr>
          <w:rFonts w:hint="default" w:ascii="Times New Roman" w:hAnsi="Times New Roman" w:eastAsia="宋体" w:cs="Times New Roman"/>
          <w:color w:val="auto"/>
          <w:kern w:val="0"/>
          <w:szCs w:val="21"/>
          <w:highlight w:val="none"/>
        </w:rPr>
        <w:t>在服务期内按招标文件要求及投标文件承诺</w:t>
      </w:r>
      <w:r>
        <w:rPr>
          <w:rFonts w:ascii="Times New Roman" w:hAnsi="Times New Roman" w:eastAsia="宋体" w:cs="Times New Roman"/>
          <w:color w:val="auto"/>
          <w:kern w:val="0"/>
          <w:szCs w:val="21"/>
          <w:highlight w:val="none"/>
        </w:rPr>
        <w:t>完成各项工作，达到招标人满意的程度并通过验收。</w:t>
      </w:r>
    </w:p>
    <w:p w14:paraId="36E2BEB2">
      <w:pPr>
        <w:numPr>
          <w:ilvl w:val="0"/>
          <w:numId w:val="3"/>
        </w:numPr>
        <w:tabs>
          <w:tab w:val="left" w:pos="1260"/>
        </w:tabs>
        <w:spacing w:line="360" w:lineRule="auto"/>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kern w:val="0"/>
          <w:szCs w:val="21"/>
          <w:highlight w:val="none"/>
        </w:rPr>
        <w:t>我们理解招标人有权接受或拒绝所收到的任何报价；同时也理解招标人不负担我们的任何报价费用。</w:t>
      </w:r>
    </w:p>
    <w:p w14:paraId="39DB85B2">
      <w:pPr>
        <w:numPr>
          <w:ilvl w:val="0"/>
          <w:numId w:val="3"/>
        </w:numPr>
        <w:tabs>
          <w:tab w:val="left" w:pos="1260"/>
        </w:tabs>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与本投标文件有关的一切往来联系电话（手机）：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；邮件地址：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5FDE5056">
      <w:pPr>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3B939D15">
      <w:pPr>
        <w:spacing w:line="360" w:lineRule="auto"/>
        <w:rPr>
          <w:rFonts w:ascii="Times New Roman" w:hAnsi="Times New Roman" w:eastAsia="宋体" w:cs="Times New Roman"/>
          <w:color w:val="auto"/>
          <w:szCs w:val="21"/>
          <w:highlight w:val="none"/>
        </w:rPr>
      </w:pPr>
    </w:p>
    <w:p w14:paraId="2C109175">
      <w:pPr>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投标人名称（盖章）：</w:t>
      </w:r>
      <w:r>
        <w:rPr>
          <w:rFonts w:hint="default" w:ascii="Times New Roman" w:hAnsi="Times New Roman" w:eastAsia="宋体" w:cs="Times New Roman"/>
          <w:color w:val="auto"/>
          <w:szCs w:val="21"/>
          <w:highlight w:val="none"/>
          <w:u w:val="single"/>
        </w:rPr>
        <w:t xml:space="preserve">                                      </w:t>
      </w:r>
    </w:p>
    <w:p w14:paraId="3B904051">
      <w:pPr>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投标人代表（签字）：</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8E43A53">
      <w:pPr>
        <w:spacing w:line="360" w:lineRule="auto"/>
        <w:rPr>
          <w:rFonts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 xml:space="preserve"> 日             期：</w:t>
      </w:r>
      <w:r>
        <w:rPr>
          <w:rFonts w:hint="default" w:ascii="Times New Roman" w:hAnsi="Times New Roman" w:eastAsia="宋体" w:cs="Times New Roman"/>
          <w:color w:val="auto"/>
          <w:szCs w:val="21"/>
          <w:highlight w:val="none"/>
          <w:u w:val="single"/>
        </w:rPr>
        <w:t xml:space="preserve">                                      </w:t>
      </w:r>
    </w:p>
    <w:p w14:paraId="62464D58">
      <w:pPr>
        <w:spacing w:line="360" w:lineRule="auto"/>
        <w:rPr>
          <w:rFonts w:ascii="Times New Roman" w:hAnsi="Times New Roman" w:eastAsia="宋体" w:cs="Times New Roman"/>
          <w:color w:val="auto"/>
          <w:szCs w:val="21"/>
          <w:highlight w:val="none"/>
          <w:u w:val="single"/>
        </w:rPr>
      </w:pPr>
    </w:p>
    <w:p w14:paraId="781092B5">
      <w:pPr>
        <w:adjustRightInd w:val="0"/>
        <w:snapToGrid w:val="0"/>
        <w:spacing w:line="360" w:lineRule="auto"/>
        <w:rPr>
          <w:rFonts w:ascii="Times New Roman" w:hAnsi="Times New Roman" w:eastAsia="宋体" w:cs="Times New Roman"/>
          <w:b/>
          <w:color w:val="auto"/>
          <w:spacing w:val="8"/>
          <w:kern w:val="0"/>
          <w:szCs w:val="21"/>
          <w:highlight w:val="none"/>
        </w:rPr>
      </w:pPr>
      <w:r>
        <w:rPr>
          <w:rFonts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lang w:val="en-US" w:eastAsia="zh-CN"/>
        </w:rPr>
        <w:t>三</w:t>
      </w:r>
      <w:r>
        <w:rPr>
          <w:rFonts w:hint="default" w:ascii="Times New Roman" w:hAnsi="Times New Roman" w:eastAsia="宋体" w:cs="Times New Roman"/>
          <w:b/>
          <w:bCs/>
          <w:color w:val="auto"/>
          <w:szCs w:val="21"/>
          <w:highlight w:val="none"/>
        </w:rPr>
        <w:t>、报价表（格式）</w:t>
      </w:r>
    </w:p>
    <w:p w14:paraId="7EAF2923">
      <w:pPr>
        <w:spacing w:line="360" w:lineRule="auto"/>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w:t>
      </w:r>
      <w:r>
        <w:rPr>
          <w:rFonts w:hint="default" w:ascii="Times New Roman" w:hAnsi="Times New Roman" w:eastAsia="宋体" w:cs="Times New Roman"/>
          <w:b w:val="0"/>
          <w:bCs w:val="0"/>
          <w:color w:val="auto"/>
          <w:sz w:val="21"/>
          <w:szCs w:val="21"/>
          <w:highlight w:val="none"/>
          <w:lang w:val="en-US" w:eastAsia="zh-CN"/>
        </w:rPr>
        <w:t>公共区域部分楼宇白蚁防治服务项目</w:t>
      </w:r>
    </w:p>
    <w:tbl>
      <w:tblPr>
        <w:tblStyle w:val="14"/>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3983"/>
        <w:gridCol w:w="1526"/>
        <w:gridCol w:w="1894"/>
        <w:gridCol w:w="1924"/>
      </w:tblGrid>
      <w:tr w14:paraId="2320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dxa"/>
            <w:vAlign w:val="center"/>
          </w:tcPr>
          <w:p w14:paraId="49160124">
            <w:pPr>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3983" w:type="dxa"/>
            <w:vAlign w:val="center"/>
          </w:tcPr>
          <w:p w14:paraId="2AA94C46">
            <w:pPr>
              <w:jc w:val="center"/>
              <w:rPr>
                <w:rFonts w:ascii="宋体" w:hAnsi="宋体" w:eastAsia="宋体"/>
                <w:b/>
                <w:color w:val="auto"/>
                <w:szCs w:val="21"/>
                <w:highlight w:val="none"/>
              </w:rPr>
            </w:pPr>
            <w:r>
              <w:rPr>
                <w:rFonts w:hint="eastAsia" w:ascii="宋体" w:hAnsi="宋体" w:eastAsia="宋体"/>
                <w:b/>
                <w:color w:val="auto"/>
                <w:szCs w:val="21"/>
                <w:highlight w:val="none"/>
              </w:rPr>
              <w:t>项目内容</w:t>
            </w:r>
          </w:p>
        </w:tc>
        <w:tc>
          <w:tcPr>
            <w:tcW w:w="1526" w:type="dxa"/>
            <w:vAlign w:val="center"/>
          </w:tcPr>
          <w:p w14:paraId="58E3AAA2">
            <w:pPr>
              <w:jc w:val="cente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服务期限</w:t>
            </w:r>
          </w:p>
        </w:tc>
        <w:tc>
          <w:tcPr>
            <w:tcW w:w="1894" w:type="dxa"/>
            <w:vAlign w:val="center"/>
          </w:tcPr>
          <w:p w14:paraId="13188901">
            <w:pPr>
              <w:jc w:val="center"/>
              <w:rPr>
                <w:rFonts w:ascii="宋体" w:hAnsi="宋体" w:eastAsia="宋体"/>
                <w:b/>
                <w:color w:val="auto"/>
                <w:szCs w:val="21"/>
                <w:highlight w:val="none"/>
              </w:rPr>
            </w:pPr>
            <w:r>
              <w:rPr>
                <w:rFonts w:hint="eastAsia" w:ascii="宋体" w:hAnsi="宋体" w:eastAsia="宋体"/>
                <w:b/>
                <w:color w:val="auto"/>
                <w:szCs w:val="21"/>
                <w:highlight w:val="none"/>
              </w:rPr>
              <w:t>不含税</w:t>
            </w:r>
          </w:p>
          <w:p w14:paraId="5EE01B03">
            <w:pPr>
              <w:jc w:val="center"/>
              <w:rPr>
                <w:rFonts w:ascii="宋体" w:hAnsi="宋体" w:eastAsia="宋体"/>
                <w:b/>
                <w:color w:val="auto"/>
                <w:szCs w:val="21"/>
                <w:highlight w:val="none"/>
              </w:rPr>
            </w:pPr>
            <w:r>
              <w:rPr>
                <w:rFonts w:hint="eastAsia" w:ascii="宋体" w:hAnsi="宋体" w:eastAsia="宋体"/>
                <w:b/>
                <w:color w:val="auto"/>
                <w:szCs w:val="21"/>
                <w:highlight w:val="none"/>
                <w:lang w:val="en-US" w:eastAsia="zh-CN"/>
              </w:rPr>
              <w:t>单</w:t>
            </w:r>
            <w:r>
              <w:rPr>
                <w:rFonts w:hint="eastAsia" w:ascii="宋体" w:hAnsi="宋体" w:eastAsia="宋体"/>
                <w:b/>
                <w:color w:val="auto"/>
                <w:szCs w:val="21"/>
                <w:highlight w:val="none"/>
              </w:rPr>
              <w:t>价（元）</w:t>
            </w:r>
          </w:p>
        </w:tc>
        <w:tc>
          <w:tcPr>
            <w:tcW w:w="1924" w:type="dxa"/>
            <w:vAlign w:val="center"/>
          </w:tcPr>
          <w:p w14:paraId="0C3F5508">
            <w:pPr>
              <w:jc w:val="center"/>
              <w:rPr>
                <w:rFonts w:ascii="宋体" w:hAnsi="宋体" w:eastAsia="宋体"/>
                <w:b/>
                <w:color w:val="auto"/>
                <w:szCs w:val="21"/>
                <w:highlight w:val="none"/>
              </w:rPr>
            </w:pPr>
            <w:r>
              <w:rPr>
                <w:rFonts w:hint="eastAsia" w:ascii="宋体" w:hAnsi="宋体" w:eastAsia="宋体"/>
                <w:b/>
                <w:color w:val="auto"/>
                <w:szCs w:val="21"/>
                <w:highlight w:val="none"/>
              </w:rPr>
              <w:t>含税</w:t>
            </w:r>
          </w:p>
          <w:p w14:paraId="20C2A8DF">
            <w:pPr>
              <w:jc w:val="center"/>
              <w:rPr>
                <w:rFonts w:ascii="宋体" w:hAnsi="宋体" w:eastAsia="宋体"/>
                <w:b/>
                <w:color w:val="auto"/>
                <w:szCs w:val="21"/>
                <w:highlight w:val="none"/>
              </w:rPr>
            </w:pPr>
            <w:r>
              <w:rPr>
                <w:rFonts w:hint="eastAsia" w:ascii="宋体" w:hAnsi="宋体" w:eastAsia="宋体"/>
                <w:b/>
                <w:color w:val="auto"/>
                <w:szCs w:val="21"/>
                <w:highlight w:val="none"/>
                <w:lang w:val="en-US" w:eastAsia="zh-CN"/>
              </w:rPr>
              <w:t>单</w:t>
            </w:r>
            <w:r>
              <w:rPr>
                <w:rFonts w:hint="eastAsia" w:ascii="宋体" w:hAnsi="宋体" w:eastAsia="宋体"/>
                <w:b/>
                <w:color w:val="auto"/>
                <w:szCs w:val="21"/>
                <w:highlight w:val="none"/>
              </w:rPr>
              <w:t>价（元）</w:t>
            </w:r>
          </w:p>
        </w:tc>
      </w:tr>
      <w:tr w14:paraId="5148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dxa"/>
            <w:vAlign w:val="center"/>
          </w:tcPr>
          <w:p w14:paraId="1613A78B">
            <w:pPr>
              <w:jc w:val="center"/>
              <w:rPr>
                <w:rFonts w:hint="default" w:ascii="Times New Roman Regular" w:hAnsi="Times New Roman Regular" w:eastAsia="宋体" w:cs="Times New Roman Regular"/>
                <w:color w:val="auto"/>
                <w:szCs w:val="21"/>
                <w:highlight w:val="none"/>
              </w:rPr>
            </w:pPr>
            <w:r>
              <w:rPr>
                <w:rFonts w:hint="default" w:ascii="Times New Roman Regular" w:hAnsi="Times New Roman Regular" w:eastAsia="宋体" w:cs="Times New Roman Regular"/>
                <w:color w:val="auto"/>
                <w:szCs w:val="21"/>
                <w:highlight w:val="none"/>
              </w:rPr>
              <w:t>1</w:t>
            </w:r>
          </w:p>
        </w:tc>
        <w:tc>
          <w:tcPr>
            <w:tcW w:w="3983" w:type="dxa"/>
            <w:vAlign w:val="center"/>
          </w:tcPr>
          <w:p w14:paraId="3223481D">
            <w:pPr>
              <w:jc w:val="center"/>
              <w:rPr>
                <w:rFonts w:ascii="宋体" w:hAnsi="宋体" w:eastAsia="宋体"/>
                <w:color w:val="auto"/>
                <w:szCs w:val="21"/>
                <w:highlight w:val="none"/>
              </w:rPr>
            </w:pPr>
            <w:r>
              <w:rPr>
                <w:rFonts w:hint="eastAsia" w:ascii="Times New Roman" w:hAnsi="Times New Roman" w:eastAsia="宋体"/>
                <w:color w:val="auto"/>
                <w:sz w:val="21"/>
                <w:szCs w:val="21"/>
                <w:highlight w:val="none"/>
              </w:rPr>
              <w:t>公共区域部分楼宇白蚁防治服务项目</w:t>
            </w:r>
          </w:p>
        </w:tc>
        <w:tc>
          <w:tcPr>
            <w:tcW w:w="1526" w:type="dxa"/>
            <w:vAlign w:val="center"/>
          </w:tcPr>
          <w:p w14:paraId="35BE71B6">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2年</w:t>
            </w:r>
          </w:p>
        </w:tc>
        <w:tc>
          <w:tcPr>
            <w:tcW w:w="1894" w:type="dxa"/>
            <w:vAlign w:val="center"/>
          </w:tcPr>
          <w:p w14:paraId="33E27BF0">
            <w:pPr>
              <w:jc w:val="center"/>
              <w:rPr>
                <w:rFonts w:ascii="宋体" w:hAnsi="宋体" w:eastAsia="宋体"/>
                <w:color w:val="auto"/>
                <w:szCs w:val="21"/>
                <w:highlight w:val="none"/>
              </w:rPr>
            </w:pPr>
          </w:p>
        </w:tc>
        <w:tc>
          <w:tcPr>
            <w:tcW w:w="1924" w:type="dxa"/>
            <w:vAlign w:val="center"/>
          </w:tcPr>
          <w:p w14:paraId="3736AF9D">
            <w:pPr>
              <w:jc w:val="center"/>
              <w:rPr>
                <w:rFonts w:ascii="宋体" w:hAnsi="宋体" w:eastAsia="宋体"/>
                <w:color w:val="auto"/>
                <w:szCs w:val="21"/>
                <w:highlight w:val="none"/>
              </w:rPr>
            </w:pPr>
          </w:p>
        </w:tc>
      </w:tr>
      <w:tr w14:paraId="6045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3" w:type="dxa"/>
            <w:gridSpan w:val="3"/>
            <w:vAlign w:val="center"/>
          </w:tcPr>
          <w:p w14:paraId="27026AB8">
            <w:pPr>
              <w:jc w:val="center"/>
              <w:rPr>
                <w:rFonts w:ascii="宋体" w:hAnsi="宋体" w:eastAsia="宋体"/>
                <w:color w:val="auto"/>
                <w:szCs w:val="21"/>
                <w:highlight w:val="none"/>
              </w:rPr>
            </w:pPr>
            <w:r>
              <w:rPr>
                <w:rFonts w:hint="eastAsia" w:ascii="宋体" w:hAnsi="宋体" w:eastAsia="宋体"/>
                <w:color w:val="auto"/>
                <w:szCs w:val="21"/>
                <w:highlight w:val="none"/>
              </w:rPr>
              <w:t>不含税总报价（</w:t>
            </w:r>
            <w:r>
              <w:rPr>
                <w:rFonts w:hint="default" w:ascii="Times New Roman Regular" w:hAnsi="Times New Roman Regular" w:eastAsia="宋体" w:cs="Times New Roman Regular"/>
                <w:color w:val="auto"/>
                <w:szCs w:val="21"/>
                <w:highlight w:val="none"/>
              </w:rPr>
              <w:t>1+2+</w:t>
            </w:r>
            <w:r>
              <w:rPr>
                <w:rFonts w:ascii="宋体" w:hAnsi="宋体" w:eastAsia="宋体" w:cs="Arial"/>
                <w:color w:val="auto"/>
                <w:szCs w:val="21"/>
                <w:highlight w:val="none"/>
              </w:rPr>
              <w:t>…</w:t>
            </w:r>
            <w:r>
              <w:rPr>
                <w:rFonts w:hint="eastAsia" w:ascii="宋体" w:hAnsi="宋体" w:eastAsia="宋体"/>
                <w:color w:val="auto"/>
                <w:szCs w:val="21"/>
                <w:highlight w:val="none"/>
              </w:rPr>
              <w:t>）</w:t>
            </w:r>
          </w:p>
        </w:tc>
        <w:tc>
          <w:tcPr>
            <w:tcW w:w="3818" w:type="dxa"/>
            <w:gridSpan w:val="2"/>
            <w:vAlign w:val="center"/>
          </w:tcPr>
          <w:p w14:paraId="6C5123EF">
            <w:pPr>
              <w:jc w:val="center"/>
              <w:rPr>
                <w:rFonts w:ascii="宋体" w:hAnsi="宋体" w:eastAsia="宋体"/>
                <w:color w:val="auto"/>
                <w:szCs w:val="21"/>
                <w:highlight w:val="none"/>
              </w:rPr>
            </w:pPr>
          </w:p>
        </w:tc>
      </w:tr>
      <w:tr w14:paraId="5C98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3" w:type="dxa"/>
            <w:gridSpan w:val="3"/>
            <w:vAlign w:val="center"/>
          </w:tcPr>
          <w:p w14:paraId="668B6AF6">
            <w:pPr>
              <w:jc w:val="center"/>
              <w:rPr>
                <w:rFonts w:ascii="宋体" w:hAnsi="宋体" w:eastAsia="宋体"/>
                <w:color w:val="auto"/>
                <w:szCs w:val="21"/>
                <w:highlight w:val="none"/>
              </w:rPr>
            </w:pPr>
            <w:r>
              <w:rPr>
                <w:rFonts w:hint="eastAsia" w:ascii="宋体" w:hAnsi="宋体" w:eastAsia="宋体"/>
                <w:color w:val="auto"/>
                <w:szCs w:val="21"/>
                <w:highlight w:val="none"/>
              </w:rPr>
              <w:t>增值税税率（付款前须提供增值税专用发票）</w:t>
            </w:r>
          </w:p>
        </w:tc>
        <w:tc>
          <w:tcPr>
            <w:tcW w:w="3818" w:type="dxa"/>
            <w:gridSpan w:val="2"/>
            <w:vAlign w:val="center"/>
          </w:tcPr>
          <w:p w14:paraId="74BA2FD5">
            <w:pPr>
              <w:jc w:val="center"/>
              <w:rPr>
                <w:rFonts w:ascii="宋体" w:hAnsi="宋体" w:eastAsia="宋体"/>
                <w:color w:val="auto"/>
                <w:szCs w:val="21"/>
                <w:highlight w:val="none"/>
              </w:rPr>
            </w:pPr>
            <w:r>
              <w:rPr>
                <w:rFonts w:hint="eastAsia" w:ascii="宋体" w:hAnsi="宋体" w:eastAsia="宋体"/>
                <w:color w:val="auto"/>
                <w:szCs w:val="21"/>
                <w:highlight w:val="none"/>
                <w:shd w:val="clear"/>
              </w:rPr>
              <w:t>%</w:t>
            </w:r>
          </w:p>
        </w:tc>
      </w:tr>
      <w:tr w14:paraId="09B4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3" w:type="dxa"/>
            <w:gridSpan w:val="3"/>
            <w:vAlign w:val="center"/>
          </w:tcPr>
          <w:p w14:paraId="340FBF87">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含税总报价</w:t>
            </w:r>
          </w:p>
        </w:tc>
        <w:tc>
          <w:tcPr>
            <w:tcW w:w="3818" w:type="dxa"/>
            <w:gridSpan w:val="2"/>
            <w:vAlign w:val="center"/>
          </w:tcPr>
          <w:p w14:paraId="061C9664">
            <w:pPr>
              <w:jc w:val="center"/>
              <w:rPr>
                <w:rFonts w:ascii="宋体" w:hAnsi="宋体" w:eastAsia="宋体"/>
                <w:color w:val="auto"/>
                <w:szCs w:val="21"/>
                <w:highlight w:val="none"/>
              </w:rPr>
            </w:pPr>
          </w:p>
        </w:tc>
      </w:tr>
      <w:tr w14:paraId="5C89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7" w:type="dxa"/>
            <w:gridSpan w:val="2"/>
            <w:vAlign w:val="center"/>
          </w:tcPr>
          <w:p w14:paraId="2F856EC5">
            <w:pPr>
              <w:shd w:val="clear"/>
              <w:spacing w:line="360" w:lineRule="auto"/>
              <w:jc w:val="center"/>
              <w:rPr>
                <w:rFonts w:hint="eastAsia" w:eastAsia="宋体"/>
                <w:color w:val="auto"/>
                <w:spacing w:val="0"/>
                <w:w w:val="100"/>
                <w:position w:val="0"/>
                <w:highlight w:val="none"/>
                <w:vertAlign w:val="baseline"/>
                <w:lang w:val="en-US" w:eastAsia="zh-CN"/>
              </w:rPr>
            </w:pPr>
            <w:r>
              <w:rPr>
                <w:rFonts w:hint="eastAsia" w:ascii="Times New Roman" w:hAnsi="Times New Roman" w:eastAsia="宋体" w:cs="Times New Roman"/>
                <w:color w:val="auto"/>
                <w:spacing w:val="0"/>
                <w:w w:val="100"/>
                <w:position w:val="0"/>
                <w:highlight w:val="none"/>
                <w:vertAlign w:val="baseline"/>
                <w:lang w:val="en-US" w:eastAsia="zh-CN"/>
              </w:rPr>
              <w:t>应急服务</w:t>
            </w:r>
          </w:p>
        </w:tc>
        <w:tc>
          <w:tcPr>
            <w:tcW w:w="5344" w:type="dxa"/>
            <w:gridSpan w:val="3"/>
            <w:vAlign w:val="center"/>
          </w:tcPr>
          <w:p w14:paraId="28C02641">
            <w:pPr>
              <w:jc w:val="left"/>
              <w:rPr>
                <w:rFonts w:ascii="宋体" w:hAnsi="宋体" w:eastAsia="宋体"/>
                <w:color w:val="auto"/>
                <w:szCs w:val="21"/>
                <w:highlight w:val="none"/>
              </w:rPr>
            </w:pPr>
            <w:r>
              <w:rPr>
                <w:rFonts w:hint="eastAsia" w:ascii="Times New Roman" w:hAnsi="Times New Roman" w:eastAsia="宋体"/>
                <w:color w:val="auto"/>
                <w:szCs w:val="21"/>
                <w:highlight w:val="none"/>
              </w:rPr>
              <w:t>接到通知后，2小时内应及时组织灭杀，不受消杀次数限制</w:t>
            </w:r>
          </w:p>
        </w:tc>
      </w:tr>
    </w:tbl>
    <w:p w14:paraId="7BB97CBF">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注：1.总报价包含人工费、差旅费、食宿费等相关费用及投标人认为需要</w:t>
      </w:r>
      <w:r>
        <w:rPr>
          <w:rFonts w:hint="default" w:ascii="Times New Roman" w:hAnsi="Times New Roman" w:eastAsia="宋体" w:cs="Times New Roman"/>
          <w:color w:val="auto"/>
          <w:szCs w:val="21"/>
          <w:highlight w:val="none"/>
          <w:lang w:eastAsia="zh-CN"/>
        </w:rPr>
        <w:t>的其他费用</w:t>
      </w:r>
      <w:r>
        <w:rPr>
          <w:rFonts w:hint="default" w:ascii="Times New Roman" w:hAnsi="Times New Roman" w:eastAsia="宋体" w:cs="Times New Roman"/>
          <w:color w:val="auto"/>
          <w:szCs w:val="21"/>
          <w:highlight w:val="none"/>
        </w:rPr>
        <w:t xml:space="preserve">。  </w:t>
      </w:r>
    </w:p>
    <w:p w14:paraId="4CC03B7E">
      <w:pPr>
        <w:spacing w:line="360" w:lineRule="auto"/>
        <w:ind w:firstLine="420" w:firstLineChars="200"/>
        <w:rPr>
          <w:rFonts w:hint="default" w:ascii="Times New Roman" w:hAnsi="Times New Roman" w:cs="Times New Roman"/>
          <w:color w:val="auto"/>
          <w:kern w:val="2"/>
          <w:sz w:val="21"/>
          <w:szCs w:val="21"/>
          <w:highlight w:val="none"/>
          <w:lang w:val="en-US" w:eastAsia="zh-CN" w:bidi="ar"/>
        </w:rPr>
      </w:pPr>
      <w:r>
        <w:rPr>
          <w:rFonts w:hint="default" w:ascii="Times New Roman" w:hAnsi="Times New Roman" w:eastAsia="宋体" w:cs="Times New Roman"/>
          <w:color w:val="auto"/>
          <w:szCs w:val="21"/>
          <w:highlight w:val="none"/>
        </w:rPr>
        <w:t>2.不含税总报价为评标依据；含税总报价为签订合同的金额。</w:t>
      </w:r>
      <w:r>
        <w:rPr>
          <w:rFonts w:hint="default" w:ascii="Times New Roman" w:hAnsi="Times New Roman" w:eastAsia="宋体" w:cs="Times New Roman"/>
          <w:color w:val="auto"/>
          <w:kern w:val="2"/>
          <w:sz w:val="21"/>
          <w:szCs w:val="21"/>
          <w:highlight w:val="none"/>
          <w:lang w:val="en-US" w:eastAsia="zh-CN" w:bidi="ar"/>
        </w:rPr>
        <w:t>如不含税价与含税价计算不一致的，以不含税价为准。报价精确到小数点后两位</w:t>
      </w:r>
      <w:r>
        <w:rPr>
          <w:rFonts w:hint="default" w:ascii="Times New Roman" w:hAnsi="Times New Roman" w:cs="Times New Roman"/>
          <w:color w:val="auto"/>
          <w:kern w:val="2"/>
          <w:sz w:val="21"/>
          <w:szCs w:val="21"/>
          <w:highlight w:val="none"/>
          <w:lang w:val="en-US" w:eastAsia="zh-CN" w:bidi="ar"/>
        </w:rPr>
        <w:t>。</w:t>
      </w:r>
    </w:p>
    <w:p w14:paraId="08A7B381">
      <w:pPr>
        <w:spacing w:line="360" w:lineRule="auto"/>
        <w:ind w:firstLine="420" w:firstLineChars="200"/>
        <w:rPr>
          <w:rFonts w:ascii="Times New Roman" w:hAnsi="Times New Roman" w:eastAsia="宋体" w:cs="Times New Roman"/>
          <w:color w:val="auto"/>
          <w:szCs w:val="21"/>
          <w:highlight w:val="none"/>
        </w:rPr>
      </w:pPr>
    </w:p>
    <w:p w14:paraId="7987459F">
      <w:pPr>
        <w:spacing w:line="360" w:lineRule="auto"/>
        <w:ind w:firstLine="105" w:firstLineChars="50"/>
        <w:rPr>
          <w:rFonts w:ascii="Times New Roman" w:hAnsi="Times New Roman" w:eastAsia="宋体" w:cs="Times New Roman"/>
          <w:color w:val="auto"/>
          <w:szCs w:val="21"/>
          <w:highlight w:val="none"/>
        </w:rPr>
      </w:pPr>
    </w:p>
    <w:p w14:paraId="2E48378A">
      <w:pPr>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投标人授权代表签字</w:t>
      </w:r>
      <w:r>
        <w:rPr>
          <w:rFonts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t>投标人全称（盖章）</w:t>
      </w:r>
    </w:p>
    <w:p w14:paraId="4B3EDE5C">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6F98C4B2">
      <w:pPr>
        <w:spacing w:line="360" w:lineRule="auto"/>
        <w:rPr>
          <w:rStyle w:val="26"/>
          <w:rFonts w:hint="default" w:ascii="Times New Roman" w:hAnsi="Times New Roman" w:eastAsia="宋体" w:cs="Times New Roman"/>
          <w:b/>
          <w:bCs/>
          <w:color w:val="auto"/>
          <w:sz w:val="21"/>
          <w:szCs w:val="21"/>
          <w:highlight w:val="none"/>
        </w:rPr>
      </w:pPr>
      <w:r>
        <w:rPr>
          <w:rStyle w:val="26"/>
          <w:rFonts w:hint="eastAsia" w:ascii="Times New Roman" w:hAnsi="Times New Roman" w:eastAsia="宋体" w:cs="Times New Roman"/>
          <w:b/>
          <w:bCs/>
          <w:color w:val="auto"/>
          <w:sz w:val="21"/>
          <w:szCs w:val="21"/>
          <w:highlight w:val="none"/>
          <w:lang w:val="en-US"/>
        </w:rPr>
        <w:t>四、</w:t>
      </w:r>
      <w:r>
        <w:rPr>
          <w:rStyle w:val="26"/>
          <w:rFonts w:hint="default" w:ascii="Times New Roman" w:hAnsi="Times New Roman" w:eastAsia="宋体" w:cs="Times New Roman"/>
          <w:b/>
          <w:bCs/>
          <w:color w:val="auto"/>
          <w:sz w:val="21"/>
          <w:szCs w:val="21"/>
          <w:highlight w:val="none"/>
        </w:rPr>
        <w:t>法定代表人授权书</w:t>
      </w:r>
    </w:p>
    <w:p w14:paraId="60BA01FB">
      <w:pPr>
        <w:spacing w:line="360" w:lineRule="auto"/>
        <w:rPr>
          <w:rStyle w:val="26"/>
          <w:rFonts w:hint="default" w:ascii="Times New Roman" w:hAnsi="Times New Roman" w:eastAsia="宋体" w:cs="Times New Roman"/>
          <w:b/>
          <w:bCs/>
          <w:color w:val="auto"/>
          <w:sz w:val="24"/>
          <w:szCs w:val="24"/>
          <w:highlight w:val="none"/>
        </w:rPr>
      </w:pPr>
    </w:p>
    <w:p w14:paraId="6A152EDF">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本授权书声明：注册于[</w:t>
      </w:r>
      <w:r>
        <w:rPr>
          <w:rFonts w:hint="default" w:ascii="Times New Roman" w:hAnsi="Times New Roman" w:eastAsia="宋体" w:cs="Times New Roman"/>
          <w:color w:val="auto"/>
          <w:highlight w:val="none"/>
          <w:u w:val="single"/>
        </w:rPr>
        <w:t>国家或地区的名称</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u w:val="single"/>
        </w:rPr>
        <w:t>公司名称</w:t>
      </w:r>
      <w:r>
        <w:rPr>
          <w:rFonts w:hint="default" w:ascii="Times New Roman" w:hAnsi="Times New Roman" w:eastAsia="宋体" w:cs="Times New Roman"/>
          <w:color w:val="auto"/>
          <w:highlight w:val="none"/>
        </w:rPr>
        <w:t>]的在下面签字的[</w:t>
      </w:r>
      <w:r>
        <w:rPr>
          <w:rFonts w:hint="default" w:ascii="Times New Roman" w:hAnsi="Times New Roman" w:eastAsia="宋体" w:cs="Times New Roman"/>
          <w:color w:val="auto"/>
          <w:highlight w:val="none"/>
          <w:u w:val="single"/>
        </w:rPr>
        <w:t>法定代表人姓名、职务</w:t>
      </w:r>
      <w:r>
        <w:rPr>
          <w:rFonts w:hint="default" w:ascii="Times New Roman" w:hAnsi="Times New Roman" w:eastAsia="宋体" w:cs="Times New Roman"/>
          <w:color w:val="auto"/>
          <w:highlight w:val="none"/>
        </w:rPr>
        <w:t>]代表</w:t>
      </w:r>
      <w:r>
        <w:rPr>
          <w:rFonts w:hint="default" w:ascii="Times New Roman" w:hAnsi="Times New Roman" w:eastAsia="宋体" w:cs="Times New Roman"/>
          <w:color w:val="auto"/>
          <w:szCs w:val="21"/>
          <w:highlight w:val="none"/>
        </w:rPr>
        <w:t>本公司授权[</w:t>
      </w:r>
      <w:r>
        <w:rPr>
          <w:rFonts w:hint="default" w:ascii="Times New Roman" w:hAnsi="Times New Roman" w:eastAsia="宋体" w:cs="Times New Roman"/>
          <w:color w:val="auto"/>
          <w:szCs w:val="21"/>
          <w:highlight w:val="none"/>
          <w:u w:val="single"/>
        </w:rPr>
        <w:t>单位名称</w:t>
      </w:r>
      <w:r>
        <w:rPr>
          <w:rFonts w:hint="default" w:ascii="Times New Roman" w:hAnsi="Times New Roman" w:eastAsia="宋体" w:cs="Times New Roman"/>
          <w:color w:val="auto"/>
          <w:szCs w:val="21"/>
          <w:highlight w:val="none"/>
        </w:rPr>
        <w:t>]的在下面签字的[</w:t>
      </w:r>
      <w:r>
        <w:rPr>
          <w:rFonts w:hint="default" w:ascii="Times New Roman" w:hAnsi="Times New Roman" w:eastAsia="宋体" w:cs="Times New Roman"/>
          <w:color w:val="auto"/>
          <w:szCs w:val="21"/>
          <w:highlight w:val="none"/>
          <w:u w:val="single"/>
        </w:rPr>
        <w:t>被授权人的姓名、职务</w:t>
      </w:r>
      <w:r>
        <w:rPr>
          <w:rFonts w:hint="default" w:ascii="Times New Roman" w:hAnsi="Times New Roman" w:eastAsia="宋体" w:cs="Times New Roman"/>
          <w:color w:val="auto"/>
          <w:szCs w:val="21"/>
          <w:highlight w:val="none"/>
        </w:rPr>
        <w:t>]为本公司的合法代理人，就[</w:t>
      </w:r>
      <w:r>
        <w:rPr>
          <w:rFonts w:hint="default" w:ascii="Times New Roman" w:hAnsi="Times New Roman" w:eastAsia="宋体" w:cs="Times New Roman"/>
          <w:color w:val="auto"/>
          <w:szCs w:val="21"/>
          <w:highlight w:val="none"/>
          <w:u w:val="single"/>
        </w:rPr>
        <w:t>项目名称</w:t>
      </w:r>
      <w:r>
        <w:rPr>
          <w:rFonts w:hint="default" w:ascii="Times New Roman" w:hAnsi="Times New Roman" w:eastAsia="宋体" w:cs="Times New Roman"/>
          <w:color w:val="auto"/>
          <w:szCs w:val="21"/>
          <w:highlight w:val="none"/>
        </w:rPr>
        <w:t>]参与投标，以本公司名义处理一切与之有关的事务。</w:t>
      </w:r>
    </w:p>
    <w:p w14:paraId="4C97A9E2">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本授权书于 []年[]月[]日签字生效，特此声明。</w:t>
      </w:r>
    </w:p>
    <w:p w14:paraId="5596CD1D">
      <w:pPr>
        <w:spacing w:line="360" w:lineRule="auto"/>
        <w:rPr>
          <w:rFonts w:hint="default" w:ascii="Times New Roman" w:hAnsi="Times New Roman" w:eastAsia="宋体" w:cs="Times New Roman"/>
          <w:color w:val="auto"/>
          <w:highlight w:val="none"/>
        </w:rPr>
      </w:pPr>
    </w:p>
    <w:p w14:paraId="0EDEE871">
      <w:pPr>
        <w:spacing w:line="360" w:lineRule="auto"/>
        <w:ind w:firstLine="420" w:firstLineChars="20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投标人名称（盖章）</w:t>
      </w:r>
    </w:p>
    <w:p w14:paraId="5521DFC7">
      <w:pPr>
        <w:spacing w:line="360" w:lineRule="auto"/>
        <w:ind w:firstLine="420" w:firstLineChars="20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法定代表人签字或签章：</w:t>
      </w:r>
    </w:p>
    <w:p w14:paraId="6F0E6AB1">
      <w:pPr>
        <w:spacing w:line="360" w:lineRule="auto"/>
        <w:ind w:firstLine="420" w:firstLineChars="20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被授权人签字：</w:t>
      </w:r>
    </w:p>
    <w:p w14:paraId="3AABDF41">
      <w:pPr>
        <w:rPr>
          <w:rStyle w:val="26"/>
          <w:rFonts w:hint="default" w:ascii="Times New Roman" w:hAnsi="Times New Roman" w:eastAsia="宋体" w:cs="Times New Roman"/>
          <w:color w:val="auto"/>
          <w:szCs w:val="32"/>
          <w:highlight w:val="none"/>
        </w:rPr>
      </w:pPr>
    </w:p>
    <w:p w14:paraId="730B96EF">
      <w:pPr>
        <w:rPr>
          <w:rStyle w:val="26"/>
          <w:rFonts w:hint="default" w:ascii="Times New Roman" w:hAnsi="Times New Roman" w:eastAsia="宋体" w:cs="Times New Roman"/>
          <w:color w:val="auto"/>
          <w:szCs w:val="32"/>
          <w:highlight w:val="none"/>
        </w:rPr>
      </w:pPr>
    </w:p>
    <w:p w14:paraId="03345F7B">
      <w:pPr>
        <w:spacing w:line="360" w:lineRule="auto"/>
        <w:ind w:firstLine="420" w:firstLineChars="2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法定代表人身份证：</w:t>
      </w:r>
    </w:p>
    <w:p w14:paraId="6846BF92">
      <w:pPr>
        <w:spacing w:line="360" w:lineRule="auto"/>
        <w:ind w:firstLine="420" w:firstLineChars="200"/>
        <w:rPr>
          <w:rFonts w:hint="default" w:ascii="Times New Roman" w:hAnsi="Times New Roman" w:eastAsia="宋体" w:cs="Times New Roman"/>
          <w:bCs/>
          <w:color w:val="auto"/>
          <w:highlight w:val="none"/>
        </w:rPr>
      </w:pPr>
    </w:p>
    <w:p w14:paraId="0F5C8806">
      <w:pPr>
        <w:spacing w:line="360" w:lineRule="auto"/>
        <w:ind w:firstLine="420" w:firstLineChars="200"/>
        <w:rPr>
          <w:rFonts w:hint="default" w:ascii="Times New Roman" w:hAnsi="Times New Roman" w:eastAsia="宋体" w:cs="Times New Roman"/>
          <w:bCs/>
          <w:color w:val="auto"/>
          <w:highlight w:val="none"/>
        </w:rPr>
      </w:pPr>
    </w:p>
    <w:p w14:paraId="779D04A3">
      <w:pPr>
        <w:spacing w:line="360" w:lineRule="auto"/>
        <w:ind w:firstLine="420" w:firstLineChars="200"/>
        <w:rPr>
          <w:rFonts w:hint="default" w:ascii="Times New Roman" w:hAnsi="Times New Roman" w:eastAsia="宋体" w:cs="Times New Roman"/>
          <w:bCs/>
          <w:color w:val="auto"/>
          <w:highlight w:val="none"/>
        </w:rPr>
      </w:pPr>
    </w:p>
    <w:p w14:paraId="3A7DC38B">
      <w:pPr>
        <w:spacing w:line="360" w:lineRule="auto"/>
        <w:ind w:firstLine="420" w:firstLineChars="200"/>
        <w:rPr>
          <w:rFonts w:hint="default" w:ascii="Times New Roman" w:hAnsi="Times New Roman" w:eastAsia="宋体" w:cs="Times New Roman"/>
          <w:bCs/>
          <w:color w:val="auto"/>
          <w:highlight w:val="none"/>
        </w:rPr>
      </w:pPr>
    </w:p>
    <w:p w14:paraId="14D9ED88">
      <w:pPr>
        <w:spacing w:line="360" w:lineRule="auto"/>
        <w:ind w:firstLine="420" w:firstLineChars="2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被授权人身份证：</w:t>
      </w:r>
    </w:p>
    <w:p w14:paraId="1AACEDAF">
      <w:pPr>
        <w:pStyle w:val="27"/>
        <w:spacing w:after="72"/>
        <w:ind w:left="0" w:firstLine="0" w:firstLineChars="0"/>
        <w:rPr>
          <w:rFonts w:hint="default" w:ascii="Times New Roman" w:hAnsi="Times New Roman" w:eastAsia="宋体" w:cs="Times New Roman"/>
          <w:bCs/>
          <w:color w:val="auto"/>
          <w:kern w:val="2"/>
          <w:sz w:val="21"/>
          <w:szCs w:val="20"/>
          <w:highlight w:val="none"/>
        </w:rPr>
      </w:pPr>
    </w:p>
    <w:p w14:paraId="204E968E">
      <w:pPr>
        <w:pStyle w:val="27"/>
        <w:spacing w:after="72"/>
        <w:ind w:left="0" w:firstLine="0" w:firstLineChars="0"/>
        <w:rPr>
          <w:rFonts w:hint="default" w:ascii="Times New Roman" w:hAnsi="Times New Roman" w:eastAsia="宋体" w:cs="Times New Roman"/>
          <w:bCs/>
          <w:color w:val="auto"/>
          <w:kern w:val="2"/>
          <w:sz w:val="21"/>
          <w:szCs w:val="20"/>
          <w:highlight w:val="none"/>
        </w:rPr>
      </w:pPr>
    </w:p>
    <w:p w14:paraId="50B97B69">
      <w:pPr>
        <w:pStyle w:val="27"/>
        <w:spacing w:after="72"/>
        <w:ind w:left="0" w:firstLine="0" w:firstLineChars="0"/>
        <w:rPr>
          <w:rFonts w:hint="default" w:ascii="Times New Roman" w:hAnsi="Times New Roman" w:eastAsia="宋体" w:cs="Times New Roman"/>
          <w:bCs/>
          <w:color w:val="auto"/>
          <w:kern w:val="2"/>
          <w:sz w:val="21"/>
          <w:szCs w:val="20"/>
          <w:highlight w:val="none"/>
        </w:rPr>
      </w:pPr>
    </w:p>
    <w:p w14:paraId="380DFCE8">
      <w:pPr>
        <w:pStyle w:val="27"/>
        <w:spacing w:after="72"/>
        <w:ind w:left="0" w:firstLine="0" w:firstLineChars="0"/>
        <w:rPr>
          <w:rFonts w:hint="default" w:ascii="Times New Roman" w:hAnsi="Times New Roman" w:eastAsia="宋体" w:cs="Times New Roman"/>
          <w:bCs/>
          <w:color w:val="auto"/>
          <w:highlight w:val="none"/>
        </w:rPr>
      </w:pPr>
    </w:p>
    <w:p w14:paraId="104AAE4D">
      <w:pPr>
        <w:pStyle w:val="27"/>
        <w:spacing w:after="72"/>
        <w:ind w:left="0" w:firstLine="0" w:firstLineChars="0"/>
        <w:rPr>
          <w:rFonts w:hint="default" w:ascii="Times New Roman" w:hAnsi="Times New Roman" w:eastAsia="宋体" w:cs="Times New Roman"/>
          <w:b/>
          <w:bCs/>
          <w:color w:val="auto"/>
          <w:kern w:val="2"/>
          <w:sz w:val="21"/>
          <w:szCs w:val="20"/>
          <w:highlight w:val="none"/>
        </w:rPr>
      </w:pPr>
      <w:r>
        <w:rPr>
          <w:rFonts w:hint="default" w:ascii="Times New Roman" w:hAnsi="Times New Roman" w:eastAsia="宋体" w:cs="Times New Roman"/>
          <w:color w:val="auto"/>
          <w:highlight w:val="none"/>
          <w:u w:val="single"/>
        </w:rPr>
        <w:br w:type="page"/>
      </w:r>
      <w:r>
        <w:rPr>
          <w:rFonts w:hint="default" w:ascii="Times New Roman" w:hAnsi="Times New Roman" w:eastAsia="宋体" w:cs="Times New Roman"/>
          <w:b/>
          <w:bCs/>
          <w:color w:val="auto"/>
          <w:kern w:val="2"/>
          <w:sz w:val="21"/>
          <w:szCs w:val="24"/>
          <w:highlight w:val="none"/>
          <w:lang w:val="en-US" w:eastAsia="zh-CN" w:bidi="ar-SA"/>
        </w:rPr>
        <w:t>五、合格投标人资格证明文件</w:t>
      </w:r>
    </w:p>
    <w:p w14:paraId="5D0ED351">
      <w:pPr>
        <w:pStyle w:val="27"/>
        <w:spacing w:after="72"/>
        <w:ind w:left="0" w:firstLine="0" w:firstLineChars="0"/>
        <w:rPr>
          <w:rFonts w:hint="default" w:ascii="Times New Roman" w:hAnsi="Times New Roman" w:eastAsia="宋体" w:cs="Times New Roman"/>
          <w:bCs/>
          <w:color w:val="auto"/>
          <w:kern w:val="2"/>
          <w:sz w:val="21"/>
          <w:szCs w:val="20"/>
          <w:highlight w:val="none"/>
        </w:rPr>
      </w:pPr>
    </w:p>
    <w:p w14:paraId="5A232DD6">
      <w:pPr>
        <w:pStyle w:val="27"/>
        <w:spacing w:after="72"/>
        <w:ind w:left="0" w:firstLine="0" w:firstLineChars="0"/>
        <w:rPr>
          <w:rFonts w:hint="default" w:ascii="Times New Roman" w:hAnsi="Times New Roman" w:eastAsia="宋体" w:cs="Times New Roman"/>
          <w:bCs/>
          <w:color w:val="auto"/>
          <w:kern w:val="2"/>
          <w:sz w:val="21"/>
          <w:szCs w:val="20"/>
          <w:highlight w:val="none"/>
        </w:rPr>
      </w:pPr>
    </w:p>
    <w:p w14:paraId="4750F2A8">
      <w:pPr>
        <w:pStyle w:val="27"/>
        <w:spacing w:after="72"/>
        <w:ind w:left="0" w:firstLine="0" w:firstLineChars="0"/>
        <w:rPr>
          <w:rFonts w:hint="default" w:ascii="Times New Roman" w:hAnsi="Times New Roman" w:eastAsia="宋体" w:cs="Times New Roman"/>
          <w:bCs/>
          <w:color w:val="auto"/>
          <w:highlight w:val="none"/>
        </w:rPr>
      </w:pPr>
    </w:p>
    <w:p w14:paraId="4E1DA82E">
      <w:pPr>
        <w:spacing w:line="480" w:lineRule="auto"/>
        <w:rPr>
          <w:rFonts w:hint="default" w:ascii="Times New Roman" w:hAnsi="Times New Roman" w:eastAsia="宋体" w:cs="Times New Roman"/>
          <w:color w:val="auto"/>
          <w:sz w:val="21"/>
          <w:szCs w:val="21"/>
          <w:highlight w:val="none"/>
        </w:rPr>
      </w:pPr>
    </w:p>
    <w:p w14:paraId="30F9DA68">
      <w:pPr>
        <w:spacing w:line="360" w:lineRule="auto"/>
        <w:ind w:firstLine="105" w:firstLineChars="50"/>
        <w:rPr>
          <w:rFonts w:hint="default" w:ascii="Times New Roman" w:hAnsi="Times New Roman" w:eastAsia="宋体" w:cs="Times New Roman"/>
          <w:color w:val="auto"/>
          <w:szCs w:val="21"/>
          <w:highlight w:val="none"/>
        </w:rPr>
      </w:pPr>
    </w:p>
    <w:p w14:paraId="52BA724C">
      <w:pPr>
        <w:rPr>
          <w:rFonts w:hint="default" w:ascii="Times New Roman" w:hAnsi="Times New Roman" w:eastAsia="宋体" w:cs="Times New Roman"/>
          <w:color w:val="auto"/>
          <w:highlight w:val="none"/>
        </w:rPr>
      </w:pPr>
    </w:p>
    <w:p w14:paraId="37C418E1">
      <w:pPr>
        <w:pStyle w:val="8"/>
        <w:rPr>
          <w:rFonts w:hint="default" w:ascii="Times New Roman" w:hAnsi="Times New Roman" w:eastAsia="宋体" w:cs="Times New Roman"/>
          <w:color w:val="auto"/>
          <w:highlight w:val="none"/>
        </w:rPr>
      </w:pPr>
    </w:p>
    <w:p w14:paraId="5A100437">
      <w:pPr>
        <w:pStyle w:val="8"/>
        <w:rPr>
          <w:rFonts w:hint="default" w:ascii="Times New Roman" w:hAnsi="Times New Roman" w:eastAsia="宋体" w:cs="Times New Roman"/>
          <w:color w:val="auto"/>
          <w:highlight w:val="none"/>
        </w:rPr>
      </w:pPr>
    </w:p>
    <w:p w14:paraId="37892B25">
      <w:pPr>
        <w:pStyle w:val="8"/>
        <w:rPr>
          <w:rFonts w:hint="default" w:ascii="Times New Roman" w:hAnsi="Times New Roman" w:eastAsia="宋体" w:cs="Times New Roman"/>
          <w:color w:val="auto"/>
          <w:highlight w:val="none"/>
        </w:rPr>
      </w:pPr>
    </w:p>
    <w:p w14:paraId="54C4F624">
      <w:pPr>
        <w:pStyle w:val="8"/>
        <w:rPr>
          <w:rFonts w:hint="default" w:ascii="Times New Roman" w:hAnsi="Times New Roman" w:eastAsia="宋体" w:cs="Times New Roman"/>
          <w:color w:val="auto"/>
          <w:highlight w:val="none"/>
        </w:rPr>
      </w:pPr>
    </w:p>
    <w:p w14:paraId="176A9A2A">
      <w:pPr>
        <w:adjustRightInd w:val="0"/>
        <w:snapToGrid w:val="0"/>
        <w:spacing w:line="360" w:lineRule="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六、投标人认为应提交的其它材料</w:t>
      </w:r>
    </w:p>
    <w:p w14:paraId="15E5FA15">
      <w:pPr>
        <w:pStyle w:val="8"/>
        <w:rPr>
          <w:rFonts w:hint="default" w:ascii="Times New Roman" w:hAnsi="Times New Roman" w:eastAsia="宋体" w:cs="Times New Roman"/>
          <w:color w:val="auto"/>
          <w:highlight w:val="none"/>
        </w:rPr>
      </w:pPr>
    </w:p>
    <w:p w14:paraId="7175A321">
      <w:pPr>
        <w:spacing w:line="480" w:lineRule="auto"/>
        <w:rPr>
          <w:rFonts w:hint="default" w:ascii="Times New Roman" w:hAnsi="Times New Roman" w:eastAsia="宋体" w:cs="Times New Roman"/>
          <w:i/>
          <w:color w:val="auto"/>
          <w:highlight w:val="none"/>
        </w:rPr>
      </w:pPr>
    </w:p>
    <w:p w14:paraId="3C3899CF">
      <w:pPr>
        <w:spacing w:line="360" w:lineRule="auto"/>
        <w:jc w:val="both"/>
        <w:rPr>
          <w:rFonts w:hint="default" w:ascii="Times New Roman" w:hAnsi="Times New Roman" w:eastAsia="宋体" w:cs="Times New Roman"/>
          <w:color w:val="auto"/>
          <w:sz w:val="21"/>
          <w:szCs w:val="21"/>
          <w:highlight w:val="none"/>
        </w:rPr>
      </w:pPr>
    </w:p>
    <w:p w14:paraId="1F954E1C">
      <w:pPr>
        <w:spacing w:line="360" w:lineRule="auto"/>
        <w:ind w:firstLine="105" w:firstLineChars="50"/>
        <w:rPr>
          <w:rFonts w:hint="default" w:ascii="Times New Roman" w:hAnsi="Times New Roman" w:eastAsia="宋体" w:cs="Times New Roman"/>
          <w:color w:val="auto"/>
          <w:szCs w:val="21"/>
          <w:highlight w:val="none"/>
        </w:rPr>
      </w:pPr>
    </w:p>
    <w:p w14:paraId="03EF2C3B">
      <w:pPr>
        <w:rPr>
          <w:rFonts w:hint="default" w:ascii="Times New Roman" w:hAnsi="Times New Roman" w:eastAsia="宋体" w:cs="Times New Roman"/>
          <w:color w:val="auto"/>
          <w:highlight w:val="none"/>
        </w:rPr>
      </w:pPr>
    </w:p>
    <w:sectPr>
      <w:pgSz w:w="11906" w:h="16838"/>
      <w:pgMar w:top="1246" w:right="1800" w:bottom="10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ﾍ｣ﾓ ﾃｯ">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8F5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A382C7">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wzidABAACi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tHPRKJcdhkxWE/TAz2vjkTsZ42oOaO&#10;Fp4z88GRwGlZZgNmYz8bxwD60NGMy9wPw9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6wzidABAACiAwAADgAAAAAAAAABACAAAAAeAQAAZHJz&#10;L2Uyb0RvYy54bWxQSwUGAAAAAAYABgBZAQAAYAUAAAAA&#10;">
              <v:fill on="f" focussize="0,0"/>
              <v:stroke on="f"/>
              <v:imagedata o:title=""/>
              <o:lock v:ext="edit" aspectratio="f"/>
              <v:textbox inset="0mm,0mm,0mm,0mm" style="mso-fit-shape-to-text:t;">
                <w:txbxContent>
                  <w:p w14:paraId="3EA382C7">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67795"/>
    <w:multiLevelType w:val="singleLevel"/>
    <w:tmpl w:val="8A167795"/>
    <w:lvl w:ilvl="0" w:tentative="0">
      <w:start w:val="1"/>
      <w:numFmt w:val="decimal"/>
      <w:suff w:val="nothing"/>
      <w:lvlText w:val="%1．"/>
      <w:lvlJc w:val="left"/>
      <w:pPr>
        <w:ind w:left="0" w:firstLine="400"/>
      </w:pPr>
      <w:rPr>
        <w:rFonts w:hint="default" w:ascii="Times New Roman Regular" w:hAnsi="Times New Roman Regular" w:eastAsia="宋体" w:cs="Times New Roman Regular"/>
      </w:rPr>
    </w:lvl>
  </w:abstractNum>
  <w:abstractNum w:abstractNumId="1">
    <w:nsid w:val="9663C5AD"/>
    <w:multiLevelType w:val="singleLevel"/>
    <w:tmpl w:val="9663C5AD"/>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B6F594FB"/>
    <w:multiLevelType w:val="singleLevel"/>
    <w:tmpl w:val="B6F594F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ZDQzY2FiNTY3ODFlY2RiYTkzOGYyNzk2YWQxYzMifQ=="/>
  </w:docVars>
  <w:rsids>
    <w:rsidRoot w:val="00FA45C3"/>
    <w:rsid w:val="00017316"/>
    <w:rsid w:val="00024583"/>
    <w:rsid w:val="00050640"/>
    <w:rsid w:val="00054904"/>
    <w:rsid w:val="00085307"/>
    <w:rsid w:val="000A25EC"/>
    <w:rsid w:val="00114FC6"/>
    <w:rsid w:val="0012047E"/>
    <w:rsid w:val="001229F8"/>
    <w:rsid w:val="001275B6"/>
    <w:rsid w:val="001454B0"/>
    <w:rsid w:val="001A19DB"/>
    <w:rsid w:val="001C0BAB"/>
    <w:rsid w:val="001D6B71"/>
    <w:rsid w:val="002970F0"/>
    <w:rsid w:val="002B6054"/>
    <w:rsid w:val="002E3301"/>
    <w:rsid w:val="002F6C13"/>
    <w:rsid w:val="003112CB"/>
    <w:rsid w:val="0033295F"/>
    <w:rsid w:val="00391CCE"/>
    <w:rsid w:val="003A49DE"/>
    <w:rsid w:val="00471E9F"/>
    <w:rsid w:val="004C23DF"/>
    <w:rsid w:val="004D6A63"/>
    <w:rsid w:val="00505C2B"/>
    <w:rsid w:val="00511190"/>
    <w:rsid w:val="00536FB3"/>
    <w:rsid w:val="00574FED"/>
    <w:rsid w:val="005E1E53"/>
    <w:rsid w:val="00622063"/>
    <w:rsid w:val="00643B34"/>
    <w:rsid w:val="0065457A"/>
    <w:rsid w:val="00661F9D"/>
    <w:rsid w:val="006944DC"/>
    <w:rsid w:val="006A5422"/>
    <w:rsid w:val="006B0C46"/>
    <w:rsid w:val="006F4A29"/>
    <w:rsid w:val="006F5585"/>
    <w:rsid w:val="007032D7"/>
    <w:rsid w:val="007350F9"/>
    <w:rsid w:val="0074576D"/>
    <w:rsid w:val="00747416"/>
    <w:rsid w:val="007536DA"/>
    <w:rsid w:val="0076431E"/>
    <w:rsid w:val="007750CC"/>
    <w:rsid w:val="00776122"/>
    <w:rsid w:val="007A5D62"/>
    <w:rsid w:val="007B7C0B"/>
    <w:rsid w:val="007B7EB3"/>
    <w:rsid w:val="007C5634"/>
    <w:rsid w:val="007C741D"/>
    <w:rsid w:val="007D0630"/>
    <w:rsid w:val="007D2622"/>
    <w:rsid w:val="0082757B"/>
    <w:rsid w:val="008316EF"/>
    <w:rsid w:val="008471B0"/>
    <w:rsid w:val="0089622E"/>
    <w:rsid w:val="008A0E22"/>
    <w:rsid w:val="008A61D2"/>
    <w:rsid w:val="008E6460"/>
    <w:rsid w:val="00937860"/>
    <w:rsid w:val="00966FBF"/>
    <w:rsid w:val="009730C6"/>
    <w:rsid w:val="00982A64"/>
    <w:rsid w:val="00995F86"/>
    <w:rsid w:val="00A157CF"/>
    <w:rsid w:val="00A54EBF"/>
    <w:rsid w:val="00A60307"/>
    <w:rsid w:val="00A67AED"/>
    <w:rsid w:val="00A71463"/>
    <w:rsid w:val="00A7561E"/>
    <w:rsid w:val="00A95137"/>
    <w:rsid w:val="00AD7E2C"/>
    <w:rsid w:val="00B148E4"/>
    <w:rsid w:val="00B2141B"/>
    <w:rsid w:val="00B406C6"/>
    <w:rsid w:val="00B55B55"/>
    <w:rsid w:val="00B736EB"/>
    <w:rsid w:val="00B9156F"/>
    <w:rsid w:val="00BA1DEB"/>
    <w:rsid w:val="00BA23B7"/>
    <w:rsid w:val="00BB2071"/>
    <w:rsid w:val="00BB362B"/>
    <w:rsid w:val="00BD2745"/>
    <w:rsid w:val="00BE6D10"/>
    <w:rsid w:val="00C13F94"/>
    <w:rsid w:val="00C26D96"/>
    <w:rsid w:val="00C3744D"/>
    <w:rsid w:val="00C40D02"/>
    <w:rsid w:val="00C50278"/>
    <w:rsid w:val="00C754E5"/>
    <w:rsid w:val="00CA30FB"/>
    <w:rsid w:val="00CB6F55"/>
    <w:rsid w:val="00CC37CC"/>
    <w:rsid w:val="00CE517A"/>
    <w:rsid w:val="00CF128F"/>
    <w:rsid w:val="00D15246"/>
    <w:rsid w:val="00D25E0A"/>
    <w:rsid w:val="00D26758"/>
    <w:rsid w:val="00D521B3"/>
    <w:rsid w:val="00D64E0D"/>
    <w:rsid w:val="00D74D88"/>
    <w:rsid w:val="00D77EA0"/>
    <w:rsid w:val="00DC59C7"/>
    <w:rsid w:val="00DF749A"/>
    <w:rsid w:val="00E37462"/>
    <w:rsid w:val="00ED124C"/>
    <w:rsid w:val="00EF11CF"/>
    <w:rsid w:val="00F12760"/>
    <w:rsid w:val="00F6458E"/>
    <w:rsid w:val="00F812A7"/>
    <w:rsid w:val="00FA2CE6"/>
    <w:rsid w:val="00FA45C3"/>
    <w:rsid w:val="00FD5B77"/>
    <w:rsid w:val="00FE3674"/>
    <w:rsid w:val="01DB41A4"/>
    <w:rsid w:val="01F2259F"/>
    <w:rsid w:val="03311CAB"/>
    <w:rsid w:val="034768BE"/>
    <w:rsid w:val="04275085"/>
    <w:rsid w:val="04F757BA"/>
    <w:rsid w:val="051E25B2"/>
    <w:rsid w:val="06075010"/>
    <w:rsid w:val="060A6F45"/>
    <w:rsid w:val="06225F26"/>
    <w:rsid w:val="07BC6ABC"/>
    <w:rsid w:val="07ED507C"/>
    <w:rsid w:val="08AA51A0"/>
    <w:rsid w:val="08C34B0B"/>
    <w:rsid w:val="08EC6736"/>
    <w:rsid w:val="08F66C28"/>
    <w:rsid w:val="097C4794"/>
    <w:rsid w:val="099C5305"/>
    <w:rsid w:val="0A9F4403"/>
    <w:rsid w:val="0B0264D2"/>
    <w:rsid w:val="0B46144A"/>
    <w:rsid w:val="0B641FF7"/>
    <w:rsid w:val="0BEF697F"/>
    <w:rsid w:val="0C1E3B87"/>
    <w:rsid w:val="0DBA7DC2"/>
    <w:rsid w:val="0E5F16BA"/>
    <w:rsid w:val="0EB86949"/>
    <w:rsid w:val="0EB90008"/>
    <w:rsid w:val="0F203D6E"/>
    <w:rsid w:val="0FAB7138"/>
    <w:rsid w:val="0FF808D8"/>
    <w:rsid w:val="102D29F3"/>
    <w:rsid w:val="112F56EF"/>
    <w:rsid w:val="11BA0B0F"/>
    <w:rsid w:val="120B4998"/>
    <w:rsid w:val="125F21B2"/>
    <w:rsid w:val="131F79A9"/>
    <w:rsid w:val="13946140"/>
    <w:rsid w:val="13B87297"/>
    <w:rsid w:val="13E3504E"/>
    <w:rsid w:val="13EA6A23"/>
    <w:rsid w:val="140E35F5"/>
    <w:rsid w:val="142D4429"/>
    <w:rsid w:val="155538D0"/>
    <w:rsid w:val="15BD7451"/>
    <w:rsid w:val="15D04B53"/>
    <w:rsid w:val="15F33C02"/>
    <w:rsid w:val="16A7378A"/>
    <w:rsid w:val="17AA1C9F"/>
    <w:rsid w:val="17B737BD"/>
    <w:rsid w:val="1821268E"/>
    <w:rsid w:val="18570CDF"/>
    <w:rsid w:val="18771E0A"/>
    <w:rsid w:val="187A3B4C"/>
    <w:rsid w:val="18C82435"/>
    <w:rsid w:val="18FE7E64"/>
    <w:rsid w:val="1997496B"/>
    <w:rsid w:val="19AA20BE"/>
    <w:rsid w:val="1B0E48A3"/>
    <w:rsid w:val="1BBE7EA4"/>
    <w:rsid w:val="1BD82BF0"/>
    <w:rsid w:val="1CC93CA3"/>
    <w:rsid w:val="1D26260E"/>
    <w:rsid w:val="1D436C02"/>
    <w:rsid w:val="1DF87646"/>
    <w:rsid w:val="1EBB4B56"/>
    <w:rsid w:val="1F4F0A19"/>
    <w:rsid w:val="1F635D8A"/>
    <w:rsid w:val="1FD53D5E"/>
    <w:rsid w:val="210869C9"/>
    <w:rsid w:val="224352F2"/>
    <w:rsid w:val="22EF503F"/>
    <w:rsid w:val="23040BE2"/>
    <w:rsid w:val="2412563B"/>
    <w:rsid w:val="24F37267"/>
    <w:rsid w:val="250724C0"/>
    <w:rsid w:val="26B93DE5"/>
    <w:rsid w:val="27084A19"/>
    <w:rsid w:val="273E31EC"/>
    <w:rsid w:val="28396156"/>
    <w:rsid w:val="288966F4"/>
    <w:rsid w:val="28D90C29"/>
    <w:rsid w:val="29035E96"/>
    <w:rsid w:val="293549CF"/>
    <w:rsid w:val="29645617"/>
    <w:rsid w:val="29804D3A"/>
    <w:rsid w:val="29E03A2B"/>
    <w:rsid w:val="2A2B739C"/>
    <w:rsid w:val="2B800065"/>
    <w:rsid w:val="2BE15B48"/>
    <w:rsid w:val="2C064BD8"/>
    <w:rsid w:val="2C367B96"/>
    <w:rsid w:val="2C7D37B3"/>
    <w:rsid w:val="2F46162E"/>
    <w:rsid w:val="2F9E5F1A"/>
    <w:rsid w:val="2FE7747F"/>
    <w:rsid w:val="30393E95"/>
    <w:rsid w:val="30B135B0"/>
    <w:rsid w:val="31CA11BC"/>
    <w:rsid w:val="337A0A4C"/>
    <w:rsid w:val="33CE7EB5"/>
    <w:rsid w:val="33D500EA"/>
    <w:rsid w:val="33E716D0"/>
    <w:rsid w:val="346C4423"/>
    <w:rsid w:val="34767985"/>
    <w:rsid w:val="360C61E8"/>
    <w:rsid w:val="370C5E5F"/>
    <w:rsid w:val="377F4883"/>
    <w:rsid w:val="38151647"/>
    <w:rsid w:val="38691547"/>
    <w:rsid w:val="390C619F"/>
    <w:rsid w:val="398D772B"/>
    <w:rsid w:val="399D36E6"/>
    <w:rsid w:val="39F74BA5"/>
    <w:rsid w:val="3A0948D8"/>
    <w:rsid w:val="3A4A268B"/>
    <w:rsid w:val="3A9043EE"/>
    <w:rsid w:val="3AB57EE0"/>
    <w:rsid w:val="3AFE1F63"/>
    <w:rsid w:val="3BE850ED"/>
    <w:rsid w:val="3CC83538"/>
    <w:rsid w:val="3E2D75D1"/>
    <w:rsid w:val="3EDB2CE7"/>
    <w:rsid w:val="3EED6DAD"/>
    <w:rsid w:val="3F023017"/>
    <w:rsid w:val="3FD176FB"/>
    <w:rsid w:val="4155768F"/>
    <w:rsid w:val="415D0F24"/>
    <w:rsid w:val="419E77B3"/>
    <w:rsid w:val="42291202"/>
    <w:rsid w:val="426F2F1E"/>
    <w:rsid w:val="42F7309B"/>
    <w:rsid w:val="42FC57AE"/>
    <w:rsid w:val="438F40A0"/>
    <w:rsid w:val="44384737"/>
    <w:rsid w:val="447839DC"/>
    <w:rsid w:val="45036ABF"/>
    <w:rsid w:val="45D673CB"/>
    <w:rsid w:val="45E44942"/>
    <w:rsid w:val="45F81AC9"/>
    <w:rsid w:val="462CF798"/>
    <w:rsid w:val="46D00C57"/>
    <w:rsid w:val="479E48B1"/>
    <w:rsid w:val="48013092"/>
    <w:rsid w:val="48032552"/>
    <w:rsid w:val="48B1407A"/>
    <w:rsid w:val="48F25A50"/>
    <w:rsid w:val="490F2743"/>
    <w:rsid w:val="49647D7D"/>
    <w:rsid w:val="49B853B4"/>
    <w:rsid w:val="4A015BA4"/>
    <w:rsid w:val="4A8F69AE"/>
    <w:rsid w:val="4A981369"/>
    <w:rsid w:val="4AB255A0"/>
    <w:rsid w:val="4B1E5512"/>
    <w:rsid w:val="4B5A0FD1"/>
    <w:rsid w:val="4B603624"/>
    <w:rsid w:val="4C15710C"/>
    <w:rsid w:val="4C5C454B"/>
    <w:rsid w:val="4CED2CFE"/>
    <w:rsid w:val="4DA67A7E"/>
    <w:rsid w:val="4E3B0ECB"/>
    <w:rsid w:val="4EC53E60"/>
    <w:rsid w:val="4EDE5EDB"/>
    <w:rsid w:val="4F13A5C5"/>
    <w:rsid w:val="4F3B0EC5"/>
    <w:rsid w:val="502B5150"/>
    <w:rsid w:val="505026AC"/>
    <w:rsid w:val="50BB1199"/>
    <w:rsid w:val="50C17863"/>
    <w:rsid w:val="50C25760"/>
    <w:rsid w:val="50EE7EFB"/>
    <w:rsid w:val="50F1286A"/>
    <w:rsid w:val="521045FE"/>
    <w:rsid w:val="52C202F7"/>
    <w:rsid w:val="53185FA2"/>
    <w:rsid w:val="533E1BC2"/>
    <w:rsid w:val="53752E19"/>
    <w:rsid w:val="54231203"/>
    <w:rsid w:val="549C03CB"/>
    <w:rsid w:val="54D05CA1"/>
    <w:rsid w:val="54F904C4"/>
    <w:rsid w:val="5536327D"/>
    <w:rsid w:val="554D5B69"/>
    <w:rsid w:val="56797867"/>
    <w:rsid w:val="56DB1D24"/>
    <w:rsid w:val="5710497A"/>
    <w:rsid w:val="58092F47"/>
    <w:rsid w:val="582613B9"/>
    <w:rsid w:val="59EA2AFE"/>
    <w:rsid w:val="5A194A8B"/>
    <w:rsid w:val="5AB02E22"/>
    <w:rsid w:val="5B5E287E"/>
    <w:rsid w:val="5BFD3E45"/>
    <w:rsid w:val="5C7E2E59"/>
    <w:rsid w:val="5CA94889"/>
    <w:rsid w:val="5E4D0988"/>
    <w:rsid w:val="5E6006BB"/>
    <w:rsid w:val="5F182D44"/>
    <w:rsid w:val="5F5B2BB4"/>
    <w:rsid w:val="5F9618A6"/>
    <w:rsid w:val="60BA20B9"/>
    <w:rsid w:val="61680B0F"/>
    <w:rsid w:val="617C580C"/>
    <w:rsid w:val="61926DDD"/>
    <w:rsid w:val="62832BCA"/>
    <w:rsid w:val="62AA63A9"/>
    <w:rsid w:val="62C353EE"/>
    <w:rsid w:val="633F114D"/>
    <w:rsid w:val="63FF7787"/>
    <w:rsid w:val="64083E85"/>
    <w:rsid w:val="656D7B2C"/>
    <w:rsid w:val="65FE3B93"/>
    <w:rsid w:val="66512F45"/>
    <w:rsid w:val="665A1E94"/>
    <w:rsid w:val="67225BD4"/>
    <w:rsid w:val="67712D9A"/>
    <w:rsid w:val="67FA56DC"/>
    <w:rsid w:val="687E00BB"/>
    <w:rsid w:val="69006D22"/>
    <w:rsid w:val="69973E88"/>
    <w:rsid w:val="69B84E15"/>
    <w:rsid w:val="6A18445C"/>
    <w:rsid w:val="6B4049D2"/>
    <w:rsid w:val="6B792DBC"/>
    <w:rsid w:val="6C5B5FEC"/>
    <w:rsid w:val="6C5B6777"/>
    <w:rsid w:val="6D260D22"/>
    <w:rsid w:val="6D390A55"/>
    <w:rsid w:val="6E8B1787"/>
    <w:rsid w:val="6E991568"/>
    <w:rsid w:val="6F170A31"/>
    <w:rsid w:val="70626711"/>
    <w:rsid w:val="7234376D"/>
    <w:rsid w:val="737C5B3F"/>
    <w:rsid w:val="739C2ABF"/>
    <w:rsid w:val="73D747C9"/>
    <w:rsid w:val="74021271"/>
    <w:rsid w:val="740D41BB"/>
    <w:rsid w:val="741036A8"/>
    <w:rsid w:val="741542EE"/>
    <w:rsid w:val="742F7C20"/>
    <w:rsid w:val="74942A15"/>
    <w:rsid w:val="75146B74"/>
    <w:rsid w:val="753D09C4"/>
    <w:rsid w:val="75566DE5"/>
    <w:rsid w:val="75606B82"/>
    <w:rsid w:val="756F1195"/>
    <w:rsid w:val="76EE85EC"/>
    <w:rsid w:val="77100DA8"/>
    <w:rsid w:val="79215DBF"/>
    <w:rsid w:val="79CF5519"/>
    <w:rsid w:val="7ADB3C24"/>
    <w:rsid w:val="7AF16964"/>
    <w:rsid w:val="7B4D4BAA"/>
    <w:rsid w:val="7B5B428C"/>
    <w:rsid w:val="7CB86FF9"/>
    <w:rsid w:val="7D474AC8"/>
    <w:rsid w:val="7E1B6264"/>
    <w:rsid w:val="7F6FAEF9"/>
    <w:rsid w:val="7FB81CAD"/>
    <w:rsid w:val="CFD2CAD1"/>
    <w:rsid w:val="CFD5BF0C"/>
    <w:rsid w:val="E76BFF4A"/>
    <w:rsid w:val="E9CF40BF"/>
    <w:rsid w:val="FBFE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Indent"/>
    <w:basedOn w:val="1"/>
    <w:qFormat/>
    <w:uiPriority w:val="0"/>
    <w:pPr>
      <w:adjustRightInd w:val="0"/>
      <w:spacing w:line="312" w:lineRule="atLeast"/>
      <w:ind w:firstLine="420"/>
      <w:textAlignment w:val="baseline"/>
    </w:pPr>
    <w:rPr>
      <w:kern w:val="0"/>
      <w:szCs w:val="20"/>
    </w:rPr>
  </w:style>
  <w:style w:type="paragraph" w:styleId="8">
    <w:name w:val="Plain Text"/>
    <w:basedOn w:val="1"/>
    <w:qFormat/>
    <w:uiPriority w:val="0"/>
    <w:rPr>
      <w:rFonts w:ascii="宋体" w:hAnsi="Courier New" w:eastAsia="宋体"/>
      <w:szCs w:val="21"/>
    </w:r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100" w:beforeAutospacing="1" w:after="100" w:afterAutospacing="1"/>
    </w:pPr>
    <w:rPr>
      <w:sz w:val="24"/>
    </w:rPr>
  </w:style>
  <w:style w:type="paragraph" w:styleId="13">
    <w:name w:val="annotation subject"/>
    <w:basedOn w:val="6"/>
    <w:next w:val="6"/>
    <w:link w:val="22"/>
    <w:qFormat/>
    <w:uiPriority w:val="0"/>
    <w:rPr>
      <w:b/>
      <w:bCs/>
    </w:rPr>
  </w:style>
  <w:style w:type="table" w:styleId="15">
    <w:name w:val="Table Grid"/>
    <w:basedOn w:val="14"/>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页眉 Char"/>
    <w:link w:val="11"/>
    <w:qFormat/>
    <w:uiPriority w:val="0"/>
    <w:rPr>
      <w:kern w:val="2"/>
      <w:sz w:val="18"/>
      <w:szCs w:val="18"/>
    </w:rPr>
  </w:style>
  <w:style w:type="character" w:customStyle="1" w:styleId="19">
    <w:name w:val="页脚 Char"/>
    <w:link w:val="10"/>
    <w:qFormat/>
    <w:uiPriority w:val="0"/>
    <w:rPr>
      <w:kern w:val="2"/>
      <w:sz w:val="18"/>
      <w:szCs w:val="18"/>
    </w:rPr>
  </w:style>
  <w:style w:type="paragraph" w:styleId="20">
    <w:name w:val="List Paragraph"/>
    <w:basedOn w:val="1"/>
    <w:qFormat/>
    <w:uiPriority w:val="34"/>
    <w:pPr>
      <w:ind w:left="720"/>
      <w:contextualSpacing/>
    </w:pPr>
  </w:style>
  <w:style w:type="character" w:customStyle="1" w:styleId="21">
    <w:name w:val="批注文字 Char"/>
    <w:basedOn w:val="16"/>
    <w:link w:val="6"/>
    <w:qFormat/>
    <w:uiPriority w:val="0"/>
    <w:rPr>
      <w:kern w:val="2"/>
      <w:sz w:val="21"/>
      <w:szCs w:val="24"/>
    </w:rPr>
  </w:style>
  <w:style w:type="character" w:customStyle="1" w:styleId="22">
    <w:name w:val="批注主题 Char"/>
    <w:basedOn w:val="21"/>
    <w:link w:val="13"/>
    <w:qFormat/>
    <w:uiPriority w:val="0"/>
    <w:rPr>
      <w:kern w:val="2"/>
      <w:sz w:val="21"/>
      <w:szCs w:val="24"/>
    </w:rPr>
  </w:style>
  <w:style w:type="paragraph" w:customStyle="1" w:styleId="23">
    <w:name w:val="Revision"/>
    <w:hidden/>
    <w:unhideWhenUsed/>
    <w:qFormat/>
    <w:uiPriority w:val="99"/>
    <w:rPr>
      <w:rFonts w:ascii="等线" w:hAnsi="等线" w:eastAsia="等线" w:cs="Times New Roman"/>
      <w:kern w:val="2"/>
      <w:sz w:val="21"/>
      <w:szCs w:val="24"/>
      <w:lang w:val="en-US" w:eastAsia="zh-CN" w:bidi="ar-SA"/>
    </w:rPr>
  </w:style>
  <w:style w:type="paragraph" w:customStyle="1" w:styleId="24">
    <w:name w:val="第三层标题"/>
    <w:basedOn w:val="25"/>
    <w:qFormat/>
    <w:uiPriority w:val="0"/>
    <w:pPr>
      <w:spacing w:line="360" w:lineRule="exact"/>
    </w:pPr>
    <w:rPr>
      <w:sz w:val="24"/>
      <w:szCs w:val="24"/>
    </w:rPr>
  </w:style>
  <w:style w:type="paragraph" w:customStyle="1" w:styleId="25">
    <w:name w:val="第二层标题"/>
    <w:basedOn w:val="3"/>
    <w:qFormat/>
    <w:uiPriority w:val="0"/>
    <w:pPr>
      <w:spacing w:before="140" w:after="140" w:line="400" w:lineRule="exact"/>
    </w:pPr>
    <w:rPr>
      <w:b w:val="0"/>
      <w:sz w:val="28"/>
      <w:szCs w:val="28"/>
    </w:rPr>
  </w:style>
  <w:style w:type="character" w:customStyle="1" w:styleId="26">
    <w:name w:val="标题 2 Char Char Char"/>
    <w:qFormat/>
    <w:uiPriority w:val="0"/>
    <w:rPr>
      <w:rFonts w:ascii="Arial" w:hAnsi="Arial" w:eastAsia="黑体"/>
      <w:b/>
      <w:kern w:val="2"/>
      <w:sz w:val="32"/>
      <w:lang w:val="en-US" w:eastAsia="zh-CN"/>
    </w:rPr>
  </w:style>
  <w:style w:type="paragraph" w:customStyle="1" w:styleId="27">
    <w:name w:val="正文首缩两字"/>
    <w:basedOn w:val="1"/>
    <w:qFormat/>
    <w:uiPriority w:val="0"/>
    <w:pPr>
      <w:spacing w:afterLines="30" w:line="360" w:lineRule="auto"/>
      <w:ind w:left="210" w:right="210" w:firstLine="480" w:firstLineChars="200"/>
      <w:jc w:val="left"/>
    </w:pPr>
    <w:rPr>
      <w:rFonts w:ascii="宋体" w:hAnsi="宋体" w:eastAsia="仿宋_GB2312"/>
      <w:kern w:val="0"/>
      <w:sz w:val="24"/>
      <w:szCs w:val="24"/>
    </w:rPr>
  </w:style>
  <w:style w:type="paragraph" w:customStyle="1" w:styleId="28">
    <w:name w:val="图中文字"/>
    <w:basedOn w:val="1"/>
    <w:qFormat/>
    <w:uiPriority w:val="0"/>
    <w:pPr>
      <w:adjustRightInd w:val="0"/>
      <w:snapToGrid w:val="0"/>
      <w:spacing w:line="0" w:lineRule="atLeast"/>
      <w:jc w:val="center"/>
    </w:pPr>
  </w:style>
  <w:style w:type="paragraph" w:customStyle="1" w:styleId="29">
    <w:name w:val="列出段落1"/>
    <w:basedOn w:val="1"/>
    <w:autoRedefine/>
    <w:qFormat/>
    <w:uiPriority w:val="0"/>
    <w:pPr>
      <w:ind w:firstLine="420" w:firstLineChars="200"/>
    </w:pPr>
    <w:rPr>
      <w:rFonts w:ascii="Cambria" w:hAnsi="Cambria" w:eastAsia="｣ﾍ｣ﾓ ﾃｯ"/>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7394</Words>
  <Characters>7656</Characters>
  <Lines>17</Lines>
  <Paragraphs>4</Paragraphs>
  <TotalTime>0</TotalTime>
  <ScaleCrop>false</ScaleCrop>
  <LinksUpToDate>false</LinksUpToDate>
  <CharactersWithSpaces>7873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2015-09-07T11:02:00Z</dcterms:created>
  <dc:creator>微软用户</dc:creator>
  <cp:lastModifiedBy>招标合同审核</cp:lastModifiedBy>
  <cp:lastPrinted>2015-04-21T13:56:00Z</cp:lastPrinted>
  <dcterms:modified xsi:type="dcterms:W3CDTF">2026-06-22T08:03:58Z</dcterms:modified>
  <dc:title>询　 价   单</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D8CCF3E22C5D4E0FB55A344D03D2D840_13</vt:lpwstr>
  </property>
  <property fmtid="{D5CDD505-2E9C-101B-9397-08002B2CF9AE}" pid="4" name="KSOTemplateDocerSaveRecord">
    <vt:lpwstr>eyJoZGlkIjoiNzM3ZWM2YTZhYTFkYTRkYjc1ODk0OWE3Mzk1ZjYwMjQiLCJ1c2VySWQiOiIzNzg3MzI3ODQifQ==</vt:lpwstr>
  </property>
</Properties>
</file>