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BAF41">
      <w:pPr>
        <w:widowControl/>
        <w:jc w:val="center"/>
        <w:rPr>
          <w:rStyle w:val="7"/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 w:bidi="ar"/>
        </w:rPr>
      </w:pPr>
      <w:r>
        <w:rPr>
          <w:rStyle w:val="7"/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bidi="ar"/>
        </w:rPr>
        <w:t>内蒙古新城</w:t>
      </w:r>
      <w:r>
        <w:rPr>
          <w:rStyle w:val="7"/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 w:bidi="ar"/>
        </w:rPr>
        <w:t>国际迎宾酒店</w:t>
      </w:r>
    </w:p>
    <w:p w14:paraId="31791A3A">
      <w:pPr>
        <w:widowControl/>
        <w:jc w:val="center"/>
        <w:rPr>
          <w:rStyle w:val="7"/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bidi="ar"/>
        </w:rPr>
      </w:pPr>
      <w:r>
        <w:rPr>
          <w:rStyle w:val="7"/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bidi="ar"/>
        </w:rPr>
        <w:t>有害</w:t>
      </w:r>
      <w:r>
        <w:rPr>
          <w:rStyle w:val="7"/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bidi="ar"/>
        </w:rPr>
        <w:t>生物防治</w:t>
      </w:r>
      <w:r>
        <w:rPr>
          <w:rStyle w:val="7"/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bidi="ar"/>
        </w:rPr>
        <w:t>服务采购招标项目</w:t>
      </w:r>
    </w:p>
    <w:p w14:paraId="75C3A601">
      <w:pPr>
        <w:widowControl/>
        <w:jc w:val="left"/>
        <w:rPr>
          <w:rStyle w:val="7"/>
          <w:rFonts w:hint="eastAsia" w:ascii="仿宋" w:hAnsi="仿宋" w:eastAsia="仿宋" w:cs="仿宋"/>
          <w:kern w:val="0"/>
          <w:sz w:val="32"/>
          <w:szCs w:val="32"/>
          <w:lang w:bidi="ar"/>
        </w:rPr>
      </w:pPr>
    </w:p>
    <w:p w14:paraId="3784FF89">
      <w:pPr>
        <w:widowControl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Style w:val="7"/>
          <w:rFonts w:hint="eastAsia" w:ascii="仿宋" w:hAnsi="仿宋" w:eastAsia="仿宋" w:cs="仿宋"/>
          <w:kern w:val="0"/>
          <w:sz w:val="32"/>
          <w:szCs w:val="32"/>
          <w:lang w:bidi="ar"/>
        </w:rPr>
        <w:t>招标单位：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内蒙古新城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国际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有限责任公司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迎宾酒店分公司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（下称：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新城国际迎宾酒店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） </w:t>
      </w:r>
    </w:p>
    <w:p w14:paraId="4514870E"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一、招标项目概况</w:t>
      </w:r>
    </w:p>
    <w:p w14:paraId="7DB3959E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1、</w:t>
      </w:r>
      <w:r>
        <w:rPr>
          <w:rStyle w:val="7"/>
          <w:rFonts w:hint="eastAsia" w:ascii="仿宋" w:hAnsi="仿宋" w:eastAsia="仿宋" w:cs="仿宋"/>
          <w:kern w:val="0"/>
          <w:sz w:val="32"/>
          <w:szCs w:val="32"/>
          <w:lang w:bidi="ar"/>
        </w:rPr>
        <w:t>项目名称：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新城国际迎宾酒店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有害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生物防治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服务项目。</w:t>
      </w:r>
    </w:p>
    <w:p w14:paraId="6DDFD55E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2、</w:t>
      </w:r>
      <w:r>
        <w:rPr>
          <w:rStyle w:val="7"/>
          <w:rFonts w:hint="eastAsia" w:ascii="仿宋" w:hAnsi="仿宋" w:eastAsia="仿宋" w:cs="仿宋"/>
          <w:kern w:val="0"/>
          <w:sz w:val="32"/>
          <w:szCs w:val="32"/>
          <w:lang w:bidi="ar"/>
        </w:rPr>
        <w:t>服务地点：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新城国际迎宾酒店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院内（具体地址：呼和浩特市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赛罕区南二环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5号法官进修学院院内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）</w:t>
      </w:r>
    </w:p>
    <w:p w14:paraId="79E87032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3、</w:t>
      </w:r>
      <w:r>
        <w:rPr>
          <w:rStyle w:val="7"/>
          <w:rFonts w:hint="eastAsia" w:ascii="仿宋" w:hAnsi="仿宋" w:eastAsia="仿宋" w:cs="仿宋"/>
          <w:kern w:val="0"/>
          <w:sz w:val="32"/>
          <w:szCs w:val="32"/>
          <w:lang w:bidi="ar"/>
        </w:rPr>
        <w:t>服务周期：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自合同签订之日起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个月（可续签）</w:t>
      </w:r>
    </w:p>
    <w:p w14:paraId="4037142E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4、</w:t>
      </w:r>
      <w:r>
        <w:rPr>
          <w:rStyle w:val="7"/>
          <w:rFonts w:hint="eastAsia" w:ascii="仿宋" w:hAnsi="仿宋" w:eastAsia="仿宋" w:cs="仿宋"/>
          <w:kern w:val="0"/>
          <w:sz w:val="32"/>
          <w:szCs w:val="32"/>
          <w:lang w:bidi="ar"/>
        </w:rPr>
        <w:t>招标内容：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新城国际迎宾酒店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公共区域、客房、餐厅、会议室、公寓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、办公区，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所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有建筑物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内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部及外围环境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的有害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生物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（含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四害）防治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服务工作。</w:t>
      </w:r>
    </w:p>
    <w:p w14:paraId="4A388457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5、</w:t>
      </w:r>
      <w:r>
        <w:rPr>
          <w:rStyle w:val="7"/>
          <w:rFonts w:hint="eastAsia" w:ascii="仿宋" w:hAnsi="仿宋" w:eastAsia="仿宋" w:cs="仿宋"/>
          <w:kern w:val="0"/>
          <w:sz w:val="32"/>
          <w:szCs w:val="32"/>
          <w:lang w:bidi="ar"/>
        </w:rPr>
        <w:t>频率：</w:t>
      </w:r>
    </w:p>
    <w:p w14:paraId="18208A11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（1）日常消杀：每月按甲方需求定期开展消杀服务（根据区域划分）</w:t>
      </w:r>
    </w:p>
    <w:p w14:paraId="238C9088">
      <w:pPr>
        <w:widowControl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（2）重点区域（如厨房、餐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厅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、库房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、客房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等）根据需要随时服务，随叫随到。</w:t>
      </w:r>
    </w:p>
    <w:p w14:paraId="195CD22A">
      <w:pPr>
        <w:widowControl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（3）突发情况：接到通知后2小时内响应。</w:t>
      </w:r>
    </w:p>
    <w:p w14:paraId="709804E7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6、最高限价：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防疫消杀服务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12000</w:t>
      </w:r>
      <w:r>
        <w:rPr>
          <w:rFonts w:hint="eastAsia" w:ascii="仿宋" w:hAnsi="仿宋" w:eastAsia="仿宋" w:cs="仿宋"/>
          <w:sz w:val="32"/>
          <w:szCs w:val="32"/>
        </w:rPr>
        <w:t>元，报价超出最高限价时投标无效。</w:t>
      </w:r>
    </w:p>
    <w:p w14:paraId="38407FB1"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二、招标目的</w:t>
      </w:r>
    </w:p>
    <w:p w14:paraId="4E53ADBD">
      <w:pPr>
        <w:widowControl/>
        <w:ind w:firstLine="838" w:firstLineChars="262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为切实做好防疫工作，提升公共卫生管理水平，现面向社会公开招标具备专业资质的有害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生物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防治服务单位，为我单位提供科学、规范、高效的消杀服务。</w:t>
      </w:r>
    </w:p>
    <w:p w14:paraId="32877D0A"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三、投标人资格要求</w:t>
      </w:r>
    </w:p>
    <w:p w14:paraId="324A2073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1、</w:t>
      </w:r>
      <w:r>
        <w:rPr>
          <w:rStyle w:val="7"/>
          <w:rFonts w:hint="eastAsia" w:ascii="仿宋" w:hAnsi="仿宋" w:eastAsia="仿宋" w:cs="仿宋"/>
          <w:kern w:val="0"/>
          <w:sz w:val="32"/>
          <w:szCs w:val="32"/>
          <w:lang w:bidi="ar"/>
        </w:rPr>
        <w:t>资质要求：</w:t>
      </w:r>
    </w:p>
    <w:p w14:paraId="1FC489DF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（1）具有独立法人资格，持有有效的营业执照；</w:t>
      </w:r>
    </w:p>
    <w:p w14:paraId="1667E028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（2）具备卫生健康部门或市场监管部门认可的“有害生物防治”或“环境消毒”类服务资质；</w:t>
      </w:r>
    </w:p>
    <w:p w14:paraId="4EEBD2E9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（3）具有从事公共场所防疫消杀工作的经验，近3年内无重大安全事故或投诉记录；</w:t>
      </w:r>
    </w:p>
    <w:p w14:paraId="212F2F94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（4）消杀人员须持有相关培训合格证书，具备防护与操作能力。</w:t>
      </w:r>
    </w:p>
    <w:p w14:paraId="5C61C743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2、</w:t>
      </w:r>
      <w:r>
        <w:rPr>
          <w:rStyle w:val="7"/>
          <w:rFonts w:hint="eastAsia" w:ascii="仿宋" w:hAnsi="仿宋" w:eastAsia="仿宋" w:cs="仿宋"/>
          <w:kern w:val="0"/>
          <w:sz w:val="32"/>
          <w:szCs w:val="32"/>
          <w:lang w:bidi="ar"/>
        </w:rPr>
        <w:t>技术能力要求：</w:t>
      </w:r>
    </w:p>
    <w:p w14:paraId="3A926D73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（1）具备专业的消杀设备（如超低容量喷雾器、紫外线消毒设备等）；</w:t>
      </w:r>
    </w:p>
    <w:p w14:paraId="7A16C56A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（2）使用符合国家《消毒技术规范》的消毒药剂，提供产品合格证明及安全数据说明书（MSDS）；</w:t>
      </w:r>
    </w:p>
    <w:p w14:paraId="3F14FBA7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（3）具备突发公共卫生事件应急处理预案和响应机制。</w:t>
      </w:r>
    </w:p>
    <w:p w14:paraId="06988AF9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3、</w:t>
      </w:r>
      <w:r>
        <w:rPr>
          <w:rStyle w:val="7"/>
          <w:rFonts w:hint="eastAsia" w:ascii="仿宋" w:hAnsi="仿宋" w:eastAsia="仿宋" w:cs="仿宋"/>
          <w:kern w:val="0"/>
          <w:sz w:val="32"/>
          <w:szCs w:val="32"/>
          <w:lang w:bidi="ar"/>
        </w:rPr>
        <w:t>其他要求：</w:t>
      </w:r>
    </w:p>
    <w:p w14:paraId="73A84487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（1）不接受联合体投标；</w:t>
      </w:r>
    </w:p>
    <w:p w14:paraId="6B64C184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（2）投标单位需提供至少3个类似项目服务案例（附合同复印件或客户证明）；</w:t>
      </w:r>
    </w:p>
    <w:p w14:paraId="309DF29E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（3）须为服务人员购买工伤保险及意外险。</w:t>
      </w:r>
    </w:p>
    <w:p w14:paraId="4B807FF6">
      <w:pPr>
        <w:pStyle w:val="4"/>
        <w:widowControl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四、服务内容与防疫标准</w:t>
      </w:r>
    </w:p>
    <w:p w14:paraId="7A9A9CBF">
      <w:pPr>
        <w:widowControl/>
        <w:jc w:val="left"/>
        <w:rPr>
          <w:rStyle w:val="7"/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1、</w:t>
      </w:r>
      <w:r>
        <w:rPr>
          <w:rStyle w:val="7"/>
          <w:rFonts w:hint="eastAsia" w:ascii="仿宋" w:hAnsi="仿宋" w:eastAsia="仿宋" w:cs="仿宋"/>
          <w:kern w:val="0"/>
          <w:sz w:val="32"/>
          <w:szCs w:val="32"/>
          <w:lang w:bidi="ar"/>
        </w:rPr>
        <w:t>消杀范围：</w:t>
      </w:r>
    </w:p>
    <w:p w14:paraId="35015D75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内蒙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新城国际迎宾酒店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院内所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有建筑物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内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部及外围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（包括且不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限于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各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个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楼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区的客房、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走廊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、大厅、餐厅、厨房、库房、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公寓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工作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间、办公室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、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机房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等）</w:t>
      </w:r>
    </w:p>
    <w:p w14:paraId="00937921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2、</w:t>
      </w:r>
      <w:r>
        <w:rPr>
          <w:rStyle w:val="7"/>
          <w:rFonts w:hint="eastAsia" w:ascii="仿宋" w:hAnsi="仿宋" w:eastAsia="仿宋" w:cs="仿宋"/>
          <w:kern w:val="0"/>
          <w:sz w:val="32"/>
          <w:szCs w:val="32"/>
          <w:lang w:bidi="ar"/>
        </w:rPr>
        <w:t>防疫标准：</w:t>
      </w:r>
    </w:p>
    <w:p w14:paraId="6FDBB139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（1）严格遵循《公共场所卫生管理规范》（GB 37488-2019）；</w:t>
      </w:r>
    </w:p>
    <w:p w14:paraId="67435C83"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2）鼠密度降到1％以下（粉迹法）；蟑螂阳性房间不超过3％，阳性房间活蟑密度小于3只/间；蚊类、蝇类孳生地得到有效控制，巩固期间各项指标不超过国家标准【中华人民共和国卫生部、中国国家标准化管理委员会于2011年12月30日发布了并于2012年4月1日实施《病媒生物密度控制水平—鼠类、蚊虫、蝇类、蜚蠊》的4个中华人民共和国国家标准（GB／T27770、27771、27772、27773—2011）】。</w:t>
      </w:r>
    </w:p>
    <w:p w14:paraId="1C2688E4">
      <w:pPr>
        <w:widowControl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）建立消杀台账，记录时间、区域、药剂、操作人员等信息，每次提交宾馆备案。</w:t>
      </w:r>
    </w:p>
    <w:p w14:paraId="2AC3DB8E"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五、合同签订与付款方式</w:t>
      </w:r>
    </w:p>
    <w:p w14:paraId="2584039D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1、中标单位在收到《中标通知书》后5个工作日内与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新城国际迎宾酒店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签订服务合同；</w:t>
      </w:r>
    </w:p>
    <w:p w14:paraId="3B11FBA5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2、付款方式：</w:t>
      </w:r>
    </w:p>
    <w:p w14:paraId="627C2734">
      <w:pPr>
        <w:widowControl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分两次支付：2026年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月30日付合同价款的50%，202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月31日前项目验收合格后付清合同尾款。</w:t>
      </w:r>
    </w:p>
    <w:p w14:paraId="6479B0D2">
      <w:pPr>
        <w:widowControl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六、其他说明</w:t>
      </w:r>
    </w:p>
    <w:p w14:paraId="77FA5CA4">
      <w:pPr>
        <w:widowControl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1、本次招标是通过“e交易”采购平台进行公开采购。</w:t>
      </w:r>
    </w:p>
    <w:p w14:paraId="1D533E33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2、投标单位须对所提供材料的真实性负责，如有虚假，取消资格并追究法律责任；</w:t>
      </w:r>
    </w:p>
    <w:p w14:paraId="04BAAACD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3、内蒙古新城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国际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有限责任公司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迎宾酒店分公司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保留对本次招标的最终解释权。</w:t>
      </w:r>
    </w:p>
    <w:p w14:paraId="1A404955"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ZTU1MDk5ZTg0MjhkMzMwMjA5ZTUxMDM3NGM2YjUifQ=="/>
  </w:docVars>
  <w:rsids>
    <w:rsidRoot w:val="00E678F5"/>
    <w:rsid w:val="00272C74"/>
    <w:rsid w:val="00BF6188"/>
    <w:rsid w:val="00C1213B"/>
    <w:rsid w:val="00D22EEF"/>
    <w:rsid w:val="00E678F5"/>
    <w:rsid w:val="00F3629D"/>
    <w:rsid w:val="2E690493"/>
    <w:rsid w:val="49A91765"/>
    <w:rsid w:val="558046C8"/>
    <w:rsid w:val="55B32952"/>
    <w:rsid w:val="5EE742C7"/>
    <w:rsid w:val="677F7445"/>
    <w:rsid w:val="6FF24CB9"/>
    <w:rsid w:val="7FF3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1244</Words>
  <Characters>1303</Characters>
  <Lines>9</Lines>
  <Paragraphs>2</Paragraphs>
  <TotalTime>14</TotalTime>
  <ScaleCrop>false</ScaleCrop>
  <LinksUpToDate>false</LinksUpToDate>
  <CharactersWithSpaces>1322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2025-12-19T02:17:00Z</dcterms:created>
  <dc:creator>HUAWEI</dc:creator>
  <cp:lastModifiedBy>闫丽华</cp:lastModifiedBy>
  <dcterms:modified xsi:type="dcterms:W3CDTF">2026-06-15T04:40:31Z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eyJoZGlkIjoiYThhMmE5ZjhiNTkyYjM1NTQ0YjJjY2Y4MzdkZTZhOTgiLCJ1c2VySWQiOiI3OTg2NTIyMjIifQ==</vt:lpwstr>
  </property>
  <property fmtid="{D5CDD505-2E9C-101B-9397-08002B2CF9AE}" pid="4" name="ICV">
    <vt:lpwstr>EB086A2959B34464B7BA23A04108FE76_13</vt:lpwstr>
  </property>
</Properties>
</file>