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5A7F4">
      <w:pPr>
        <w:pStyle w:val="84"/>
        <w:keepNext w:val="0"/>
        <w:keepLines w:val="0"/>
        <w:pageBreakBefore w:val="0"/>
        <w:widowControl/>
        <w:shd w:val="clear" w:fill="FFFFFF"/>
        <w:kinsoku/>
        <w:wordWrap/>
        <w:overflowPunct/>
        <w:topLinePunct w:val="0"/>
        <w:autoSpaceDE/>
        <w:autoSpaceDN/>
        <w:bidi w:val="0"/>
        <w:adjustRightInd w:val="0"/>
        <w:snapToGrid/>
        <w:spacing w:line="360" w:lineRule="exact"/>
        <w:jc w:val="left"/>
        <w:textAlignment w:val="auto"/>
        <w:rPr>
          <w:rFonts w:hint="eastAsia" w:ascii="方正小标宋简体" w:hAnsi="方正小标宋简体" w:eastAsia="方正小标宋简体" w:cs="方正小标宋简体"/>
          <w:color w:val="auto"/>
          <w:sz w:val="32"/>
          <w:szCs w:val="22"/>
          <w:lang w:val="en-US" w:eastAsia="zh-CN"/>
        </w:rPr>
      </w:pPr>
      <w:r>
        <w:rPr>
          <w:rFonts w:hint="eastAsia" w:ascii="方正小标宋简体" w:hAnsi="方正小标宋简体" w:eastAsia="方正小标宋简体" w:cs="方正小标宋简体"/>
          <w:color w:val="auto"/>
          <w:sz w:val="32"/>
          <w:szCs w:val="22"/>
          <w:lang w:val="en-US" w:eastAsia="zh-CN"/>
        </w:rPr>
        <w:t>附件：</w:t>
      </w:r>
    </w:p>
    <w:p w14:paraId="20384E55">
      <w:pPr>
        <w:pStyle w:val="84"/>
        <w:keepNext w:val="0"/>
        <w:keepLines w:val="0"/>
        <w:pageBreakBefore w:val="0"/>
        <w:widowControl/>
        <w:shd w:val="clear" w:fill="FFFFFF"/>
        <w:kinsoku/>
        <w:wordWrap/>
        <w:overflowPunct/>
        <w:topLinePunct w:val="0"/>
        <w:autoSpaceDE/>
        <w:autoSpaceDN/>
        <w:bidi w:val="0"/>
        <w:adjustRightInd w:val="0"/>
        <w:snapToGrid/>
        <w:spacing w:line="360" w:lineRule="exact"/>
        <w:jc w:val="center"/>
        <w:textAlignment w:val="auto"/>
        <w:rPr>
          <w:rFonts w:hint="eastAsia" w:eastAsia="黑体"/>
          <w:color w:val="auto"/>
          <w:lang w:val="en-US" w:eastAsia="zh-CN"/>
        </w:rPr>
      </w:pPr>
      <w:r>
        <w:rPr>
          <w:rFonts w:hint="eastAsia" w:ascii="方正小标宋简体" w:hAnsi="方正小标宋简体" w:eastAsia="方正小标宋简体" w:cs="方正小标宋简体"/>
          <w:color w:val="auto"/>
        </w:rPr>
        <w:t>病媒生物防制（除四害）服务</w:t>
      </w:r>
      <w:r>
        <w:rPr>
          <w:rFonts w:hint="eastAsia" w:ascii="方正小标宋简体" w:hAnsi="方正小标宋简体" w:eastAsia="方正小标宋简体" w:cs="方正小标宋简体"/>
          <w:color w:val="auto"/>
          <w:lang w:val="en-US" w:eastAsia="zh-CN"/>
        </w:rPr>
        <w:t>需求</w:t>
      </w:r>
    </w:p>
    <w:p w14:paraId="323CF25C">
      <w:pPr>
        <w:pStyle w:val="3"/>
        <w:keepNext w:val="0"/>
        <w:keepLines w:val="0"/>
        <w:pageBreakBefore w:val="0"/>
        <w:widowControl/>
        <w:numPr>
          <w:ilvl w:val="0"/>
          <w:numId w:val="11"/>
        </w:numPr>
        <w:shd w:val="clear" w:fill="FFFFFF"/>
        <w:kinsoku/>
        <w:wordWrap/>
        <w:overflowPunct/>
        <w:topLinePunct w:val="0"/>
        <w:autoSpaceDE/>
        <w:autoSpaceDN/>
        <w:bidi w:val="0"/>
        <w:adjustRightInd w:val="0"/>
        <w:snapToGrid/>
        <w:spacing w:line="360" w:lineRule="exact"/>
        <w:ind w:left="0" w:leftChars="0" w:firstLine="0" w:firstLineChars="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服务范围</w:t>
      </w:r>
    </w:p>
    <w:p w14:paraId="07161C3F">
      <w:pPr>
        <w:pStyle w:val="34"/>
        <w:keepNext w:val="0"/>
        <w:keepLines w:val="0"/>
        <w:pageBreakBefore w:val="0"/>
        <w:widowControl/>
        <w:kinsoku/>
        <w:wordWrap/>
        <w:overflowPunct/>
        <w:topLinePunct w:val="0"/>
        <w:autoSpaceDE/>
        <w:autoSpaceDN/>
        <w:bidi w:val="0"/>
        <w:adjustRightInd w:val="0"/>
        <w:snapToGrid/>
        <w:spacing w:line="320" w:lineRule="exact"/>
        <w:textAlignment w:val="auto"/>
        <w:rPr>
          <w:rFonts w:hint="eastAsia" w:ascii="仿宋_GB2312" w:hAnsi="仿宋_GB2312" w:eastAsia="仿宋_GB2312" w:cs="仿宋_GB2312"/>
          <w:i w:val="0"/>
          <w:color w:val="auto"/>
          <w:sz w:val="24"/>
          <w:szCs w:val="24"/>
        </w:rPr>
      </w:pPr>
      <w:r>
        <w:rPr>
          <w:rFonts w:hint="eastAsia" w:ascii="仿宋_GB2312" w:hAnsi="仿宋_GB2312" w:eastAsia="仿宋_GB2312" w:cs="仿宋_GB2312"/>
          <w:i w:val="0"/>
          <w:color w:val="auto"/>
          <w:sz w:val="24"/>
          <w:szCs w:val="24"/>
        </w:rPr>
        <w:t>本项目服务范围覆盖医院以下区域，</w:t>
      </w:r>
      <w:r>
        <w:rPr>
          <w:rFonts w:hint="eastAsia" w:ascii="仿宋_GB2312" w:hAnsi="仿宋_GB2312" w:eastAsia="仿宋_GB2312" w:cs="仿宋_GB2312"/>
          <w:b/>
          <w:i w:val="0"/>
          <w:color w:val="auto"/>
          <w:sz w:val="24"/>
          <w:szCs w:val="24"/>
        </w:rPr>
        <w:t>食堂区域除外</w:t>
      </w:r>
      <w:r>
        <w:rPr>
          <w:rFonts w:hint="eastAsia" w:ascii="仿宋_GB2312" w:hAnsi="仿宋_GB2312" w:eastAsia="仿宋_GB2312" w:cs="仿宋_GB2312"/>
          <w:i w:val="0"/>
          <w:color w:val="auto"/>
          <w:sz w:val="24"/>
          <w:szCs w:val="24"/>
        </w:rPr>
        <w:t>：</w:t>
      </w:r>
    </w:p>
    <w:p w14:paraId="276499CA">
      <w:pPr>
        <w:pStyle w:val="34"/>
        <w:keepNext w:val="0"/>
        <w:keepLines w:val="0"/>
        <w:pageBreakBefore w:val="0"/>
        <w:widowControl/>
        <w:numPr>
          <w:ilvl w:val="0"/>
          <w:numId w:val="12"/>
        </w:numPr>
        <w:kinsoku/>
        <w:wordWrap/>
        <w:overflowPunct/>
        <w:topLinePunct w:val="0"/>
        <w:autoSpaceDE/>
        <w:autoSpaceDN/>
        <w:bidi w:val="0"/>
        <w:adjustRightInd w:val="0"/>
        <w:snapToGrid/>
        <w:spacing w:line="320" w:lineRule="exact"/>
        <w:ind w:left="0" w:leftChars="0" w:firstLine="482" w:firstLineChars="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i w:val="0"/>
          <w:color w:val="auto"/>
          <w:sz w:val="24"/>
          <w:szCs w:val="24"/>
        </w:rPr>
        <w:t>号楼</w:t>
      </w:r>
      <w:r>
        <w:rPr>
          <w:rFonts w:hint="eastAsia" w:ascii="仿宋_GB2312" w:hAnsi="仿宋_GB2312" w:eastAsia="仿宋_GB2312" w:cs="仿宋_GB2312"/>
          <w:i w:val="0"/>
          <w:color w:val="auto"/>
          <w:sz w:val="24"/>
          <w:szCs w:val="24"/>
        </w:rPr>
        <w:t>（含公共区域、病房、诊室、办公区、管道井等）</w:t>
      </w:r>
    </w:p>
    <w:p w14:paraId="2EC6F3D0">
      <w:pPr>
        <w:pStyle w:val="34"/>
        <w:keepNext w:val="0"/>
        <w:keepLines w:val="0"/>
        <w:pageBreakBefore w:val="0"/>
        <w:widowControl/>
        <w:numPr>
          <w:ilvl w:val="0"/>
          <w:numId w:val="12"/>
        </w:numPr>
        <w:kinsoku/>
        <w:wordWrap/>
        <w:overflowPunct/>
        <w:topLinePunct w:val="0"/>
        <w:autoSpaceDE/>
        <w:autoSpaceDN/>
        <w:bidi w:val="0"/>
        <w:adjustRightInd w:val="0"/>
        <w:snapToGrid/>
        <w:spacing w:line="320" w:lineRule="exact"/>
        <w:ind w:left="0" w:leftChars="0" w:firstLine="482" w:firstLineChars="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i w:val="0"/>
          <w:color w:val="auto"/>
          <w:sz w:val="24"/>
          <w:szCs w:val="24"/>
        </w:rPr>
        <w:t>号楼</w:t>
      </w:r>
      <w:r>
        <w:rPr>
          <w:rFonts w:hint="eastAsia" w:ascii="仿宋_GB2312" w:hAnsi="仿宋_GB2312" w:eastAsia="仿宋_GB2312" w:cs="仿宋_GB2312"/>
          <w:i w:val="0"/>
          <w:color w:val="auto"/>
          <w:sz w:val="24"/>
          <w:szCs w:val="24"/>
        </w:rPr>
        <w:t>（含公共区域、病房、诊室、办公区、管道井等）</w:t>
      </w:r>
    </w:p>
    <w:p w14:paraId="5029ECF7">
      <w:pPr>
        <w:pStyle w:val="34"/>
        <w:keepNext w:val="0"/>
        <w:keepLines w:val="0"/>
        <w:pageBreakBefore w:val="0"/>
        <w:widowControl/>
        <w:numPr>
          <w:ilvl w:val="0"/>
          <w:numId w:val="12"/>
        </w:numPr>
        <w:kinsoku/>
        <w:wordWrap/>
        <w:overflowPunct/>
        <w:topLinePunct w:val="0"/>
        <w:autoSpaceDE/>
        <w:autoSpaceDN/>
        <w:bidi w:val="0"/>
        <w:adjustRightInd w:val="0"/>
        <w:snapToGrid/>
        <w:spacing w:line="320" w:lineRule="exact"/>
        <w:ind w:left="0" w:leftChars="0" w:firstLine="482" w:firstLineChars="0"/>
        <w:textAlignment w:val="auto"/>
        <w:rPr>
          <w:rFonts w:hint="eastAsia" w:ascii="仿宋_GB2312" w:hAnsi="仿宋_GB2312" w:eastAsia="仿宋_GB2312" w:cs="仿宋_GB2312"/>
          <w:b/>
          <w:i w:val="0"/>
          <w:color w:val="auto"/>
          <w:sz w:val="24"/>
          <w:szCs w:val="24"/>
        </w:rPr>
      </w:pPr>
      <w:r>
        <w:rPr>
          <w:rFonts w:hint="eastAsia" w:ascii="仿宋_GB2312" w:hAnsi="仿宋_GB2312" w:eastAsia="仿宋_GB2312" w:cs="仿宋_GB2312"/>
          <w:b/>
          <w:i w:val="0"/>
          <w:color w:val="auto"/>
          <w:sz w:val="24"/>
          <w:szCs w:val="24"/>
        </w:rPr>
        <w:t>号楼</w:t>
      </w:r>
      <w:r>
        <w:rPr>
          <w:rFonts w:hint="eastAsia" w:ascii="仿宋_GB2312" w:hAnsi="仿宋_GB2312" w:eastAsia="仿宋_GB2312" w:cs="仿宋_GB2312"/>
          <w:i w:val="0"/>
          <w:color w:val="auto"/>
          <w:sz w:val="24"/>
          <w:szCs w:val="24"/>
        </w:rPr>
        <w:t>（含公共区域、病房、诊室、办公区、管道井等）</w:t>
      </w:r>
    </w:p>
    <w:p w14:paraId="109A5CA0">
      <w:pPr>
        <w:pStyle w:val="34"/>
        <w:keepNext w:val="0"/>
        <w:keepLines w:val="0"/>
        <w:pageBreakBefore w:val="0"/>
        <w:widowControl/>
        <w:numPr>
          <w:ilvl w:val="0"/>
          <w:numId w:val="12"/>
        </w:numPr>
        <w:kinsoku/>
        <w:wordWrap/>
        <w:overflowPunct/>
        <w:topLinePunct w:val="0"/>
        <w:autoSpaceDE/>
        <w:autoSpaceDN/>
        <w:bidi w:val="0"/>
        <w:adjustRightInd w:val="0"/>
        <w:snapToGrid/>
        <w:spacing w:line="320" w:lineRule="exact"/>
        <w:ind w:left="0" w:leftChars="0" w:firstLine="482" w:firstLineChars="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i w:val="0"/>
          <w:color w:val="auto"/>
          <w:sz w:val="24"/>
          <w:szCs w:val="24"/>
        </w:rPr>
        <w:t>号楼</w:t>
      </w:r>
      <w:r>
        <w:rPr>
          <w:rFonts w:hint="eastAsia" w:ascii="仿宋_GB2312" w:hAnsi="仿宋_GB2312" w:eastAsia="仿宋_GB2312" w:cs="仿宋_GB2312"/>
          <w:i w:val="0"/>
          <w:color w:val="auto"/>
          <w:sz w:val="24"/>
          <w:szCs w:val="24"/>
        </w:rPr>
        <w:t>（含公共区域、病房、诊室、办公区、管道井等）</w:t>
      </w:r>
    </w:p>
    <w:p w14:paraId="73884F68">
      <w:pPr>
        <w:pStyle w:val="34"/>
        <w:keepNext w:val="0"/>
        <w:keepLines w:val="0"/>
        <w:pageBreakBefore w:val="0"/>
        <w:widowControl/>
        <w:kinsoku/>
        <w:wordWrap/>
        <w:overflowPunct/>
        <w:topLinePunct w:val="0"/>
        <w:autoSpaceDE/>
        <w:autoSpaceDN/>
        <w:bidi w:val="0"/>
        <w:adjustRightInd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i w:val="0"/>
          <w:color w:val="auto"/>
          <w:sz w:val="24"/>
          <w:szCs w:val="24"/>
        </w:rPr>
        <w:t>老行政楼</w:t>
      </w:r>
      <w:r>
        <w:rPr>
          <w:rFonts w:hint="eastAsia" w:ascii="仿宋_GB2312" w:hAnsi="仿宋_GB2312" w:eastAsia="仿宋_GB2312" w:cs="仿宋_GB2312"/>
          <w:i w:val="0"/>
          <w:color w:val="auto"/>
          <w:sz w:val="24"/>
          <w:szCs w:val="24"/>
        </w:rPr>
        <w:t>（含办公室、会议室、库房、管道井等）</w:t>
      </w:r>
    </w:p>
    <w:p w14:paraId="16491A32">
      <w:pPr>
        <w:pStyle w:val="34"/>
        <w:keepNext w:val="0"/>
        <w:keepLines w:val="0"/>
        <w:pageBreakBefore w:val="0"/>
        <w:widowControl/>
        <w:kinsoku/>
        <w:wordWrap/>
        <w:overflowPunct/>
        <w:topLinePunct w:val="0"/>
        <w:autoSpaceDE/>
        <w:autoSpaceDN/>
        <w:bidi w:val="0"/>
        <w:adjustRightInd w:val="0"/>
        <w:snapToGrid/>
        <w:spacing w:line="320" w:lineRule="exact"/>
        <w:textAlignment w:val="auto"/>
        <w:rPr>
          <w:rFonts w:hint="eastAsia" w:ascii="仿宋_GB2312" w:hAnsi="仿宋_GB2312" w:eastAsia="仿宋_GB2312" w:cs="仿宋_GB2312"/>
          <w:i w:val="0"/>
          <w:color w:val="auto"/>
          <w:sz w:val="24"/>
          <w:szCs w:val="24"/>
        </w:rPr>
      </w:pPr>
      <w:r>
        <w:rPr>
          <w:rFonts w:hint="eastAsia" w:ascii="仿宋_GB2312" w:hAnsi="仿宋_GB2312" w:eastAsia="仿宋_GB2312" w:cs="仿宋_GB2312"/>
          <w:b/>
          <w:i w:val="0"/>
          <w:color w:val="auto"/>
          <w:sz w:val="24"/>
          <w:szCs w:val="24"/>
          <w:lang w:val="en-US" w:eastAsia="zh-CN"/>
        </w:rPr>
        <w:t>市民</w:t>
      </w:r>
      <w:r>
        <w:rPr>
          <w:rFonts w:hint="eastAsia" w:ascii="仿宋_GB2312" w:hAnsi="仿宋_GB2312" w:eastAsia="仿宋_GB2312" w:cs="仿宋_GB2312"/>
          <w:b/>
          <w:i w:val="0"/>
          <w:color w:val="auto"/>
          <w:sz w:val="24"/>
          <w:szCs w:val="24"/>
        </w:rPr>
        <w:t>体检中心</w:t>
      </w:r>
      <w:r>
        <w:rPr>
          <w:rFonts w:hint="eastAsia" w:ascii="仿宋_GB2312" w:hAnsi="仿宋_GB2312" w:eastAsia="仿宋_GB2312" w:cs="仿宋_GB2312"/>
          <w:b/>
          <w:i w:val="0"/>
          <w:color w:val="auto"/>
          <w:sz w:val="24"/>
          <w:szCs w:val="24"/>
          <w:lang w:val="en-US" w:eastAsia="zh-CN"/>
        </w:rPr>
        <w:t>楼</w:t>
      </w:r>
      <w:r>
        <w:rPr>
          <w:rFonts w:hint="eastAsia" w:ascii="仿宋_GB2312" w:hAnsi="仿宋_GB2312" w:eastAsia="仿宋_GB2312" w:cs="仿宋_GB2312"/>
          <w:i w:val="0"/>
          <w:color w:val="auto"/>
          <w:sz w:val="24"/>
          <w:szCs w:val="24"/>
        </w:rPr>
        <w:t>（含候检区、检查室、办公区、卫生间等）</w:t>
      </w:r>
    </w:p>
    <w:p w14:paraId="57DD4716">
      <w:pPr>
        <w:pStyle w:val="34"/>
        <w:keepNext w:val="0"/>
        <w:keepLines w:val="0"/>
        <w:pageBreakBefore w:val="0"/>
        <w:widowControl/>
        <w:kinsoku/>
        <w:wordWrap/>
        <w:overflowPunct/>
        <w:topLinePunct w:val="0"/>
        <w:autoSpaceDE/>
        <w:autoSpaceDN/>
        <w:bidi w:val="0"/>
        <w:adjustRightInd w:val="0"/>
        <w:snapToGrid/>
        <w:spacing w:line="320" w:lineRule="exact"/>
        <w:textAlignment w:val="auto"/>
        <w:rPr>
          <w:rFonts w:hint="eastAsia" w:ascii="仿宋_GB2312" w:hAnsi="仿宋_GB2312" w:eastAsia="仿宋_GB2312" w:cs="仿宋_GB2312"/>
          <w:i w:val="0"/>
          <w:color w:val="auto"/>
          <w:sz w:val="24"/>
          <w:szCs w:val="24"/>
        </w:rPr>
      </w:pPr>
      <w:r>
        <w:rPr>
          <w:rFonts w:hint="eastAsia" w:ascii="仿宋_GB2312" w:hAnsi="仿宋_GB2312" w:eastAsia="仿宋_GB2312" w:cs="仿宋_GB2312"/>
          <w:b/>
          <w:bCs/>
          <w:i w:val="0"/>
          <w:color w:val="auto"/>
          <w:sz w:val="24"/>
          <w:szCs w:val="24"/>
          <w:lang w:val="en-US" w:eastAsia="zh-CN"/>
        </w:rPr>
        <w:t>原计生站楼</w:t>
      </w:r>
      <w:r>
        <w:rPr>
          <w:rFonts w:hint="eastAsia" w:ascii="仿宋_GB2312" w:hAnsi="仿宋_GB2312" w:eastAsia="仿宋_GB2312" w:cs="仿宋_GB2312"/>
          <w:i w:val="0"/>
          <w:color w:val="auto"/>
          <w:sz w:val="24"/>
          <w:szCs w:val="24"/>
        </w:rPr>
        <w:t>（含候检区、检查室、办公区、卫生间等）</w:t>
      </w:r>
    </w:p>
    <w:p w14:paraId="4E38D855">
      <w:pPr>
        <w:pStyle w:val="34"/>
        <w:keepNext w:val="0"/>
        <w:keepLines w:val="0"/>
        <w:pageBreakBefore w:val="0"/>
        <w:widowControl/>
        <w:kinsoku/>
        <w:wordWrap/>
        <w:overflowPunct/>
        <w:topLinePunct w:val="0"/>
        <w:autoSpaceDE/>
        <w:autoSpaceDN/>
        <w:bidi w:val="0"/>
        <w:adjustRightInd w:val="0"/>
        <w:snapToGrid/>
        <w:spacing w:line="320" w:lineRule="exact"/>
        <w:textAlignment w:val="auto"/>
        <w:rPr>
          <w:rFonts w:hint="default" w:ascii="仿宋_GB2312" w:hAnsi="仿宋_GB2312" w:eastAsia="仿宋_GB2312" w:cs="仿宋_GB2312"/>
          <w:b/>
          <w:bCs/>
          <w:i w:val="0"/>
          <w:color w:val="auto"/>
          <w:sz w:val="24"/>
          <w:szCs w:val="24"/>
          <w:lang w:val="en-US" w:eastAsia="zh-CN"/>
        </w:rPr>
      </w:pPr>
      <w:r>
        <w:rPr>
          <w:rFonts w:hint="eastAsia" w:ascii="仿宋_GB2312" w:hAnsi="仿宋_GB2312" w:eastAsia="仿宋_GB2312" w:cs="仿宋_GB2312"/>
          <w:b/>
          <w:bCs/>
          <w:i w:val="0"/>
          <w:color w:val="auto"/>
          <w:sz w:val="24"/>
          <w:szCs w:val="24"/>
          <w:lang w:val="en-US" w:eastAsia="zh-CN"/>
        </w:rPr>
        <w:t>老防疫站片区</w:t>
      </w:r>
      <w:r>
        <w:rPr>
          <w:rFonts w:hint="eastAsia" w:ascii="仿宋_GB2312" w:hAnsi="仿宋_GB2312" w:eastAsia="仿宋_GB2312" w:cs="仿宋_GB2312"/>
          <w:i w:val="0"/>
          <w:color w:val="auto"/>
          <w:sz w:val="24"/>
          <w:szCs w:val="24"/>
        </w:rPr>
        <w:t>（含</w:t>
      </w:r>
      <w:r>
        <w:rPr>
          <w:rFonts w:hint="eastAsia" w:ascii="仿宋_GB2312" w:hAnsi="仿宋_GB2312" w:eastAsia="仿宋_GB2312" w:cs="仿宋_GB2312"/>
          <w:i w:val="0"/>
          <w:color w:val="auto"/>
          <w:sz w:val="24"/>
          <w:szCs w:val="24"/>
          <w:lang w:val="en-US" w:eastAsia="zh-CN"/>
        </w:rPr>
        <w:t>学生宿舍</w:t>
      </w:r>
      <w:r>
        <w:rPr>
          <w:rFonts w:hint="eastAsia" w:ascii="仿宋_GB2312" w:hAnsi="仿宋_GB2312" w:eastAsia="仿宋_GB2312" w:cs="仿宋_GB2312"/>
          <w:i w:val="0"/>
          <w:color w:val="auto"/>
          <w:sz w:val="24"/>
          <w:szCs w:val="24"/>
        </w:rPr>
        <w:t>、办公区、卫生间等）</w:t>
      </w:r>
    </w:p>
    <w:p w14:paraId="2F662BA0">
      <w:pPr>
        <w:pStyle w:val="34"/>
        <w:keepNext w:val="0"/>
        <w:keepLines w:val="0"/>
        <w:pageBreakBefore w:val="0"/>
        <w:widowControl/>
        <w:kinsoku/>
        <w:wordWrap/>
        <w:overflowPunct/>
        <w:topLinePunct w:val="0"/>
        <w:autoSpaceDE/>
        <w:autoSpaceDN/>
        <w:bidi w:val="0"/>
        <w:adjustRightInd w:val="0"/>
        <w:snapToGrid/>
        <w:spacing w:line="320" w:lineRule="exact"/>
        <w:textAlignment w:val="auto"/>
        <w:rPr>
          <w:rFonts w:hint="default" w:ascii="仿宋_GB2312" w:hAnsi="仿宋_GB2312" w:eastAsia="仿宋_GB2312" w:cs="仿宋_GB2312"/>
          <w:b/>
          <w:bCs/>
          <w:i w:val="0"/>
          <w:color w:val="auto"/>
          <w:sz w:val="24"/>
          <w:szCs w:val="24"/>
          <w:lang w:val="en-US" w:eastAsia="zh-CN"/>
        </w:rPr>
      </w:pPr>
      <w:r>
        <w:rPr>
          <w:rFonts w:hint="eastAsia" w:ascii="仿宋_GB2312" w:hAnsi="仿宋_GB2312" w:eastAsia="仿宋_GB2312" w:cs="仿宋_GB2312"/>
          <w:b/>
          <w:bCs/>
          <w:i w:val="0"/>
          <w:color w:val="auto"/>
          <w:sz w:val="24"/>
          <w:szCs w:val="24"/>
          <w:lang w:val="en-US" w:eastAsia="zh-CN"/>
        </w:rPr>
        <w:t>总建筑面积约：55000㎡</w:t>
      </w:r>
    </w:p>
    <w:p w14:paraId="48DC57B1">
      <w:pPr>
        <w:pStyle w:val="34"/>
        <w:keepNext w:val="0"/>
        <w:keepLines w:val="0"/>
        <w:pageBreakBefore w:val="0"/>
        <w:widowControl/>
        <w:kinsoku/>
        <w:wordWrap/>
        <w:overflowPunct/>
        <w:topLinePunct w:val="0"/>
        <w:autoSpaceDE/>
        <w:autoSpaceDN/>
        <w:bidi w:val="0"/>
        <w:adjustRightInd w:val="0"/>
        <w:snapToGrid/>
        <w:spacing w:line="320" w:lineRule="exact"/>
        <w:textAlignment w:val="auto"/>
        <w:rPr>
          <w:rFonts w:hint="eastAsia" w:ascii="仿宋_GB2312" w:hAnsi="仿宋_GB2312" w:eastAsia="仿宋_GB2312" w:cs="仿宋_GB2312"/>
          <w:i w:val="0"/>
          <w:color w:val="auto"/>
          <w:sz w:val="24"/>
          <w:szCs w:val="24"/>
        </w:rPr>
      </w:pPr>
      <w:r>
        <w:rPr>
          <w:rFonts w:hint="eastAsia" w:ascii="仿宋_GB2312" w:hAnsi="仿宋_GB2312" w:eastAsia="仿宋_GB2312" w:cs="仿宋_GB2312"/>
          <w:i w:val="0"/>
          <w:color w:val="auto"/>
          <w:sz w:val="24"/>
          <w:szCs w:val="24"/>
        </w:rPr>
        <w:t>注：上述楼栋周边的连廊、绿地、垃圾暂存点、地下室、雨水井、绿化带等外环境区域一并纳入服务范围。</w:t>
      </w:r>
    </w:p>
    <w:p w14:paraId="20D679EC">
      <w:pPr>
        <w:pStyle w:val="34"/>
        <w:keepNext w:val="0"/>
        <w:keepLines w:val="0"/>
        <w:pageBreakBefore w:val="0"/>
        <w:widowControl/>
        <w:kinsoku/>
        <w:wordWrap/>
        <w:overflowPunct/>
        <w:topLinePunct w:val="0"/>
        <w:autoSpaceDE/>
        <w:autoSpaceDN/>
        <w:bidi w:val="0"/>
        <w:adjustRightInd w:val="0"/>
        <w:snapToGrid/>
        <w:spacing w:line="320" w:lineRule="exact"/>
        <w:ind w:left="0" w:leftChars="0"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i w:val="0"/>
          <w:color w:val="auto"/>
          <w:sz w:val="32"/>
          <w:szCs w:val="32"/>
          <w:lang w:val="en-US" w:eastAsia="zh-CN"/>
        </w:rPr>
        <w:t>二、</w:t>
      </w:r>
      <w:r>
        <w:rPr>
          <w:rFonts w:hint="eastAsia" w:ascii="仿宋_GB2312" w:hAnsi="仿宋_GB2312" w:eastAsia="仿宋_GB2312" w:cs="仿宋_GB2312"/>
          <w:b/>
          <w:bCs/>
          <w:color w:val="auto"/>
          <w:sz w:val="32"/>
          <w:szCs w:val="32"/>
        </w:rPr>
        <w:t>服务内容与频次</w:t>
      </w:r>
    </w:p>
    <w:p w14:paraId="67132D7A">
      <w:pPr>
        <w:pStyle w:val="34"/>
        <w:keepNext w:val="0"/>
        <w:keepLines w:val="0"/>
        <w:pageBreakBefore w:val="0"/>
        <w:widowControl/>
        <w:kinsoku/>
        <w:wordWrap/>
        <w:overflowPunct/>
        <w:topLinePunct w:val="0"/>
        <w:autoSpaceDE/>
        <w:autoSpaceDN/>
        <w:bidi w:val="0"/>
        <w:adjustRightInd w:val="0"/>
        <w:snapToGrid/>
        <w:spacing w:line="3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i w:val="0"/>
          <w:color w:val="auto"/>
          <w:sz w:val="24"/>
          <w:szCs w:val="24"/>
        </w:rPr>
        <w:t>防制对象</w:t>
      </w:r>
      <w:r>
        <w:rPr>
          <w:rFonts w:hint="eastAsia" w:ascii="仿宋_GB2312" w:hAnsi="仿宋_GB2312" w:eastAsia="仿宋_GB2312" w:cs="仿宋_GB2312"/>
          <w:i w:val="0"/>
          <w:color w:val="auto"/>
          <w:sz w:val="24"/>
          <w:szCs w:val="24"/>
        </w:rPr>
        <w:t>：老鼠、蟑螂、苍蝇、蚊子</w:t>
      </w:r>
    </w:p>
    <w:p w14:paraId="7A90A6DF">
      <w:pPr>
        <w:pStyle w:val="34"/>
        <w:keepNext w:val="0"/>
        <w:keepLines w:val="0"/>
        <w:pageBreakBefore w:val="0"/>
        <w:widowControl/>
        <w:kinsoku/>
        <w:wordWrap/>
        <w:overflowPunct/>
        <w:topLinePunct w:val="0"/>
        <w:autoSpaceDE/>
        <w:autoSpaceDN/>
        <w:bidi w:val="0"/>
        <w:adjustRightInd w:val="0"/>
        <w:snapToGrid/>
        <w:spacing w:line="300" w:lineRule="exact"/>
        <w:textAlignment w:val="auto"/>
        <w:rPr>
          <w:rFonts w:hint="eastAsia" w:ascii="仿宋_GB2312" w:hAnsi="仿宋_GB2312" w:eastAsia="仿宋_GB2312" w:cs="仿宋_GB2312"/>
          <w:i w:val="0"/>
          <w:color w:val="auto"/>
          <w:sz w:val="24"/>
          <w:szCs w:val="24"/>
        </w:rPr>
      </w:pPr>
      <w:r>
        <w:rPr>
          <w:rFonts w:hint="eastAsia" w:ascii="仿宋_GB2312" w:hAnsi="仿宋_GB2312" w:eastAsia="仿宋_GB2312" w:cs="仿宋_GB2312"/>
          <w:b/>
          <w:i w:val="0"/>
          <w:color w:val="auto"/>
          <w:sz w:val="24"/>
          <w:szCs w:val="24"/>
        </w:rPr>
        <w:t>服务频次</w:t>
      </w:r>
      <w:r>
        <w:rPr>
          <w:rFonts w:hint="eastAsia" w:ascii="仿宋_GB2312" w:hAnsi="仿宋_GB2312" w:eastAsia="仿宋_GB2312" w:cs="仿宋_GB2312"/>
          <w:i w:val="0"/>
          <w:color w:val="auto"/>
          <w:sz w:val="24"/>
          <w:szCs w:val="24"/>
        </w:rPr>
        <w:t>：每月全面消杀 </w:t>
      </w:r>
      <w:r>
        <w:rPr>
          <w:rFonts w:hint="eastAsia" w:ascii="仿宋_GB2312" w:hAnsi="仿宋_GB2312" w:eastAsia="仿宋_GB2312" w:cs="仿宋_GB2312"/>
          <w:b/>
          <w:i w:val="0"/>
          <w:color w:val="auto"/>
          <w:sz w:val="24"/>
          <w:szCs w:val="24"/>
        </w:rPr>
        <w:t>2次</w:t>
      </w:r>
      <w:r>
        <w:rPr>
          <w:rFonts w:hint="eastAsia" w:ascii="仿宋_GB2312" w:hAnsi="仿宋_GB2312" w:eastAsia="仿宋_GB2312" w:cs="仿宋_GB2312"/>
          <w:i w:val="0"/>
          <w:color w:val="auto"/>
          <w:sz w:val="24"/>
          <w:szCs w:val="24"/>
        </w:rPr>
        <w:t>（间隔12–14天），如遇季节性高峰或疫情，根据院方要求增加临时消杀（不计额外费用）。</w:t>
      </w:r>
    </w:p>
    <w:p w14:paraId="173F5963">
      <w:pPr>
        <w:pStyle w:val="34"/>
        <w:keepNext w:val="0"/>
        <w:keepLines w:val="0"/>
        <w:pageBreakBefore w:val="0"/>
        <w:widowControl/>
        <w:kinsoku/>
        <w:wordWrap/>
        <w:overflowPunct/>
        <w:topLinePunct w:val="0"/>
        <w:autoSpaceDE/>
        <w:autoSpaceDN/>
        <w:bidi w:val="0"/>
        <w:adjustRightInd w:val="0"/>
        <w:snapToGrid/>
        <w:spacing w:line="320" w:lineRule="exact"/>
        <w:ind w:left="0" w:leftChars="0" w:firstLine="0" w:firstLineChars="0"/>
        <w:textAlignment w:val="auto"/>
        <w:rPr>
          <w:rFonts w:hint="eastAsia" w:ascii="仿宋_GB2312" w:hAnsi="仿宋_GB2312" w:eastAsia="仿宋_GB2312" w:cs="仿宋_GB2312"/>
          <w:b/>
          <w:bCs/>
          <w:color w:val="auto"/>
          <w:kern w:val="44"/>
          <w:sz w:val="32"/>
          <w:szCs w:val="44"/>
          <w:lang w:bidi="ar-SA"/>
        </w:rPr>
      </w:pPr>
      <w:r>
        <w:rPr>
          <w:rFonts w:hint="eastAsia" w:ascii="仿宋_GB2312" w:hAnsi="仿宋_GB2312" w:eastAsia="仿宋_GB2312" w:cs="仿宋_GB2312"/>
          <w:b/>
          <w:bCs/>
          <w:color w:val="auto"/>
          <w:kern w:val="44"/>
          <w:sz w:val="32"/>
          <w:szCs w:val="44"/>
          <w:lang w:val="en-US" w:eastAsia="zh-CN" w:bidi="ar-SA"/>
        </w:rPr>
        <w:t>三、</w:t>
      </w:r>
      <w:r>
        <w:rPr>
          <w:rFonts w:hint="eastAsia" w:ascii="仿宋_GB2312" w:hAnsi="仿宋_GB2312" w:eastAsia="仿宋_GB2312" w:cs="仿宋_GB2312"/>
          <w:b/>
          <w:bCs/>
          <w:color w:val="auto"/>
          <w:kern w:val="44"/>
          <w:sz w:val="32"/>
          <w:szCs w:val="44"/>
          <w:lang w:bidi="ar-SA"/>
        </w:rPr>
        <w:t>防制措施与效果指标（必须满足）</w:t>
      </w:r>
    </w:p>
    <w:tbl>
      <w:tblPr>
        <w:tblStyle w:val="88"/>
        <w:tblW w:w="5509" w:type="pct"/>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07"/>
        <w:gridCol w:w="2593"/>
        <w:gridCol w:w="2755"/>
        <w:gridCol w:w="3960"/>
      </w:tblGrid>
      <w:tr w14:paraId="734A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12" w:hRule="atLeast"/>
          <w:tblHeader/>
        </w:trPr>
        <w:tc>
          <w:tcPr>
            <w:tcW w:w="353" w:type="pct"/>
            <w:shd w:val="clear" w:color="auto" w:fill="auto"/>
            <w:tcMar>
              <w:top w:w="150" w:type="dxa"/>
              <w:left w:w="0" w:type="dxa"/>
              <w:bottom w:w="150" w:type="dxa"/>
              <w:right w:w="240" w:type="dxa"/>
            </w:tcMar>
            <w:vAlign w:val="center"/>
          </w:tcPr>
          <w:p w14:paraId="7C514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val="en-US" w:eastAsia="zh-CN" w:bidi="ar"/>
              </w:rPr>
              <w:t>对象</w:t>
            </w:r>
          </w:p>
        </w:tc>
        <w:tc>
          <w:tcPr>
            <w:tcW w:w="1294" w:type="pct"/>
            <w:shd w:val="clear" w:color="auto" w:fill="auto"/>
            <w:tcMar>
              <w:top w:w="150" w:type="dxa"/>
              <w:left w:w="240" w:type="dxa"/>
              <w:bottom w:w="150" w:type="dxa"/>
              <w:right w:w="240" w:type="dxa"/>
            </w:tcMar>
            <w:vAlign w:val="center"/>
          </w:tcPr>
          <w:p w14:paraId="155A3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val="en-US" w:eastAsia="zh-CN" w:bidi="ar"/>
              </w:rPr>
              <w:t>作业方式（最低要求）</w:t>
            </w:r>
          </w:p>
        </w:tc>
        <w:tc>
          <w:tcPr>
            <w:tcW w:w="1375" w:type="pct"/>
            <w:shd w:val="clear" w:color="auto" w:fill="auto"/>
            <w:tcMar>
              <w:top w:w="150" w:type="dxa"/>
              <w:left w:w="240" w:type="dxa"/>
              <w:bottom w:w="150" w:type="dxa"/>
              <w:right w:w="240" w:type="dxa"/>
            </w:tcMar>
            <w:vAlign w:val="center"/>
          </w:tcPr>
          <w:p w14:paraId="79E486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val="en-US" w:eastAsia="zh-CN" w:bidi="ar"/>
              </w:rPr>
              <w:t>关键点位</w:t>
            </w:r>
          </w:p>
        </w:tc>
        <w:tc>
          <w:tcPr>
            <w:tcW w:w="1976" w:type="pct"/>
            <w:shd w:val="clear" w:color="auto" w:fill="auto"/>
            <w:tcMar>
              <w:top w:w="150" w:type="dxa"/>
              <w:left w:w="240" w:type="dxa"/>
              <w:bottom w:w="150" w:type="dxa"/>
              <w:right w:w="240" w:type="dxa"/>
            </w:tcMar>
            <w:vAlign w:val="center"/>
          </w:tcPr>
          <w:p w14:paraId="57ECE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val="en-US" w:eastAsia="zh-CN" w:bidi="ar"/>
              </w:rPr>
              <w:t>效果标准（按国家病媒生物密度控制标准C级及以上）</w:t>
            </w:r>
          </w:p>
        </w:tc>
      </w:tr>
      <w:tr w14:paraId="4692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4" w:hRule="atLeast"/>
        </w:trPr>
        <w:tc>
          <w:tcPr>
            <w:tcW w:w="353" w:type="pct"/>
            <w:shd w:val="clear" w:color="auto" w:fill="auto"/>
            <w:tcMar>
              <w:top w:w="150" w:type="dxa"/>
              <w:left w:w="0" w:type="dxa"/>
              <w:bottom w:w="150" w:type="dxa"/>
              <w:right w:w="240" w:type="dxa"/>
            </w:tcMar>
            <w:vAlign w:val="center"/>
          </w:tcPr>
          <w:p w14:paraId="6EB76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val="en-US" w:eastAsia="zh-CN" w:bidi="ar"/>
              </w:rPr>
              <w:t>老鼠</w:t>
            </w:r>
          </w:p>
        </w:tc>
        <w:tc>
          <w:tcPr>
            <w:tcW w:w="1294" w:type="pct"/>
            <w:shd w:val="clear" w:color="auto" w:fill="auto"/>
            <w:tcMar>
              <w:top w:w="150" w:type="dxa"/>
              <w:left w:w="240" w:type="dxa"/>
              <w:bottom w:w="150" w:type="dxa"/>
              <w:right w:w="240" w:type="dxa"/>
            </w:tcMar>
            <w:vAlign w:val="center"/>
          </w:tcPr>
          <w:p w14:paraId="5493CB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抗凝血型毒饵 + 粘鼠板 + 孔洞封堵</w:t>
            </w:r>
          </w:p>
        </w:tc>
        <w:tc>
          <w:tcPr>
            <w:tcW w:w="1375" w:type="pct"/>
            <w:shd w:val="clear" w:color="auto" w:fill="auto"/>
            <w:tcMar>
              <w:top w:w="150" w:type="dxa"/>
              <w:left w:w="240" w:type="dxa"/>
              <w:bottom w:w="150" w:type="dxa"/>
              <w:right w:w="240" w:type="dxa"/>
            </w:tcMar>
            <w:vAlign w:val="center"/>
          </w:tcPr>
          <w:p w14:paraId="3D3897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管道井、配电间、天花板、垃圾暂存处、绿化带</w:t>
            </w:r>
          </w:p>
        </w:tc>
        <w:tc>
          <w:tcPr>
            <w:tcW w:w="1976" w:type="pct"/>
            <w:shd w:val="clear" w:color="auto" w:fill="auto"/>
            <w:tcMar>
              <w:top w:w="150" w:type="dxa"/>
              <w:left w:w="240" w:type="dxa"/>
              <w:bottom w:w="150" w:type="dxa"/>
              <w:right w:w="0" w:type="dxa"/>
            </w:tcMar>
            <w:vAlign w:val="center"/>
          </w:tcPr>
          <w:p w14:paraId="3C5C88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有鼠迹房间比例 ≤3%；外环境路径指数 ≤2；防鼠设施合格率 ≥95%</w:t>
            </w:r>
          </w:p>
        </w:tc>
      </w:tr>
      <w:tr w14:paraId="308B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53" w:type="pct"/>
            <w:shd w:val="clear" w:color="auto" w:fill="auto"/>
            <w:tcMar>
              <w:top w:w="150" w:type="dxa"/>
              <w:left w:w="0" w:type="dxa"/>
              <w:bottom w:w="150" w:type="dxa"/>
              <w:right w:w="240" w:type="dxa"/>
            </w:tcMar>
            <w:vAlign w:val="center"/>
          </w:tcPr>
          <w:p w14:paraId="2A617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val="en-US" w:eastAsia="zh-CN" w:bidi="ar"/>
              </w:rPr>
              <w:t>蟑螂</w:t>
            </w:r>
          </w:p>
        </w:tc>
        <w:tc>
          <w:tcPr>
            <w:tcW w:w="1294" w:type="pct"/>
            <w:shd w:val="clear" w:color="auto" w:fill="auto"/>
            <w:tcMar>
              <w:top w:w="150" w:type="dxa"/>
              <w:left w:w="240" w:type="dxa"/>
              <w:bottom w:w="150" w:type="dxa"/>
              <w:right w:w="240" w:type="dxa"/>
            </w:tcMar>
            <w:vAlign w:val="center"/>
          </w:tcPr>
          <w:p w14:paraId="59262C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胶饵 + 滞留喷洒 + 热烟雾（管道井）</w:t>
            </w:r>
          </w:p>
        </w:tc>
        <w:tc>
          <w:tcPr>
            <w:tcW w:w="1375" w:type="pct"/>
            <w:shd w:val="clear" w:color="auto" w:fill="auto"/>
            <w:tcMar>
              <w:top w:w="150" w:type="dxa"/>
              <w:left w:w="240" w:type="dxa"/>
              <w:bottom w:w="150" w:type="dxa"/>
              <w:right w:w="240" w:type="dxa"/>
            </w:tcMar>
            <w:vAlign w:val="center"/>
          </w:tcPr>
          <w:p w14:paraId="39B629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病房床头柜、更衣柜、办公桌抽屉、水槽下方、仪器设备内部</w:t>
            </w:r>
          </w:p>
        </w:tc>
        <w:tc>
          <w:tcPr>
            <w:tcW w:w="1976" w:type="pct"/>
            <w:shd w:val="clear" w:color="auto" w:fill="auto"/>
            <w:tcMar>
              <w:top w:w="150" w:type="dxa"/>
              <w:left w:w="240" w:type="dxa"/>
              <w:bottom w:w="150" w:type="dxa"/>
              <w:right w:w="0" w:type="dxa"/>
            </w:tcMar>
            <w:vAlign w:val="center"/>
          </w:tcPr>
          <w:p w14:paraId="3AF786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成若虫侵害率 ≤3%（重点区域 ≤1%）；活卵鞘阳性率 ≤1%</w:t>
            </w:r>
          </w:p>
        </w:tc>
      </w:tr>
      <w:tr w14:paraId="469FD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53" w:type="pct"/>
            <w:shd w:val="clear" w:color="auto" w:fill="auto"/>
            <w:tcMar>
              <w:top w:w="150" w:type="dxa"/>
              <w:left w:w="0" w:type="dxa"/>
              <w:bottom w:w="150" w:type="dxa"/>
              <w:right w:w="240" w:type="dxa"/>
            </w:tcMar>
            <w:vAlign w:val="center"/>
          </w:tcPr>
          <w:p w14:paraId="569BE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val="en-US" w:eastAsia="zh-CN" w:bidi="ar"/>
              </w:rPr>
              <w:t>苍蝇</w:t>
            </w:r>
          </w:p>
        </w:tc>
        <w:tc>
          <w:tcPr>
            <w:tcW w:w="1294" w:type="pct"/>
            <w:shd w:val="clear" w:color="auto" w:fill="auto"/>
            <w:tcMar>
              <w:top w:w="150" w:type="dxa"/>
              <w:left w:w="240" w:type="dxa"/>
              <w:bottom w:w="150" w:type="dxa"/>
              <w:right w:w="240" w:type="dxa"/>
            </w:tcMar>
            <w:vAlign w:val="center"/>
          </w:tcPr>
          <w:p w14:paraId="3CD8EE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滞留喷洒 + 诱蝇袋（室外）+ 粘蝇条（室内）</w:t>
            </w:r>
          </w:p>
        </w:tc>
        <w:tc>
          <w:tcPr>
            <w:tcW w:w="1375" w:type="pct"/>
            <w:shd w:val="clear" w:color="auto" w:fill="auto"/>
            <w:tcMar>
              <w:top w:w="150" w:type="dxa"/>
              <w:left w:w="240" w:type="dxa"/>
              <w:bottom w:w="150" w:type="dxa"/>
              <w:right w:w="240" w:type="dxa"/>
            </w:tcMar>
            <w:vAlign w:val="center"/>
          </w:tcPr>
          <w:p w14:paraId="3D4A2D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生活垃圾暂存点、卫生间、污物间、楼道垃圾桶</w:t>
            </w:r>
          </w:p>
        </w:tc>
        <w:tc>
          <w:tcPr>
            <w:tcW w:w="1976" w:type="pct"/>
            <w:shd w:val="clear" w:color="auto" w:fill="auto"/>
            <w:tcMar>
              <w:top w:w="150" w:type="dxa"/>
              <w:left w:w="240" w:type="dxa"/>
              <w:bottom w:w="150" w:type="dxa"/>
              <w:right w:w="0" w:type="dxa"/>
            </w:tcMar>
            <w:vAlign w:val="center"/>
          </w:tcPr>
          <w:p w14:paraId="78784A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室内有蝇房间比例 ≤6%；室外孳生地阳性率 ≤3%；平均每阳性孳生地蝇数 ≤3只</w:t>
            </w:r>
          </w:p>
        </w:tc>
      </w:tr>
      <w:tr w14:paraId="18E4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53" w:type="pct"/>
            <w:shd w:val="clear" w:color="auto" w:fill="auto"/>
            <w:tcMar>
              <w:top w:w="150" w:type="dxa"/>
              <w:left w:w="0" w:type="dxa"/>
              <w:bottom w:w="150" w:type="dxa"/>
              <w:right w:w="240" w:type="dxa"/>
            </w:tcMar>
            <w:vAlign w:val="center"/>
          </w:tcPr>
          <w:p w14:paraId="513A1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val="en-US" w:eastAsia="zh-CN" w:bidi="ar"/>
              </w:rPr>
              <w:t>蚊子</w:t>
            </w:r>
          </w:p>
        </w:tc>
        <w:tc>
          <w:tcPr>
            <w:tcW w:w="1294" w:type="pct"/>
            <w:shd w:val="clear" w:color="auto" w:fill="auto"/>
            <w:tcMar>
              <w:top w:w="150" w:type="dxa"/>
              <w:left w:w="240" w:type="dxa"/>
              <w:bottom w:w="150" w:type="dxa"/>
              <w:right w:w="240" w:type="dxa"/>
            </w:tcMar>
            <w:vAlign w:val="center"/>
          </w:tcPr>
          <w:p w14:paraId="1338F2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孳生地清理 + 幼虫杀灭 + 成蚊空间喷洒</w:t>
            </w:r>
          </w:p>
        </w:tc>
        <w:tc>
          <w:tcPr>
            <w:tcW w:w="1375" w:type="pct"/>
            <w:shd w:val="clear" w:color="auto" w:fill="auto"/>
            <w:tcMar>
              <w:top w:w="150" w:type="dxa"/>
              <w:left w:w="240" w:type="dxa"/>
              <w:bottom w:w="150" w:type="dxa"/>
              <w:right w:w="240" w:type="dxa"/>
            </w:tcMar>
            <w:vAlign w:val="center"/>
          </w:tcPr>
          <w:p w14:paraId="44C0D0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地下室积水、雨水井、绿化带、污水池、空调冷凝水盘</w:t>
            </w:r>
          </w:p>
        </w:tc>
        <w:tc>
          <w:tcPr>
            <w:tcW w:w="1976" w:type="pct"/>
            <w:shd w:val="clear" w:color="auto" w:fill="auto"/>
            <w:tcMar>
              <w:top w:w="150" w:type="dxa"/>
              <w:left w:w="240" w:type="dxa"/>
              <w:bottom w:w="150" w:type="dxa"/>
              <w:right w:w="0" w:type="dxa"/>
            </w:tcMar>
            <w:vAlign w:val="center"/>
          </w:tcPr>
          <w:p w14:paraId="7FDA9D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kern w:val="0"/>
                <w:sz w:val="22"/>
                <w:szCs w:val="22"/>
                <w:lang w:val="en-US" w:eastAsia="zh-CN" w:bidi="ar"/>
              </w:rPr>
              <w:t>路径指数 ≤0.8；容器指数 ≤5%；停落指数 ≤1.5；成蚊密度较基线下降 ≥70%</w:t>
            </w:r>
          </w:p>
        </w:tc>
      </w:tr>
    </w:tbl>
    <w:p w14:paraId="2D728C90">
      <w:pPr>
        <w:pStyle w:val="3"/>
        <w:keepNext w:val="0"/>
        <w:keepLines w:val="0"/>
        <w:pageBreakBefore w:val="0"/>
        <w:widowControl/>
        <w:numPr>
          <w:ilvl w:val="0"/>
          <w:numId w:val="0"/>
        </w:numPr>
        <w:shd w:val="clear" w:fill="FFFFFF"/>
        <w:kinsoku/>
        <w:wordWrap/>
        <w:overflowPunct/>
        <w:topLinePunct w:val="0"/>
        <w:autoSpaceDE/>
        <w:autoSpaceDN/>
        <w:bidi w:val="0"/>
        <w:snapToGrid/>
        <w:spacing w:line="400" w:lineRule="exact"/>
        <w:ind w:leftChars="0"/>
        <w:textAlignment w:val="auto"/>
        <w:rPr>
          <w:rFonts w:hint="eastAsia" w:ascii="仿宋_GB2312" w:hAnsi="仿宋_GB2312" w:eastAsia="仿宋_GB2312" w:cs="仿宋_GB2312"/>
          <w:b/>
          <w:bCs/>
          <w:color w:val="auto"/>
          <w:kern w:val="44"/>
          <w:sz w:val="32"/>
          <w:szCs w:val="44"/>
          <w:lang w:bidi="ar-SA"/>
        </w:rPr>
      </w:pPr>
      <w:bookmarkStart w:id="0" w:name="_GoBack"/>
      <w:bookmarkEnd w:id="0"/>
      <w:r>
        <w:rPr>
          <w:rFonts w:hint="eastAsia" w:ascii="仿宋_GB2312" w:hAnsi="仿宋_GB2312" w:eastAsia="仿宋_GB2312" w:cs="仿宋_GB2312"/>
          <w:b/>
          <w:bCs/>
          <w:color w:val="auto"/>
          <w:kern w:val="44"/>
          <w:sz w:val="32"/>
          <w:szCs w:val="44"/>
          <w:lang w:val="en-US" w:eastAsia="zh-CN" w:bidi="ar-SA"/>
        </w:rPr>
        <w:t>四、</w:t>
      </w:r>
      <w:r>
        <w:rPr>
          <w:rFonts w:hint="eastAsia" w:ascii="仿宋_GB2312" w:hAnsi="仿宋_GB2312" w:eastAsia="仿宋_GB2312" w:cs="仿宋_GB2312"/>
          <w:b/>
          <w:bCs/>
          <w:color w:val="auto"/>
          <w:kern w:val="44"/>
          <w:sz w:val="32"/>
          <w:szCs w:val="44"/>
          <w:lang w:bidi="ar-SA"/>
        </w:rPr>
        <w:t>效果验证与验收标准（核心要求）</w:t>
      </w:r>
    </w:p>
    <w:p w14:paraId="034E93A3">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i w:val="0"/>
          <w:color w:val="auto"/>
          <w:sz w:val="24"/>
          <w:szCs w:val="24"/>
        </w:rPr>
        <w:t>每次作业后48小时内</w:t>
      </w:r>
      <w:r>
        <w:rPr>
          <w:rFonts w:hint="eastAsia" w:ascii="仿宋_GB2312" w:hAnsi="仿宋_GB2312" w:eastAsia="仿宋_GB2312" w:cs="仿宋_GB2312"/>
          <w:i w:val="0"/>
          <w:color w:val="auto"/>
          <w:sz w:val="24"/>
          <w:szCs w:val="24"/>
        </w:rPr>
        <w:t>必须完成效果评估，并提供以下材料：</w:t>
      </w:r>
    </w:p>
    <w:p w14:paraId="160283F4">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b/>
          <w:i w:val="0"/>
          <w:color w:val="auto"/>
          <w:sz w:val="24"/>
          <w:szCs w:val="24"/>
        </w:rPr>
      </w:pPr>
      <w:r>
        <w:rPr>
          <w:rFonts w:hint="eastAsia" w:ascii="仿宋_GB2312" w:hAnsi="仿宋_GB2312" w:eastAsia="仿宋_GB2312" w:cs="仿宋_GB2312"/>
          <w:b/>
          <w:i w:val="0"/>
          <w:color w:val="auto"/>
          <w:sz w:val="24"/>
          <w:szCs w:val="24"/>
        </w:rPr>
        <w:t>1. 密度监测数据</w:t>
      </w:r>
    </w:p>
    <w:p w14:paraId="39194517">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b/>
          <w:i w:val="0"/>
          <w:color w:val="auto"/>
          <w:sz w:val="24"/>
          <w:szCs w:val="24"/>
        </w:rPr>
      </w:pPr>
      <w:r>
        <w:rPr>
          <w:rFonts w:hint="eastAsia" w:ascii="仿宋_GB2312" w:hAnsi="仿宋_GB2312" w:eastAsia="仿宋_GB2312" w:cs="仿宋_GB2312"/>
          <w:b w:val="0"/>
          <w:bCs/>
          <w:i w:val="0"/>
          <w:color w:val="auto"/>
          <w:sz w:val="24"/>
          <w:szCs w:val="24"/>
        </w:rPr>
        <w:t>针对不同病媒生物，须在服务区域内合理布设监测点，采用行业内认可的监测方法（如粘捕法、粘蟑纸法、粘蝇条法、人工小时法等），对鼠、蟑螂、蝇、蚊的种群密度进行有效监测，并出具书面监测报告。</w:t>
      </w:r>
    </w:p>
    <w:p w14:paraId="5622882C">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b/>
          <w:i w:val="0"/>
          <w:color w:val="auto"/>
          <w:sz w:val="24"/>
          <w:szCs w:val="24"/>
        </w:rPr>
      </w:pPr>
      <w:r>
        <w:rPr>
          <w:rFonts w:hint="eastAsia" w:ascii="仿宋_GB2312" w:hAnsi="仿宋_GB2312" w:eastAsia="仿宋_GB2312" w:cs="仿宋_GB2312"/>
          <w:b/>
          <w:i w:val="0"/>
          <w:color w:val="auto"/>
          <w:sz w:val="24"/>
          <w:szCs w:val="24"/>
        </w:rPr>
        <w:t>2. 杀灭率（作业前后对比）</w:t>
      </w:r>
    </w:p>
    <w:p w14:paraId="62A342CE">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b w:val="0"/>
          <w:bCs/>
          <w:i w:val="0"/>
          <w:color w:val="auto"/>
          <w:sz w:val="24"/>
          <w:szCs w:val="24"/>
        </w:rPr>
      </w:pPr>
      <w:r>
        <w:rPr>
          <w:rFonts w:hint="eastAsia" w:ascii="仿宋_GB2312" w:hAnsi="仿宋_GB2312" w:eastAsia="仿宋_GB2312" w:cs="仿宋_GB2312"/>
          <w:b w:val="0"/>
          <w:bCs/>
          <w:i w:val="0"/>
          <w:color w:val="auto"/>
          <w:sz w:val="24"/>
          <w:szCs w:val="24"/>
        </w:rPr>
        <w:t>通过作业前基础密度与作业后残留密度的对比，计算各类病媒生物的杀灭率。各项杀灭率须达到国家病媒生物密度控制标准中对应场所的C级及以上要求，且较作业前有明显下降趋势。</w:t>
      </w:r>
    </w:p>
    <w:p w14:paraId="59122E85">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b/>
          <w:bCs w:val="0"/>
          <w:i w:val="0"/>
          <w:color w:val="auto"/>
          <w:sz w:val="24"/>
          <w:szCs w:val="24"/>
        </w:rPr>
      </w:pPr>
      <w:r>
        <w:rPr>
          <w:rFonts w:hint="eastAsia" w:ascii="仿宋_GB2312" w:hAnsi="仿宋_GB2312" w:eastAsia="仿宋_GB2312" w:cs="仿宋_GB2312"/>
          <w:b/>
          <w:bCs w:val="0"/>
          <w:i w:val="0"/>
          <w:color w:val="auto"/>
          <w:sz w:val="24"/>
          <w:szCs w:val="24"/>
        </w:rPr>
        <w:t>3. 密度控制水平</w:t>
      </w:r>
    </w:p>
    <w:p w14:paraId="377D01A7">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b w:val="0"/>
          <w:bCs/>
          <w:i w:val="0"/>
          <w:color w:val="auto"/>
          <w:sz w:val="24"/>
          <w:szCs w:val="24"/>
        </w:rPr>
      </w:pPr>
      <w:r>
        <w:rPr>
          <w:rFonts w:hint="eastAsia" w:ascii="仿宋_GB2312" w:hAnsi="仿宋_GB2312" w:eastAsia="仿宋_GB2312" w:cs="仿宋_GB2312"/>
          <w:b w:val="0"/>
          <w:bCs/>
          <w:i w:val="0"/>
          <w:color w:val="auto"/>
          <w:sz w:val="24"/>
          <w:szCs w:val="24"/>
        </w:rPr>
        <w:t>各项病媒生物的密度控制水平须符合国家现行标准中对于医院类重点场所的C级及以上要求，并在服务期内保持稳定达标状态。</w:t>
      </w:r>
    </w:p>
    <w:p w14:paraId="0DC0A53C">
      <w:pPr>
        <w:pStyle w:val="3"/>
        <w:keepNext w:val="0"/>
        <w:keepLines w:val="0"/>
        <w:pageBreakBefore w:val="0"/>
        <w:widowControl/>
        <w:numPr>
          <w:ilvl w:val="0"/>
          <w:numId w:val="0"/>
        </w:numPr>
        <w:shd w:val="clear" w:fill="FFFFFF"/>
        <w:kinsoku/>
        <w:wordWrap/>
        <w:overflowPunct/>
        <w:topLinePunct w:val="0"/>
        <w:autoSpaceDE/>
        <w:autoSpaceDN/>
        <w:bidi w:val="0"/>
        <w:snapToGrid/>
        <w:spacing w:line="320" w:lineRule="exact"/>
        <w:ind w:leftChars="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五、</w:t>
      </w:r>
      <w:r>
        <w:rPr>
          <w:rFonts w:hint="eastAsia" w:ascii="仿宋_GB2312" w:hAnsi="仿宋_GB2312" w:eastAsia="仿宋_GB2312" w:cs="仿宋_GB2312"/>
          <w:b/>
          <w:bCs/>
          <w:color w:val="auto"/>
        </w:rPr>
        <w:t>作业与报告要求</w:t>
      </w:r>
    </w:p>
    <w:p w14:paraId="5428A7CC">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sz w:val="24"/>
          <w:szCs w:val="24"/>
        </w:rPr>
        <w:t>每次作业后 </w:t>
      </w:r>
      <w:r>
        <w:rPr>
          <w:rFonts w:hint="eastAsia" w:ascii="仿宋_GB2312" w:hAnsi="仿宋_GB2312" w:eastAsia="仿宋_GB2312" w:cs="仿宋_GB2312"/>
          <w:b/>
          <w:i w:val="0"/>
          <w:color w:val="auto"/>
          <w:sz w:val="24"/>
          <w:szCs w:val="24"/>
        </w:rPr>
        <w:t>3个工作日内</w:t>
      </w:r>
      <w:r>
        <w:rPr>
          <w:rFonts w:hint="eastAsia" w:ascii="仿宋_GB2312" w:hAnsi="仿宋_GB2312" w:eastAsia="仿宋_GB2312" w:cs="仿宋_GB2312"/>
          <w:i w:val="0"/>
          <w:color w:val="auto"/>
          <w:sz w:val="24"/>
          <w:szCs w:val="24"/>
        </w:rPr>
        <w:t> 提交：</w:t>
      </w:r>
    </w:p>
    <w:p w14:paraId="0E671FCD">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sz w:val="24"/>
          <w:szCs w:val="24"/>
        </w:rPr>
        <w:t>《消杀记录单》</w:t>
      </w:r>
    </w:p>
    <w:p w14:paraId="339E7AD3">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sz w:val="24"/>
          <w:szCs w:val="24"/>
        </w:rPr>
        <w:t>《密度监测对比表》</w:t>
      </w:r>
    </w:p>
    <w:p w14:paraId="28756506">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sz w:val="24"/>
          <w:szCs w:val="24"/>
        </w:rPr>
        <w:t>现场工作水印照片（需体现具体楼栋及点位）</w:t>
      </w:r>
    </w:p>
    <w:p w14:paraId="625CCBF8">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sz w:val="24"/>
          <w:szCs w:val="24"/>
        </w:rPr>
        <w:t>医院</w:t>
      </w:r>
      <w:r>
        <w:rPr>
          <w:rFonts w:hint="eastAsia" w:ascii="仿宋_GB2312" w:hAnsi="仿宋_GB2312" w:eastAsia="仿宋_GB2312" w:cs="仿宋_GB2312"/>
          <w:i w:val="0"/>
          <w:color w:val="auto"/>
          <w:sz w:val="24"/>
          <w:szCs w:val="24"/>
          <w:lang w:val="en-US" w:eastAsia="zh-CN"/>
        </w:rPr>
        <w:t>财务</w:t>
      </w:r>
      <w:r>
        <w:rPr>
          <w:rFonts w:hint="eastAsia" w:ascii="仿宋_GB2312" w:hAnsi="仿宋_GB2312" w:eastAsia="仿宋_GB2312" w:cs="仿宋_GB2312"/>
          <w:i w:val="0"/>
          <w:color w:val="auto"/>
          <w:sz w:val="24"/>
          <w:szCs w:val="24"/>
        </w:rPr>
        <w:t>总务科/</w:t>
      </w:r>
      <w:r>
        <w:rPr>
          <w:rFonts w:hint="eastAsia" w:ascii="仿宋_GB2312" w:hAnsi="仿宋_GB2312" w:eastAsia="仿宋_GB2312" w:cs="仿宋_GB2312"/>
          <w:i w:val="0"/>
          <w:color w:val="auto"/>
          <w:sz w:val="24"/>
          <w:szCs w:val="24"/>
          <w:lang w:val="en-US" w:eastAsia="zh-CN"/>
        </w:rPr>
        <w:t>院感</w:t>
      </w:r>
      <w:r>
        <w:rPr>
          <w:rFonts w:hint="eastAsia" w:ascii="仿宋_GB2312" w:hAnsi="仿宋_GB2312" w:eastAsia="仿宋_GB2312" w:cs="仿宋_GB2312"/>
          <w:i w:val="0"/>
          <w:color w:val="auto"/>
          <w:sz w:val="24"/>
          <w:szCs w:val="24"/>
        </w:rPr>
        <w:t>科现场抽查复核，达标后双方签字确认。</w:t>
      </w:r>
    </w:p>
    <w:p w14:paraId="133D7254">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i w:val="0"/>
          <w:color w:val="auto"/>
          <w:sz w:val="24"/>
          <w:szCs w:val="24"/>
        </w:rPr>
        <w:t>连续两次效果不达标</w:t>
      </w:r>
      <w:r>
        <w:rPr>
          <w:rFonts w:hint="eastAsia" w:ascii="仿宋_GB2312" w:hAnsi="仿宋_GB2312" w:eastAsia="仿宋_GB2312" w:cs="仿宋_GB2312"/>
          <w:i w:val="0"/>
          <w:color w:val="auto"/>
          <w:sz w:val="24"/>
          <w:szCs w:val="24"/>
        </w:rPr>
        <w:t>，中标方需免费追加一次全面消杀并更换用药方案。</w:t>
      </w:r>
    </w:p>
    <w:p w14:paraId="2955ED55">
      <w:pPr>
        <w:pStyle w:val="3"/>
        <w:keepNext w:val="0"/>
        <w:keepLines w:val="0"/>
        <w:pageBreakBefore w:val="0"/>
        <w:widowControl/>
        <w:numPr>
          <w:ilvl w:val="0"/>
          <w:numId w:val="0"/>
        </w:numPr>
        <w:shd w:val="clear" w:fill="FFFFFF"/>
        <w:kinsoku/>
        <w:wordWrap/>
        <w:overflowPunct/>
        <w:topLinePunct w:val="0"/>
        <w:autoSpaceDE/>
        <w:autoSpaceDN/>
        <w:bidi w:val="0"/>
        <w:snapToGrid/>
        <w:spacing w:line="320" w:lineRule="exact"/>
        <w:ind w:leftChars="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六、</w:t>
      </w:r>
      <w:r>
        <w:rPr>
          <w:rFonts w:hint="eastAsia" w:ascii="仿宋_GB2312" w:hAnsi="仿宋_GB2312" w:eastAsia="仿宋_GB2312" w:cs="仿宋_GB2312"/>
          <w:b/>
          <w:bCs/>
          <w:color w:val="auto"/>
        </w:rPr>
        <w:t>安全与环境要求（医院特殊规定）</w:t>
      </w:r>
    </w:p>
    <w:p w14:paraId="4835A03B">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i w:val="0"/>
          <w:color w:val="auto"/>
          <w:sz w:val="24"/>
          <w:szCs w:val="24"/>
        </w:rPr>
        <w:t>禁止使用敌敌畏、磷化铝等高毒或刺激性药物，不得有明显异味影响患者及医护人员。</w:t>
      </w:r>
    </w:p>
    <w:p w14:paraId="7BD223F6">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sz w:val="24"/>
          <w:szCs w:val="24"/>
        </w:rPr>
        <w:t>重点区域（ICU、新生儿科、手术室周边、体检中心</w:t>
      </w:r>
      <w:r>
        <w:rPr>
          <w:rFonts w:hint="eastAsia" w:ascii="仿宋_GB2312" w:hAnsi="仿宋_GB2312" w:eastAsia="仿宋_GB2312" w:cs="仿宋_GB2312"/>
          <w:i w:val="0"/>
          <w:color w:val="auto"/>
          <w:sz w:val="24"/>
          <w:szCs w:val="24"/>
          <w:lang w:val="en-US" w:eastAsia="zh-CN"/>
        </w:rPr>
        <w:t>等</w:t>
      </w:r>
      <w:r>
        <w:rPr>
          <w:rFonts w:hint="eastAsia" w:ascii="仿宋_GB2312" w:hAnsi="仿宋_GB2312" w:eastAsia="仿宋_GB2312" w:cs="仿宋_GB2312"/>
          <w:i w:val="0"/>
          <w:color w:val="auto"/>
          <w:sz w:val="24"/>
          <w:szCs w:val="24"/>
        </w:rPr>
        <w:t>敏感区域）以物理防治为主（粘捕、封堵、紫外诱杀）。</w:t>
      </w:r>
    </w:p>
    <w:p w14:paraId="792BA084">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i w:val="0"/>
          <w:color w:val="auto"/>
          <w:sz w:val="24"/>
          <w:szCs w:val="24"/>
        </w:rPr>
      </w:pPr>
      <w:r>
        <w:rPr>
          <w:rFonts w:hint="eastAsia" w:ascii="仿宋_GB2312" w:hAnsi="仿宋_GB2312" w:eastAsia="仿宋_GB2312" w:cs="仿宋_GB2312"/>
          <w:i w:val="0"/>
          <w:color w:val="auto"/>
          <w:sz w:val="24"/>
          <w:szCs w:val="24"/>
        </w:rPr>
        <w:t>作业时间避开诊疗高峰时段，作业后通风 ≥30分钟方可开放。</w:t>
      </w:r>
    </w:p>
    <w:p w14:paraId="13C4E3FE">
      <w:pPr>
        <w:pStyle w:val="3"/>
        <w:keepNext w:val="0"/>
        <w:keepLines w:val="0"/>
        <w:pageBreakBefore w:val="0"/>
        <w:widowControl/>
        <w:numPr>
          <w:ilvl w:val="0"/>
          <w:numId w:val="0"/>
        </w:numPr>
        <w:kinsoku/>
        <w:wordWrap/>
        <w:overflowPunct/>
        <w:topLinePunct w:val="0"/>
        <w:autoSpaceDE/>
        <w:autoSpaceDN/>
        <w:bidi w:val="0"/>
        <w:snapToGrid/>
        <w:spacing w:line="320" w:lineRule="exact"/>
        <w:ind w:leftChars="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七、</w:t>
      </w:r>
      <w:r>
        <w:rPr>
          <w:rFonts w:hint="eastAsia" w:ascii="仿宋_GB2312" w:hAnsi="仿宋_GB2312" w:eastAsia="仿宋_GB2312" w:cs="仿宋_GB2312"/>
          <w:b/>
          <w:bCs/>
          <w:color w:val="auto"/>
        </w:rPr>
        <w:t>违约责任与退出机制</w:t>
      </w:r>
    </w:p>
    <w:p w14:paraId="4654975F">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sz w:val="24"/>
          <w:szCs w:val="24"/>
        </w:rPr>
        <w:t>季度密度监测中任意一项超出国标C级，当季度服务费 </w:t>
      </w:r>
      <w:r>
        <w:rPr>
          <w:rFonts w:hint="eastAsia" w:ascii="仿宋_GB2312" w:hAnsi="仿宋_GB2312" w:eastAsia="仿宋_GB2312" w:cs="仿宋_GB2312"/>
          <w:b/>
          <w:i w:val="0"/>
          <w:color w:val="auto"/>
          <w:sz w:val="24"/>
          <w:szCs w:val="24"/>
        </w:rPr>
        <w:t>减免30%</w:t>
      </w:r>
      <w:r>
        <w:rPr>
          <w:rFonts w:hint="eastAsia" w:ascii="仿宋_GB2312" w:hAnsi="仿宋_GB2312" w:eastAsia="仿宋_GB2312" w:cs="仿宋_GB2312"/>
          <w:i w:val="0"/>
          <w:color w:val="auto"/>
          <w:sz w:val="24"/>
          <w:szCs w:val="24"/>
        </w:rPr>
        <w:t>。</w:t>
      </w:r>
    </w:p>
    <w:p w14:paraId="01AF770C">
      <w:pPr>
        <w:pStyle w:val="34"/>
        <w:keepNext w:val="0"/>
        <w:keepLines w:val="0"/>
        <w:pageBreakBefore w:val="0"/>
        <w:widowControl/>
        <w:kinsoku/>
        <w:wordWrap/>
        <w:overflowPunct/>
        <w:topLinePunct w:val="0"/>
        <w:autoSpaceDE/>
        <w:autoSpaceDN/>
        <w:bidi w:val="0"/>
        <w:snapToGrid/>
        <w:spacing w:line="3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i w:val="0"/>
          <w:color w:val="auto"/>
          <w:sz w:val="24"/>
          <w:szCs w:val="24"/>
        </w:rPr>
        <w:t>年度内累计两次不达标，院方有权 </w:t>
      </w:r>
      <w:r>
        <w:rPr>
          <w:rFonts w:hint="eastAsia" w:ascii="仿宋_GB2312" w:hAnsi="仿宋_GB2312" w:eastAsia="仿宋_GB2312" w:cs="仿宋_GB2312"/>
          <w:b/>
          <w:i w:val="0"/>
          <w:color w:val="auto"/>
          <w:sz w:val="24"/>
          <w:szCs w:val="24"/>
        </w:rPr>
        <w:t>解除合同</w:t>
      </w:r>
      <w:r>
        <w:rPr>
          <w:rFonts w:hint="eastAsia" w:ascii="仿宋_GB2312" w:hAnsi="仿宋_GB2312" w:eastAsia="仿宋_GB2312" w:cs="仿宋_GB2312"/>
          <w:i w:val="0"/>
          <w:color w:val="auto"/>
          <w:sz w:val="24"/>
          <w:szCs w:val="24"/>
        </w:rPr>
        <w:t> 并要求退还剩余服务期费用。</w:t>
      </w:r>
    </w:p>
    <w:sectPr>
      <w:pgSz w:w="11906" w:h="16838"/>
      <w:pgMar w:top="1134" w:right="1474" w:bottom="85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2">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FE4A38F8"/>
    <w:multiLevelType w:val="singleLevel"/>
    <w:tmpl w:val="FE4A38F8"/>
    <w:lvl w:ilvl="0" w:tentative="0">
      <w:start w:val="1"/>
      <w:numFmt w:val="decimal"/>
      <w:suff w:val="space"/>
      <w:lvlText w:val="%1"/>
      <w:lvlJc w:val="left"/>
      <w:pPr>
        <w:ind w:left="0" w:firstLine="482"/>
      </w:pPr>
      <w:rPr>
        <w:rFonts w:hint="default"/>
      </w:rPr>
    </w:lvl>
  </w:abstractNum>
  <w:abstractNum w:abstractNumId="4">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5">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6">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7">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8">
    <w:nsid w:val="4209A4A6"/>
    <w:multiLevelType w:val="singleLevel"/>
    <w:tmpl w:val="4209A4A6"/>
    <w:lvl w:ilvl="0" w:tentative="0">
      <w:start w:val="1"/>
      <w:numFmt w:val="chineseCounting"/>
      <w:suff w:val="nothing"/>
      <w:lvlText w:val="%1、"/>
      <w:lvlJc w:val="left"/>
      <w:pPr>
        <w:ind w:left="0" w:firstLine="0"/>
      </w:pPr>
      <w:rPr>
        <w:rFonts w:hint="eastAsia"/>
      </w:rPr>
    </w:lvl>
  </w:abstractNum>
  <w:abstractNum w:abstractNumId="9">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0">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1">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4"/>
  </w:num>
  <w:num w:numId="2">
    <w:abstractNumId w:val="0"/>
  </w:num>
  <w:num w:numId="3">
    <w:abstractNumId w:val="5"/>
  </w:num>
  <w:num w:numId="4">
    <w:abstractNumId w:val="9"/>
  </w:num>
  <w:num w:numId="5">
    <w:abstractNumId w:val="11"/>
  </w:num>
  <w:num w:numId="6">
    <w:abstractNumId w:val="6"/>
  </w:num>
  <w:num w:numId="7">
    <w:abstractNumId w:val="10"/>
  </w:num>
  <w:num w:numId="8">
    <w:abstractNumId w:val="2"/>
  </w:num>
  <w:num w:numId="9">
    <w:abstractNumId w:val="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631CF"/>
    <w:rsid w:val="03F6747E"/>
    <w:rsid w:val="047A39D5"/>
    <w:rsid w:val="0E794CFD"/>
    <w:rsid w:val="11453281"/>
    <w:rsid w:val="18067684"/>
    <w:rsid w:val="480631CF"/>
    <w:rsid w:val="530C3017"/>
    <w:rsid w:val="5E427DA4"/>
    <w:rsid w:val="5F17129A"/>
    <w:rsid w:val="79BC42A4"/>
    <w:rsid w:val="7A810FFC"/>
    <w:rsid w:val="7D6D3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4">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5">
    <w:name w:val="heading 3"/>
    <w:next w:val="1"/>
    <w:semiHidden/>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6">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7">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8">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9">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10">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1">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89">
    <w:name w:val="Default Paragraph Font"/>
    <w:semiHidden/>
    <w:qFormat/>
    <w:uiPriority w:val="0"/>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afterLines="0" w:afterAutospacing="0"/>
    </w:pPr>
    <w:rPr>
      <w:sz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5">
    <w:name w:val="Body Text Indent"/>
    <w:basedOn w:val="1"/>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paragraph" w:styleId="85">
    <w:name w:val="annotation subject"/>
    <w:basedOn w:val="28"/>
    <w:next w:val="28"/>
    <w:qFormat/>
    <w:uiPriority w:val="0"/>
    <w:rPr>
      <w:b/>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92a36d34-4fca-4c66-87ed-21565c0dd12d</errorID>
      <errorWord>防制</errorWord>
      <group>L1_Word</group>
      <groupName>字词问题</groupName>
      <ability>L2_Typo</ability>
      <abilityName>字词错误</abilityName>
      <candidateList>
        <item>防治</item>
      </candidateList>
      <explain>存在发音相同字词的误用。</explain>
      <paraID>67132D7A</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29b9d08c-d977-4d18-aa8e-39ffa8626c7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1239</Words>
  <Characters>1285</Characters>
  <Lines>0</Lines>
  <Paragraphs>0</Paragraphs>
  <TotalTime>167</TotalTime>
  <ScaleCrop>false</ScaleCrop>
  <LinksUpToDate>false</LinksUpToDate>
  <CharactersWithSpaces>1332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2026-06-15T07:29:00Z</dcterms:created>
  <dc:creator>奔</dc:creator>
  <cp:lastModifiedBy>何～^_^</cp:lastModifiedBy>
  <cp:lastPrinted>2026-06-16T06:06:19Z</cp:lastPrinted>
  <dcterms:modified xsi:type="dcterms:W3CDTF">2026-06-16T06:06:59Z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5931FF69B06A48F4B3D2BB7BB945A589_13</vt:lpwstr>
  </property>
  <property fmtid="{D5CDD505-2E9C-101B-9397-08002B2CF9AE}" pid="4" name="KSOTemplateDocerSaveRecord">
    <vt:lpwstr>eyJoZGlkIjoiNjJhZjRiOTU4ZWFhZWMxZTQzZjA5YTYzNzhlZWI3MDUiLCJ1c2VySWQiOiIzMjU2NDk1MDcifQ==</vt:lpwstr>
  </property>
</Properties>
</file>