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4A8A33D">
      <w:pPr>
        <w:widowControl/>
        <w:jc w:val="center"/>
        <w:rPr>
          <w:rFonts w:ascii="楷体_GB2312" w:eastAsia="楷体_GB2312"/>
          <w:b/>
          <w:bCs/>
          <w:color w:val="auto"/>
          <w:kern w:val="0"/>
          <w:sz w:val="84"/>
          <w:szCs w:val="84"/>
        </w:rPr>
      </w:pPr>
    </w:p>
    <w:p w14:paraId="12B6B8AA">
      <w:pPr>
        <w:widowControl/>
        <w:jc w:val="center"/>
        <w:rPr>
          <w:rFonts w:ascii="楷体_GB2312" w:eastAsia="楷体_GB2312"/>
          <w:b/>
          <w:bCs/>
          <w:color w:val="auto"/>
          <w:kern w:val="0"/>
          <w:sz w:val="84"/>
          <w:szCs w:val="84"/>
        </w:rPr>
      </w:pPr>
    </w:p>
    <w:p w14:paraId="05B03C1A">
      <w:pPr>
        <w:widowControl/>
        <w:jc w:val="center"/>
        <w:rPr>
          <w:rFonts w:ascii="楷体_GB2312" w:eastAsia="楷体_GB2312"/>
          <w:b/>
          <w:bCs/>
          <w:color w:val="auto"/>
          <w:kern w:val="0"/>
          <w:sz w:val="84"/>
          <w:szCs w:val="84"/>
        </w:rPr>
      </w:pPr>
    </w:p>
    <w:p w14:paraId="63351AE3">
      <w:pPr>
        <w:widowControl/>
        <w:jc w:val="center"/>
        <w:rPr>
          <w:rFonts w:hint="eastAsia" w:ascii="方正小标宋简体" w:hAnsi="方正小标宋简体" w:eastAsia="方正小标宋简体" w:cs="方正小标宋简体"/>
          <w:color w:val="auto"/>
          <w:kern w:val="0"/>
          <w:sz w:val="36"/>
          <w:szCs w:val="36"/>
        </w:rPr>
      </w:pPr>
      <w:r>
        <w:rPr>
          <w:rFonts w:hint="eastAsia" w:ascii="方正小标宋简体" w:hAnsi="方正小标宋简体" w:eastAsia="方正小标宋简体" w:cs="方正小标宋简体"/>
          <w:color w:val="auto"/>
          <w:kern w:val="0"/>
          <w:sz w:val="36"/>
          <w:szCs w:val="36"/>
        </w:rPr>
        <w:t>漳州高新职业技术学校采购询</w:t>
      </w:r>
      <w:r>
        <w:rPr>
          <w:rFonts w:ascii="方正小标宋简体" w:hAnsi="方正小标宋简体" w:eastAsia="方正小标宋简体" w:cs="方正小标宋简体"/>
          <w:color w:val="auto"/>
          <w:kern w:val="0"/>
          <w:sz w:val="36"/>
          <w:szCs w:val="36"/>
        </w:rPr>
        <w:t>价</w:t>
      </w:r>
      <w:r>
        <w:rPr>
          <w:rFonts w:hint="eastAsia" w:ascii="方正小标宋简体" w:hAnsi="方正小标宋简体" w:eastAsia="方正小标宋简体" w:cs="方正小标宋简体"/>
          <w:color w:val="auto"/>
          <w:kern w:val="0"/>
          <w:sz w:val="36"/>
          <w:szCs w:val="36"/>
          <w:lang w:val="en-US" w:eastAsia="zh-CN"/>
        </w:rPr>
        <w:t>比价</w:t>
      </w:r>
      <w:r>
        <w:rPr>
          <w:rFonts w:hint="eastAsia" w:ascii="方正小标宋简体" w:hAnsi="方正小标宋简体" w:eastAsia="方正小标宋简体" w:cs="方正小标宋简体"/>
          <w:color w:val="auto"/>
          <w:kern w:val="0"/>
          <w:sz w:val="36"/>
          <w:szCs w:val="36"/>
        </w:rPr>
        <w:t>文件</w:t>
      </w:r>
    </w:p>
    <w:p w14:paraId="1034237A">
      <w:pPr>
        <w:widowControl/>
        <w:rPr>
          <w:rFonts w:ascii="仿宋_GB2312" w:eastAsia="仿宋_GB2312"/>
          <w:color w:val="auto"/>
          <w:kern w:val="0"/>
          <w:sz w:val="32"/>
          <w:szCs w:val="32"/>
        </w:rPr>
      </w:pPr>
    </w:p>
    <w:p w14:paraId="6D44CCBD">
      <w:pPr>
        <w:widowControl/>
        <w:ind w:firstLine="1600" w:firstLineChars="500"/>
        <w:rPr>
          <w:rFonts w:hint="default" w:ascii="楷体" w:hAnsi="楷体" w:eastAsia="楷体" w:cs="楷体"/>
          <w:color w:val="auto"/>
          <w:kern w:val="0"/>
          <w:sz w:val="32"/>
          <w:szCs w:val="32"/>
          <w:u w:val="single"/>
          <w:lang w:val="en-US" w:eastAsia="zh-CN"/>
        </w:rPr>
      </w:pPr>
      <w:r>
        <w:rPr>
          <w:rFonts w:hint="eastAsia" w:ascii="楷体" w:hAnsi="楷体" w:eastAsia="楷体" w:cs="楷体"/>
          <w:color w:val="auto"/>
          <w:kern w:val="0"/>
          <w:sz w:val="32"/>
          <w:szCs w:val="32"/>
        </w:rPr>
        <w:t>项目编号：</w:t>
      </w:r>
      <w:r>
        <w:rPr>
          <w:rFonts w:hint="eastAsia" w:ascii="楷体" w:hAnsi="楷体" w:eastAsia="楷体" w:cs="楷体"/>
          <w:color w:val="auto"/>
          <w:kern w:val="0"/>
          <w:sz w:val="32"/>
          <w:szCs w:val="32"/>
          <w:lang w:val="en-US" w:eastAsia="zh-CN"/>
        </w:rPr>
        <w:t>GXZXXJCG</w:t>
      </w:r>
      <w:r>
        <w:rPr>
          <w:rFonts w:hint="eastAsia" w:ascii="楷体" w:hAnsi="楷体" w:eastAsia="楷体" w:cs="楷体"/>
          <w:color w:val="auto"/>
          <w:kern w:val="0"/>
          <w:sz w:val="32"/>
          <w:szCs w:val="32"/>
          <w:lang w:eastAsia="zh-CN"/>
        </w:rPr>
        <w:t>-</w:t>
      </w:r>
      <w:r>
        <w:rPr>
          <w:rFonts w:hint="eastAsia" w:ascii="楷体" w:hAnsi="楷体" w:eastAsia="楷体" w:cs="楷体"/>
          <w:color w:val="auto"/>
          <w:kern w:val="0"/>
          <w:sz w:val="32"/>
          <w:szCs w:val="32"/>
          <w:lang w:val="en-US" w:eastAsia="zh-CN"/>
        </w:rPr>
        <w:t>2026009</w:t>
      </w:r>
    </w:p>
    <w:p w14:paraId="20FD449A">
      <w:pPr>
        <w:widowControl/>
        <w:ind w:right="40" w:firstLine="960" w:firstLineChars="300"/>
        <w:rPr>
          <w:rFonts w:hint="eastAsia" w:ascii="楷体" w:hAnsi="楷体" w:eastAsia="楷体" w:cs="楷体"/>
          <w:color w:val="auto"/>
          <w:kern w:val="0"/>
          <w:sz w:val="32"/>
          <w:szCs w:val="32"/>
          <w:lang w:val="en-US" w:eastAsia="zh-CN"/>
        </w:rPr>
      </w:pPr>
      <w:r>
        <w:rPr>
          <w:rFonts w:hint="eastAsia" w:ascii="楷体" w:hAnsi="楷体" w:eastAsia="楷体" w:cs="楷体"/>
          <w:color w:val="auto"/>
          <w:kern w:val="0"/>
          <w:sz w:val="32"/>
          <w:szCs w:val="32"/>
        </w:rPr>
        <w:t>项目名称：</w:t>
      </w:r>
      <w:r>
        <w:rPr>
          <w:rFonts w:hint="eastAsia" w:ascii="楷体" w:hAnsi="楷体" w:eastAsia="楷体" w:cs="楷体"/>
          <w:color w:val="auto"/>
          <w:kern w:val="0"/>
          <w:sz w:val="32"/>
          <w:szCs w:val="32"/>
          <w:lang w:val="en-US" w:eastAsia="zh-CN"/>
        </w:rPr>
        <w:t>漳州高新职业技术学校2026-2027年度校区消杀服务采购项目</w:t>
      </w:r>
    </w:p>
    <w:p w14:paraId="059F2171">
      <w:pPr>
        <w:widowControl/>
        <w:ind w:left="80" w:right="40"/>
        <w:rPr>
          <w:rFonts w:ascii="仿宋_GB2312" w:eastAsia="仿宋_GB2312"/>
          <w:b/>
          <w:bCs/>
          <w:color w:val="auto"/>
          <w:kern w:val="0"/>
          <w:sz w:val="32"/>
          <w:szCs w:val="32"/>
          <w:u w:val="single"/>
        </w:rPr>
      </w:pPr>
    </w:p>
    <w:p w14:paraId="71D3FE33">
      <w:pPr>
        <w:widowControl/>
        <w:ind w:left="1619" w:hanging="1619"/>
        <w:rPr>
          <w:rFonts w:ascii="仿宋_GB2312" w:eastAsia="仿宋_GB2312"/>
          <w:b/>
          <w:bCs/>
          <w:color w:val="auto"/>
          <w:kern w:val="0"/>
          <w:sz w:val="32"/>
          <w:szCs w:val="32"/>
          <w:u w:val="single"/>
        </w:rPr>
      </w:pPr>
    </w:p>
    <w:p w14:paraId="35E93D63">
      <w:pPr>
        <w:widowControl/>
        <w:rPr>
          <w:rFonts w:hint="eastAsia" w:ascii="宋体" w:hAnsi="宋体"/>
          <w:b/>
          <w:bCs/>
          <w:color w:val="auto"/>
          <w:kern w:val="0"/>
          <w:sz w:val="32"/>
          <w:szCs w:val="32"/>
        </w:rPr>
      </w:pPr>
    </w:p>
    <w:p w14:paraId="4C59BD2E">
      <w:pPr>
        <w:widowControl/>
        <w:rPr>
          <w:b/>
          <w:bCs/>
          <w:color w:val="auto"/>
          <w:kern w:val="0"/>
          <w:sz w:val="32"/>
          <w:szCs w:val="32"/>
        </w:rPr>
      </w:pPr>
    </w:p>
    <w:p w14:paraId="7C407FA8">
      <w:pPr>
        <w:widowControl/>
        <w:rPr>
          <w:b/>
          <w:bCs/>
          <w:color w:val="auto"/>
          <w:kern w:val="0"/>
          <w:sz w:val="32"/>
          <w:szCs w:val="32"/>
        </w:rPr>
      </w:pPr>
    </w:p>
    <w:p w14:paraId="35F1C655">
      <w:pPr>
        <w:widowControl/>
        <w:jc w:val="center"/>
        <w:rPr>
          <w:rFonts w:ascii="仿宋_GB2312" w:eastAsia="仿宋_GB2312"/>
          <w:b/>
          <w:bCs/>
          <w:color w:val="auto"/>
          <w:kern w:val="0"/>
          <w:sz w:val="32"/>
          <w:szCs w:val="32"/>
        </w:rPr>
      </w:pPr>
    </w:p>
    <w:p w14:paraId="521B042E">
      <w:pPr>
        <w:widowControl/>
        <w:jc w:val="center"/>
        <w:rPr>
          <w:rFonts w:ascii="仿宋_GB2312" w:eastAsia="仿宋_GB2312"/>
          <w:color w:val="auto"/>
          <w:kern w:val="0"/>
          <w:sz w:val="32"/>
          <w:szCs w:val="32"/>
        </w:rPr>
      </w:pPr>
    </w:p>
    <w:p w14:paraId="244203EC">
      <w:pPr>
        <w:widowControl/>
        <w:jc w:val="center"/>
        <w:rPr>
          <w:rFonts w:hint="eastAsia" w:ascii="楷体" w:hAnsi="楷体" w:eastAsia="楷体" w:cs="楷体"/>
          <w:color w:val="auto"/>
          <w:kern w:val="0"/>
          <w:sz w:val="32"/>
          <w:szCs w:val="32"/>
        </w:rPr>
      </w:pPr>
      <w:r>
        <w:rPr>
          <w:rFonts w:hint="eastAsia" w:ascii="楷体" w:hAnsi="楷体" w:eastAsia="楷体" w:cs="楷体"/>
          <w:color w:val="auto"/>
          <w:kern w:val="0"/>
          <w:sz w:val="32"/>
          <w:szCs w:val="32"/>
        </w:rPr>
        <w:t>漳州高新职业技术学校</w:t>
      </w:r>
    </w:p>
    <w:p w14:paraId="4420B921">
      <w:pPr>
        <w:widowControl/>
        <w:jc w:val="center"/>
        <w:rPr>
          <w:rFonts w:hint="eastAsia" w:ascii="楷体" w:hAnsi="楷体" w:eastAsia="楷体" w:cs="楷体"/>
          <w:color w:val="auto"/>
          <w:kern w:val="0"/>
          <w:sz w:val="32"/>
          <w:szCs w:val="32"/>
        </w:rPr>
      </w:pPr>
      <w:r>
        <w:rPr>
          <w:rFonts w:hint="eastAsia" w:ascii="楷体" w:hAnsi="楷体" w:eastAsia="楷体" w:cs="楷体"/>
          <w:color w:val="auto"/>
          <w:kern w:val="0"/>
          <w:sz w:val="32"/>
          <w:szCs w:val="32"/>
        </w:rPr>
        <w:t>202</w:t>
      </w:r>
      <w:r>
        <w:rPr>
          <w:rFonts w:hint="eastAsia" w:ascii="楷体" w:hAnsi="楷体" w:eastAsia="楷体" w:cs="楷体"/>
          <w:color w:val="auto"/>
          <w:kern w:val="0"/>
          <w:sz w:val="32"/>
          <w:szCs w:val="32"/>
          <w:lang w:val="en-US" w:eastAsia="zh-CN"/>
        </w:rPr>
        <w:t>6</w:t>
      </w:r>
      <w:r>
        <w:rPr>
          <w:rFonts w:hint="eastAsia" w:ascii="楷体" w:hAnsi="楷体" w:eastAsia="楷体" w:cs="楷体"/>
          <w:color w:val="auto"/>
          <w:kern w:val="0"/>
          <w:sz w:val="32"/>
          <w:szCs w:val="32"/>
        </w:rPr>
        <w:t>年</w:t>
      </w:r>
      <w:r>
        <w:rPr>
          <w:rFonts w:hint="eastAsia" w:ascii="楷体" w:hAnsi="楷体" w:eastAsia="楷体" w:cs="楷体"/>
          <w:color w:val="auto"/>
          <w:kern w:val="0"/>
          <w:sz w:val="32"/>
          <w:szCs w:val="32"/>
          <w:lang w:val="en-US" w:eastAsia="zh-CN"/>
        </w:rPr>
        <w:t>6</w:t>
      </w:r>
      <w:r>
        <w:rPr>
          <w:rFonts w:hint="eastAsia" w:ascii="楷体" w:hAnsi="楷体" w:eastAsia="楷体" w:cs="楷体"/>
          <w:color w:val="auto"/>
          <w:kern w:val="0"/>
          <w:sz w:val="32"/>
          <w:szCs w:val="32"/>
        </w:rPr>
        <w:t>月</w:t>
      </w:r>
    </w:p>
    <w:p w14:paraId="25B2F1CE">
      <w:pPr>
        <w:widowControl/>
        <w:rPr>
          <w:b/>
          <w:bCs/>
          <w:color w:val="auto"/>
          <w:kern w:val="0"/>
          <w:sz w:val="28"/>
          <w:szCs w:val="28"/>
        </w:rPr>
      </w:pPr>
    </w:p>
    <w:p w14:paraId="571974AA">
      <w:pPr>
        <w:widowControl/>
        <w:rPr>
          <w:b/>
          <w:bCs/>
          <w:color w:val="auto"/>
          <w:kern w:val="0"/>
          <w:sz w:val="28"/>
          <w:szCs w:val="28"/>
        </w:rPr>
      </w:pPr>
    </w:p>
    <w:p w14:paraId="4C8381AC">
      <w:pPr>
        <w:widowControl/>
        <w:rPr>
          <w:b/>
          <w:bCs/>
          <w:color w:val="auto"/>
          <w:kern w:val="0"/>
          <w:sz w:val="28"/>
          <w:szCs w:val="28"/>
        </w:rPr>
      </w:pPr>
    </w:p>
    <w:p w14:paraId="1733B89F">
      <w:pPr>
        <w:widowControl/>
        <w:snapToGrid w:val="0"/>
        <w:jc w:val="center"/>
        <w:rPr>
          <w:rFonts w:ascii="仿宋_GB2312"/>
          <w:b/>
          <w:bCs/>
          <w:color w:val="auto"/>
          <w:kern w:val="0"/>
          <w:sz w:val="32"/>
          <w:szCs w:val="32"/>
        </w:rPr>
      </w:pPr>
      <w:r>
        <w:rPr>
          <w:rFonts w:hint="eastAsia" w:ascii="仿宋_GB2312" w:eastAsia="仿宋_GB2312"/>
          <w:b/>
          <w:bCs/>
          <w:color w:val="auto"/>
          <w:kern w:val="0"/>
          <w:sz w:val="32"/>
          <w:szCs w:val="32"/>
        </w:rPr>
        <w:t>第一部分</w:t>
      </w:r>
      <w:r>
        <w:rPr>
          <w:b/>
          <w:bCs/>
          <w:color w:val="auto"/>
          <w:kern w:val="0"/>
          <w:sz w:val="32"/>
          <w:szCs w:val="32"/>
        </w:rPr>
        <w:t xml:space="preserve">  </w:t>
      </w:r>
      <w:r>
        <w:rPr>
          <w:rFonts w:hint="eastAsia"/>
          <w:b/>
          <w:bCs/>
          <w:color w:val="auto"/>
          <w:kern w:val="0"/>
          <w:sz w:val="32"/>
          <w:szCs w:val="32"/>
        </w:rPr>
        <w:t>询价公告</w:t>
      </w:r>
    </w:p>
    <w:p w14:paraId="58553FCE">
      <w:pPr>
        <w:spacing w:line="360" w:lineRule="auto"/>
        <w:ind w:firstLine="560" w:firstLineChars="200"/>
        <w:rPr>
          <w:rFonts w:hint="eastAsia" w:asciiTheme="minorEastAsia" w:hAnsiTheme="minorEastAsia" w:eastAsiaTheme="minorEastAsia"/>
          <w:color w:val="auto"/>
          <w:sz w:val="28"/>
          <w:szCs w:val="28"/>
        </w:rPr>
      </w:pPr>
      <w:bookmarkStart w:id="0" w:name="OLE_LINK3"/>
      <w:r>
        <w:rPr>
          <w:rFonts w:hint="eastAsia" w:asciiTheme="minorEastAsia" w:hAnsiTheme="minorEastAsia" w:eastAsiaTheme="minorEastAsia"/>
          <w:color w:val="auto"/>
          <w:sz w:val="28"/>
          <w:szCs w:val="28"/>
        </w:rPr>
        <w:t>漳州高新职业技术学校(以下简称采购方)依据学校</w:t>
      </w:r>
      <w:r>
        <w:rPr>
          <w:rFonts w:hint="eastAsia" w:asciiTheme="minorEastAsia" w:hAnsiTheme="minorEastAsia" w:eastAsiaTheme="minorEastAsia"/>
          <w:color w:val="auto"/>
          <w:sz w:val="28"/>
          <w:szCs w:val="28"/>
          <w:lang w:val="en-US" w:eastAsia="zh-CN"/>
        </w:rPr>
        <w:t>党委会</w:t>
      </w:r>
      <w:r>
        <w:rPr>
          <w:rFonts w:hint="eastAsia" w:asciiTheme="minorEastAsia" w:hAnsiTheme="minorEastAsia" w:eastAsiaTheme="minorEastAsia"/>
          <w:color w:val="auto"/>
          <w:sz w:val="28"/>
          <w:szCs w:val="28"/>
        </w:rPr>
        <w:t>的批复，</w:t>
      </w:r>
      <w:bookmarkEnd w:id="0"/>
      <w:r>
        <w:rPr>
          <w:rFonts w:hint="eastAsia" w:asciiTheme="minorEastAsia" w:hAnsiTheme="minorEastAsia" w:eastAsiaTheme="minorEastAsia"/>
          <w:color w:val="auto"/>
          <w:sz w:val="28"/>
          <w:szCs w:val="28"/>
        </w:rPr>
        <w:t>为准确把握市场价格行情，合理安排采购工作，高效使用教育资金，力求物美价廉效益，就</w:t>
      </w:r>
      <w:r>
        <w:rPr>
          <w:rFonts w:hint="eastAsia" w:cs="Times New Roman" w:asciiTheme="minorEastAsia" w:hAnsiTheme="minorEastAsia" w:eastAsiaTheme="minorEastAsia"/>
          <w:color w:val="auto"/>
          <w:sz w:val="28"/>
          <w:szCs w:val="28"/>
          <w:u w:val="single"/>
          <w:lang w:val="en-US" w:eastAsia="zh-CN"/>
        </w:rPr>
        <w:t xml:space="preserve"> 漳州高新职业技术学校2026-2027年度校区消杀服务 </w:t>
      </w:r>
      <w:r>
        <w:rPr>
          <w:rFonts w:hint="eastAsia" w:cs="Times New Roman" w:asciiTheme="minorEastAsia" w:hAnsiTheme="minorEastAsia" w:eastAsiaTheme="minorEastAsia"/>
          <w:color w:val="auto"/>
          <w:sz w:val="28"/>
          <w:szCs w:val="28"/>
          <w:lang w:val="en-US" w:eastAsia="zh-CN"/>
        </w:rPr>
        <w:t>采购项目</w:t>
      </w:r>
      <w:r>
        <w:rPr>
          <w:rFonts w:hint="eastAsia" w:asciiTheme="minorEastAsia" w:hAnsiTheme="minorEastAsia" w:eastAsiaTheme="minorEastAsia"/>
          <w:color w:val="auto"/>
          <w:sz w:val="28"/>
          <w:szCs w:val="28"/>
        </w:rPr>
        <w:t>（以下简称项目）开展询价</w:t>
      </w:r>
      <w:r>
        <w:rPr>
          <w:rFonts w:hint="eastAsia" w:asciiTheme="minorEastAsia" w:hAnsiTheme="minorEastAsia" w:eastAsiaTheme="minorEastAsia"/>
          <w:color w:val="auto"/>
          <w:sz w:val="28"/>
          <w:szCs w:val="28"/>
          <w:lang w:val="en-US" w:eastAsia="zh-CN"/>
        </w:rPr>
        <w:t>比价</w:t>
      </w:r>
      <w:r>
        <w:rPr>
          <w:rFonts w:hint="eastAsia" w:asciiTheme="minorEastAsia" w:hAnsiTheme="minorEastAsia" w:eastAsiaTheme="minorEastAsia"/>
          <w:color w:val="auto"/>
          <w:sz w:val="28"/>
          <w:szCs w:val="28"/>
        </w:rPr>
        <w:t>采购，邀请合格供应商提交密封响应文件。</w:t>
      </w:r>
    </w:p>
    <w:p w14:paraId="1F81A721">
      <w:pPr>
        <w:spacing w:line="360" w:lineRule="auto"/>
        <w:ind w:firstLine="562" w:firstLineChars="200"/>
        <w:rPr>
          <w:rFonts w:hint="eastAsia" w:asciiTheme="minorEastAsia" w:hAnsiTheme="minorEastAsia" w:eastAsiaTheme="minorEastAsia"/>
          <w:b/>
          <w:bCs/>
          <w:color w:val="auto"/>
          <w:sz w:val="28"/>
          <w:szCs w:val="28"/>
        </w:rPr>
      </w:pPr>
      <w:r>
        <w:rPr>
          <w:rFonts w:hint="eastAsia" w:asciiTheme="minorEastAsia" w:hAnsiTheme="minorEastAsia" w:eastAsiaTheme="minorEastAsia"/>
          <w:b/>
          <w:bCs/>
          <w:color w:val="auto"/>
          <w:sz w:val="28"/>
          <w:szCs w:val="28"/>
        </w:rPr>
        <w:t>一、询价须知</w:t>
      </w:r>
    </w:p>
    <w:p w14:paraId="3CFA7FE7">
      <w:pPr>
        <w:spacing w:line="360" w:lineRule="auto"/>
        <w:ind w:firstLine="560" w:firstLineChars="200"/>
        <w:rPr>
          <w:rFonts w:hint="default" w:asciiTheme="minorEastAsia" w:hAnsiTheme="minorEastAsia" w:eastAsiaTheme="minorEastAsia"/>
          <w:color w:val="auto"/>
          <w:sz w:val="28"/>
          <w:szCs w:val="28"/>
          <w:lang w:val="en-US" w:eastAsia="zh-CN"/>
        </w:rPr>
      </w:pPr>
      <w:r>
        <w:rPr>
          <w:rFonts w:hint="eastAsia" w:asciiTheme="minorEastAsia" w:hAnsiTheme="minorEastAsia" w:eastAsiaTheme="minorEastAsia"/>
          <w:color w:val="auto"/>
          <w:sz w:val="28"/>
          <w:szCs w:val="28"/>
        </w:rPr>
        <w:t>1.项目编号：</w:t>
      </w:r>
      <w:r>
        <w:rPr>
          <w:rFonts w:hint="eastAsia" w:asciiTheme="minorEastAsia" w:hAnsiTheme="minorEastAsia" w:eastAsiaTheme="minorEastAsia"/>
          <w:color w:val="auto"/>
          <w:sz w:val="28"/>
          <w:szCs w:val="28"/>
          <w:u w:val="single"/>
          <w:lang w:val="en-US" w:eastAsia="zh-CN"/>
        </w:rPr>
        <w:t xml:space="preserve">GXZXXJCG-2026009         </w:t>
      </w:r>
    </w:p>
    <w:p w14:paraId="79D29B6D">
      <w:pPr>
        <w:spacing w:line="360" w:lineRule="auto"/>
        <w:ind w:firstLine="560" w:firstLineChars="200"/>
        <w:rPr>
          <w:rFonts w:hint="eastAsia" w:asciiTheme="minorEastAsia" w:hAnsiTheme="minorEastAsia" w:eastAsiaTheme="minorEastAsia"/>
          <w:color w:val="auto"/>
          <w:sz w:val="28"/>
          <w:szCs w:val="28"/>
          <w:lang w:eastAsia="zh-CN"/>
        </w:rPr>
      </w:pPr>
      <w:r>
        <w:rPr>
          <w:rFonts w:hint="eastAsia" w:asciiTheme="minorEastAsia" w:hAnsiTheme="minorEastAsia" w:eastAsiaTheme="minorEastAsia"/>
          <w:color w:val="auto"/>
          <w:sz w:val="28"/>
          <w:szCs w:val="28"/>
        </w:rPr>
        <w:t>2.项目名称：</w:t>
      </w:r>
      <w:r>
        <w:rPr>
          <w:rFonts w:hint="eastAsia" w:asciiTheme="minorEastAsia" w:hAnsiTheme="minorEastAsia" w:eastAsiaTheme="minorEastAsia"/>
          <w:color w:val="auto"/>
          <w:sz w:val="28"/>
          <w:szCs w:val="28"/>
          <w:u w:val="single"/>
        </w:rPr>
        <w:t xml:space="preserve"> 漳州高新职业技术学校2026-2027年度校区消杀服务 </w:t>
      </w:r>
      <w:r>
        <w:rPr>
          <w:rFonts w:hint="eastAsia" w:asciiTheme="minorEastAsia" w:hAnsiTheme="minorEastAsia" w:eastAsiaTheme="minorEastAsia"/>
          <w:color w:val="auto"/>
          <w:sz w:val="28"/>
          <w:szCs w:val="28"/>
          <w:u w:val="none"/>
          <w:lang w:val="en-US" w:eastAsia="zh-CN"/>
        </w:rPr>
        <w:t>采购</w:t>
      </w:r>
      <w:r>
        <w:rPr>
          <w:rFonts w:hint="eastAsia" w:asciiTheme="minorEastAsia" w:hAnsiTheme="minorEastAsia" w:eastAsiaTheme="minorEastAsia"/>
          <w:color w:val="auto"/>
          <w:sz w:val="28"/>
          <w:szCs w:val="28"/>
        </w:rPr>
        <w:t>项目</w:t>
      </w:r>
      <w:r>
        <w:rPr>
          <w:rFonts w:hint="eastAsia" w:asciiTheme="minorEastAsia" w:hAnsiTheme="minorEastAsia" w:eastAsiaTheme="minorEastAsia"/>
          <w:color w:val="auto"/>
          <w:sz w:val="28"/>
          <w:szCs w:val="28"/>
          <w:lang w:eastAsia="zh-CN"/>
        </w:rPr>
        <w:t>。</w:t>
      </w:r>
    </w:p>
    <w:p w14:paraId="0D2B541E">
      <w:pPr>
        <w:spacing w:line="360" w:lineRule="auto"/>
        <w:ind w:firstLine="560" w:firstLineChars="200"/>
        <w:rPr>
          <w:rFonts w:hint="eastAsia"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3.有意向参与询价的供应商（以下简称供应商）必须是有能力提供本项目所需服务的合法企业法人或个体工商营业户（应开设有可正常使用的企业对公银行账户），且基本满足《中华人民共和国政府采购法》第二十二条的要求以及相关的法律、法规、规章制度、条例的规定。</w:t>
      </w:r>
    </w:p>
    <w:p w14:paraId="58F69342">
      <w:pPr>
        <w:spacing w:line="360" w:lineRule="auto"/>
        <w:ind w:firstLine="560" w:firstLineChars="200"/>
        <w:rPr>
          <w:rFonts w:hint="eastAsia"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4.供应商必须按照我单位所提</w:t>
      </w:r>
      <w:r>
        <w:rPr>
          <w:rFonts w:hint="eastAsia" w:cs="Times New Roman" w:asciiTheme="minorEastAsia" w:hAnsiTheme="minorEastAsia" w:eastAsiaTheme="minorEastAsia"/>
          <w:color w:val="auto"/>
          <w:sz w:val="28"/>
          <w:szCs w:val="28"/>
        </w:rPr>
        <w:t>供的询价服务的具体要求，</w:t>
      </w:r>
      <w:r>
        <w:rPr>
          <w:rFonts w:hint="eastAsia" w:cs="Times New Roman" w:asciiTheme="minorEastAsia" w:hAnsiTheme="minorEastAsia" w:eastAsiaTheme="minorEastAsia"/>
          <w:b/>
          <w:bCs/>
          <w:color w:val="auto"/>
          <w:sz w:val="28"/>
          <w:szCs w:val="28"/>
          <w:lang w:val="en-US" w:eastAsia="zh-CN"/>
        </w:rPr>
        <w:t>在2026年6月23日9时30分</w:t>
      </w:r>
      <w:r>
        <w:rPr>
          <w:rFonts w:hint="eastAsia" w:cs="Times New Roman" w:asciiTheme="minorEastAsia" w:hAnsiTheme="minorEastAsia" w:eastAsiaTheme="minorEastAsia"/>
          <w:b/>
          <w:bCs/>
          <w:color w:val="auto"/>
          <w:sz w:val="28"/>
          <w:szCs w:val="28"/>
        </w:rPr>
        <w:t>前</w:t>
      </w:r>
      <w:r>
        <w:rPr>
          <w:rFonts w:hint="eastAsia" w:cs="Times New Roman" w:asciiTheme="minorEastAsia" w:hAnsiTheme="minorEastAsia" w:eastAsiaTheme="minorEastAsia"/>
          <w:color w:val="auto"/>
          <w:sz w:val="28"/>
          <w:szCs w:val="28"/>
        </w:rPr>
        <w:t>，向我单</w:t>
      </w:r>
      <w:r>
        <w:rPr>
          <w:rFonts w:hint="eastAsia" w:asciiTheme="minorEastAsia" w:hAnsiTheme="minorEastAsia" w:eastAsiaTheme="minorEastAsia"/>
          <w:color w:val="auto"/>
          <w:sz w:val="28"/>
          <w:szCs w:val="28"/>
        </w:rPr>
        <w:t>位做出书面报价。</w:t>
      </w:r>
    </w:p>
    <w:p w14:paraId="5CD48666">
      <w:pPr>
        <w:spacing w:line="360" w:lineRule="auto"/>
        <w:ind w:firstLine="560" w:firstLineChars="200"/>
        <w:rPr>
          <w:rFonts w:hint="eastAsia"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5.本次询价由供应商自愿参与，因参与询价而产生的任何费用，由供应商自行承担。</w:t>
      </w:r>
    </w:p>
    <w:p w14:paraId="06234888">
      <w:pPr>
        <w:spacing w:line="360" w:lineRule="auto"/>
        <w:ind w:firstLine="560" w:firstLineChars="200"/>
        <w:rPr>
          <w:rFonts w:hint="eastAsia"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6.本次询价结束后，我单位将根据询价情况</w:t>
      </w:r>
      <w:r>
        <w:rPr>
          <w:rFonts w:hint="eastAsia" w:asciiTheme="minorEastAsia" w:hAnsiTheme="minorEastAsia" w:eastAsiaTheme="minorEastAsia"/>
          <w:color w:val="auto"/>
          <w:sz w:val="28"/>
          <w:szCs w:val="28"/>
          <w:lang w:val="en-US" w:eastAsia="zh-CN"/>
        </w:rPr>
        <w:t>比价</w:t>
      </w:r>
      <w:r>
        <w:rPr>
          <w:rFonts w:hint="eastAsia" w:asciiTheme="minorEastAsia" w:hAnsiTheme="minorEastAsia" w:eastAsiaTheme="minorEastAsia"/>
          <w:color w:val="auto"/>
          <w:sz w:val="28"/>
          <w:szCs w:val="28"/>
        </w:rPr>
        <w:t>，确定中选供应商，制定采购方案。</w:t>
      </w:r>
    </w:p>
    <w:p w14:paraId="7AE0870D">
      <w:pPr>
        <w:spacing w:line="360" w:lineRule="auto"/>
        <w:ind w:firstLine="560" w:firstLineChars="200"/>
        <w:rPr>
          <w:rFonts w:hint="eastAsia"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7.供</w:t>
      </w:r>
      <w:r>
        <w:rPr>
          <w:rFonts w:hint="eastAsia" w:asciiTheme="minorEastAsia" w:hAnsiTheme="minorEastAsia" w:eastAsiaTheme="minorEastAsia"/>
          <w:color w:val="auto"/>
          <w:sz w:val="28"/>
          <w:szCs w:val="28"/>
          <w:lang w:val="en-US" w:eastAsia="zh-CN"/>
        </w:rPr>
        <w:t>应</w:t>
      </w:r>
      <w:r>
        <w:rPr>
          <w:rFonts w:hint="eastAsia" w:asciiTheme="minorEastAsia" w:hAnsiTheme="minorEastAsia" w:eastAsiaTheme="minorEastAsia"/>
          <w:color w:val="auto"/>
          <w:sz w:val="28"/>
          <w:szCs w:val="28"/>
        </w:rPr>
        <w:t>商的报价响应文件必须完全满足本次采购的实质性要求，供应商若存在任何疑问，应当在规定的提交响应文件截止时间前提出，不然由此产生的任何不利后果均由</w:t>
      </w:r>
      <w:r>
        <w:rPr>
          <w:rFonts w:hint="eastAsia" w:asciiTheme="minorEastAsia" w:hAnsiTheme="minorEastAsia" w:eastAsiaTheme="minorEastAsia"/>
          <w:color w:val="auto"/>
          <w:sz w:val="28"/>
          <w:szCs w:val="28"/>
          <w:lang w:val="en-US" w:eastAsia="zh-CN"/>
        </w:rPr>
        <w:t>供应商</w:t>
      </w:r>
      <w:r>
        <w:rPr>
          <w:rFonts w:hint="eastAsia" w:asciiTheme="minorEastAsia" w:hAnsiTheme="minorEastAsia" w:eastAsiaTheme="minorEastAsia"/>
          <w:color w:val="auto"/>
          <w:sz w:val="28"/>
          <w:szCs w:val="28"/>
        </w:rPr>
        <w:t>自行承担。</w:t>
      </w:r>
    </w:p>
    <w:p w14:paraId="76D24537">
      <w:pPr>
        <w:spacing w:line="360" w:lineRule="auto"/>
        <w:ind w:firstLine="560" w:firstLineChars="200"/>
        <w:rPr>
          <w:rFonts w:hint="eastAsia"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8.供应商如向我方做出书面报价，即表示认可我方提出采购要求，不得以任何理由拒接或变相拒接、减少或变相减少采购品目数量（询价清单以外的除外）。否则，该供应商将被记入我单位不诚信供应商名单，在今后三年内不得参与我单位组织的任何采购活动。</w:t>
      </w:r>
    </w:p>
    <w:p w14:paraId="62534FF8">
      <w:pPr>
        <w:spacing w:line="360" w:lineRule="auto"/>
        <w:ind w:firstLine="562" w:firstLineChars="200"/>
        <w:rPr>
          <w:rFonts w:hint="eastAsia" w:asciiTheme="minorEastAsia" w:hAnsiTheme="minorEastAsia" w:eastAsiaTheme="minorEastAsia"/>
          <w:b/>
          <w:bCs/>
          <w:color w:val="auto"/>
          <w:sz w:val="28"/>
          <w:szCs w:val="28"/>
        </w:rPr>
      </w:pPr>
      <w:r>
        <w:rPr>
          <w:rFonts w:hint="eastAsia" w:asciiTheme="minorEastAsia" w:hAnsiTheme="minorEastAsia" w:eastAsiaTheme="minorEastAsia"/>
          <w:b/>
          <w:bCs/>
          <w:color w:val="auto"/>
          <w:sz w:val="28"/>
          <w:szCs w:val="28"/>
        </w:rPr>
        <w:t>二、询价服务清单及技术参数要求</w:t>
      </w:r>
    </w:p>
    <w:p w14:paraId="169ED5EE">
      <w:pPr>
        <w:spacing w:line="360" w:lineRule="auto"/>
        <w:ind w:firstLine="562" w:firstLineChars="200"/>
        <w:rPr>
          <w:rFonts w:hint="default" w:asciiTheme="minorEastAsia" w:hAnsiTheme="minorEastAsia" w:eastAsiaTheme="minorEastAsia"/>
          <w:b/>
          <w:bCs/>
          <w:color w:val="auto"/>
          <w:sz w:val="28"/>
          <w:szCs w:val="28"/>
          <w:lang w:val="en-US" w:eastAsia="zh-CN"/>
        </w:rPr>
      </w:pPr>
      <w:r>
        <w:rPr>
          <w:rFonts w:hint="eastAsia" w:asciiTheme="minorEastAsia" w:hAnsiTheme="minorEastAsia" w:eastAsiaTheme="minorEastAsia"/>
          <w:b/>
          <w:bCs/>
          <w:color w:val="auto"/>
          <w:sz w:val="28"/>
          <w:szCs w:val="28"/>
        </w:rPr>
        <w:t>详见附件1</w:t>
      </w:r>
      <w:r>
        <w:rPr>
          <w:rFonts w:hint="eastAsia" w:asciiTheme="minorEastAsia" w:hAnsiTheme="minorEastAsia" w:eastAsiaTheme="minorEastAsia"/>
          <w:b/>
          <w:bCs/>
          <w:color w:val="auto"/>
          <w:sz w:val="28"/>
          <w:szCs w:val="28"/>
          <w:lang w:val="en-US" w:eastAsia="zh-CN"/>
        </w:rPr>
        <w:t xml:space="preserve">  </w:t>
      </w:r>
    </w:p>
    <w:p w14:paraId="41C157C8">
      <w:pPr>
        <w:spacing w:line="360" w:lineRule="auto"/>
        <w:ind w:firstLine="562" w:firstLineChars="200"/>
        <w:rPr>
          <w:rFonts w:hint="eastAsia" w:asciiTheme="minorEastAsia" w:hAnsiTheme="minorEastAsia" w:eastAsiaTheme="minorEastAsia"/>
          <w:b/>
          <w:bCs/>
          <w:color w:val="auto"/>
          <w:sz w:val="28"/>
          <w:szCs w:val="28"/>
          <w:lang w:val="en-US" w:eastAsia="zh-CN"/>
        </w:rPr>
      </w:pPr>
      <w:r>
        <w:rPr>
          <w:rFonts w:hint="eastAsia" w:asciiTheme="minorEastAsia" w:hAnsiTheme="minorEastAsia" w:eastAsiaTheme="minorEastAsia"/>
          <w:b/>
          <w:bCs/>
          <w:color w:val="auto"/>
          <w:sz w:val="28"/>
          <w:szCs w:val="28"/>
          <w:lang w:val="en-US" w:eastAsia="zh-CN"/>
        </w:rPr>
        <w:t>三、校园消杀服务要求</w:t>
      </w:r>
    </w:p>
    <w:p w14:paraId="5F57CF6B">
      <w:pPr>
        <w:spacing w:line="360" w:lineRule="auto"/>
        <w:ind w:firstLine="560" w:firstLineChars="200"/>
        <w:rPr>
          <w:rFonts w:hint="default" w:asciiTheme="minorEastAsia" w:hAnsiTheme="minorEastAsia" w:eastAsiaTheme="minorEastAsia"/>
          <w:b w:val="0"/>
          <w:bCs w:val="0"/>
          <w:color w:val="auto"/>
          <w:sz w:val="28"/>
          <w:szCs w:val="28"/>
          <w:lang w:val="en-US" w:eastAsia="zh-CN"/>
        </w:rPr>
      </w:pPr>
      <w:r>
        <w:rPr>
          <w:rFonts w:hint="eastAsia" w:asciiTheme="minorEastAsia" w:hAnsiTheme="minorEastAsia" w:eastAsiaTheme="minorEastAsia"/>
          <w:b w:val="0"/>
          <w:bCs w:val="0"/>
          <w:color w:val="auto"/>
          <w:sz w:val="28"/>
          <w:szCs w:val="28"/>
          <w:lang w:val="en-US" w:eastAsia="zh-CN"/>
        </w:rPr>
        <w:t>1.防治服务范围</w:t>
      </w:r>
    </w:p>
    <w:p w14:paraId="7B3E070F">
      <w:pPr>
        <w:spacing w:line="360" w:lineRule="auto"/>
        <w:ind w:firstLine="560" w:firstLineChars="200"/>
        <w:rPr>
          <w:rFonts w:hint="eastAsia" w:asciiTheme="minorEastAsia" w:hAnsiTheme="minorEastAsia" w:eastAsiaTheme="minorEastAsia"/>
          <w:b w:val="0"/>
          <w:bCs w:val="0"/>
          <w:color w:val="auto"/>
          <w:sz w:val="28"/>
          <w:szCs w:val="28"/>
          <w:lang w:val="en-US" w:eastAsia="zh-CN"/>
        </w:rPr>
      </w:pPr>
      <w:r>
        <w:rPr>
          <w:rFonts w:hint="eastAsia" w:asciiTheme="minorEastAsia" w:hAnsiTheme="minorEastAsia" w:eastAsiaTheme="minorEastAsia"/>
          <w:b w:val="0"/>
          <w:bCs w:val="0"/>
          <w:color w:val="auto"/>
          <w:sz w:val="28"/>
          <w:szCs w:val="28"/>
          <w:lang w:val="en-US" w:eastAsia="zh-CN"/>
        </w:rPr>
        <w:t>漳州高新职业技术学校(漳州高新区高新东路天口村)校区内下水道、公共卫生间（含食堂公共卫生间）、垃圾收集点及室外环境。</w:t>
      </w:r>
    </w:p>
    <w:p w14:paraId="02B0E45B">
      <w:pPr>
        <w:spacing w:line="360" w:lineRule="auto"/>
        <w:ind w:firstLine="560" w:firstLineChars="200"/>
        <w:rPr>
          <w:rFonts w:hint="default" w:asciiTheme="minorEastAsia" w:hAnsiTheme="minorEastAsia" w:eastAsiaTheme="minorEastAsia"/>
          <w:b w:val="0"/>
          <w:bCs w:val="0"/>
          <w:color w:val="auto"/>
          <w:sz w:val="28"/>
          <w:szCs w:val="28"/>
          <w:lang w:val="en-US" w:eastAsia="zh-CN"/>
        </w:rPr>
      </w:pPr>
      <w:r>
        <w:rPr>
          <w:rFonts w:hint="eastAsia" w:asciiTheme="minorEastAsia" w:hAnsiTheme="minorEastAsia" w:eastAsiaTheme="minorEastAsia"/>
          <w:b w:val="0"/>
          <w:bCs w:val="0"/>
          <w:color w:val="auto"/>
          <w:sz w:val="28"/>
          <w:szCs w:val="28"/>
          <w:lang w:val="en-US" w:eastAsia="zh-CN"/>
        </w:rPr>
        <w:t>2.防治</w:t>
      </w:r>
      <w:r>
        <w:rPr>
          <w:rFonts w:hint="default" w:asciiTheme="minorEastAsia" w:hAnsiTheme="minorEastAsia" w:eastAsiaTheme="minorEastAsia"/>
          <w:b w:val="0"/>
          <w:bCs w:val="0"/>
          <w:color w:val="auto"/>
          <w:sz w:val="28"/>
          <w:szCs w:val="28"/>
          <w:lang w:val="en-US" w:eastAsia="zh-CN"/>
        </w:rPr>
        <w:t>服务内容</w:t>
      </w:r>
    </w:p>
    <w:p w14:paraId="2A024FBB">
      <w:pPr>
        <w:spacing w:line="360" w:lineRule="auto"/>
        <w:ind w:firstLine="560" w:firstLineChars="200"/>
        <w:rPr>
          <w:rFonts w:hint="default" w:asciiTheme="minorEastAsia" w:hAnsiTheme="minorEastAsia" w:eastAsiaTheme="minorEastAsia"/>
          <w:b w:val="0"/>
          <w:bCs w:val="0"/>
          <w:color w:val="auto"/>
          <w:sz w:val="28"/>
          <w:szCs w:val="28"/>
          <w:lang w:val="en-US" w:eastAsia="zh-CN"/>
        </w:rPr>
      </w:pPr>
      <w:r>
        <w:rPr>
          <w:rFonts w:hint="default" w:asciiTheme="minorEastAsia" w:hAnsiTheme="minorEastAsia" w:eastAsiaTheme="minorEastAsia"/>
          <w:b w:val="0"/>
          <w:bCs w:val="0"/>
          <w:color w:val="auto"/>
          <w:sz w:val="28"/>
          <w:szCs w:val="28"/>
          <w:lang w:val="en-US" w:eastAsia="zh-CN"/>
        </w:rPr>
        <w:t>根据采购方安排，</w:t>
      </w:r>
      <w:r>
        <w:rPr>
          <w:rFonts w:hint="eastAsia" w:asciiTheme="minorEastAsia" w:hAnsiTheme="minorEastAsia" w:eastAsiaTheme="minorEastAsia"/>
          <w:b w:val="0"/>
          <w:bCs w:val="0"/>
          <w:color w:val="auto"/>
          <w:sz w:val="28"/>
          <w:szCs w:val="28"/>
          <w:lang w:val="en-US" w:eastAsia="zh-CN"/>
        </w:rPr>
        <w:t>对</w:t>
      </w:r>
      <w:r>
        <w:rPr>
          <w:rFonts w:hint="default" w:asciiTheme="minorEastAsia" w:hAnsiTheme="minorEastAsia" w:eastAsiaTheme="minorEastAsia"/>
          <w:b w:val="0"/>
          <w:bCs w:val="0"/>
          <w:color w:val="auto"/>
          <w:sz w:val="28"/>
          <w:szCs w:val="28"/>
          <w:lang w:val="en-US" w:eastAsia="zh-CN"/>
        </w:rPr>
        <w:t>鼠、蚊子、苍蝇、蟑螂、红火蚁、白蚁</w:t>
      </w:r>
      <w:r>
        <w:rPr>
          <w:rFonts w:hint="eastAsia" w:asciiTheme="minorEastAsia" w:hAnsiTheme="minorEastAsia" w:eastAsiaTheme="minorEastAsia"/>
          <w:b w:val="0"/>
          <w:bCs w:val="0"/>
          <w:color w:val="auto"/>
          <w:sz w:val="28"/>
          <w:szCs w:val="28"/>
          <w:lang w:val="en-US" w:eastAsia="zh-CN"/>
        </w:rPr>
        <w:t>等</w:t>
      </w:r>
      <w:r>
        <w:rPr>
          <w:rFonts w:hint="default" w:asciiTheme="minorEastAsia" w:hAnsiTheme="minorEastAsia" w:eastAsiaTheme="minorEastAsia"/>
          <w:b w:val="0"/>
          <w:bCs w:val="0"/>
          <w:color w:val="auto"/>
          <w:sz w:val="28"/>
          <w:szCs w:val="28"/>
          <w:lang w:val="en-US" w:eastAsia="zh-CN"/>
        </w:rPr>
        <w:t>有害生物防治消杀及驱蛇。</w:t>
      </w:r>
    </w:p>
    <w:p w14:paraId="73E45ADA">
      <w:pPr>
        <w:numPr>
          <w:ilvl w:val="0"/>
          <w:numId w:val="0"/>
        </w:numPr>
        <w:spacing w:line="360" w:lineRule="auto"/>
        <w:ind w:firstLine="562" w:firstLineChars="200"/>
        <w:rPr>
          <w:rFonts w:hint="default" w:asciiTheme="minorEastAsia" w:hAnsiTheme="minorEastAsia" w:eastAsiaTheme="minorEastAsia"/>
          <w:b w:val="0"/>
          <w:bCs w:val="0"/>
          <w:color w:val="auto"/>
          <w:sz w:val="28"/>
          <w:szCs w:val="28"/>
          <w:lang w:val="en-US" w:eastAsia="zh-CN"/>
        </w:rPr>
      </w:pPr>
      <w:r>
        <w:rPr>
          <w:rFonts w:hint="default" w:cs="Times New Roman" w:asciiTheme="minorEastAsia" w:hAnsiTheme="minorEastAsia" w:eastAsiaTheme="minorEastAsia"/>
          <w:b/>
          <w:bCs/>
          <w:color w:val="auto"/>
          <w:kern w:val="2"/>
          <w:sz w:val="28"/>
          <w:szCs w:val="28"/>
          <w:lang w:val="en-US" w:eastAsia="zh-CN" w:bidi="ar-SA"/>
        </w:rPr>
        <w:t>（1）</w:t>
      </w:r>
      <w:r>
        <w:rPr>
          <w:rFonts w:hint="eastAsia" w:asciiTheme="minorEastAsia" w:hAnsiTheme="minorEastAsia" w:eastAsiaTheme="minorEastAsia"/>
          <w:b/>
          <w:bCs/>
          <w:color w:val="auto"/>
          <w:sz w:val="28"/>
          <w:szCs w:val="28"/>
          <w:lang w:val="en-US" w:eastAsia="zh-CN"/>
        </w:rPr>
        <w:t>灭鼠:</w:t>
      </w:r>
      <w:r>
        <w:rPr>
          <w:rFonts w:hint="eastAsia" w:asciiTheme="minorEastAsia" w:hAnsiTheme="minorEastAsia" w:eastAsiaTheme="minorEastAsia"/>
          <w:b w:val="0"/>
          <w:bCs w:val="0"/>
          <w:color w:val="auto"/>
          <w:sz w:val="28"/>
          <w:szCs w:val="28"/>
          <w:lang w:val="en-US" w:eastAsia="zh-CN"/>
        </w:rPr>
        <w:t>①杀鼠剂，使用高效低毒杀鼠剂(不得使用国家禁用杀鼠剂)，对人畜安全无害。②灭鼠毒饵，根据甲方不同的场所采用配制不同的饵料。③灭鼠方法，针对实际情况，采用不同的灭鼠措施，重点对学校食堂周边、垃圾收集处、停车场等进行灭杀。做到:一是到位率，将灭鼠毒饵投放到鼠类活动的场所（如墙边、跑道、洞口等）；投放原则为少量(20克)多堆。二是复盖率，学校面积全覆盖，不遗漏有老鼠活动的场所。三是保留率，投药后吃多少补多少，吃光加倍，老鼠所到之处始终有毒饵，并根据实际情况而增加次数。</w:t>
      </w:r>
    </w:p>
    <w:p w14:paraId="2755E45F">
      <w:pPr>
        <w:spacing w:line="360" w:lineRule="auto"/>
        <w:ind w:firstLine="562" w:firstLineChars="200"/>
        <w:rPr>
          <w:rFonts w:hint="eastAsia" w:asciiTheme="minorEastAsia" w:hAnsiTheme="minorEastAsia" w:eastAsiaTheme="minorEastAsia"/>
          <w:b w:val="0"/>
          <w:bCs w:val="0"/>
          <w:color w:val="auto"/>
          <w:sz w:val="28"/>
          <w:szCs w:val="28"/>
          <w:lang w:val="en-US" w:eastAsia="zh-CN"/>
        </w:rPr>
      </w:pPr>
      <w:r>
        <w:rPr>
          <w:rFonts w:hint="eastAsia" w:asciiTheme="minorEastAsia" w:hAnsiTheme="minorEastAsia" w:eastAsiaTheme="minorEastAsia"/>
          <w:b/>
          <w:bCs/>
          <w:color w:val="auto"/>
          <w:sz w:val="28"/>
          <w:szCs w:val="28"/>
          <w:lang w:val="en-US" w:eastAsia="zh-CN"/>
        </w:rPr>
        <w:t>（2）灭蚊:</w:t>
      </w:r>
      <w:r>
        <w:rPr>
          <w:rFonts w:hint="eastAsia" w:asciiTheme="minorEastAsia" w:hAnsiTheme="minorEastAsia" w:eastAsiaTheme="minorEastAsia"/>
          <w:b w:val="0"/>
          <w:bCs w:val="0"/>
          <w:color w:val="auto"/>
          <w:sz w:val="28"/>
          <w:szCs w:val="28"/>
          <w:lang w:val="en-US" w:eastAsia="zh-CN"/>
        </w:rPr>
        <w:t>采用滞留喷洒或超低容量的喷雾,使用最新环保型、高效低毒菊酯类杀虫剂。重点对阴暗潮湿、积水、下水道、绿化带、停车场等公共场所进行全面喷洒，消灭蚊虫孳生场所，外环境使用车载大型喷雾器，综合用药，有效灭蚊。</w:t>
      </w:r>
    </w:p>
    <w:p w14:paraId="74C3D17D">
      <w:pPr>
        <w:spacing w:line="360" w:lineRule="auto"/>
        <w:ind w:firstLine="562" w:firstLineChars="200"/>
        <w:rPr>
          <w:rFonts w:hint="eastAsia" w:asciiTheme="minorEastAsia" w:hAnsiTheme="minorEastAsia" w:eastAsiaTheme="minorEastAsia"/>
          <w:b w:val="0"/>
          <w:bCs w:val="0"/>
          <w:color w:val="auto"/>
          <w:sz w:val="28"/>
          <w:szCs w:val="28"/>
          <w:lang w:val="en-US" w:eastAsia="zh-CN"/>
        </w:rPr>
      </w:pPr>
      <w:r>
        <w:rPr>
          <w:rFonts w:hint="eastAsia" w:asciiTheme="minorEastAsia" w:hAnsiTheme="minorEastAsia" w:eastAsiaTheme="minorEastAsia"/>
          <w:b/>
          <w:bCs/>
          <w:color w:val="auto"/>
          <w:sz w:val="28"/>
          <w:szCs w:val="28"/>
          <w:lang w:val="en-US" w:eastAsia="zh-CN"/>
        </w:rPr>
        <w:t>（3）灭蝇:</w:t>
      </w:r>
      <w:r>
        <w:rPr>
          <w:rFonts w:hint="eastAsia" w:asciiTheme="minorEastAsia" w:hAnsiTheme="minorEastAsia" w:eastAsiaTheme="minorEastAsia"/>
          <w:b w:val="0"/>
          <w:bCs w:val="0"/>
          <w:color w:val="auto"/>
          <w:sz w:val="28"/>
          <w:szCs w:val="28"/>
          <w:lang w:val="en-US" w:eastAsia="zh-CN"/>
        </w:rPr>
        <w:t>根据苍蝇的特点，采用不同的办法，外环境使用车载大型喷雾器，采用绿色环保高效低毒杀虫剂，重点针对厨房食堂、垃圾收集点、公共卫生间，综合用药，杀灭苍蝇及卵幼，有效灭蝇。</w:t>
      </w:r>
    </w:p>
    <w:p w14:paraId="6CBE6338">
      <w:pPr>
        <w:spacing w:line="360" w:lineRule="auto"/>
        <w:ind w:firstLine="562" w:firstLineChars="200"/>
        <w:rPr>
          <w:rFonts w:hint="eastAsia" w:asciiTheme="minorEastAsia" w:hAnsiTheme="minorEastAsia" w:eastAsiaTheme="minorEastAsia"/>
          <w:b w:val="0"/>
          <w:bCs w:val="0"/>
          <w:color w:val="auto"/>
          <w:sz w:val="28"/>
          <w:szCs w:val="28"/>
          <w:lang w:val="en-US" w:eastAsia="zh-CN"/>
        </w:rPr>
      </w:pPr>
      <w:r>
        <w:rPr>
          <w:rFonts w:hint="eastAsia" w:asciiTheme="minorEastAsia" w:hAnsiTheme="minorEastAsia" w:eastAsiaTheme="minorEastAsia"/>
          <w:b/>
          <w:bCs/>
          <w:color w:val="auto"/>
          <w:sz w:val="28"/>
          <w:szCs w:val="28"/>
          <w:lang w:val="en-US" w:eastAsia="zh-CN"/>
        </w:rPr>
        <w:t>（4）灭蟑螂:</w:t>
      </w:r>
      <w:r>
        <w:rPr>
          <w:rFonts w:hint="eastAsia" w:asciiTheme="minorEastAsia" w:hAnsiTheme="minorEastAsia" w:eastAsiaTheme="minorEastAsia"/>
          <w:b w:val="0"/>
          <w:bCs w:val="0"/>
          <w:color w:val="auto"/>
          <w:sz w:val="28"/>
          <w:szCs w:val="28"/>
          <w:lang w:val="en-US" w:eastAsia="zh-CN"/>
        </w:rPr>
        <w:t>外环境除了采用绿色环保杀虫剂进行喷洒外，使用热烟雾机，重点针对下水道、食堂进行有效灭蟑。并根据德国小蠊的特性,使用灭蟑胶饵或杀蟑方便贴。同时,做好灭蟑螂“八査”:.即一查桌、二查柜、三査椅、四查口(下水道口)、五查池(洗涤池)、六查案(案板)、七查缝、八查堆(杂物堆)，消灭蟑螂孳生场所。</w:t>
      </w:r>
    </w:p>
    <w:p w14:paraId="1B1A6B77">
      <w:pPr>
        <w:spacing w:line="360" w:lineRule="auto"/>
        <w:ind w:firstLine="562" w:firstLineChars="200"/>
        <w:rPr>
          <w:rFonts w:hint="eastAsia" w:asciiTheme="minorEastAsia" w:hAnsiTheme="minorEastAsia" w:eastAsiaTheme="minorEastAsia"/>
          <w:b w:val="0"/>
          <w:bCs w:val="0"/>
          <w:color w:val="auto"/>
          <w:sz w:val="28"/>
          <w:szCs w:val="28"/>
          <w:lang w:val="en-US" w:eastAsia="zh-CN"/>
        </w:rPr>
      </w:pPr>
      <w:r>
        <w:rPr>
          <w:rFonts w:hint="eastAsia" w:asciiTheme="minorEastAsia" w:hAnsiTheme="minorEastAsia" w:eastAsiaTheme="minorEastAsia"/>
          <w:b/>
          <w:bCs/>
          <w:color w:val="auto"/>
          <w:sz w:val="28"/>
          <w:szCs w:val="28"/>
          <w:lang w:val="en-US" w:eastAsia="zh-CN"/>
        </w:rPr>
        <w:t>（5）灭红火蚁:</w:t>
      </w:r>
      <w:r>
        <w:rPr>
          <w:rFonts w:hint="eastAsia" w:asciiTheme="minorEastAsia" w:hAnsiTheme="minorEastAsia" w:eastAsiaTheme="minorEastAsia"/>
          <w:b w:val="0"/>
          <w:bCs w:val="0"/>
          <w:color w:val="auto"/>
          <w:sz w:val="28"/>
          <w:szCs w:val="28"/>
          <w:lang w:val="en-US" w:eastAsia="zh-CN"/>
        </w:rPr>
        <w:t>对学校外环境进行全面检查，重点针对操场等红火蚁容易筑巢及繁殖场所，使用灭红火蚁专用工具，采用绿色环保灭红火蚁药剂进行有效灭杀。</w:t>
      </w:r>
    </w:p>
    <w:p w14:paraId="167926F0">
      <w:pPr>
        <w:spacing w:line="360" w:lineRule="auto"/>
        <w:ind w:firstLine="562" w:firstLineChars="200"/>
        <w:rPr>
          <w:rFonts w:hint="eastAsia" w:asciiTheme="minorEastAsia" w:hAnsiTheme="minorEastAsia" w:eastAsiaTheme="minorEastAsia"/>
          <w:b w:val="0"/>
          <w:bCs w:val="0"/>
          <w:color w:val="auto"/>
          <w:sz w:val="28"/>
          <w:szCs w:val="28"/>
          <w:lang w:val="en-US" w:eastAsia="zh-CN"/>
        </w:rPr>
      </w:pPr>
      <w:r>
        <w:rPr>
          <w:rFonts w:hint="eastAsia" w:asciiTheme="minorEastAsia" w:hAnsiTheme="minorEastAsia" w:eastAsiaTheme="minorEastAsia"/>
          <w:b/>
          <w:bCs/>
          <w:color w:val="auto"/>
          <w:sz w:val="28"/>
          <w:szCs w:val="28"/>
          <w:lang w:val="en-US" w:eastAsia="zh-CN"/>
        </w:rPr>
        <w:t>（6）灭白蚁:</w:t>
      </w:r>
      <w:r>
        <w:rPr>
          <w:rFonts w:hint="eastAsia" w:asciiTheme="minorEastAsia" w:hAnsiTheme="minorEastAsia" w:eastAsiaTheme="minorEastAsia"/>
          <w:b w:val="0"/>
          <w:bCs w:val="0"/>
          <w:color w:val="auto"/>
          <w:sz w:val="28"/>
          <w:szCs w:val="28"/>
          <w:lang w:val="en-US" w:eastAsia="zh-CN"/>
        </w:rPr>
        <w:t>对学校室内、外环境进行全面检查，发现白蚁，采用绿色环保、高效低毒、有特效的灭白蚁药剂，并根据白繁殖场所，综合用药，科学灭白蚁。</w:t>
      </w:r>
    </w:p>
    <w:p w14:paraId="5B34E39B">
      <w:pPr>
        <w:spacing w:line="360" w:lineRule="auto"/>
        <w:ind w:firstLine="562" w:firstLineChars="200"/>
        <w:rPr>
          <w:rFonts w:hint="eastAsia" w:asciiTheme="minorEastAsia" w:hAnsiTheme="minorEastAsia" w:eastAsiaTheme="minorEastAsia"/>
          <w:b w:val="0"/>
          <w:bCs w:val="0"/>
          <w:color w:val="auto"/>
          <w:sz w:val="28"/>
          <w:szCs w:val="28"/>
          <w:lang w:val="en-US" w:eastAsia="zh-CN"/>
        </w:rPr>
      </w:pPr>
      <w:r>
        <w:rPr>
          <w:rFonts w:hint="eastAsia" w:asciiTheme="minorEastAsia" w:hAnsiTheme="minorEastAsia" w:eastAsiaTheme="minorEastAsia"/>
          <w:b/>
          <w:bCs/>
          <w:color w:val="auto"/>
          <w:sz w:val="28"/>
          <w:szCs w:val="28"/>
          <w:lang w:val="en-US" w:eastAsia="zh-CN"/>
        </w:rPr>
        <w:t>（7）驱蛇:</w:t>
      </w:r>
      <w:r>
        <w:rPr>
          <w:rFonts w:hint="eastAsia" w:asciiTheme="minorEastAsia" w:hAnsiTheme="minorEastAsia" w:eastAsiaTheme="minorEastAsia"/>
          <w:b w:val="0"/>
          <w:bCs w:val="0"/>
          <w:color w:val="auto"/>
          <w:sz w:val="28"/>
          <w:szCs w:val="28"/>
          <w:lang w:val="en-US" w:eastAsia="zh-CN"/>
        </w:rPr>
        <w:t>对学校周边环境进行全面检查，并针对蛇类容易进入学校之处，采用驱蛇药剂，防止蛇类进入学校内;对进入校内蛇类及时派人猎捕，并负责按照国家相关法规进行妥善处置。</w:t>
      </w:r>
    </w:p>
    <w:p w14:paraId="09835638">
      <w:pPr>
        <w:spacing w:line="360" w:lineRule="auto"/>
        <w:ind w:firstLine="560" w:firstLineChars="200"/>
        <w:rPr>
          <w:rFonts w:hint="default" w:asciiTheme="minorEastAsia" w:hAnsiTheme="minorEastAsia" w:eastAsiaTheme="minorEastAsia"/>
          <w:b w:val="0"/>
          <w:bCs w:val="0"/>
          <w:color w:val="auto"/>
          <w:sz w:val="28"/>
          <w:szCs w:val="28"/>
          <w:lang w:val="en-US" w:eastAsia="zh-CN"/>
        </w:rPr>
      </w:pPr>
      <w:r>
        <w:rPr>
          <w:rFonts w:hint="eastAsia" w:asciiTheme="minorEastAsia" w:hAnsiTheme="minorEastAsia" w:eastAsiaTheme="minorEastAsia"/>
          <w:b w:val="0"/>
          <w:bCs w:val="0"/>
          <w:color w:val="auto"/>
          <w:sz w:val="28"/>
          <w:szCs w:val="28"/>
          <w:lang w:val="en-US" w:eastAsia="zh-CN"/>
        </w:rPr>
        <w:t>3.防治服务频次</w:t>
      </w:r>
    </w:p>
    <w:p w14:paraId="00C3DF89">
      <w:pPr>
        <w:spacing w:line="360" w:lineRule="auto"/>
        <w:ind w:firstLine="560" w:firstLineChars="200"/>
        <w:rPr>
          <w:rFonts w:hint="eastAsia" w:asciiTheme="minorEastAsia" w:hAnsiTheme="minorEastAsia" w:eastAsiaTheme="minorEastAsia"/>
          <w:b w:val="0"/>
          <w:bCs w:val="0"/>
          <w:color w:val="auto"/>
          <w:sz w:val="28"/>
          <w:szCs w:val="28"/>
          <w:lang w:val="en-US" w:eastAsia="zh-CN"/>
        </w:rPr>
      </w:pPr>
      <w:r>
        <w:rPr>
          <w:rFonts w:hint="eastAsia" w:asciiTheme="minorEastAsia" w:hAnsiTheme="minorEastAsia" w:eastAsiaTheme="minorEastAsia"/>
          <w:b w:val="0"/>
          <w:bCs w:val="0"/>
          <w:color w:val="auto"/>
          <w:sz w:val="28"/>
          <w:szCs w:val="28"/>
          <w:lang w:val="en-US" w:eastAsia="zh-CN"/>
        </w:rPr>
        <w:t>灭蚊、蝇、蟑螂、红火蚁:每月2次；灭鼠、白蚁:每月1次；驱蛇:1年4次。甲方可根据实际情况，在总频次范围内要求乙方调整服务实施时间。</w:t>
      </w:r>
    </w:p>
    <w:p w14:paraId="20838677">
      <w:pPr>
        <w:spacing w:line="360" w:lineRule="auto"/>
        <w:ind w:firstLine="560" w:firstLineChars="200"/>
        <w:rPr>
          <w:rFonts w:hint="default" w:asciiTheme="minorEastAsia" w:hAnsiTheme="minorEastAsia" w:eastAsiaTheme="minorEastAsia"/>
          <w:b w:val="0"/>
          <w:bCs w:val="0"/>
          <w:color w:val="auto"/>
          <w:sz w:val="28"/>
          <w:szCs w:val="28"/>
          <w:lang w:val="en-US" w:eastAsia="zh-CN"/>
        </w:rPr>
      </w:pPr>
      <w:r>
        <w:rPr>
          <w:rFonts w:hint="eastAsia" w:asciiTheme="minorEastAsia" w:hAnsiTheme="minorEastAsia" w:eastAsiaTheme="minorEastAsia"/>
          <w:b w:val="0"/>
          <w:bCs w:val="0"/>
          <w:color w:val="auto"/>
          <w:sz w:val="28"/>
          <w:szCs w:val="28"/>
          <w:lang w:val="en-US" w:eastAsia="zh-CN"/>
        </w:rPr>
        <w:t>4.防治效果</w:t>
      </w:r>
    </w:p>
    <w:p w14:paraId="35926DE7">
      <w:pPr>
        <w:spacing w:line="360" w:lineRule="auto"/>
        <w:ind w:firstLine="560" w:firstLineChars="200"/>
        <w:rPr>
          <w:rFonts w:hint="eastAsia" w:asciiTheme="minorEastAsia" w:hAnsiTheme="minorEastAsia" w:eastAsiaTheme="minorEastAsia"/>
          <w:b w:val="0"/>
          <w:bCs w:val="0"/>
          <w:color w:val="auto"/>
          <w:sz w:val="28"/>
          <w:szCs w:val="28"/>
          <w:lang w:val="en-US" w:eastAsia="zh-CN"/>
        </w:rPr>
      </w:pPr>
      <w:r>
        <w:rPr>
          <w:rFonts w:hint="eastAsia" w:asciiTheme="minorEastAsia" w:hAnsiTheme="minorEastAsia" w:eastAsiaTheme="minorEastAsia"/>
          <w:b w:val="0"/>
          <w:bCs w:val="0"/>
          <w:color w:val="auto"/>
          <w:sz w:val="28"/>
          <w:szCs w:val="28"/>
          <w:lang w:val="en-US" w:eastAsia="zh-CN"/>
        </w:rPr>
        <w:t>成交供应商通过消杀，将甲方校园内有害生物密度控制在相关国家规定控制水平之内。</w:t>
      </w:r>
    </w:p>
    <w:p w14:paraId="08C09DBB">
      <w:pPr>
        <w:spacing w:line="360" w:lineRule="auto"/>
        <w:ind w:firstLine="560" w:firstLineChars="200"/>
        <w:rPr>
          <w:rFonts w:hint="default" w:asciiTheme="minorEastAsia" w:hAnsiTheme="minorEastAsia" w:eastAsiaTheme="minorEastAsia"/>
          <w:b w:val="0"/>
          <w:bCs w:val="0"/>
          <w:color w:val="auto"/>
          <w:sz w:val="28"/>
          <w:szCs w:val="28"/>
          <w:lang w:val="en-US" w:eastAsia="zh-CN"/>
        </w:rPr>
      </w:pPr>
      <w:r>
        <w:rPr>
          <w:rFonts w:hint="eastAsia" w:asciiTheme="minorEastAsia" w:hAnsiTheme="minorEastAsia" w:eastAsiaTheme="minorEastAsia"/>
          <w:b w:val="0"/>
          <w:bCs w:val="0"/>
          <w:color w:val="auto"/>
          <w:sz w:val="28"/>
          <w:szCs w:val="28"/>
          <w:lang w:val="en-US" w:eastAsia="zh-CN"/>
        </w:rPr>
        <w:t>5.</w:t>
      </w:r>
      <w:r>
        <w:rPr>
          <w:rFonts w:hint="default" w:asciiTheme="minorEastAsia" w:hAnsiTheme="minorEastAsia" w:eastAsiaTheme="minorEastAsia"/>
          <w:b w:val="0"/>
          <w:bCs w:val="0"/>
          <w:color w:val="auto"/>
          <w:sz w:val="28"/>
          <w:szCs w:val="28"/>
          <w:lang w:val="en-US" w:eastAsia="zh-CN"/>
        </w:rPr>
        <w:t>服务标准</w:t>
      </w:r>
    </w:p>
    <w:p w14:paraId="046FF45E">
      <w:pPr>
        <w:spacing w:line="360" w:lineRule="auto"/>
        <w:ind w:firstLine="560" w:firstLineChars="200"/>
        <w:rPr>
          <w:rFonts w:hint="eastAsia" w:asciiTheme="minorEastAsia" w:hAnsiTheme="minorEastAsia" w:eastAsiaTheme="minorEastAsia"/>
          <w:b w:val="0"/>
          <w:bCs w:val="0"/>
          <w:color w:val="auto"/>
          <w:sz w:val="28"/>
          <w:szCs w:val="28"/>
          <w:lang w:val="en-US" w:eastAsia="zh-CN"/>
        </w:rPr>
      </w:pPr>
      <w:r>
        <w:rPr>
          <w:rFonts w:hint="default" w:asciiTheme="minorEastAsia" w:hAnsiTheme="minorEastAsia" w:eastAsiaTheme="minorEastAsia"/>
          <w:b w:val="0"/>
          <w:bCs w:val="0"/>
          <w:color w:val="auto"/>
          <w:sz w:val="28"/>
          <w:szCs w:val="28"/>
          <w:lang w:val="en-US" w:eastAsia="zh-CN"/>
        </w:rPr>
        <w:t>所派遣的服务人员必须严格遵守采购方的各项管理规章制度，服从采购方工作安排，携带专业消杀设备及符合国家标准的药品耗材</w:t>
      </w:r>
      <w:r>
        <w:rPr>
          <w:rFonts w:hint="eastAsia" w:asciiTheme="minorEastAsia" w:hAnsiTheme="minorEastAsia" w:eastAsiaTheme="minorEastAsia"/>
          <w:b w:val="0"/>
          <w:bCs w:val="0"/>
          <w:color w:val="auto"/>
          <w:sz w:val="28"/>
          <w:szCs w:val="28"/>
          <w:lang w:val="en-US" w:eastAsia="zh-CN"/>
        </w:rPr>
        <w:t>。</w:t>
      </w:r>
    </w:p>
    <w:p w14:paraId="34CDF2AD">
      <w:pPr>
        <w:spacing w:line="360" w:lineRule="auto"/>
        <w:ind w:firstLine="560" w:firstLineChars="200"/>
        <w:rPr>
          <w:rFonts w:hint="default" w:asciiTheme="minorEastAsia" w:hAnsiTheme="minorEastAsia" w:eastAsiaTheme="minorEastAsia"/>
          <w:b w:val="0"/>
          <w:bCs w:val="0"/>
          <w:color w:val="auto"/>
          <w:sz w:val="28"/>
          <w:szCs w:val="28"/>
          <w:lang w:val="en-US" w:eastAsia="zh-CN"/>
        </w:rPr>
      </w:pPr>
      <w:r>
        <w:rPr>
          <w:rFonts w:hint="default" w:asciiTheme="minorEastAsia" w:hAnsiTheme="minorEastAsia" w:eastAsiaTheme="minorEastAsia"/>
          <w:b w:val="0"/>
          <w:bCs w:val="0"/>
          <w:color w:val="auto"/>
          <w:sz w:val="28"/>
          <w:szCs w:val="28"/>
          <w:lang w:val="en-US" w:eastAsia="zh-CN"/>
        </w:rPr>
        <w:t>若出现服务人员不服从安排、操作不规范、未达到消杀效果等情况，采购方有权要求供应商重新提供服务，并不予支付相关费用，由此造成的损失由供应商承担。</w:t>
      </w:r>
    </w:p>
    <w:p w14:paraId="139E26AF">
      <w:pPr>
        <w:spacing w:line="360" w:lineRule="auto"/>
        <w:ind w:firstLine="560" w:firstLineChars="200"/>
        <w:rPr>
          <w:rFonts w:hint="default" w:asciiTheme="minorEastAsia" w:hAnsiTheme="minorEastAsia" w:eastAsiaTheme="minorEastAsia"/>
          <w:b w:val="0"/>
          <w:bCs w:val="0"/>
          <w:color w:val="auto"/>
          <w:sz w:val="28"/>
          <w:szCs w:val="28"/>
          <w:lang w:val="en-US" w:eastAsia="zh-CN"/>
        </w:rPr>
      </w:pPr>
      <w:r>
        <w:rPr>
          <w:rFonts w:hint="eastAsia" w:asciiTheme="minorEastAsia" w:hAnsiTheme="minorEastAsia" w:eastAsiaTheme="minorEastAsia"/>
          <w:b w:val="0"/>
          <w:bCs w:val="0"/>
          <w:color w:val="auto"/>
          <w:sz w:val="28"/>
          <w:szCs w:val="28"/>
          <w:lang w:val="en-US" w:eastAsia="zh-CN"/>
        </w:rPr>
        <w:t>6.</w:t>
      </w:r>
      <w:r>
        <w:rPr>
          <w:rFonts w:hint="default" w:asciiTheme="minorEastAsia" w:hAnsiTheme="minorEastAsia" w:eastAsiaTheme="minorEastAsia"/>
          <w:b w:val="0"/>
          <w:bCs w:val="0"/>
          <w:color w:val="auto"/>
          <w:sz w:val="28"/>
          <w:szCs w:val="28"/>
          <w:lang w:val="en-US" w:eastAsia="zh-CN"/>
        </w:rPr>
        <w:t>药品及设备要求</w:t>
      </w:r>
    </w:p>
    <w:p w14:paraId="0EECAB39">
      <w:pPr>
        <w:spacing w:line="360" w:lineRule="auto"/>
        <w:ind w:firstLine="560" w:firstLineChars="200"/>
        <w:rPr>
          <w:rFonts w:hint="default" w:asciiTheme="minorEastAsia" w:hAnsiTheme="minorEastAsia" w:eastAsiaTheme="minorEastAsia"/>
          <w:b w:val="0"/>
          <w:bCs w:val="0"/>
          <w:color w:val="auto"/>
          <w:sz w:val="28"/>
          <w:szCs w:val="28"/>
          <w:lang w:val="en-US" w:eastAsia="zh-CN"/>
        </w:rPr>
      </w:pPr>
      <w:r>
        <w:rPr>
          <w:rFonts w:hint="default" w:asciiTheme="minorEastAsia" w:hAnsiTheme="minorEastAsia" w:eastAsiaTheme="minorEastAsia"/>
          <w:b w:val="0"/>
          <w:bCs w:val="0"/>
          <w:color w:val="auto"/>
          <w:sz w:val="28"/>
          <w:szCs w:val="28"/>
          <w:lang w:val="en-US" w:eastAsia="zh-CN"/>
        </w:rPr>
        <w:t>消杀过程中使用的药品必须符合国家环保标准和食品安全要求，提供药品的生产许可证、质检报告及安全说明书等文件。</w:t>
      </w:r>
    </w:p>
    <w:p w14:paraId="500ADF82">
      <w:pPr>
        <w:spacing w:line="360" w:lineRule="auto"/>
        <w:ind w:firstLine="560" w:firstLineChars="200"/>
        <w:rPr>
          <w:rFonts w:hint="default" w:asciiTheme="minorEastAsia" w:hAnsiTheme="minorEastAsia" w:eastAsiaTheme="minorEastAsia"/>
          <w:b w:val="0"/>
          <w:bCs w:val="0"/>
          <w:color w:val="auto"/>
          <w:sz w:val="28"/>
          <w:szCs w:val="28"/>
          <w:lang w:val="en-US" w:eastAsia="zh-CN"/>
        </w:rPr>
      </w:pPr>
      <w:r>
        <w:rPr>
          <w:rFonts w:hint="default" w:asciiTheme="minorEastAsia" w:hAnsiTheme="minorEastAsia" w:eastAsiaTheme="minorEastAsia"/>
          <w:b w:val="0"/>
          <w:bCs w:val="0"/>
          <w:color w:val="auto"/>
          <w:sz w:val="28"/>
          <w:szCs w:val="28"/>
          <w:lang w:val="en-US" w:eastAsia="zh-CN"/>
        </w:rPr>
        <w:t>若因药品使用不当或设备故障给采购方造成直接经济损失的，供应商应承担经济赔偿责任。</w:t>
      </w:r>
    </w:p>
    <w:p w14:paraId="7674AEFA">
      <w:pPr>
        <w:spacing w:line="360" w:lineRule="auto"/>
        <w:ind w:firstLine="560" w:firstLineChars="200"/>
        <w:rPr>
          <w:rFonts w:hint="default" w:asciiTheme="minorEastAsia" w:hAnsiTheme="minorEastAsia" w:eastAsiaTheme="minorEastAsia"/>
          <w:b w:val="0"/>
          <w:bCs w:val="0"/>
          <w:color w:val="auto"/>
          <w:sz w:val="28"/>
          <w:szCs w:val="28"/>
          <w:lang w:val="en-US" w:eastAsia="zh-CN"/>
        </w:rPr>
      </w:pPr>
      <w:r>
        <w:rPr>
          <w:rFonts w:hint="eastAsia" w:asciiTheme="minorEastAsia" w:hAnsiTheme="minorEastAsia" w:eastAsiaTheme="minorEastAsia"/>
          <w:b w:val="0"/>
          <w:bCs w:val="0"/>
          <w:color w:val="auto"/>
          <w:sz w:val="28"/>
          <w:szCs w:val="28"/>
          <w:lang w:val="en-US" w:eastAsia="zh-CN"/>
        </w:rPr>
        <w:t>7.</w:t>
      </w:r>
      <w:r>
        <w:rPr>
          <w:rFonts w:hint="default" w:asciiTheme="minorEastAsia" w:hAnsiTheme="minorEastAsia" w:eastAsiaTheme="minorEastAsia"/>
          <w:b w:val="0"/>
          <w:bCs w:val="0"/>
          <w:color w:val="auto"/>
          <w:sz w:val="28"/>
          <w:szCs w:val="28"/>
          <w:lang w:val="en-US" w:eastAsia="zh-CN"/>
        </w:rPr>
        <w:t>安全责任</w:t>
      </w:r>
    </w:p>
    <w:p w14:paraId="489C1E8A">
      <w:pPr>
        <w:spacing w:line="360" w:lineRule="auto"/>
        <w:ind w:firstLine="560" w:firstLineChars="200"/>
        <w:rPr>
          <w:rFonts w:hint="default" w:asciiTheme="minorEastAsia" w:hAnsiTheme="minorEastAsia" w:eastAsiaTheme="minorEastAsia"/>
          <w:b w:val="0"/>
          <w:bCs w:val="0"/>
          <w:color w:val="auto"/>
          <w:sz w:val="28"/>
          <w:szCs w:val="28"/>
          <w:lang w:val="en-US" w:eastAsia="zh-CN"/>
        </w:rPr>
      </w:pPr>
      <w:r>
        <w:rPr>
          <w:rFonts w:hint="default" w:asciiTheme="minorEastAsia" w:hAnsiTheme="minorEastAsia" w:eastAsiaTheme="minorEastAsia"/>
          <w:b w:val="0"/>
          <w:bCs w:val="0"/>
          <w:color w:val="auto"/>
          <w:sz w:val="28"/>
          <w:szCs w:val="28"/>
          <w:lang w:val="en-US" w:eastAsia="zh-CN"/>
        </w:rPr>
        <w:t>服务人员在提供消杀服务期间，应严格遵守安全操作规程，佩戴必要的防护装备，确保自身和他人安全。因违反安全规定及自身原因造成事故，其责任和后果由供应商承担。</w:t>
      </w:r>
    </w:p>
    <w:p w14:paraId="197DD00E">
      <w:pPr>
        <w:spacing w:line="360" w:lineRule="auto"/>
        <w:ind w:firstLine="560" w:firstLineChars="200"/>
        <w:rPr>
          <w:rFonts w:hint="default" w:asciiTheme="minorEastAsia" w:hAnsiTheme="minorEastAsia" w:eastAsiaTheme="minorEastAsia"/>
          <w:b w:val="0"/>
          <w:bCs w:val="0"/>
          <w:color w:val="auto"/>
          <w:sz w:val="28"/>
          <w:szCs w:val="28"/>
          <w:lang w:val="en-US" w:eastAsia="zh-CN"/>
        </w:rPr>
      </w:pPr>
      <w:r>
        <w:rPr>
          <w:rFonts w:hint="eastAsia" w:asciiTheme="minorEastAsia" w:hAnsiTheme="minorEastAsia" w:eastAsiaTheme="minorEastAsia"/>
          <w:b w:val="0"/>
          <w:bCs w:val="0"/>
          <w:color w:val="auto"/>
          <w:sz w:val="28"/>
          <w:szCs w:val="28"/>
          <w:lang w:val="en-US" w:eastAsia="zh-CN"/>
        </w:rPr>
        <w:t>8.</w:t>
      </w:r>
      <w:r>
        <w:rPr>
          <w:rFonts w:hint="default" w:asciiTheme="minorEastAsia" w:hAnsiTheme="minorEastAsia" w:eastAsiaTheme="minorEastAsia"/>
          <w:b w:val="0"/>
          <w:bCs w:val="0"/>
          <w:color w:val="auto"/>
          <w:sz w:val="28"/>
          <w:szCs w:val="28"/>
          <w:lang w:val="en-US" w:eastAsia="zh-CN"/>
        </w:rPr>
        <w:t>保险要求</w:t>
      </w:r>
    </w:p>
    <w:p w14:paraId="639D3054">
      <w:pPr>
        <w:spacing w:line="360" w:lineRule="auto"/>
        <w:ind w:firstLine="560" w:firstLineChars="200"/>
        <w:rPr>
          <w:rFonts w:hint="default" w:asciiTheme="minorEastAsia" w:hAnsiTheme="minorEastAsia" w:eastAsiaTheme="minorEastAsia"/>
          <w:b w:val="0"/>
          <w:bCs w:val="0"/>
          <w:color w:val="auto"/>
          <w:sz w:val="28"/>
          <w:szCs w:val="28"/>
          <w:lang w:val="en-US" w:eastAsia="zh-CN"/>
        </w:rPr>
      </w:pPr>
      <w:r>
        <w:rPr>
          <w:rFonts w:hint="default" w:asciiTheme="minorEastAsia" w:hAnsiTheme="minorEastAsia" w:eastAsiaTheme="minorEastAsia"/>
          <w:b w:val="0"/>
          <w:bCs w:val="0"/>
          <w:color w:val="auto"/>
          <w:sz w:val="28"/>
          <w:szCs w:val="28"/>
          <w:lang w:val="en-US" w:eastAsia="zh-CN"/>
        </w:rPr>
        <w:t>供应商须为项目实施过程中派遣的所有服务人员购买足额意外保险，保险覆盖其在校服务期间的工作及相关活动。自服务人员进入学校服务场地起，至服务结束离场期间，因服务工作引发的人身伤害、财产损失等一切安全责任，均由供应商独立承担，采购单位不承担任何连带赔偿责任。</w:t>
      </w:r>
    </w:p>
    <w:p w14:paraId="404C23E3">
      <w:pPr>
        <w:spacing w:line="360" w:lineRule="auto"/>
        <w:ind w:firstLine="562" w:firstLineChars="200"/>
        <w:rPr>
          <w:rFonts w:hint="eastAsia" w:asciiTheme="minorEastAsia" w:hAnsiTheme="minorEastAsia" w:eastAsiaTheme="minorEastAsia"/>
          <w:b/>
          <w:bCs/>
          <w:color w:val="auto"/>
          <w:sz w:val="28"/>
          <w:szCs w:val="28"/>
        </w:rPr>
      </w:pPr>
      <w:r>
        <w:rPr>
          <w:rFonts w:hint="eastAsia" w:asciiTheme="minorEastAsia" w:hAnsiTheme="minorEastAsia" w:eastAsiaTheme="minorEastAsia"/>
          <w:b/>
          <w:bCs/>
          <w:color w:val="auto"/>
          <w:sz w:val="28"/>
          <w:szCs w:val="28"/>
          <w:lang w:val="en-US" w:eastAsia="zh-CN"/>
        </w:rPr>
        <w:t>四</w:t>
      </w:r>
      <w:r>
        <w:rPr>
          <w:rFonts w:hint="eastAsia" w:asciiTheme="minorEastAsia" w:hAnsiTheme="minorEastAsia" w:eastAsiaTheme="minorEastAsia"/>
          <w:b/>
          <w:bCs/>
          <w:color w:val="auto"/>
          <w:sz w:val="28"/>
          <w:szCs w:val="28"/>
        </w:rPr>
        <w:t>、商务事项</w:t>
      </w:r>
    </w:p>
    <w:p w14:paraId="35CA63FB">
      <w:pPr>
        <w:spacing w:line="360" w:lineRule="auto"/>
        <w:ind w:firstLine="562" w:firstLineChars="200"/>
        <w:rPr>
          <w:rFonts w:hint="eastAsia" w:asciiTheme="minorEastAsia" w:hAnsiTheme="minorEastAsia" w:eastAsiaTheme="minorEastAsia"/>
          <w:b/>
          <w:bCs/>
          <w:color w:val="auto"/>
          <w:sz w:val="28"/>
          <w:szCs w:val="28"/>
        </w:rPr>
      </w:pPr>
      <w:r>
        <w:rPr>
          <w:rFonts w:hint="eastAsia" w:asciiTheme="minorEastAsia" w:hAnsiTheme="minorEastAsia" w:eastAsiaTheme="minorEastAsia"/>
          <w:b/>
          <w:bCs/>
          <w:color w:val="auto"/>
          <w:sz w:val="28"/>
          <w:szCs w:val="28"/>
        </w:rPr>
        <w:t>1．资质要求：具备提供</w:t>
      </w:r>
      <w:r>
        <w:rPr>
          <w:rFonts w:hint="eastAsia" w:asciiTheme="minorEastAsia" w:hAnsiTheme="minorEastAsia" w:eastAsiaTheme="minorEastAsia"/>
          <w:b/>
          <w:bCs/>
          <w:color w:val="auto"/>
          <w:sz w:val="28"/>
          <w:szCs w:val="28"/>
          <w:lang w:val="en-US" w:eastAsia="zh-CN"/>
        </w:rPr>
        <w:t>消杀</w:t>
      </w:r>
      <w:r>
        <w:rPr>
          <w:rFonts w:hint="eastAsia" w:asciiTheme="minorEastAsia" w:hAnsiTheme="minorEastAsia" w:eastAsiaTheme="minorEastAsia"/>
          <w:b/>
          <w:bCs/>
          <w:color w:val="auto"/>
          <w:sz w:val="28"/>
          <w:szCs w:val="28"/>
        </w:rPr>
        <w:t>服务能力的合法企业法人或个体工商营业户</w:t>
      </w:r>
      <w:r>
        <w:rPr>
          <w:rFonts w:hint="eastAsia" w:asciiTheme="minorEastAsia" w:hAnsiTheme="minorEastAsia" w:eastAsiaTheme="minorEastAsia"/>
          <w:b/>
          <w:bCs/>
          <w:color w:val="auto"/>
          <w:sz w:val="28"/>
          <w:szCs w:val="28"/>
          <w:lang w:eastAsia="zh-CN"/>
        </w:rPr>
        <w:t>，</w:t>
      </w:r>
      <w:r>
        <w:rPr>
          <w:rFonts w:hint="eastAsia" w:asciiTheme="minorEastAsia" w:hAnsiTheme="minorEastAsia" w:eastAsiaTheme="minorEastAsia"/>
          <w:b/>
          <w:bCs/>
          <w:color w:val="auto"/>
          <w:sz w:val="28"/>
          <w:szCs w:val="28"/>
          <w:lang w:val="en-US" w:eastAsia="zh-CN"/>
        </w:rPr>
        <w:t>须持有有效的生物防治资质证书，且营业执照经营范围包含消杀服务相关内容</w:t>
      </w:r>
      <w:r>
        <w:rPr>
          <w:rFonts w:hint="eastAsia" w:asciiTheme="minorEastAsia" w:hAnsiTheme="minorEastAsia" w:eastAsiaTheme="minorEastAsia"/>
          <w:b/>
          <w:bCs/>
          <w:color w:val="auto"/>
          <w:sz w:val="28"/>
          <w:szCs w:val="28"/>
        </w:rPr>
        <w:t>。</w:t>
      </w:r>
    </w:p>
    <w:p w14:paraId="2BCBCD62">
      <w:pPr>
        <w:spacing w:line="360" w:lineRule="auto"/>
        <w:ind w:firstLine="560" w:firstLineChars="200"/>
        <w:rPr>
          <w:rFonts w:hint="eastAsia"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2．报价要求：本项目总价最高限价为</w:t>
      </w:r>
      <w:r>
        <w:rPr>
          <w:rFonts w:hint="eastAsia" w:asciiTheme="minorEastAsia" w:hAnsiTheme="minorEastAsia" w:eastAsiaTheme="minorEastAsia"/>
          <w:color w:val="auto"/>
          <w:sz w:val="28"/>
          <w:szCs w:val="28"/>
          <w:lang w:val="en-US" w:eastAsia="zh-CN"/>
        </w:rPr>
        <w:t>68000</w:t>
      </w:r>
      <w:r>
        <w:rPr>
          <w:rFonts w:hint="eastAsia" w:asciiTheme="minorEastAsia" w:hAnsiTheme="minorEastAsia" w:eastAsiaTheme="minorEastAsia"/>
          <w:color w:val="auto"/>
          <w:sz w:val="28"/>
          <w:szCs w:val="28"/>
        </w:rPr>
        <w:t>元，供应商报价超过总价最高限价为无效报价</w:t>
      </w:r>
      <w:r>
        <w:rPr>
          <w:rFonts w:hint="eastAsia" w:asciiTheme="minorEastAsia" w:hAnsiTheme="minorEastAsia" w:eastAsiaTheme="minorEastAsia"/>
          <w:color w:val="auto"/>
          <w:sz w:val="28"/>
          <w:szCs w:val="28"/>
          <w:lang w:eastAsia="zh-CN"/>
        </w:rPr>
        <w:t>。</w:t>
      </w:r>
      <w:r>
        <w:rPr>
          <w:rFonts w:hint="eastAsia" w:asciiTheme="minorEastAsia" w:hAnsiTheme="minorEastAsia" w:eastAsiaTheme="minorEastAsia"/>
          <w:color w:val="auto"/>
          <w:sz w:val="28"/>
          <w:szCs w:val="28"/>
        </w:rPr>
        <w:t>供应商</w:t>
      </w:r>
      <w:r>
        <w:rPr>
          <w:rFonts w:hint="eastAsia" w:asciiTheme="minorEastAsia" w:hAnsiTheme="minorEastAsia" w:eastAsiaTheme="minorEastAsia"/>
          <w:color w:val="auto"/>
          <w:sz w:val="28"/>
          <w:szCs w:val="28"/>
          <w:lang w:val="en-US" w:eastAsia="zh-CN"/>
        </w:rPr>
        <w:t>报价</w:t>
      </w:r>
      <w:r>
        <w:rPr>
          <w:rFonts w:hint="eastAsia" w:asciiTheme="minorEastAsia" w:hAnsiTheme="minorEastAsia" w:eastAsiaTheme="minorEastAsia"/>
          <w:color w:val="auto"/>
          <w:sz w:val="28"/>
          <w:szCs w:val="28"/>
        </w:rPr>
        <w:t>须在合理范围内，报价须包括成交</w:t>
      </w:r>
      <w:r>
        <w:rPr>
          <w:rFonts w:hint="eastAsia" w:asciiTheme="minorEastAsia" w:hAnsiTheme="minorEastAsia" w:eastAsiaTheme="minorEastAsia"/>
          <w:color w:val="auto"/>
          <w:sz w:val="28"/>
          <w:szCs w:val="28"/>
          <w:lang w:val="en-US" w:eastAsia="zh-CN"/>
        </w:rPr>
        <w:t>服务</w:t>
      </w:r>
      <w:r>
        <w:rPr>
          <w:rFonts w:hint="eastAsia" w:asciiTheme="minorEastAsia" w:hAnsiTheme="minorEastAsia" w:eastAsiaTheme="minorEastAsia"/>
          <w:color w:val="auto"/>
          <w:sz w:val="28"/>
          <w:szCs w:val="28"/>
        </w:rPr>
        <w:t>所需的</w:t>
      </w:r>
      <w:r>
        <w:rPr>
          <w:rFonts w:hint="eastAsia" w:asciiTheme="minorEastAsia" w:hAnsiTheme="minorEastAsia" w:eastAsiaTheme="minorEastAsia"/>
          <w:color w:val="auto"/>
          <w:sz w:val="28"/>
          <w:szCs w:val="28"/>
          <w:lang w:val="en-US" w:eastAsia="zh-CN"/>
        </w:rPr>
        <w:t>费用，</w:t>
      </w:r>
      <w:r>
        <w:rPr>
          <w:rFonts w:hint="eastAsia" w:asciiTheme="minorEastAsia" w:hAnsiTheme="minorEastAsia" w:eastAsiaTheme="minorEastAsia"/>
          <w:color w:val="auto"/>
          <w:sz w:val="28"/>
          <w:szCs w:val="28"/>
        </w:rPr>
        <w:t>且不仅限于服务价格、工具设备、饵盒器材、运输费、税费、人工费、保险等所有费用。采购单位不再支付其他任何额外费用。</w:t>
      </w:r>
    </w:p>
    <w:p w14:paraId="569F0894">
      <w:pPr>
        <w:spacing w:line="360" w:lineRule="auto"/>
        <w:ind w:firstLine="560" w:firstLineChars="200"/>
        <w:rPr>
          <w:rFonts w:hint="eastAsia" w:asciiTheme="minorEastAsia" w:hAnsiTheme="minorEastAsia" w:eastAsiaTheme="minorEastAsia"/>
          <w:color w:val="auto"/>
          <w:sz w:val="28"/>
          <w:szCs w:val="28"/>
        </w:rPr>
      </w:pPr>
      <w:r>
        <w:rPr>
          <w:rFonts w:hint="eastAsia" w:asciiTheme="minorEastAsia" w:hAnsiTheme="minorEastAsia" w:eastAsiaTheme="minorEastAsia"/>
          <w:color w:val="auto"/>
          <w:sz w:val="28"/>
          <w:szCs w:val="28"/>
          <w:lang w:val="en-US" w:eastAsia="zh-CN"/>
        </w:rPr>
        <w:t>3</w:t>
      </w:r>
      <w:r>
        <w:rPr>
          <w:rFonts w:hint="eastAsia" w:asciiTheme="minorEastAsia" w:hAnsiTheme="minorEastAsia" w:eastAsiaTheme="minorEastAsia"/>
          <w:color w:val="auto"/>
          <w:sz w:val="28"/>
          <w:szCs w:val="28"/>
        </w:rPr>
        <w:t xml:space="preserve">. </w:t>
      </w:r>
      <w:r>
        <w:rPr>
          <w:rFonts w:hint="eastAsia" w:asciiTheme="minorEastAsia" w:hAnsiTheme="minorEastAsia" w:eastAsiaTheme="minorEastAsia"/>
          <w:color w:val="auto"/>
          <w:sz w:val="28"/>
          <w:szCs w:val="28"/>
          <w:lang w:val="en-US" w:eastAsia="zh-CN"/>
        </w:rPr>
        <w:t>服务</w:t>
      </w:r>
      <w:r>
        <w:rPr>
          <w:rFonts w:hint="eastAsia" w:asciiTheme="minorEastAsia" w:hAnsiTheme="minorEastAsia" w:eastAsiaTheme="minorEastAsia"/>
          <w:color w:val="auto"/>
          <w:sz w:val="28"/>
          <w:szCs w:val="28"/>
        </w:rPr>
        <w:t>地点：漳州高新职业技术学校（漳州市南靖县靖城镇天口村天口308号）校内指定地点。</w:t>
      </w:r>
    </w:p>
    <w:p w14:paraId="58508D42">
      <w:pPr>
        <w:spacing w:line="360" w:lineRule="auto"/>
        <w:ind w:firstLine="560" w:firstLineChars="200"/>
        <w:rPr>
          <w:rFonts w:hint="default" w:asciiTheme="minorEastAsia" w:hAnsiTheme="minorEastAsia" w:eastAsiaTheme="minorEastAsia"/>
          <w:color w:val="auto"/>
          <w:sz w:val="28"/>
          <w:szCs w:val="28"/>
          <w:lang w:val="en-US" w:eastAsia="zh-CN"/>
        </w:rPr>
      </w:pPr>
      <w:r>
        <w:rPr>
          <w:rFonts w:hint="eastAsia" w:asciiTheme="minorEastAsia" w:hAnsiTheme="minorEastAsia" w:eastAsiaTheme="minorEastAsia"/>
          <w:color w:val="auto"/>
          <w:sz w:val="28"/>
          <w:szCs w:val="28"/>
          <w:lang w:val="en-US" w:eastAsia="zh-CN"/>
        </w:rPr>
        <w:t>4.履行方式：按报价表（附件1）及校园消杀服务要求供应消杀药剂，并结合消杀频次实施校园消杀服务。</w:t>
      </w:r>
    </w:p>
    <w:p w14:paraId="0831C4B5">
      <w:pPr>
        <w:spacing w:line="360" w:lineRule="auto"/>
        <w:ind w:firstLine="560" w:firstLineChars="200"/>
        <w:rPr>
          <w:rFonts w:hint="default" w:asciiTheme="minorEastAsia" w:hAnsiTheme="minorEastAsia" w:eastAsiaTheme="minorEastAsia"/>
          <w:color w:val="auto"/>
          <w:sz w:val="28"/>
          <w:szCs w:val="28"/>
          <w:lang w:val="en-US" w:eastAsia="zh-CN"/>
        </w:rPr>
      </w:pPr>
      <w:r>
        <w:rPr>
          <w:rFonts w:hint="eastAsia" w:asciiTheme="minorEastAsia" w:hAnsiTheme="minorEastAsia" w:eastAsiaTheme="minorEastAsia"/>
          <w:color w:val="auto"/>
          <w:sz w:val="28"/>
          <w:szCs w:val="28"/>
          <w:lang w:val="en-US" w:eastAsia="zh-CN"/>
        </w:rPr>
        <w:t>5</w:t>
      </w:r>
      <w:r>
        <w:rPr>
          <w:rFonts w:hint="eastAsia" w:asciiTheme="minorEastAsia" w:hAnsiTheme="minorEastAsia" w:eastAsiaTheme="minorEastAsia"/>
          <w:color w:val="auto"/>
          <w:sz w:val="28"/>
          <w:szCs w:val="28"/>
        </w:rPr>
        <w:t>.</w:t>
      </w:r>
      <w:r>
        <w:rPr>
          <w:rFonts w:hint="eastAsia" w:asciiTheme="minorEastAsia" w:hAnsiTheme="minorEastAsia" w:eastAsiaTheme="minorEastAsia"/>
          <w:color w:val="auto"/>
          <w:sz w:val="28"/>
          <w:szCs w:val="28"/>
          <w:lang w:val="en-US" w:eastAsia="zh-CN"/>
        </w:rPr>
        <w:t xml:space="preserve"> </w:t>
      </w:r>
      <w:r>
        <w:rPr>
          <w:rFonts w:hint="eastAsia" w:asciiTheme="minorEastAsia" w:hAnsiTheme="minorEastAsia" w:eastAsiaTheme="minorEastAsia"/>
          <w:color w:val="auto"/>
          <w:sz w:val="28"/>
          <w:szCs w:val="28"/>
        </w:rPr>
        <w:t>服务</w:t>
      </w:r>
      <w:r>
        <w:rPr>
          <w:rFonts w:hint="eastAsia" w:asciiTheme="minorEastAsia" w:hAnsiTheme="minorEastAsia" w:eastAsiaTheme="minorEastAsia"/>
          <w:color w:val="auto"/>
          <w:sz w:val="28"/>
          <w:szCs w:val="28"/>
          <w:lang w:val="en-US" w:eastAsia="zh-CN"/>
        </w:rPr>
        <w:t>期限：2026年7月1日-2027年6月30日</w:t>
      </w:r>
    </w:p>
    <w:p w14:paraId="40203E0A">
      <w:pPr>
        <w:spacing w:line="360" w:lineRule="auto"/>
        <w:ind w:firstLine="560" w:firstLineChars="200"/>
        <w:rPr>
          <w:rFonts w:hint="eastAsia" w:asciiTheme="minorEastAsia" w:hAnsiTheme="minorEastAsia" w:eastAsiaTheme="minorEastAsia"/>
          <w:color w:val="auto"/>
          <w:sz w:val="28"/>
          <w:szCs w:val="28"/>
        </w:rPr>
      </w:pPr>
      <w:r>
        <w:rPr>
          <w:rFonts w:hint="eastAsia" w:asciiTheme="minorEastAsia" w:hAnsiTheme="minorEastAsia" w:eastAsiaTheme="minorEastAsia"/>
          <w:color w:val="auto"/>
          <w:sz w:val="28"/>
          <w:szCs w:val="28"/>
          <w:lang w:val="en-US" w:eastAsia="zh-CN"/>
        </w:rPr>
        <w:t>6</w:t>
      </w:r>
      <w:r>
        <w:rPr>
          <w:rFonts w:hint="eastAsia" w:asciiTheme="minorEastAsia" w:hAnsiTheme="minorEastAsia" w:eastAsiaTheme="minorEastAsia"/>
          <w:color w:val="auto"/>
          <w:sz w:val="28"/>
          <w:szCs w:val="28"/>
        </w:rPr>
        <w:t>．付款方式：</w:t>
      </w:r>
      <w:r>
        <w:rPr>
          <w:rFonts w:hint="eastAsia" w:asciiTheme="minorEastAsia" w:hAnsiTheme="minorEastAsia" w:eastAsiaTheme="minorEastAsia"/>
          <w:color w:val="auto"/>
          <w:sz w:val="28"/>
          <w:szCs w:val="28"/>
          <w:lang w:val="en-US" w:eastAsia="zh-CN"/>
        </w:rPr>
        <w:t>按照合同约定，</w:t>
      </w:r>
      <w:r>
        <w:rPr>
          <w:rFonts w:hint="eastAsia" w:asciiTheme="minorEastAsia" w:hAnsiTheme="minorEastAsia" w:eastAsiaTheme="minorEastAsia"/>
          <w:color w:val="auto"/>
          <w:sz w:val="28"/>
          <w:szCs w:val="28"/>
        </w:rPr>
        <w:t>服务费用平均分四次支付</w:t>
      </w:r>
      <w:r>
        <w:rPr>
          <w:rFonts w:hint="eastAsia" w:asciiTheme="minorEastAsia" w:hAnsiTheme="minorEastAsia" w:eastAsiaTheme="minorEastAsia"/>
          <w:color w:val="auto"/>
          <w:sz w:val="28"/>
          <w:szCs w:val="28"/>
          <w:lang w:eastAsia="zh-CN"/>
        </w:rPr>
        <w:t>，</w:t>
      </w:r>
      <w:r>
        <w:rPr>
          <w:rFonts w:hint="eastAsia" w:asciiTheme="minorEastAsia" w:hAnsiTheme="minorEastAsia" w:eastAsiaTheme="minorEastAsia"/>
          <w:color w:val="auto"/>
          <w:sz w:val="28"/>
          <w:szCs w:val="28"/>
          <w:lang w:val="en-US" w:eastAsia="zh-CN"/>
        </w:rPr>
        <w:t>采购人分别于2026年9月、12月，2027年3月、6月</w:t>
      </w:r>
      <w:r>
        <w:rPr>
          <w:rFonts w:hint="eastAsia" w:asciiTheme="minorEastAsia" w:hAnsiTheme="minorEastAsia" w:eastAsiaTheme="minorEastAsia"/>
          <w:color w:val="auto"/>
          <w:sz w:val="28"/>
          <w:szCs w:val="28"/>
        </w:rPr>
        <w:t>在收到供货商开具税务发票后的 30 天内，支付</w:t>
      </w:r>
      <w:r>
        <w:rPr>
          <w:rFonts w:hint="eastAsia" w:asciiTheme="minorEastAsia" w:hAnsiTheme="minorEastAsia" w:eastAsiaTheme="minorEastAsia"/>
          <w:color w:val="auto"/>
          <w:sz w:val="28"/>
          <w:szCs w:val="28"/>
          <w:lang w:val="en-US" w:eastAsia="zh-CN"/>
        </w:rPr>
        <w:t>当期</w:t>
      </w:r>
      <w:r>
        <w:rPr>
          <w:rFonts w:hint="eastAsia" w:asciiTheme="minorEastAsia" w:hAnsiTheme="minorEastAsia" w:eastAsiaTheme="minorEastAsia"/>
          <w:color w:val="auto"/>
          <w:sz w:val="28"/>
          <w:szCs w:val="28"/>
        </w:rPr>
        <w:t xml:space="preserve"> 100% 服务费用。</w:t>
      </w:r>
    </w:p>
    <w:p w14:paraId="2B9F5403">
      <w:pPr>
        <w:spacing w:line="360" w:lineRule="auto"/>
        <w:ind w:firstLine="562" w:firstLineChars="200"/>
        <w:rPr>
          <w:rFonts w:hint="eastAsia" w:asciiTheme="minorEastAsia" w:hAnsiTheme="minorEastAsia" w:eastAsiaTheme="minorEastAsia"/>
          <w:b/>
          <w:bCs/>
          <w:color w:val="auto"/>
          <w:sz w:val="28"/>
          <w:szCs w:val="28"/>
        </w:rPr>
      </w:pPr>
      <w:r>
        <w:rPr>
          <w:rFonts w:hint="eastAsia" w:asciiTheme="minorEastAsia" w:hAnsiTheme="minorEastAsia" w:eastAsiaTheme="minorEastAsia"/>
          <w:b/>
          <w:bCs/>
          <w:color w:val="auto"/>
          <w:sz w:val="28"/>
          <w:szCs w:val="28"/>
          <w:lang w:val="en-US" w:eastAsia="zh-CN"/>
        </w:rPr>
        <w:t>五</w:t>
      </w:r>
      <w:r>
        <w:rPr>
          <w:rFonts w:hint="eastAsia" w:asciiTheme="minorEastAsia" w:hAnsiTheme="minorEastAsia" w:eastAsiaTheme="minorEastAsia"/>
          <w:b/>
          <w:bCs/>
          <w:color w:val="auto"/>
          <w:sz w:val="28"/>
          <w:szCs w:val="28"/>
        </w:rPr>
        <w:t>、供应商报价函</w:t>
      </w:r>
      <w:r>
        <w:rPr>
          <w:rFonts w:hint="eastAsia" w:asciiTheme="minorEastAsia" w:hAnsiTheme="minorEastAsia" w:eastAsiaTheme="minorEastAsia"/>
          <w:b/>
          <w:bCs/>
          <w:color w:val="auto"/>
          <w:sz w:val="28"/>
          <w:szCs w:val="28"/>
          <w:lang w:val="en-US" w:eastAsia="zh-CN"/>
        </w:rPr>
        <w:t>及提交材料</w:t>
      </w:r>
      <w:r>
        <w:rPr>
          <w:rFonts w:hint="eastAsia" w:asciiTheme="minorEastAsia" w:hAnsiTheme="minorEastAsia" w:eastAsiaTheme="minorEastAsia"/>
          <w:b/>
          <w:bCs/>
          <w:color w:val="auto"/>
          <w:sz w:val="28"/>
          <w:szCs w:val="28"/>
        </w:rPr>
        <w:t>要求</w:t>
      </w:r>
    </w:p>
    <w:p w14:paraId="74A8AA62">
      <w:pPr>
        <w:spacing w:line="360" w:lineRule="auto"/>
        <w:ind w:firstLine="562" w:firstLineChars="200"/>
        <w:rPr>
          <w:rFonts w:hint="eastAsia" w:asciiTheme="minorEastAsia" w:hAnsiTheme="minorEastAsia" w:eastAsiaTheme="minorEastAsia"/>
          <w:b/>
          <w:bCs/>
          <w:color w:val="auto"/>
          <w:sz w:val="28"/>
          <w:szCs w:val="28"/>
        </w:rPr>
      </w:pPr>
      <w:r>
        <w:rPr>
          <w:rFonts w:hint="eastAsia" w:asciiTheme="minorEastAsia" w:hAnsiTheme="minorEastAsia" w:eastAsiaTheme="minorEastAsia"/>
          <w:b/>
          <w:bCs/>
          <w:color w:val="auto"/>
          <w:sz w:val="28"/>
          <w:szCs w:val="28"/>
        </w:rPr>
        <w:t>1．供应商报价函（详见附件1）每页均须加盖供应商单位公章，并附加盖公章的营业执照附件、</w:t>
      </w:r>
      <w:r>
        <w:rPr>
          <w:rFonts w:hint="eastAsia" w:asciiTheme="minorEastAsia" w:hAnsiTheme="minorEastAsia" w:eastAsiaTheme="minorEastAsia"/>
          <w:b/>
          <w:bCs/>
          <w:color w:val="auto"/>
          <w:sz w:val="28"/>
          <w:szCs w:val="28"/>
          <w:lang w:val="en-US" w:eastAsia="zh-CN"/>
        </w:rPr>
        <w:t>廉洁承诺（详见附件3）、所使用药品的相关证明（即提供农药生产许可证、企业标准和农药登记证相关材料复印件）以及针对本项目厂家提供的产品质量保证书</w:t>
      </w:r>
      <w:r>
        <w:rPr>
          <w:rFonts w:hint="eastAsia" w:asciiTheme="minorEastAsia" w:hAnsiTheme="minorEastAsia" w:eastAsiaTheme="minorEastAsia"/>
          <w:b/>
          <w:bCs/>
          <w:color w:val="auto"/>
          <w:sz w:val="28"/>
          <w:szCs w:val="28"/>
        </w:rPr>
        <w:t>等。</w:t>
      </w:r>
    </w:p>
    <w:p w14:paraId="6DF09A35">
      <w:pPr>
        <w:spacing w:line="360" w:lineRule="auto"/>
        <w:ind w:firstLine="560" w:firstLineChars="200"/>
        <w:rPr>
          <w:rFonts w:hint="eastAsia"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2．供应商提交的报价响应文件须包括供应商报价函及其他本公告要求提交的相关内容，</w:t>
      </w:r>
      <w:r>
        <w:rPr>
          <w:rFonts w:hint="eastAsia" w:asciiTheme="minorEastAsia" w:hAnsiTheme="minorEastAsia" w:eastAsiaTheme="minorEastAsia"/>
          <w:color w:val="auto"/>
          <w:sz w:val="28"/>
          <w:szCs w:val="28"/>
          <w:lang w:val="en-US" w:eastAsia="zh-CN"/>
        </w:rPr>
        <w:t>应</w:t>
      </w:r>
      <w:r>
        <w:rPr>
          <w:rFonts w:hint="eastAsia" w:asciiTheme="minorEastAsia" w:hAnsiTheme="minorEastAsia" w:eastAsiaTheme="minorEastAsia"/>
          <w:color w:val="auto"/>
          <w:sz w:val="28"/>
          <w:szCs w:val="28"/>
        </w:rPr>
        <w:t>加盖公章，并按正常招投标文件要求进行密封，</w:t>
      </w:r>
      <w:r>
        <w:rPr>
          <w:rFonts w:hint="eastAsia" w:asciiTheme="minorEastAsia" w:hAnsiTheme="minorEastAsia" w:eastAsiaTheme="minorEastAsia"/>
          <w:color w:val="auto"/>
          <w:sz w:val="28"/>
          <w:szCs w:val="28"/>
          <w:lang w:eastAsia="zh-CN"/>
        </w:rPr>
        <w:t>加盖</w:t>
      </w:r>
      <w:r>
        <w:rPr>
          <w:rFonts w:hint="eastAsia" w:asciiTheme="minorEastAsia" w:hAnsiTheme="minorEastAsia" w:eastAsiaTheme="minorEastAsia"/>
          <w:color w:val="auto"/>
          <w:sz w:val="28"/>
          <w:szCs w:val="28"/>
        </w:rPr>
        <w:t>公章。（详</w:t>
      </w:r>
      <w:r>
        <w:rPr>
          <w:rFonts w:hint="eastAsia" w:asciiTheme="minorEastAsia" w:hAnsiTheme="minorEastAsia" w:eastAsiaTheme="minorEastAsia"/>
          <w:color w:val="auto"/>
          <w:sz w:val="28"/>
          <w:szCs w:val="28"/>
          <w:lang w:val="en-US" w:eastAsia="zh-CN"/>
        </w:rPr>
        <w:t>见</w:t>
      </w:r>
      <w:r>
        <w:rPr>
          <w:rFonts w:hint="eastAsia" w:asciiTheme="minorEastAsia" w:hAnsiTheme="minorEastAsia" w:eastAsiaTheme="minorEastAsia"/>
          <w:color w:val="auto"/>
          <w:sz w:val="28"/>
          <w:szCs w:val="28"/>
        </w:rPr>
        <w:t>附件2）</w:t>
      </w:r>
    </w:p>
    <w:p w14:paraId="585AFF7C">
      <w:pPr>
        <w:spacing w:line="360" w:lineRule="auto"/>
        <w:ind w:firstLine="560" w:firstLineChars="200"/>
        <w:rPr>
          <w:rFonts w:hint="eastAsia"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3．供应商报价函送达地址：漳州高新职业技术学校（漳州市南靖县靖城镇天口村天口308号）。</w:t>
      </w:r>
    </w:p>
    <w:p w14:paraId="72070708">
      <w:pPr>
        <w:spacing w:line="360" w:lineRule="auto"/>
        <w:ind w:firstLine="560" w:firstLineChars="200"/>
        <w:rPr>
          <w:rFonts w:hint="eastAsia"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五、联系人：</w:t>
      </w:r>
      <w:r>
        <w:rPr>
          <w:rFonts w:hint="eastAsia" w:asciiTheme="minorEastAsia" w:hAnsiTheme="minorEastAsia" w:eastAsiaTheme="minorEastAsia"/>
          <w:color w:val="auto"/>
          <w:sz w:val="28"/>
          <w:szCs w:val="28"/>
          <w:lang w:val="en-US" w:eastAsia="zh-CN"/>
        </w:rPr>
        <w:t>黄老师</w:t>
      </w:r>
      <w:r>
        <w:rPr>
          <w:rFonts w:hint="eastAsia" w:asciiTheme="minorEastAsia" w:hAnsiTheme="minorEastAsia" w:eastAsiaTheme="minorEastAsia"/>
          <w:color w:val="auto"/>
          <w:sz w:val="28"/>
          <w:szCs w:val="28"/>
        </w:rPr>
        <w:t>，联系电话：</w:t>
      </w:r>
      <w:r>
        <w:rPr>
          <w:rFonts w:hint="eastAsia" w:asciiTheme="minorEastAsia" w:hAnsiTheme="minorEastAsia" w:eastAsiaTheme="minorEastAsia"/>
          <w:color w:val="auto"/>
          <w:sz w:val="28"/>
          <w:szCs w:val="28"/>
          <w:lang w:val="en-US" w:eastAsia="zh-CN"/>
        </w:rPr>
        <w:t>17350753257</w:t>
      </w:r>
      <w:r>
        <w:rPr>
          <w:rFonts w:hint="eastAsia" w:asciiTheme="minorEastAsia" w:hAnsiTheme="minorEastAsia" w:eastAsiaTheme="minorEastAsia"/>
          <w:color w:val="auto"/>
          <w:sz w:val="28"/>
          <w:szCs w:val="28"/>
        </w:rPr>
        <w:t xml:space="preserve">     </w:t>
      </w:r>
    </w:p>
    <w:p w14:paraId="3E1C0837">
      <w:pPr>
        <w:spacing w:line="360" w:lineRule="auto"/>
        <w:ind w:firstLine="560" w:firstLineChars="200"/>
        <w:rPr>
          <w:rFonts w:hint="eastAsia" w:asciiTheme="minorEastAsia" w:hAnsiTheme="minorEastAsia" w:eastAsiaTheme="minorEastAsia"/>
          <w:color w:val="auto"/>
          <w:sz w:val="28"/>
          <w:szCs w:val="28"/>
        </w:rPr>
      </w:pPr>
    </w:p>
    <w:p w14:paraId="42C7E831">
      <w:pPr>
        <w:spacing w:line="360" w:lineRule="auto"/>
        <w:ind w:firstLine="560" w:firstLineChars="200"/>
        <w:rPr>
          <w:rFonts w:hint="eastAsia"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 xml:space="preserve">                                  </w:t>
      </w:r>
      <w:r>
        <w:rPr>
          <w:rFonts w:hint="eastAsia" w:asciiTheme="minorEastAsia" w:hAnsiTheme="minorEastAsia" w:eastAsiaTheme="minorEastAsia"/>
          <w:color w:val="auto"/>
          <w:sz w:val="28"/>
          <w:szCs w:val="28"/>
          <w:lang w:val="en-US" w:eastAsia="zh-CN"/>
        </w:rPr>
        <w:t xml:space="preserve">      </w:t>
      </w:r>
      <w:r>
        <w:rPr>
          <w:rFonts w:hint="eastAsia" w:asciiTheme="minorEastAsia" w:hAnsiTheme="minorEastAsia" w:eastAsiaTheme="minorEastAsia"/>
          <w:color w:val="auto"/>
          <w:sz w:val="28"/>
          <w:szCs w:val="28"/>
        </w:rPr>
        <w:t>漳州高新职业技术学校</w:t>
      </w:r>
    </w:p>
    <w:p w14:paraId="4CC12D5C">
      <w:pPr>
        <w:spacing w:line="360" w:lineRule="auto"/>
        <w:ind w:firstLine="6440" w:firstLineChars="2300"/>
        <w:rPr>
          <w:rFonts w:hint="eastAsia"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202</w:t>
      </w:r>
      <w:r>
        <w:rPr>
          <w:rFonts w:hint="eastAsia" w:asciiTheme="minorEastAsia" w:hAnsiTheme="minorEastAsia" w:eastAsiaTheme="minorEastAsia"/>
          <w:color w:val="auto"/>
          <w:sz w:val="28"/>
          <w:szCs w:val="28"/>
          <w:lang w:val="en-US" w:eastAsia="zh-CN"/>
        </w:rPr>
        <w:t>6</w:t>
      </w:r>
      <w:r>
        <w:rPr>
          <w:rFonts w:hint="eastAsia" w:asciiTheme="minorEastAsia" w:hAnsiTheme="minorEastAsia" w:eastAsiaTheme="minorEastAsia"/>
          <w:color w:val="auto"/>
          <w:sz w:val="28"/>
          <w:szCs w:val="28"/>
        </w:rPr>
        <w:t>年</w:t>
      </w:r>
      <w:r>
        <w:rPr>
          <w:rFonts w:hint="eastAsia" w:asciiTheme="minorEastAsia" w:hAnsiTheme="minorEastAsia" w:eastAsiaTheme="minorEastAsia"/>
          <w:color w:val="auto"/>
          <w:sz w:val="28"/>
          <w:szCs w:val="28"/>
          <w:lang w:val="en-US" w:eastAsia="zh-CN"/>
        </w:rPr>
        <w:t>6</w:t>
      </w:r>
      <w:r>
        <w:rPr>
          <w:rFonts w:hint="eastAsia" w:asciiTheme="minorEastAsia" w:hAnsiTheme="minorEastAsia" w:eastAsiaTheme="minorEastAsia"/>
          <w:color w:val="auto"/>
          <w:sz w:val="28"/>
          <w:szCs w:val="28"/>
        </w:rPr>
        <w:t>月</w:t>
      </w:r>
      <w:r>
        <w:rPr>
          <w:rFonts w:hint="eastAsia" w:asciiTheme="minorEastAsia" w:hAnsiTheme="minorEastAsia" w:eastAsiaTheme="minorEastAsia"/>
          <w:color w:val="auto"/>
          <w:sz w:val="28"/>
          <w:szCs w:val="28"/>
          <w:lang w:val="en-US" w:eastAsia="zh-CN"/>
        </w:rPr>
        <w:t>16</w:t>
      </w:r>
      <w:r>
        <w:rPr>
          <w:rFonts w:hint="eastAsia" w:cs="Times New Roman" w:asciiTheme="minorEastAsia" w:hAnsiTheme="minorEastAsia" w:eastAsiaTheme="minorEastAsia"/>
          <w:color w:val="auto"/>
          <w:sz w:val="28"/>
          <w:szCs w:val="28"/>
        </w:rPr>
        <w:t>日</w:t>
      </w:r>
    </w:p>
    <w:p w14:paraId="3CBDAEDD">
      <w:pPr>
        <w:spacing w:line="360" w:lineRule="auto"/>
        <w:ind w:firstLine="560" w:firstLineChars="200"/>
        <w:rPr>
          <w:rFonts w:hint="eastAsia" w:asciiTheme="minorEastAsia" w:hAnsiTheme="minorEastAsia" w:eastAsiaTheme="minorEastAsia"/>
          <w:color w:val="auto"/>
          <w:sz w:val="28"/>
          <w:szCs w:val="28"/>
        </w:rPr>
      </w:pPr>
    </w:p>
    <w:p w14:paraId="769A4340">
      <w:pPr>
        <w:ind w:firstLine="420" w:firstLineChars="200"/>
        <w:rPr>
          <w:color w:val="auto"/>
        </w:rPr>
      </w:pPr>
    </w:p>
    <w:p w14:paraId="57C95463">
      <w:pPr>
        <w:ind w:firstLine="420" w:firstLineChars="200"/>
        <w:rPr>
          <w:color w:val="auto"/>
        </w:rPr>
      </w:pPr>
    </w:p>
    <w:p w14:paraId="7D1D41EC">
      <w:pPr>
        <w:ind w:firstLine="420" w:firstLineChars="200"/>
        <w:rPr>
          <w:color w:val="auto"/>
        </w:rPr>
      </w:pPr>
    </w:p>
    <w:p w14:paraId="3414FEBC">
      <w:pPr>
        <w:ind w:firstLine="420" w:firstLineChars="200"/>
        <w:rPr>
          <w:color w:val="auto"/>
        </w:rPr>
      </w:pPr>
    </w:p>
    <w:p w14:paraId="4EEB3592">
      <w:pPr>
        <w:spacing w:line="480" w:lineRule="exact"/>
        <w:rPr>
          <w:rFonts w:hint="eastAsia" w:ascii="黑体" w:hAnsi="黑体" w:eastAsia="黑体" w:cs="黑体"/>
          <w:b/>
          <w:color w:val="auto"/>
          <w:sz w:val="28"/>
          <w:szCs w:val="28"/>
        </w:rPr>
      </w:pPr>
    </w:p>
    <w:p w14:paraId="5B02AA9D">
      <w:pPr>
        <w:spacing w:line="480" w:lineRule="exact"/>
        <w:rPr>
          <w:rFonts w:hint="eastAsia" w:ascii="黑体" w:hAnsi="黑体" w:eastAsia="黑体" w:cs="黑体"/>
          <w:b/>
          <w:color w:val="auto"/>
          <w:sz w:val="28"/>
          <w:szCs w:val="28"/>
        </w:rPr>
      </w:pPr>
    </w:p>
    <w:p w14:paraId="475DB1BE">
      <w:pPr>
        <w:spacing w:line="480" w:lineRule="exact"/>
        <w:rPr>
          <w:rFonts w:hint="eastAsia" w:ascii="黑体" w:hAnsi="黑体" w:eastAsia="黑体" w:cs="黑体"/>
          <w:b/>
          <w:color w:val="auto"/>
          <w:sz w:val="28"/>
          <w:szCs w:val="28"/>
        </w:rPr>
      </w:pPr>
    </w:p>
    <w:p w14:paraId="2A60938E">
      <w:pPr>
        <w:spacing w:line="480" w:lineRule="exact"/>
        <w:rPr>
          <w:rFonts w:hint="eastAsia" w:ascii="黑体" w:hAnsi="黑体" w:eastAsia="黑体" w:cs="黑体"/>
          <w:b/>
          <w:color w:val="auto"/>
          <w:sz w:val="28"/>
          <w:szCs w:val="28"/>
        </w:rPr>
      </w:pPr>
    </w:p>
    <w:p w14:paraId="437BA89F">
      <w:pPr>
        <w:spacing w:line="480" w:lineRule="exact"/>
        <w:rPr>
          <w:rFonts w:hint="eastAsia" w:ascii="黑体" w:hAnsi="黑体" w:eastAsia="黑体" w:cs="黑体"/>
          <w:b/>
          <w:color w:val="auto"/>
          <w:sz w:val="28"/>
          <w:szCs w:val="28"/>
        </w:rPr>
      </w:pPr>
    </w:p>
    <w:p w14:paraId="72DA54C0">
      <w:pPr>
        <w:spacing w:line="480" w:lineRule="exact"/>
        <w:rPr>
          <w:rFonts w:hint="eastAsia" w:ascii="黑体" w:hAnsi="黑体" w:eastAsia="黑体" w:cs="黑体"/>
          <w:b/>
          <w:color w:val="auto"/>
          <w:sz w:val="28"/>
          <w:szCs w:val="28"/>
        </w:rPr>
      </w:pPr>
    </w:p>
    <w:p w14:paraId="2EC36C30">
      <w:pPr>
        <w:spacing w:line="480" w:lineRule="exact"/>
        <w:rPr>
          <w:rFonts w:hint="eastAsia" w:ascii="黑体" w:hAnsi="黑体" w:eastAsia="黑体" w:cs="黑体"/>
          <w:b/>
          <w:color w:val="auto"/>
          <w:sz w:val="28"/>
          <w:szCs w:val="28"/>
        </w:rPr>
      </w:pPr>
    </w:p>
    <w:p w14:paraId="18A3C7FB">
      <w:pPr>
        <w:spacing w:line="480" w:lineRule="exact"/>
        <w:rPr>
          <w:rFonts w:hint="eastAsia" w:ascii="黑体" w:hAnsi="黑体" w:eastAsia="黑体" w:cs="黑体"/>
          <w:b/>
          <w:color w:val="auto"/>
          <w:sz w:val="28"/>
          <w:szCs w:val="28"/>
        </w:rPr>
      </w:pPr>
    </w:p>
    <w:p w14:paraId="7A58DE6B">
      <w:pPr>
        <w:spacing w:line="480" w:lineRule="exact"/>
        <w:rPr>
          <w:rFonts w:hint="eastAsia" w:ascii="黑体" w:hAnsi="黑体" w:eastAsia="黑体" w:cs="黑体"/>
          <w:b/>
          <w:color w:val="auto"/>
          <w:sz w:val="28"/>
          <w:szCs w:val="28"/>
        </w:rPr>
      </w:pPr>
    </w:p>
    <w:p w14:paraId="7C9372AA">
      <w:pPr>
        <w:spacing w:line="480" w:lineRule="exact"/>
        <w:rPr>
          <w:rFonts w:hint="eastAsia" w:ascii="黑体" w:hAnsi="黑体" w:eastAsia="黑体" w:cs="黑体"/>
          <w:b/>
          <w:color w:val="auto"/>
          <w:sz w:val="28"/>
          <w:szCs w:val="28"/>
        </w:rPr>
      </w:pPr>
    </w:p>
    <w:p w14:paraId="4EFB6233">
      <w:pPr>
        <w:spacing w:line="480" w:lineRule="exact"/>
        <w:rPr>
          <w:rFonts w:hint="eastAsia" w:ascii="黑体" w:hAnsi="黑体" w:eastAsia="黑体" w:cs="黑体"/>
          <w:b/>
          <w:color w:val="auto"/>
          <w:sz w:val="28"/>
          <w:szCs w:val="28"/>
        </w:rPr>
      </w:pPr>
    </w:p>
    <w:p w14:paraId="48E85541">
      <w:pPr>
        <w:spacing w:line="480" w:lineRule="exact"/>
        <w:rPr>
          <w:rFonts w:hint="eastAsia" w:ascii="黑体" w:hAnsi="黑体" w:eastAsia="黑体" w:cs="黑体"/>
          <w:b/>
          <w:color w:val="auto"/>
          <w:sz w:val="28"/>
          <w:szCs w:val="28"/>
        </w:rPr>
      </w:pPr>
    </w:p>
    <w:p w14:paraId="6038415F">
      <w:pPr>
        <w:spacing w:line="480" w:lineRule="exact"/>
        <w:rPr>
          <w:rFonts w:hint="eastAsia" w:ascii="黑体" w:hAnsi="黑体" w:eastAsia="黑体" w:cs="黑体"/>
          <w:b/>
          <w:color w:val="auto"/>
          <w:sz w:val="28"/>
          <w:szCs w:val="28"/>
        </w:rPr>
      </w:pPr>
    </w:p>
    <w:p w14:paraId="6E0129F1">
      <w:pPr>
        <w:spacing w:line="480" w:lineRule="exact"/>
        <w:rPr>
          <w:b/>
          <w:color w:val="auto"/>
          <w:sz w:val="28"/>
          <w:szCs w:val="28"/>
        </w:rPr>
      </w:pPr>
      <w:r>
        <w:rPr>
          <w:rFonts w:hint="eastAsia" w:ascii="黑体" w:hAnsi="黑体" w:eastAsia="黑体" w:cs="黑体"/>
          <w:b/>
          <w:color w:val="auto"/>
          <w:sz w:val="28"/>
          <w:szCs w:val="28"/>
        </w:rPr>
        <w:t>附件1：</w:t>
      </w:r>
    </w:p>
    <w:p w14:paraId="45D253A6">
      <w:pPr>
        <w:spacing w:line="480" w:lineRule="exact"/>
        <w:jc w:val="center"/>
        <w:rPr>
          <w:color w:val="auto"/>
        </w:rPr>
      </w:pPr>
      <w:r>
        <w:rPr>
          <w:rFonts w:hint="eastAsia"/>
          <w:b/>
          <w:color w:val="auto"/>
          <w:sz w:val="44"/>
          <w:szCs w:val="44"/>
        </w:rPr>
        <w:t xml:space="preserve">      </w:t>
      </w:r>
      <w:r>
        <w:rPr>
          <w:rFonts w:hint="eastAsia" w:ascii="黑体" w:hAnsi="黑体" w:eastAsia="黑体" w:cs="黑体"/>
          <w:b/>
          <w:color w:val="auto"/>
          <w:sz w:val="44"/>
          <w:szCs w:val="44"/>
        </w:rPr>
        <w:t>询价</w:t>
      </w:r>
      <w:r>
        <w:rPr>
          <w:rFonts w:hint="eastAsia" w:ascii="黑体" w:hAnsi="黑体" w:eastAsia="黑体" w:cs="黑体"/>
          <w:b/>
          <w:color w:val="auto"/>
          <w:sz w:val="44"/>
          <w:szCs w:val="44"/>
          <w:lang w:val="en-US" w:eastAsia="zh-CN"/>
        </w:rPr>
        <w:t>比价</w:t>
      </w:r>
      <w:r>
        <w:rPr>
          <w:rFonts w:hint="eastAsia" w:ascii="黑体" w:hAnsi="黑体" w:eastAsia="黑体" w:cs="黑体"/>
          <w:b/>
          <w:color w:val="auto"/>
          <w:sz w:val="44"/>
          <w:szCs w:val="44"/>
        </w:rPr>
        <w:t>采购报价表（服务类）</w:t>
      </w:r>
    </w:p>
    <w:p w14:paraId="17D1BC8C">
      <w:pPr>
        <w:spacing w:line="480" w:lineRule="exact"/>
        <w:rPr>
          <w:rFonts w:hint="eastAsia" w:ascii="宋体" w:hAnsi="宋体" w:cs="宋体"/>
          <w:color w:val="auto"/>
          <w:sz w:val="21"/>
          <w:szCs w:val="21"/>
        </w:rPr>
      </w:pPr>
      <w:r>
        <w:rPr>
          <w:rFonts w:hint="eastAsia" w:ascii="宋体" w:hAnsi="宋体" w:cs="宋体"/>
          <w:color w:val="auto"/>
          <w:sz w:val="21"/>
          <w:szCs w:val="21"/>
        </w:rPr>
        <w:t>项目名称：</w:t>
      </w:r>
      <w:r>
        <w:rPr>
          <w:rFonts w:hint="eastAsia" w:ascii="宋体" w:hAnsi="宋体" w:cs="宋体"/>
          <w:color w:val="auto"/>
          <w:sz w:val="21"/>
          <w:szCs w:val="21"/>
          <w:lang w:val="en-US" w:eastAsia="zh-CN"/>
        </w:rPr>
        <w:t>漳州高新职业技术学校2026-2027年度校区消杀服务采购项目</w:t>
      </w:r>
      <w:r>
        <w:rPr>
          <w:rFonts w:hint="eastAsia" w:ascii="宋体" w:hAnsi="宋体" w:cs="宋体"/>
          <w:color w:val="auto"/>
          <w:sz w:val="21"/>
          <w:szCs w:val="21"/>
        </w:rPr>
        <w:t xml:space="preserve">      </w:t>
      </w:r>
    </w:p>
    <w:tbl>
      <w:tblPr>
        <w:tblStyle w:val="16"/>
        <w:tblW w:w="100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17"/>
        <w:gridCol w:w="1158"/>
        <w:gridCol w:w="1048"/>
        <w:gridCol w:w="2576"/>
        <w:gridCol w:w="1117"/>
        <w:gridCol w:w="1083"/>
        <w:gridCol w:w="1167"/>
        <w:gridCol w:w="1055"/>
      </w:tblGrid>
      <w:tr w14:paraId="0B82E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720" w:type="dxa"/>
            <w:vAlign w:val="center"/>
          </w:tcPr>
          <w:p w14:paraId="4E926F60">
            <w:pPr>
              <w:spacing w:line="480" w:lineRule="exact"/>
              <w:jc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项号</w:t>
            </w:r>
          </w:p>
        </w:tc>
        <w:tc>
          <w:tcPr>
            <w:tcW w:w="1275" w:type="dxa"/>
            <w:gridSpan w:val="2"/>
            <w:vAlign w:val="center"/>
          </w:tcPr>
          <w:p w14:paraId="2BBBDAF4">
            <w:pPr>
              <w:spacing w:line="480" w:lineRule="exact"/>
              <w:jc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名称</w:t>
            </w:r>
          </w:p>
        </w:tc>
        <w:tc>
          <w:tcPr>
            <w:tcW w:w="3624" w:type="dxa"/>
            <w:gridSpan w:val="2"/>
            <w:vAlign w:val="center"/>
          </w:tcPr>
          <w:p w14:paraId="1AE44734">
            <w:pPr>
              <w:bidi w:val="0"/>
              <w:jc w:val="center"/>
              <w:rPr>
                <w:rFonts w:hint="eastAsia" w:ascii="宋体" w:hAnsi="宋体" w:eastAsia="宋体" w:cs="宋体"/>
                <w:b/>
                <w:bCs/>
                <w:i w:val="0"/>
                <w:iCs w:val="0"/>
                <w:color w:val="000000"/>
                <w:kern w:val="0"/>
                <w:szCs w:val="22"/>
                <w:u w:val="none"/>
                <w:lang w:val="en-US" w:eastAsia="zh-CN" w:bidi="ar"/>
              </w:rPr>
            </w:pPr>
            <w:r>
              <w:rPr>
                <w:rFonts w:hint="eastAsia"/>
                <w:b/>
                <w:bCs/>
                <w:sz w:val="22"/>
                <w:szCs w:val="28"/>
                <w:lang w:val="en-US" w:eastAsia="zh-CN"/>
              </w:rPr>
              <w:t>服务内容及消杀药剂</w:t>
            </w:r>
          </w:p>
        </w:tc>
        <w:tc>
          <w:tcPr>
            <w:tcW w:w="1117" w:type="dxa"/>
            <w:vAlign w:val="center"/>
          </w:tcPr>
          <w:p w14:paraId="10B0BA95">
            <w:pPr>
              <w:spacing w:line="480" w:lineRule="exact"/>
              <w:jc w:val="center"/>
              <w:rPr>
                <w:rFonts w:hint="default" w:ascii="宋体" w:hAnsi="宋体" w:cs="宋体"/>
                <w:b/>
                <w:bCs/>
                <w:i w:val="0"/>
                <w:iCs w:val="0"/>
                <w:color w:val="000000"/>
                <w:kern w:val="0"/>
                <w:sz w:val="22"/>
                <w:szCs w:val="22"/>
                <w:u w:val="none"/>
                <w:lang w:val="en-US" w:eastAsia="zh-CN" w:bidi="ar"/>
              </w:rPr>
            </w:pPr>
            <w:r>
              <w:rPr>
                <w:rFonts w:hint="eastAsia" w:ascii="宋体" w:hAnsi="宋体" w:cs="宋体"/>
                <w:b/>
                <w:bCs/>
                <w:i w:val="0"/>
                <w:iCs w:val="0"/>
                <w:color w:val="000000"/>
                <w:kern w:val="0"/>
                <w:sz w:val="22"/>
                <w:szCs w:val="22"/>
                <w:u w:val="none"/>
                <w:lang w:val="en-US" w:eastAsia="zh-CN" w:bidi="ar"/>
              </w:rPr>
              <w:t>单价</w:t>
            </w:r>
          </w:p>
        </w:tc>
        <w:tc>
          <w:tcPr>
            <w:tcW w:w="1083" w:type="dxa"/>
            <w:vAlign w:val="center"/>
          </w:tcPr>
          <w:p w14:paraId="524155F6">
            <w:pPr>
              <w:spacing w:line="480" w:lineRule="exact"/>
              <w:jc w:val="center"/>
              <w:rPr>
                <w:rFonts w:hint="default" w:ascii="宋体" w:hAnsi="宋体" w:cs="宋体"/>
                <w:b/>
                <w:bCs/>
                <w:i w:val="0"/>
                <w:iCs w:val="0"/>
                <w:color w:val="000000"/>
                <w:kern w:val="0"/>
                <w:sz w:val="22"/>
                <w:szCs w:val="22"/>
                <w:u w:val="none"/>
                <w:lang w:val="en-US" w:eastAsia="zh-CN" w:bidi="ar"/>
              </w:rPr>
            </w:pPr>
            <w:r>
              <w:rPr>
                <w:rFonts w:hint="eastAsia" w:ascii="宋体" w:hAnsi="宋体" w:cs="宋体"/>
                <w:b/>
                <w:bCs/>
                <w:i w:val="0"/>
                <w:iCs w:val="0"/>
                <w:color w:val="000000"/>
                <w:kern w:val="0"/>
                <w:sz w:val="22"/>
                <w:szCs w:val="22"/>
                <w:u w:val="none"/>
                <w:lang w:val="en-US" w:eastAsia="zh-CN" w:bidi="ar"/>
              </w:rPr>
              <w:t>次数</w:t>
            </w:r>
          </w:p>
        </w:tc>
        <w:tc>
          <w:tcPr>
            <w:tcW w:w="1167" w:type="dxa"/>
            <w:vAlign w:val="center"/>
          </w:tcPr>
          <w:p w14:paraId="36CE3447">
            <w:pPr>
              <w:spacing w:line="480" w:lineRule="exact"/>
              <w:jc w:val="center"/>
              <w:rPr>
                <w:rFonts w:hint="default" w:ascii="宋体" w:hAnsi="宋体" w:cs="宋体"/>
                <w:b/>
                <w:bCs/>
                <w:color w:val="auto"/>
                <w:sz w:val="21"/>
                <w:szCs w:val="21"/>
                <w:lang w:val="en-US" w:eastAsia="zh-CN"/>
              </w:rPr>
            </w:pPr>
            <w:r>
              <w:rPr>
                <w:rFonts w:hint="eastAsia" w:ascii="宋体" w:hAnsi="宋体" w:cs="宋体"/>
                <w:b/>
                <w:bCs/>
                <w:color w:val="auto"/>
                <w:sz w:val="21"/>
                <w:szCs w:val="21"/>
                <w:lang w:val="en-US" w:eastAsia="zh-CN"/>
              </w:rPr>
              <w:t>总额</w:t>
            </w:r>
          </w:p>
        </w:tc>
        <w:tc>
          <w:tcPr>
            <w:tcW w:w="1055" w:type="dxa"/>
            <w:vAlign w:val="center"/>
          </w:tcPr>
          <w:p w14:paraId="6709946E">
            <w:pPr>
              <w:spacing w:line="480" w:lineRule="exact"/>
              <w:jc w:val="center"/>
              <w:rPr>
                <w:rFonts w:hint="default" w:ascii="宋体" w:hAnsi="宋体" w:cs="宋体"/>
                <w:b/>
                <w:bCs/>
                <w:color w:val="auto"/>
                <w:sz w:val="21"/>
                <w:szCs w:val="21"/>
                <w:lang w:val="en-US" w:eastAsia="zh-CN"/>
              </w:rPr>
            </w:pPr>
            <w:r>
              <w:rPr>
                <w:rFonts w:hint="eastAsia" w:ascii="宋体" w:hAnsi="宋体" w:cs="宋体"/>
                <w:b/>
                <w:bCs/>
                <w:color w:val="auto"/>
                <w:sz w:val="21"/>
                <w:szCs w:val="21"/>
                <w:lang w:val="en-US" w:eastAsia="zh-CN"/>
              </w:rPr>
              <w:t>备注</w:t>
            </w:r>
          </w:p>
        </w:tc>
      </w:tr>
      <w:tr w14:paraId="1717F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720" w:type="dxa"/>
            <w:vAlign w:val="center"/>
          </w:tcPr>
          <w:p w14:paraId="6415A53C">
            <w:pPr>
              <w:spacing w:line="480" w:lineRule="exact"/>
              <w:jc w:val="center"/>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1</w:t>
            </w:r>
          </w:p>
        </w:tc>
        <w:tc>
          <w:tcPr>
            <w:tcW w:w="1275" w:type="dxa"/>
            <w:gridSpan w:val="2"/>
            <w:vAlign w:val="center"/>
          </w:tcPr>
          <w:p w14:paraId="2ACB525F">
            <w:pPr>
              <w:spacing w:line="480" w:lineRule="exact"/>
              <w:jc w:val="both"/>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灭蚊、蝇、蟑</w:t>
            </w:r>
          </w:p>
        </w:tc>
        <w:tc>
          <w:tcPr>
            <w:tcW w:w="3624" w:type="dxa"/>
            <w:gridSpan w:val="2"/>
            <w:vAlign w:val="center"/>
          </w:tcPr>
          <w:p w14:paraId="4264DA6F">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cs="宋体"/>
                <w:b/>
                <w:bCs/>
                <w:color w:val="auto"/>
                <w:sz w:val="21"/>
                <w:szCs w:val="21"/>
                <w:lang w:val="en-US" w:eastAsia="zh-CN"/>
              </w:rPr>
            </w:pPr>
            <w:r>
              <w:rPr>
                <w:rFonts w:hint="eastAsia" w:ascii="宋体" w:hAnsi="宋体" w:eastAsia="宋体" w:cs="宋体"/>
                <w:b/>
                <w:bCs/>
                <w:color w:val="auto"/>
                <w:kern w:val="2"/>
                <w:sz w:val="21"/>
                <w:szCs w:val="21"/>
                <w:lang w:val="en-US" w:eastAsia="zh-CN" w:bidi="ar-SA"/>
              </w:rPr>
              <w:t>1.</w:t>
            </w:r>
            <w:r>
              <w:rPr>
                <w:rFonts w:hint="eastAsia" w:ascii="宋体" w:hAnsi="宋体" w:cs="宋体"/>
                <w:b/>
                <w:bCs/>
                <w:color w:val="auto"/>
                <w:szCs w:val="21"/>
                <w:lang w:val="en-US" w:eastAsia="zh-CN"/>
              </w:rPr>
              <w:t>提供</w:t>
            </w:r>
            <w:r>
              <w:rPr>
                <w:rFonts w:hint="eastAsia" w:ascii="宋体" w:hAnsi="宋体" w:cs="宋体"/>
                <w:b/>
                <w:bCs/>
                <w:color w:val="auto"/>
                <w:sz w:val="21"/>
                <w:szCs w:val="21"/>
                <w:lang w:val="en-US" w:eastAsia="zh-CN"/>
              </w:rPr>
              <w:t>灭蚊、蝇、蟑消杀防治服务。</w:t>
            </w:r>
          </w:p>
          <w:p w14:paraId="3129617C">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宋体" w:hAnsi="宋体" w:cs="宋体"/>
                <w:b/>
                <w:bCs/>
                <w:color w:val="auto"/>
                <w:sz w:val="21"/>
                <w:szCs w:val="21"/>
                <w:lang w:val="en-US" w:eastAsia="zh-CN"/>
              </w:rPr>
            </w:pPr>
            <w:r>
              <w:rPr>
                <w:rFonts w:hint="default" w:ascii="宋体" w:hAnsi="宋体" w:eastAsia="宋体" w:cs="宋体"/>
                <w:b/>
                <w:bCs/>
                <w:color w:val="auto"/>
                <w:kern w:val="2"/>
                <w:sz w:val="21"/>
                <w:szCs w:val="21"/>
                <w:lang w:val="en-US" w:eastAsia="zh-CN" w:bidi="ar-SA"/>
              </w:rPr>
              <w:t>2.</w:t>
            </w:r>
            <w:r>
              <w:rPr>
                <w:rFonts w:hint="eastAsia" w:ascii="宋体" w:hAnsi="宋体" w:cs="宋体"/>
                <w:b/>
                <w:bCs/>
                <w:color w:val="auto"/>
                <w:sz w:val="21"/>
                <w:szCs w:val="21"/>
                <w:lang w:val="en-US" w:eastAsia="zh-CN"/>
              </w:rPr>
              <w:t>药剂要求：</w:t>
            </w:r>
          </w:p>
          <w:p w14:paraId="7C98AFD4">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cs="宋体"/>
                <w:color w:val="auto"/>
                <w:szCs w:val="21"/>
                <w:lang w:val="en-US" w:eastAsia="zh-CN"/>
              </w:rPr>
            </w:pPr>
            <w:r>
              <w:rPr>
                <w:rFonts w:hint="default" w:ascii="宋体" w:hAnsi="宋体" w:cs="宋体"/>
                <w:color w:val="auto"/>
                <w:szCs w:val="21"/>
                <w:lang w:val="en-US" w:eastAsia="zh-CN"/>
              </w:rPr>
              <w:t>A、15%氯氰.残杀威乳油规格:500ml/瓶，有效成分及含量:10%残杀威，5%氯氰菊酯</w:t>
            </w:r>
            <w:r>
              <w:rPr>
                <w:rFonts w:hint="eastAsia" w:ascii="宋体" w:hAnsi="宋体" w:cs="宋体"/>
                <w:color w:val="auto"/>
                <w:szCs w:val="21"/>
                <w:lang w:val="en-US" w:eastAsia="zh-CN"/>
              </w:rPr>
              <w:t>；</w:t>
            </w:r>
          </w:p>
          <w:p w14:paraId="17B2A83B">
            <w:pPr>
              <w:keepNext w:val="0"/>
              <w:keepLines w:val="0"/>
              <w:pageBreakBefore w:val="0"/>
              <w:widowControl w:val="0"/>
              <w:kinsoku/>
              <w:wordWrap/>
              <w:overflowPunct/>
              <w:topLinePunct w:val="0"/>
              <w:autoSpaceDE/>
              <w:autoSpaceDN/>
              <w:bidi w:val="0"/>
              <w:adjustRightInd/>
              <w:snapToGrid/>
              <w:textAlignment w:val="auto"/>
              <w:rPr>
                <w:rFonts w:hint="default" w:ascii="宋体" w:hAnsi="宋体" w:cs="宋体"/>
                <w:color w:val="auto"/>
                <w:szCs w:val="21"/>
                <w:lang w:val="en-US" w:eastAsia="zh-CN"/>
              </w:rPr>
            </w:pPr>
            <w:r>
              <w:rPr>
                <w:rFonts w:hint="default" w:ascii="宋体" w:hAnsi="宋体" w:cs="宋体"/>
                <w:color w:val="auto"/>
                <w:szCs w:val="21"/>
                <w:lang w:val="en-US" w:eastAsia="zh-CN"/>
              </w:rPr>
              <w:t>B、10%氟氯氰菊酯水乳剂 规格:500m1/瓶，有效成分及含量:·10%氟氯氰菊酯。</w:t>
            </w:r>
          </w:p>
        </w:tc>
        <w:tc>
          <w:tcPr>
            <w:tcW w:w="1117" w:type="dxa"/>
            <w:vAlign w:val="center"/>
          </w:tcPr>
          <w:p w14:paraId="1F1C3C1E">
            <w:pPr>
              <w:spacing w:line="480" w:lineRule="exact"/>
              <w:jc w:val="center"/>
              <w:rPr>
                <w:rFonts w:hint="default" w:ascii="宋体" w:hAnsi="宋体" w:eastAsia="宋体" w:cs="宋体"/>
                <w:color w:val="auto"/>
                <w:sz w:val="21"/>
                <w:szCs w:val="21"/>
                <w:lang w:val="en-US" w:eastAsia="zh-CN"/>
              </w:rPr>
            </w:pPr>
          </w:p>
        </w:tc>
        <w:tc>
          <w:tcPr>
            <w:tcW w:w="1083" w:type="dxa"/>
            <w:vAlign w:val="center"/>
          </w:tcPr>
          <w:p w14:paraId="279BD8A4">
            <w:pPr>
              <w:spacing w:line="480" w:lineRule="exact"/>
              <w:jc w:val="center"/>
              <w:rPr>
                <w:rFonts w:hint="eastAsia" w:ascii="宋体" w:hAnsi="宋体" w:cs="宋体"/>
                <w:color w:val="auto"/>
                <w:sz w:val="21"/>
                <w:szCs w:val="21"/>
                <w:lang w:val="en-US" w:eastAsia="zh-CN"/>
              </w:rPr>
            </w:pPr>
            <w:r>
              <w:rPr>
                <w:rFonts w:hint="eastAsia"/>
              </w:rPr>
              <w:t>24 次/年</w:t>
            </w:r>
          </w:p>
        </w:tc>
        <w:tc>
          <w:tcPr>
            <w:tcW w:w="1167" w:type="dxa"/>
            <w:vAlign w:val="center"/>
          </w:tcPr>
          <w:p w14:paraId="155957C1">
            <w:pPr>
              <w:spacing w:line="480" w:lineRule="exact"/>
              <w:jc w:val="center"/>
              <w:rPr>
                <w:rFonts w:hint="default" w:ascii="宋体" w:hAnsi="宋体" w:eastAsia="宋体" w:cs="宋体"/>
                <w:color w:val="auto"/>
                <w:sz w:val="21"/>
                <w:szCs w:val="21"/>
                <w:u w:val="single"/>
                <w:lang w:val="en-US" w:eastAsia="zh-CN"/>
              </w:rPr>
            </w:pPr>
          </w:p>
        </w:tc>
        <w:tc>
          <w:tcPr>
            <w:tcW w:w="1055" w:type="dxa"/>
            <w:vAlign w:val="center"/>
          </w:tcPr>
          <w:p w14:paraId="453D68FE">
            <w:pPr>
              <w:jc w:val="center"/>
              <w:rPr>
                <w:rFonts w:hint="eastAsia" w:ascii="宋体" w:hAnsi="宋体" w:cs="宋体"/>
                <w:color w:val="auto"/>
                <w:sz w:val="21"/>
                <w:szCs w:val="21"/>
                <w:u w:val="single"/>
              </w:rPr>
            </w:pPr>
          </w:p>
        </w:tc>
      </w:tr>
      <w:tr w14:paraId="42499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720" w:type="dxa"/>
            <w:vAlign w:val="center"/>
          </w:tcPr>
          <w:p w14:paraId="15B29E57">
            <w:pPr>
              <w:spacing w:line="480" w:lineRule="exact"/>
              <w:jc w:val="center"/>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2</w:t>
            </w:r>
          </w:p>
        </w:tc>
        <w:tc>
          <w:tcPr>
            <w:tcW w:w="1275" w:type="dxa"/>
            <w:gridSpan w:val="2"/>
            <w:vAlign w:val="center"/>
          </w:tcPr>
          <w:p w14:paraId="66B5FE4D">
            <w:pPr>
              <w:spacing w:line="480" w:lineRule="exact"/>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灭鼠</w:t>
            </w:r>
          </w:p>
        </w:tc>
        <w:tc>
          <w:tcPr>
            <w:tcW w:w="3624" w:type="dxa"/>
            <w:gridSpan w:val="2"/>
            <w:vAlign w:val="center"/>
          </w:tcPr>
          <w:p w14:paraId="4AFB1141">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cs="宋体"/>
                <w:b/>
                <w:bCs/>
                <w:color w:val="auto"/>
                <w:sz w:val="21"/>
                <w:szCs w:val="21"/>
                <w:lang w:val="en-US" w:eastAsia="zh-CN"/>
              </w:rPr>
            </w:pPr>
            <w:r>
              <w:rPr>
                <w:rFonts w:hint="eastAsia" w:ascii="宋体" w:hAnsi="宋体" w:eastAsia="宋体" w:cs="宋体"/>
                <w:b/>
                <w:bCs/>
                <w:color w:val="auto"/>
                <w:kern w:val="2"/>
                <w:sz w:val="21"/>
                <w:szCs w:val="21"/>
                <w:lang w:val="en-US" w:eastAsia="zh-CN" w:bidi="ar-SA"/>
              </w:rPr>
              <w:t>1.</w:t>
            </w:r>
            <w:r>
              <w:rPr>
                <w:rFonts w:hint="eastAsia" w:ascii="宋体" w:hAnsi="宋体" w:cs="宋体"/>
                <w:b/>
                <w:bCs/>
                <w:color w:val="auto"/>
                <w:szCs w:val="21"/>
                <w:lang w:val="en-US" w:eastAsia="zh-CN"/>
              </w:rPr>
              <w:t>提供</w:t>
            </w:r>
            <w:r>
              <w:rPr>
                <w:rFonts w:hint="eastAsia" w:ascii="宋体" w:hAnsi="宋体" w:cs="宋体"/>
                <w:b/>
                <w:bCs/>
                <w:color w:val="auto"/>
                <w:sz w:val="21"/>
                <w:szCs w:val="21"/>
                <w:lang w:val="en-US" w:eastAsia="zh-CN"/>
              </w:rPr>
              <w:t>灭鼠消杀防治服务。</w:t>
            </w:r>
          </w:p>
          <w:p w14:paraId="3FF102AD">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宋体" w:hAnsi="宋体" w:cs="宋体"/>
                <w:color w:val="auto"/>
                <w:szCs w:val="21"/>
                <w:lang w:val="en-US" w:eastAsia="zh-CN"/>
              </w:rPr>
            </w:pPr>
            <w:r>
              <w:rPr>
                <w:rFonts w:hint="default" w:ascii="宋体" w:hAnsi="宋体" w:eastAsia="宋体" w:cs="宋体"/>
                <w:b/>
                <w:bCs/>
                <w:color w:val="auto"/>
                <w:kern w:val="2"/>
                <w:sz w:val="21"/>
                <w:szCs w:val="21"/>
                <w:lang w:val="en-US" w:eastAsia="zh-CN" w:bidi="ar-SA"/>
              </w:rPr>
              <w:t>2.</w:t>
            </w:r>
            <w:r>
              <w:rPr>
                <w:rFonts w:hint="eastAsia" w:ascii="宋体" w:hAnsi="宋体" w:cs="宋体"/>
                <w:b/>
                <w:bCs/>
                <w:color w:val="auto"/>
                <w:sz w:val="21"/>
                <w:szCs w:val="21"/>
                <w:lang w:val="en-US" w:eastAsia="zh-CN"/>
              </w:rPr>
              <w:t>药剂要求：</w:t>
            </w:r>
          </w:p>
          <w:p w14:paraId="1EC22344">
            <w:pPr>
              <w:keepNext w:val="0"/>
              <w:keepLines w:val="0"/>
              <w:pageBreakBefore w:val="0"/>
              <w:widowControl w:val="0"/>
              <w:kinsoku/>
              <w:wordWrap/>
              <w:overflowPunct/>
              <w:topLinePunct w:val="0"/>
              <w:autoSpaceDE/>
              <w:autoSpaceDN/>
              <w:bidi w:val="0"/>
              <w:adjustRightInd/>
              <w:snapToGrid/>
              <w:textAlignment w:val="auto"/>
              <w:rPr>
                <w:rFonts w:hint="default" w:ascii="宋体" w:hAnsi="宋体" w:cs="宋体"/>
                <w:color w:val="auto"/>
                <w:szCs w:val="21"/>
                <w:lang w:val="en-US" w:eastAsia="zh-CN"/>
              </w:rPr>
            </w:pPr>
            <w:r>
              <w:rPr>
                <w:rFonts w:hint="default" w:ascii="宋体" w:hAnsi="宋体" w:cs="宋体"/>
                <w:color w:val="auto"/>
                <w:szCs w:val="21"/>
                <w:lang w:val="en-US" w:eastAsia="zh-CN"/>
              </w:rPr>
              <w:t>0.005%溴鼠灵饵剂</w:t>
            </w:r>
          </w:p>
        </w:tc>
        <w:tc>
          <w:tcPr>
            <w:tcW w:w="1117" w:type="dxa"/>
            <w:vAlign w:val="center"/>
          </w:tcPr>
          <w:p w14:paraId="668AF9DE">
            <w:pPr>
              <w:spacing w:line="480" w:lineRule="exact"/>
              <w:jc w:val="center"/>
              <w:rPr>
                <w:rFonts w:hint="default" w:ascii="宋体" w:hAnsi="宋体" w:cs="宋体"/>
                <w:color w:val="auto"/>
                <w:sz w:val="21"/>
                <w:szCs w:val="21"/>
                <w:lang w:val="en-US" w:eastAsia="zh-CN"/>
              </w:rPr>
            </w:pPr>
          </w:p>
        </w:tc>
        <w:tc>
          <w:tcPr>
            <w:tcW w:w="1083" w:type="dxa"/>
            <w:vAlign w:val="center"/>
          </w:tcPr>
          <w:p w14:paraId="777DDF18">
            <w:pPr>
              <w:spacing w:line="480" w:lineRule="exact"/>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12 次/年</w:t>
            </w:r>
          </w:p>
        </w:tc>
        <w:tc>
          <w:tcPr>
            <w:tcW w:w="1167" w:type="dxa"/>
            <w:vAlign w:val="center"/>
          </w:tcPr>
          <w:p w14:paraId="4F78DC2F">
            <w:pPr>
              <w:spacing w:line="480" w:lineRule="exact"/>
              <w:jc w:val="center"/>
              <w:rPr>
                <w:rFonts w:hint="eastAsia" w:ascii="宋体" w:hAnsi="宋体" w:cs="宋体"/>
                <w:color w:val="auto"/>
                <w:sz w:val="21"/>
                <w:szCs w:val="21"/>
                <w:lang w:val="en-US" w:eastAsia="zh-CN"/>
              </w:rPr>
            </w:pPr>
          </w:p>
        </w:tc>
        <w:tc>
          <w:tcPr>
            <w:tcW w:w="1055" w:type="dxa"/>
            <w:vAlign w:val="center"/>
          </w:tcPr>
          <w:p w14:paraId="7DC915B3">
            <w:pPr>
              <w:jc w:val="center"/>
              <w:rPr>
                <w:rFonts w:hint="eastAsia" w:ascii="宋体" w:hAnsi="宋体" w:cs="宋体"/>
                <w:color w:val="auto"/>
                <w:sz w:val="21"/>
                <w:szCs w:val="21"/>
                <w:u w:val="single"/>
              </w:rPr>
            </w:pPr>
          </w:p>
        </w:tc>
      </w:tr>
      <w:tr w14:paraId="77E8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720" w:type="dxa"/>
            <w:vAlign w:val="center"/>
          </w:tcPr>
          <w:p w14:paraId="5998E3CF">
            <w:pPr>
              <w:spacing w:line="480" w:lineRule="exact"/>
              <w:jc w:val="center"/>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3</w:t>
            </w:r>
          </w:p>
        </w:tc>
        <w:tc>
          <w:tcPr>
            <w:tcW w:w="1275" w:type="dxa"/>
            <w:gridSpan w:val="2"/>
            <w:vAlign w:val="center"/>
          </w:tcPr>
          <w:p w14:paraId="5B1FF489">
            <w:pPr>
              <w:spacing w:line="480" w:lineRule="exact"/>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灭红火蚁</w:t>
            </w:r>
          </w:p>
        </w:tc>
        <w:tc>
          <w:tcPr>
            <w:tcW w:w="3624" w:type="dxa"/>
            <w:gridSpan w:val="2"/>
            <w:vAlign w:val="center"/>
          </w:tcPr>
          <w:p w14:paraId="1EE950DC">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cs="宋体"/>
                <w:b/>
                <w:bCs/>
                <w:color w:val="auto"/>
                <w:sz w:val="21"/>
                <w:szCs w:val="21"/>
                <w:lang w:val="en-US" w:eastAsia="zh-CN"/>
              </w:rPr>
            </w:pPr>
            <w:r>
              <w:rPr>
                <w:rFonts w:hint="eastAsia" w:ascii="宋体" w:hAnsi="宋体" w:eastAsia="宋体" w:cs="宋体"/>
                <w:b/>
                <w:bCs/>
                <w:color w:val="auto"/>
                <w:kern w:val="2"/>
                <w:sz w:val="21"/>
                <w:szCs w:val="21"/>
                <w:lang w:val="en-US" w:eastAsia="zh-CN" w:bidi="ar-SA"/>
              </w:rPr>
              <w:t>1.</w:t>
            </w:r>
            <w:r>
              <w:rPr>
                <w:rFonts w:hint="eastAsia" w:ascii="宋体" w:hAnsi="宋体" w:cs="宋体"/>
                <w:b/>
                <w:bCs/>
                <w:color w:val="auto"/>
                <w:szCs w:val="21"/>
                <w:lang w:val="en-US" w:eastAsia="zh-CN"/>
              </w:rPr>
              <w:t>提供</w:t>
            </w:r>
            <w:r>
              <w:rPr>
                <w:rFonts w:hint="eastAsia" w:ascii="宋体" w:hAnsi="宋体" w:cs="宋体"/>
                <w:b/>
                <w:bCs/>
                <w:color w:val="auto"/>
                <w:sz w:val="21"/>
                <w:szCs w:val="21"/>
                <w:lang w:val="en-US" w:eastAsia="zh-CN"/>
              </w:rPr>
              <w:t>灭红火蚁消杀防治服务。</w:t>
            </w:r>
          </w:p>
          <w:p w14:paraId="114D09B5">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宋体" w:hAnsi="宋体" w:cs="宋体"/>
                <w:color w:val="auto"/>
                <w:szCs w:val="21"/>
                <w:lang w:val="en-US" w:eastAsia="zh-CN"/>
              </w:rPr>
            </w:pPr>
            <w:r>
              <w:rPr>
                <w:rFonts w:hint="default" w:ascii="宋体" w:hAnsi="宋体" w:eastAsia="宋体" w:cs="宋体"/>
                <w:b/>
                <w:bCs/>
                <w:color w:val="auto"/>
                <w:kern w:val="2"/>
                <w:sz w:val="21"/>
                <w:szCs w:val="21"/>
                <w:lang w:val="en-US" w:eastAsia="zh-CN" w:bidi="ar-SA"/>
              </w:rPr>
              <w:t>2.</w:t>
            </w:r>
            <w:r>
              <w:rPr>
                <w:rFonts w:hint="eastAsia" w:ascii="宋体" w:hAnsi="宋体" w:cs="宋体"/>
                <w:b/>
                <w:bCs/>
                <w:color w:val="auto"/>
                <w:sz w:val="21"/>
                <w:szCs w:val="21"/>
                <w:lang w:val="en-US" w:eastAsia="zh-CN"/>
              </w:rPr>
              <w:t>药剂要求：</w:t>
            </w:r>
          </w:p>
          <w:p w14:paraId="4B90E619">
            <w:pPr>
              <w:keepNext w:val="0"/>
              <w:keepLines w:val="0"/>
              <w:pageBreakBefore w:val="0"/>
              <w:widowControl w:val="0"/>
              <w:kinsoku/>
              <w:wordWrap/>
              <w:overflowPunct/>
              <w:topLinePunct w:val="0"/>
              <w:autoSpaceDE/>
              <w:autoSpaceDN/>
              <w:bidi w:val="0"/>
              <w:adjustRightInd/>
              <w:snapToGrid/>
              <w:textAlignment w:val="auto"/>
              <w:rPr>
                <w:rFonts w:hint="default" w:ascii="宋体" w:hAnsi="宋体" w:cs="宋体"/>
                <w:color w:val="auto"/>
                <w:szCs w:val="21"/>
                <w:lang w:val="en-US" w:eastAsia="zh-CN"/>
              </w:rPr>
            </w:pPr>
            <w:r>
              <w:rPr>
                <w:rFonts w:hint="default" w:ascii="宋体" w:hAnsi="宋体" w:cs="宋体"/>
                <w:color w:val="auto"/>
                <w:szCs w:val="21"/>
                <w:lang w:val="en-US" w:eastAsia="zh-CN"/>
              </w:rPr>
              <w:t>0.3%氯氰菊酯杀虫粉剂，有效成分及含量:0.3%氯氰菊酯</w:t>
            </w:r>
          </w:p>
        </w:tc>
        <w:tc>
          <w:tcPr>
            <w:tcW w:w="1117" w:type="dxa"/>
            <w:vAlign w:val="center"/>
          </w:tcPr>
          <w:p w14:paraId="29C85DE1">
            <w:pPr>
              <w:spacing w:line="480" w:lineRule="exact"/>
              <w:jc w:val="center"/>
              <w:rPr>
                <w:rFonts w:hint="default" w:ascii="宋体" w:hAnsi="宋体" w:cs="宋体"/>
                <w:color w:val="auto"/>
                <w:sz w:val="21"/>
                <w:szCs w:val="21"/>
                <w:lang w:val="en-US" w:eastAsia="zh-CN"/>
              </w:rPr>
            </w:pPr>
          </w:p>
        </w:tc>
        <w:tc>
          <w:tcPr>
            <w:tcW w:w="1083" w:type="dxa"/>
            <w:vAlign w:val="center"/>
          </w:tcPr>
          <w:p w14:paraId="25954DA9">
            <w:pPr>
              <w:spacing w:line="480" w:lineRule="exact"/>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24 次/年</w:t>
            </w:r>
          </w:p>
        </w:tc>
        <w:tc>
          <w:tcPr>
            <w:tcW w:w="1167" w:type="dxa"/>
            <w:vAlign w:val="center"/>
          </w:tcPr>
          <w:p w14:paraId="2A25A571">
            <w:pPr>
              <w:spacing w:line="480" w:lineRule="exact"/>
              <w:jc w:val="center"/>
              <w:rPr>
                <w:rFonts w:hint="eastAsia" w:ascii="宋体" w:hAnsi="宋体" w:cs="宋体"/>
                <w:color w:val="auto"/>
                <w:sz w:val="21"/>
                <w:szCs w:val="21"/>
                <w:lang w:val="en-US" w:eastAsia="zh-CN"/>
              </w:rPr>
            </w:pPr>
          </w:p>
        </w:tc>
        <w:tc>
          <w:tcPr>
            <w:tcW w:w="1055" w:type="dxa"/>
            <w:vAlign w:val="center"/>
          </w:tcPr>
          <w:p w14:paraId="3A14526C">
            <w:pPr>
              <w:jc w:val="center"/>
              <w:rPr>
                <w:rFonts w:hint="eastAsia" w:ascii="宋体" w:hAnsi="宋体" w:cs="宋体"/>
                <w:color w:val="auto"/>
                <w:sz w:val="21"/>
                <w:szCs w:val="21"/>
                <w:u w:val="single"/>
              </w:rPr>
            </w:pPr>
          </w:p>
        </w:tc>
      </w:tr>
      <w:tr w14:paraId="503CE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720" w:type="dxa"/>
            <w:vAlign w:val="center"/>
          </w:tcPr>
          <w:p w14:paraId="2916E072">
            <w:pPr>
              <w:spacing w:line="480" w:lineRule="exact"/>
              <w:jc w:val="center"/>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4</w:t>
            </w:r>
          </w:p>
        </w:tc>
        <w:tc>
          <w:tcPr>
            <w:tcW w:w="1275" w:type="dxa"/>
            <w:gridSpan w:val="2"/>
            <w:vAlign w:val="center"/>
          </w:tcPr>
          <w:p w14:paraId="0BB789D8">
            <w:pPr>
              <w:spacing w:line="480" w:lineRule="exact"/>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灭白蚁</w:t>
            </w:r>
          </w:p>
        </w:tc>
        <w:tc>
          <w:tcPr>
            <w:tcW w:w="3624" w:type="dxa"/>
            <w:gridSpan w:val="2"/>
            <w:vAlign w:val="center"/>
          </w:tcPr>
          <w:p w14:paraId="4420B38F">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cs="宋体"/>
                <w:b/>
                <w:bCs/>
                <w:color w:val="auto"/>
                <w:sz w:val="21"/>
                <w:szCs w:val="21"/>
                <w:lang w:val="en-US" w:eastAsia="zh-CN"/>
              </w:rPr>
            </w:pPr>
            <w:r>
              <w:rPr>
                <w:rFonts w:hint="eastAsia" w:ascii="宋体" w:hAnsi="宋体" w:eastAsia="宋体" w:cs="宋体"/>
                <w:b/>
                <w:bCs/>
                <w:color w:val="auto"/>
                <w:kern w:val="2"/>
                <w:sz w:val="21"/>
                <w:szCs w:val="21"/>
                <w:lang w:val="en-US" w:eastAsia="zh-CN" w:bidi="ar-SA"/>
              </w:rPr>
              <w:t>1.</w:t>
            </w:r>
            <w:r>
              <w:rPr>
                <w:rFonts w:hint="eastAsia" w:ascii="宋体" w:hAnsi="宋体" w:cs="宋体"/>
                <w:b/>
                <w:bCs/>
                <w:color w:val="auto"/>
                <w:szCs w:val="21"/>
                <w:lang w:val="en-US" w:eastAsia="zh-CN"/>
              </w:rPr>
              <w:t>提供</w:t>
            </w:r>
            <w:r>
              <w:rPr>
                <w:rFonts w:hint="eastAsia" w:ascii="宋体" w:hAnsi="宋体" w:cs="宋体"/>
                <w:b/>
                <w:bCs/>
                <w:color w:val="auto"/>
                <w:sz w:val="21"/>
                <w:szCs w:val="21"/>
                <w:lang w:val="en-US" w:eastAsia="zh-CN"/>
              </w:rPr>
              <w:t>灭白蚁消杀防治服务。</w:t>
            </w:r>
          </w:p>
          <w:p w14:paraId="44CB455F">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宋体" w:hAnsi="宋体" w:cs="宋体"/>
                <w:color w:val="auto"/>
                <w:szCs w:val="21"/>
                <w:lang w:val="en-US" w:eastAsia="zh-CN"/>
              </w:rPr>
            </w:pPr>
            <w:r>
              <w:rPr>
                <w:rFonts w:hint="default" w:ascii="宋体" w:hAnsi="宋体" w:eastAsia="宋体" w:cs="宋体"/>
                <w:b/>
                <w:bCs/>
                <w:color w:val="auto"/>
                <w:kern w:val="2"/>
                <w:sz w:val="21"/>
                <w:szCs w:val="21"/>
                <w:lang w:val="en-US" w:eastAsia="zh-CN" w:bidi="ar-SA"/>
              </w:rPr>
              <w:t>2.</w:t>
            </w:r>
            <w:r>
              <w:rPr>
                <w:rFonts w:hint="eastAsia" w:ascii="宋体" w:hAnsi="宋体" w:cs="宋体"/>
                <w:b/>
                <w:bCs/>
                <w:color w:val="auto"/>
                <w:sz w:val="21"/>
                <w:szCs w:val="21"/>
                <w:lang w:val="en-US" w:eastAsia="zh-CN"/>
              </w:rPr>
              <w:t>药剂要求：</w:t>
            </w:r>
          </w:p>
          <w:p w14:paraId="55B41D81">
            <w:pPr>
              <w:keepNext w:val="0"/>
              <w:keepLines w:val="0"/>
              <w:pageBreakBefore w:val="0"/>
              <w:widowControl w:val="0"/>
              <w:kinsoku/>
              <w:wordWrap/>
              <w:overflowPunct/>
              <w:topLinePunct w:val="0"/>
              <w:autoSpaceDE/>
              <w:autoSpaceDN/>
              <w:bidi w:val="0"/>
              <w:adjustRightInd/>
              <w:snapToGrid/>
              <w:textAlignment w:val="auto"/>
              <w:rPr>
                <w:rFonts w:hint="default" w:ascii="宋体" w:hAnsi="宋体" w:cs="宋体"/>
                <w:color w:val="auto"/>
                <w:szCs w:val="21"/>
                <w:lang w:val="en-US" w:eastAsia="zh-CN"/>
              </w:rPr>
            </w:pPr>
            <w:r>
              <w:rPr>
                <w:rFonts w:hint="default" w:ascii="宋体" w:hAnsi="宋体" w:cs="宋体"/>
                <w:color w:val="auto"/>
                <w:szCs w:val="21"/>
                <w:lang w:val="en-US" w:eastAsia="zh-CN"/>
              </w:rPr>
              <w:t>5%联苯菊脂悬浮剂，有效成分及含量:联苯菊酯 5%</w:t>
            </w:r>
          </w:p>
        </w:tc>
        <w:tc>
          <w:tcPr>
            <w:tcW w:w="1117" w:type="dxa"/>
            <w:vAlign w:val="center"/>
          </w:tcPr>
          <w:p w14:paraId="7569A2E7">
            <w:pPr>
              <w:spacing w:line="480" w:lineRule="exact"/>
              <w:jc w:val="center"/>
              <w:rPr>
                <w:rFonts w:hint="default" w:ascii="宋体" w:hAnsi="宋体" w:cs="宋体"/>
                <w:color w:val="auto"/>
                <w:sz w:val="21"/>
                <w:szCs w:val="21"/>
                <w:lang w:val="en-US" w:eastAsia="zh-CN"/>
              </w:rPr>
            </w:pPr>
          </w:p>
        </w:tc>
        <w:tc>
          <w:tcPr>
            <w:tcW w:w="1083" w:type="dxa"/>
            <w:vAlign w:val="center"/>
          </w:tcPr>
          <w:p w14:paraId="701BDAF0">
            <w:pPr>
              <w:spacing w:line="480" w:lineRule="exact"/>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12 次/年</w:t>
            </w:r>
          </w:p>
        </w:tc>
        <w:tc>
          <w:tcPr>
            <w:tcW w:w="1167" w:type="dxa"/>
            <w:vAlign w:val="center"/>
          </w:tcPr>
          <w:p w14:paraId="57971DAF">
            <w:pPr>
              <w:spacing w:line="480" w:lineRule="exact"/>
              <w:jc w:val="center"/>
              <w:rPr>
                <w:rFonts w:hint="eastAsia" w:ascii="宋体" w:hAnsi="宋体" w:cs="宋体"/>
                <w:color w:val="auto"/>
                <w:sz w:val="21"/>
                <w:szCs w:val="21"/>
                <w:lang w:val="en-US" w:eastAsia="zh-CN"/>
              </w:rPr>
            </w:pPr>
          </w:p>
        </w:tc>
        <w:tc>
          <w:tcPr>
            <w:tcW w:w="1055" w:type="dxa"/>
            <w:vAlign w:val="center"/>
          </w:tcPr>
          <w:p w14:paraId="0E853E5C">
            <w:pPr>
              <w:jc w:val="center"/>
              <w:rPr>
                <w:rFonts w:hint="eastAsia" w:ascii="宋体" w:hAnsi="宋体" w:cs="宋体"/>
                <w:color w:val="auto"/>
                <w:sz w:val="21"/>
                <w:szCs w:val="21"/>
                <w:u w:val="single"/>
              </w:rPr>
            </w:pPr>
          </w:p>
        </w:tc>
      </w:tr>
      <w:tr w14:paraId="17937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720" w:type="dxa"/>
            <w:vAlign w:val="center"/>
          </w:tcPr>
          <w:p w14:paraId="1F7B295D">
            <w:pPr>
              <w:spacing w:line="480" w:lineRule="exact"/>
              <w:jc w:val="center"/>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5</w:t>
            </w:r>
          </w:p>
        </w:tc>
        <w:tc>
          <w:tcPr>
            <w:tcW w:w="1275" w:type="dxa"/>
            <w:gridSpan w:val="2"/>
            <w:vAlign w:val="center"/>
          </w:tcPr>
          <w:p w14:paraId="6319D8FF">
            <w:pPr>
              <w:spacing w:line="480" w:lineRule="exact"/>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驱蛇</w:t>
            </w:r>
          </w:p>
        </w:tc>
        <w:tc>
          <w:tcPr>
            <w:tcW w:w="3624" w:type="dxa"/>
            <w:gridSpan w:val="2"/>
            <w:vAlign w:val="center"/>
          </w:tcPr>
          <w:p w14:paraId="3B311944">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cs="宋体"/>
                <w:b/>
                <w:bCs/>
                <w:color w:val="auto"/>
                <w:sz w:val="21"/>
                <w:szCs w:val="21"/>
                <w:lang w:val="en-US" w:eastAsia="zh-CN"/>
              </w:rPr>
            </w:pPr>
            <w:r>
              <w:rPr>
                <w:rFonts w:hint="eastAsia" w:ascii="宋体" w:hAnsi="宋体" w:eastAsia="宋体" w:cs="宋体"/>
                <w:b/>
                <w:bCs/>
                <w:color w:val="auto"/>
                <w:kern w:val="2"/>
                <w:sz w:val="21"/>
                <w:szCs w:val="21"/>
                <w:lang w:val="en-US" w:eastAsia="zh-CN" w:bidi="ar-SA"/>
              </w:rPr>
              <w:t>1.</w:t>
            </w:r>
            <w:r>
              <w:rPr>
                <w:rFonts w:hint="eastAsia" w:ascii="宋体" w:hAnsi="宋体" w:cs="宋体"/>
                <w:b/>
                <w:bCs/>
                <w:color w:val="auto"/>
                <w:szCs w:val="21"/>
                <w:lang w:val="en-US" w:eastAsia="zh-CN"/>
              </w:rPr>
              <w:t>提供</w:t>
            </w:r>
            <w:r>
              <w:rPr>
                <w:rFonts w:hint="eastAsia" w:ascii="宋体" w:hAnsi="宋体" w:cs="宋体"/>
                <w:b/>
                <w:bCs/>
                <w:color w:val="auto"/>
                <w:sz w:val="21"/>
                <w:szCs w:val="21"/>
                <w:lang w:val="en-US" w:eastAsia="zh-CN"/>
              </w:rPr>
              <w:t>驱蛇消杀防治服务。</w:t>
            </w:r>
          </w:p>
          <w:p w14:paraId="48387F92">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宋体" w:hAnsi="宋体" w:cs="宋体"/>
                <w:color w:val="auto"/>
                <w:szCs w:val="21"/>
                <w:lang w:val="en-US" w:eastAsia="zh-CN"/>
              </w:rPr>
            </w:pPr>
            <w:r>
              <w:rPr>
                <w:rFonts w:hint="default" w:ascii="宋体" w:hAnsi="宋体" w:eastAsia="宋体" w:cs="宋体"/>
                <w:b/>
                <w:bCs/>
                <w:color w:val="auto"/>
                <w:kern w:val="2"/>
                <w:sz w:val="21"/>
                <w:szCs w:val="21"/>
                <w:lang w:val="en-US" w:eastAsia="zh-CN" w:bidi="ar-SA"/>
              </w:rPr>
              <w:t>2.</w:t>
            </w:r>
            <w:r>
              <w:rPr>
                <w:rFonts w:hint="eastAsia" w:ascii="宋体" w:hAnsi="宋体" w:cs="宋体"/>
                <w:b/>
                <w:bCs/>
                <w:color w:val="auto"/>
                <w:sz w:val="21"/>
                <w:szCs w:val="21"/>
                <w:lang w:val="en-US" w:eastAsia="zh-CN"/>
              </w:rPr>
              <w:t>药剂要求：</w:t>
            </w:r>
          </w:p>
          <w:p w14:paraId="2C533418">
            <w:pPr>
              <w:keepNext w:val="0"/>
              <w:keepLines w:val="0"/>
              <w:pageBreakBefore w:val="0"/>
              <w:widowControl w:val="0"/>
              <w:kinsoku/>
              <w:wordWrap/>
              <w:overflowPunct/>
              <w:topLinePunct w:val="0"/>
              <w:autoSpaceDE/>
              <w:autoSpaceDN/>
              <w:bidi w:val="0"/>
              <w:adjustRightInd/>
              <w:snapToGrid/>
              <w:textAlignment w:val="auto"/>
              <w:rPr>
                <w:rFonts w:hint="default" w:ascii="宋体" w:hAnsi="宋体" w:cs="宋体"/>
                <w:color w:val="auto"/>
                <w:szCs w:val="21"/>
                <w:lang w:val="en-US" w:eastAsia="zh-CN"/>
              </w:rPr>
            </w:pPr>
            <w:r>
              <w:rPr>
                <w:rFonts w:hint="default" w:ascii="宋体" w:hAnsi="宋体" w:cs="宋体"/>
                <w:color w:val="auto"/>
                <w:szCs w:val="21"/>
                <w:lang w:val="en-US" w:eastAsia="zh-CN"/>
              </w:rPr>
              <w:t>天然驱蛇药剂</w:t>
            </w:r>
          </w:p>
        </w:tc>
        <w:tc>
          <w:tcPr>
            <w:tcW w:w="1117" w:type="dxa"/>
            <w:vAlign w:val="center"/>
          </w:tcPr>
          <w:p w14:paraId="0505BA5B">
            <w:pPr>
              <w:spacing w:line="480" w:lineRule="exact"/>
              <w:jc w:val="center"/>
              <w:rPr>
                <w:rFonts w:hint="default" w:ascii="宋体" w:hAnsi="宋体" w:cs="宋体"/>
                <w:color w:val="auto"/>
                <w:sz w:val="21"/>
                <w:szCs w:val="21"/>
                <w:lang w:val="en-US" w:eastAsia="zh-CN"/>
              </w:rPr>
            </w:pPr>
          </w:p>
        </w:tc>
        <w:tc>
          <w:tcPr>
            <w:tcW w:w="1083" w:type="dxa"/>
            <w:vAlign w:val="center"/>
          </w:tcPr>
          <w:p w14:paraId="1E090411">
            <w:pPr>
              <w:spacing w:line="480" w:lineRule="exact"/>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4次/年</w:t>
            </w:r>
          </w:p>
        </w:tc>
        <w:tc>
          <w:tcPr>
            <w:tcW w:w="1167" w:type="dxa"/>
            <w:vAlign w:val="center"/>
          </w:tcPr>
          <w:p w14:paraId="36C4CBC5">
            <w:pPr>
              <w:spacing w:line="480" w:lineRule="exact"/>
              <w:jc w:val="center"/>
              <w:rPr>
                <w:rFonts w:hint="eastAsia" w:ascii="宋体" w:hAnsi="宋体" w:cs="宋体"/>
                <w:color w:val="auto"/>
                <w:sz w:val="21"/>
                <w:szCs w:val="21"/>
                <w:lang w:val="en-US" w:eastAsia="zh-CN"/>
              </w:rPr>
            </w:pPr>
          </w:p>
        </w:tc>
        <w:tc>
          <w:tcPr>
            <w:tcW w:w="1055" w:type="dxa"/>
            <w:vAlign w:val="center"/>
          </w:tcPr>
          <w:p w14:paraId="7977F923">
            <w:pPr>
              <w:jc w:val="center"/>
              <w:rPr>
                <w:rFonts w:hint="eastAsia" w:ascii="宋体" w:hAnsi="宋体" w:cs="宋体"/>
                <w:color w:val="auto"/>
                <w:sz w:val="21"/>
                <w:szCs w:val="21"/>
                <w:u w:val="single"/>
              </w:rPr>
            </w:pPr>
          </w:p>
        </w:tc>
      </w:tr>
      <w:tr w14:paraId="6E70F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5619" w:type="dxa"/>
            <w:gridSpan w:val="5"/>
          </w:tcPr>
          <w:p w14:paraId="58E8E897">
            <w:pPr>
              <w:rPr>
                <w:rFonts w:hint="eastAsia" w:ascii="宋体" w:hAnsi="宋体" w:cs="宋体"/>
                <w:b/>
                <w:bCs/>
                <w:color w:val="auto"/>
                <w:sz w:val="21"/>
                <w:szCs w:val="21"/>
              </w:rPr>
            </w:pPr>
            <w:r>
              <w:rPr>
                <w:rFonts w:hint="eastAsia" w:ascii="宋体" w:hAnsi="宋体" w:cs="宋体"/>
                <w:b/>
                <w:bCs/>
                <w:color w:val="auto"/>
                <w:sz w:val="21"/>
                <w:szCs w:val="21"/>
              </w:rPr>
              <w:t>交货时间、地点、售后服务及其他要求：</w:t>
            </w:r>
          </w:p>
          <w:p w14:paraId="01177CA7">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cs="宋体"/>
                <w:color w:val="auto"/>
                <w:sz w:val="21"/>
                <w:szCs w:val="21"/>
              </w:rPr>
            </w:pPr>
            <w:r>
              <w:rPr>
                <w:rFonts w:hint="eastAsia" w:ascii="宋体" w:hAnsi="宋体" w:cs="宋体"/>
                <w:color w:val="auto"/>
                <w:sz w:val="21"/>
                <w:szCs w:val="21"/>
              </w:rPr>
              <w:t>1</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本项目须按报价表及</w:t>
            </w:r>
            <w:r>
              <w:rPr>
                <w:rFonts w:hint="eastAsia" w:ascii="宋体" w:hAnsi="宋体" w:cs="宋体"/>
                <w:b/>
                <w:bCs/>
                <w:color w:val="auto"/>
                <w:sz w:val="21"/>
                <w:szCs w:val="21"/>
                <w:lang w:val="en-US" w:eastAsia="zh-CN"/>
              </w:rPr>
              <w:t>公告中校园消杀服务要求</w:t>
            </w:r>
            <w:r>
              <w:rPr>
                <w:rFonts w:hint="eastAsia" w:ascii="宋体" w:hAnsi="宋体" w:cs="宋体"/>
                <w:color w:val="auto"/>
                <w:sz w:val="21"/>
                <w:szCs w:val="21"/>
                <w:lang w:val="en-US" w:eastAsia="zh-CN"/>
              </w:rPr>
              <w:t>供应消杀药剂，并结合消杀频次实施校园消杀服务。</w:t>
            </w:r>
            <w:r>
              <w:rPr>
                <w:rFonts w:hint="eastAsia" w:ascii="宋体" w:hAnsi="宋体" w:cs="宋体"/>
                <w:color w:val="auto"/>
                <w:sz w:val="21"/>
                <w:szCs w:val="21"/>
              </w:rPr>
              <w:t>所有</w:t>
            </w:r>
            <w:r>
              <w:rPr>
                <w:rFonts w:hint="eastAsia" w:ascii="宋体" w:hAnsi="宋体" w:cs="宋体"/>
                <w:color w:val="auto"/>
                <w:sz w:val="21"/>
                <w:szCs w:val="21"/>
                <w:lang w:val="en-US" w:eastAsia="zh-CN"/>
              </w:rPr>
              <w:t>服务的要求</w:t>
            </w:r>
            <w:r>
              <w:rPr>
                <w:rFonts w:hint="eastAsia" w:ascii="宋体" w:hAnsi="宋体" w:cs="宋体"/>
                <w:color w:val="auto"/>
                <w:sz w:val="21"/>
                <w:szCs w:val="21"/>
              </w:rPr>
              <w:t>包括且不仅限于质量、环保、安全等，必须符合政府、行业相关规范标准要求。</w:t>
            </w:r>
          </w:p>
          <w:p w14:paraId="218C5F27">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cs="宋体"/>
                <w:color w:val="auto"/>
                <w:sz w:val="21"/>
                <w:szCs w:val="21"/>
              </w:rPr>
            </w:pPr>
            <w:r>
              <w:rPr>
                <w:rFonts w:hint="eastAsia" w:ascii="宋体" w:hAnsi="宋体" w:cs="宋体"/>
                <w:color w:val="auto"/>
                <w:sz w:val="21"/>
                <w:szCs w:val="21"/>
              </w:rPr>
              <w:t>2</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服务</w:t>
            </w:r>
            <w:r>
              <w:rPr>
                <w:rFonts w:hint="eastAsia" w:ascii="宋体" w:hAnsi="宋体" w:cs="宋体"/>
                <w:color w:val="auto"/>
                <w:sz w:val="21"/>
                <w:szCs w:val="21"/>
              </w:rPr>
              <w:t>时间：</w:t>
            </w:r>
            <w:r>
              <w:rPr>
                <w:rFonts w:hint="eastAsia" w:ascii="宋体" w:hAnsi="宋体" w:cs="宋体"/>
                <w:color w:val="auto"/>
                <w:sz w:val="21"/>
                <w:szCs w:val="21"/>
                <w:lang w:val="en-US" w:eastAsia="zh-CN"/>
              </w:rPr>
              <w:t>自合同签订后，采购人所需消杀服务，应至少提前两天与成交供应商预约，成交供应商不得拒接，应按照双方约定时间、地点、人数提供服务。</w:t>
            </w:r>
          </w:p>
          <w:p w14:paraId="3783C24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cs="宋体"/>
                <w:color w:val="auto"/>
                <w:sz w:val="21"/>
                <w:szCs w:val="21"/>
              </w:rPr>
            </w:pPr>
            <w:r>
              <w:rPr>
                <w:rFonts w:hint="eastAsia" w:ascii="宋体" w:hAnsi="宋体" w:cs="宋体"/>
                <w:color w:val="auto"/>
                <w:sz w:val="21"/>
                <w:szCs w:val="21"/>
              </w:rPr>
              <w:t>3</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服务</w:t>
            </w:r>
            <w:r>
              <w:rPr>
                <w:rFonts w:hint="eastAsia" w:ascii="宋体" w:hAnsi="宋体" w:cs="宋体"/>
                <w:color w:val="auto"/>
                <w:sz w:val="21"/>
                <w:szCs w:val="21"/>
              </w:rPr>
              <w:t>地点：采购人指定地点。</w:t>
            </w:r>
          </w:p>
          <w:p w14:paraId="5A7C75E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cs="宋体"/>
                <w:color w:val="auto"/>
                <w:sz w:val="21"/>
                <w:szCs w:val="21"/>
                <w:lang w:eastAsia="zh-CN"/>
              </w:rPr>
            </w:pPr>
            <w:r>
              <w:rPr>
                <w:rFonts w:hint="eastAsia" w:ascii="宋体" w:hAnsi="宋体" w:cs="宋体"/>
                <w:color w:val="auto"/>
                <w:sz w:val="21"/>
                <w:szCs w:val="21"/>
              </w:rPr>
              <w:t>4</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服务期限：2026年7月1日-2027年6月30日（一年）</w:t>
            </w:r>
            <w:r>
              <w:rPr>
                <w:rFonts w:hint="eastAsia" w:ascii="宋体" w:hAnsi="宋体" w:cs="宋体"/>
                <w:color w:val="auto"/>
                <w:sz w:val="21"/>
                <w:szCs w:val="21"/>
                <w:lang w:eastAsia="zh-CN"/>
              </w:rPr>
              <w:t>。</w:t>
            </w:r>
          </w:p>
          <w:p w14:paraId="0CAF858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5.</w:t>
            </w:r>
            <w:r>
              <w:rPr>
                <w:rFonts w:hint="eastAsia" w:ascii="宋体" w:hAnsi="宋体" w:cs="宋体"/>
                <w:color w:val="auto"/>
                <w:sz w:val="21"/>
                <w:szCs w:val="21"/>
              </w:rPr>
              <w:t>售后服务要求：在质保期（服务期内视为质保期）内，对出现的虫害问题及时响应处理；质保期后，提供一定期限的免费技术咨询服务。</w:t>
            </w:r>
          </w:p>
          <w:p w14:paraId="299F530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6</w:t>
            </w:r>
            <w:r>
              <w:rPr>
                <w:rFonts w:hint="eastAsia" w:ascii="宋体" w:hAnsi="宋体" w:cs="宋体"/>
                <w:color w:val="auto"/>
                <w:sz w:val="21"/>
                <w:szCs w:val="21"/>
                <w:lang w:eastAsia="zh-CN"/>
              </w:rPr>
              <w:t>.</w:t>
            </w:r>
            <w:r>
              <w:rPr>
                <w:rFonts w:hint="eastAsia" w:ascii="宋体" w:hAnsi="宋体" w:cs="宋体"/>
                <w:color w:val="auto"/>
                <w:sz w:val="21"/>
                <w:szCs w:val="21"/>
              </w:rPr>
              <w:t>供应商不得更改询价的内容，否则一律作废。</w:t>
            </w:r>
          </w:p>
        </w:tc>
        <w:tc>
          <w:tcPr>
            <w:tcW w:w="4422" w:type="dxa"/>
            <w:gridSpan w:val="4"/>
          </w:tcPr>
          <w:p w14:paraId="36B2B0D3">
            <w:pPr>
              <w:rPr>
                <w:rFonts w:hint="eastAsia" w:ascii="宋体" w:hAnsi="宋体" w:cs="宋体"/>
                <w:b/>
                <w:bCs/>
                <w:color w:val="auto"/>
                <w:sz w:val="21"/>
                <w:szCs w:val="21"/>
              </w:rPr>
            </w:pPr>
            <w:r>
              <w:rPr>
                <w:rFonts w:hint="eastAsia" w:ascii="宋体" w:hAnsi="宋体" w:cs="宋体"/>
                <w:b/>
                <w:bCs/>
                <w:color w:val="auto"/>
                <w:sz w:val="21"/>
                <w:szCs w:val="21"/>
              </w:rPr>
              <w:t>供应商承诺交货时间、地点及售后服务：</w:t>
            </w:r>
          </w:p>
          <w:p w14:paraId="2DA098CF">
            <w:pPr>
              <w:spacing w:line="480" w:lineRule="exact"/>
              <w:rPr>
                <w:rFonts w:hint="eastAsia" w:ascii="宋体" w:hAnsi="宋体" w:cs="宋体"/>
                <w:color w:val="auto"/>
                <w:sz w:val="21"/>
                <w:szCs w:val="21"/>
              </w:rPr>
            </w:pPr>
            <w:r>
              <w:rPr>
                <w:rFonts w:hint="eastAsia" w:ascii="宋体" w:hAnsi="宋体" w:cs="宋体"/>
                <w:color w:val="auto"/>
                <w:sz w:val="21"/>
                <w:szCs w:val="21"/>
              </w:rPr>
              <w:t>（供应商自拟）</w:t>
            </w:r>
          </w:p>
        </w:tc>
      </w:tr>
      <w:tr w14:paraId="49F1E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gridSpan w:val="4"/>
          </w:tcPr>
          <w:p w14:paraId="16E8571D">
            <w:pPr>
              <w:spacing w:line="480" w:lineRule="exact"/>
              <w:jc w:val="center"/>
              <w:rPr>
                <w:rFonts w:hint="default" w:ascii="宋体" w:hAnsi="宋体" w:cs="宋体"/>
                <w:color w:val="auto"/>
                <w:szCs w:val="21"/>
                <w:lang w:val="en-US"/>
              </w:rPr>
            </w:pPr>
            <w:r>
              <w:rPr>
                <w:rFonts w:hint="eastAsia" w:ascii="宋体" w:hAnsi="宋体" w:cs="宋体"/>
                <w:color w:val="auto"/>
                <w:sz w:val="21"/>
                <w:szCs w:val="21"/>
                <w:lang w:val="en-US" w:eastAsia="zh-CN"/>
              </w:rPr>
              <w:t>总报价</w:t>
            </w:r>
          </w:p>
        </w:tc>
        <w:tc>
          <w:tcPr>
            <w:tcW w:w="6998" w:type="dxa"/>
            <w:gridSpan w:val="5"/>
          </w:tcPr>
          <w:p w14:paraId="542D395C">
            <w:pPr>
              <w:spacing w:line="480" w:lineRule="exact"/>
              <w:rPr>
                <w:rFonts w:hint="eastAsia" w:ascii="宋体" w:hAnsi="宋体" w:cs="宋体"/>
                <w:color w:val="auto"/>
                <w:szCs w:val="21"/>
              </w:rPr>
            </w:pPr>
            <w:r>
              <w:rPr>
                <w:rFonts w:hint="eastAsia" w:ascii="宋体" w:hAnsi="宋体" w:cs="宋体"/>
                <w:color w:val="auto"/>
                <w:szCs w:val="21"/>
              </w:rPr>
              <w:t>大写：　　　</w:t>
            </w:r>
            <w:r>
              <w:rPr>
                <w:rFonts w:hint="eastAsia" w:ascii="宋体" w:hAnsi="宋体" w:cs="宋体"/>
                <w:color w:val="auto"/>
                <w:szCs w:val="21"/>
                <w:lang w:val="en-US" w:eastAsia="zh-CN"/>
              </w:rPr>
              <w:t xml:space="preserve">   </w:t>
            </w:r>
            <w:r>
              <w:rPr>
                <w:rFonts w:hint="eastAsia" w:ascii="宋体" w:hAnsi="宋体" w:cs="宋体"/>
                <w:color w:val="auto"/>
                <w:szCs w:val="21"/>
              </w:rPr>
              <w:t>　</w:t>
            </w:r>
            <w:r>
              <w:rPr>
                <w:rFonts w:hint="eastAsia" w:ascii="宋体" w:hAnsi="宋体" w:cs="宋体"/>
                <w:color w:val="auto"/>
                <w:szCs w:val="21"/>
                <w:lang w:val="en-US" w:eastAsia="zh-CN"/>
              </w:rPr>
              <w:t xml:space="preserve">圆  </w:t>
            </w:r>
            <w:r>
              <w:rPr>
                <w:rFonts w:hint="eastAsia" w:ascii="宋体" w:hAnsi="宋体" w:cs="宋体"/>
                <w:color w:val="auto"/>
                <w:szCs w:val="21"/>
              </w:rPr>
              <w:t>（</w:t>
            </w:r>
            <w:r>
              <w:rPr>
                <w:rFonts w:hint="eastAsia" w:ascii="宋体" w:hAnsi="宋体" w:cs="宋体"/>
                <w:color w:val="auto"/>
                <w:szCs w:val="21"/>
                <w:lang w:val="en-US" w:eastAsia="zh-CN"/>
              </w:rPr>
              <w:t>小写：</w:t>
            </w:r>
            <w:r>
              <w:rPr>
                <w:rFonts w:hint="eastAsia" w:ascii="宋体" w:hAnsi="宋体" w:cs="宋体"/>
                <w:color w:val="auto"/>
                <w:szCs w:val="21"/>
              </w:rPr>
              <w:t>　　　　</w:t>
            </w:r>
            <w:r>
              <w:rPr>
                <w:rFonts w:hint="eastAsia" w:ascii="宋体" w:hAnsi="宋体" w:cs="宋体"/>
                <w:color w:val="auto"/>
                <w:szCs w:val="21"/>
                <w:lang w:val="en-US" w:eastAsia="zh-CN"/>
              </w:rPr>
              <w:t>元　）</w:t>
            </w:r>
          </w:p>
        </w:tc>
      </w:tr>
      <w:tr w14:paraId="32788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9" w:hRule="atLeast"/>
        </w:trPr>
        <w:tc>
          <w:tcPr>
            <w:tcW w:w="837" w:type="dxa"/>
            <w:gridSpan w:val="2"/>
          </w:tcPr>
          <w:p w14:paraId="5451CEF6">
            <w:pPr>
              <w:rPr>
                <w:rFonts w:hint="eastAsia" w:ascii="宋体" w:hAnsi="宋体" w:cs="宋体"/>
                <w:color w:val="auto"/>
                <w:sz w:val="20"/>
                <w:szCs w:val="20"/>
              </w:rPr>
            </w:pPr>
          </w:p>
        </w:tc>
        <w:tc>
          <w:tcPr>
            <w:tcW w:w="9204" w:type="dxa"/>
            <w:gridSpan w:val="7"/>
          </w:tcPr>
          <w:p w14:paraId="67E95DBE">
            <w:pPr>
              <w:bidi w:val="0"/>
              <w:rPr>
                <w:color w:val="auto"/>
              </w:rPr>
            </w:pPr>
            <w:r>
              <w:rPr>
                <w:rFonts w:hint="eastAsia"/>
                <w:color w:val="auto"/>
              </w:rPr>
              <w:t>备注：</w:t>
            </w:r>
          </w:p>
          <w:p w14:paraId="7D64AB3F">
            <w:pPr>
              <w:keepNext w:val="0"/>
              <w:keepLines w:val="0"/>
              <w:pageBreakBefore w:val="0"/>
              <w:widowControl w:val="0"/>
              <w:kinsoku/>
              <w:wordWrap/>
              <w:overflowPunct/>
              <w:topLinePunct w:val="0"/>
              <w:autoSpaceDE/>
              <w:autoSpaceDN/>
              <w:bidi w:val="0"/>
              <w:adjustRightInd/>
              <w:snapToGrid/>
              <w:ind w:firstLine="420" w:firstLineChars="200"/>
              <w:textAlignment w:val="auto"/>
              <w:rPr>
                <w:color w:val="auto"/>
              </w:rPr>
            </w:pPr>
            <w:r>
              <w:rPr>
                <w:rFonts w:hint="eastAsia"/>
                <w:color w:val="auto"/>
              </w:rPr>
              <w:t>1.报价须包括成交</w:t>
            </w:r>
            <w:r>
              <w:rPr>
                <w:rFonts w:hint="eastAsia"/>
                <w:color w:val="auto"/>
                <w:lang w:val="en-US" w:eastAsia="zh-CN"/>
              </w:rPr>
              <w:t>服务</w:t>
            </w:r>
            <w:r>
              <w:rPr>
                <w:rFonts w:hint="eastAsia"/>
                <w:color w:val="auto"/>
              </w:rPr>
              <w:t>所需的</w:t>
            </w:r>
            <w:r>
              <w:rPr>
                <w:rFonts w:hint="eastAsia"/>
                <w:color w:val="auto"/>
                <w:lang w:val="en-US" w:eastAsia="zh-CN"/>
              </w:rPr>
              <w:t>费用，</w:t>
            </w:r>
            <w:r>
              <w:rPr>
                <w:rFonts w:hint="eastAsia"/>
                <w:color w:val="auto"/>
              </w:rPr>
              <w:t>且不仅限于服务价格、</w:t>
            </w:r>
            <w:r>
              <w:rPr>
                <w:rFonts w:hint="eastAsia"/>
                <w:color w:val="auto"/>
                <w:lang w:val="en-US" w:eastAsia="zh-CN"/>
              </w:rPr>
              <w:t>工具设备、饵盒器材</w:t>
            </w:r>
            <w:r>
              <w:rPr>
                <w:rFonts w:hint="eastAsia"/>
                <w:color w:val="auto"/>
              </w:rPr>
              <w:t>、运输费、税费、人工费、</w:t>
            </w:r>
            <w:r>
              <w:rPr>
                <w:rFonts w:hint="eastAsia"/>
                <w:color w:val="auto"/>
                <w:lang w:val="en-US" w:eastAsia="zh-CN"/>
              </w:rPr>
              <w:t>保险</w:t>
            </w:r>
            <w:r>
              <w:rPr>
                <w:rFonts w:hint="eastAsia"/>
                <w:color w:val="auto"/>
              </w:rPr>
              <w:t>等所有费用。采购单位不再支付其他任何额外费用。</w:t>
            </w:r>
          </w:p>
          <w:p w14:paraId="0046F26A">
            <w:pPr>
              <w:keepNext w:val="0"/>
              <w:keepLines w:val="0"/>
              <w:pageBreakBefore w:val="0"/>
              <w:widowControl w:val="0"/>
              <w:kinsoku/>
              <w:wordWrap/>
              <w:overflowPunct/>
              <w:topLinePunct w:val="0"/>
              <w:autoSpaceDE/>
              <w:autoSpaceDN/>
              <w:bidi w:val="0"/>
              <w:adjustRightInd/>
              <w:snapToGrid/>
              <w:ind w:firstLine="420" w:firstLineChars="200"/>
              <w:textAlignment w:val="auto"/>
              <w:rPr>
                <w:color w:val="auto"/>
              </w:rPr>
            </w:pPr>
            <w:r>
              <w:rPr>
                <w:rFonts w:hint="eastAsia"/>
                <w:color w:val="auto"/>
              </w:rPr>
              <w:t xml:space="preserve">2.各报价人须就《报价单》中的所有内容作完整唯一报价，而不能对部分内容进行报价，否则报价无效 。 </w:t>
            </w:r>
          </w:p>
          <w:p w14:paraId="5DDDD33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rPr>
            </w:pPr>
            <w:r>
              <w:rPr>
                <w:rFonts w:hint="eastAsia"/>
                <w:color w:val="auto"/>
              </w:rPr>
              <w:t>3.成交结果确定原则：以投标</w:t>
            </w:r>
            <w:r>
              <w:rPr>
                <w:rFonts w:hint="eastAsia"/>
                <w:color w:val="auto"/>
                <w:lang w:val="en-US" w:eastAsia="zh-CN"/>
              </w:rPr>
              <w:t>报价</w:t>
            </w:r>
            <w:r>
              <w:rPr>
                <w:rFonts w:hint="eastAsia"/>
                <w:color w:val="auto"/>
              </w:rPr>
              <w:t>最低者为中选供应商，若出现多家供应商最低</w:t>
            </w:r>
            <w:r>
              <w:rPr>
                <w:rFonts w:hint="eastAsia"/>
                <w:color w:val="auto"/>
                <w:lang w:val="en-US" w:eastAsia="zh-CN"/>
              </w:rPr>
              <w:t>报价</w:t>
            </w:r>
            <w:r>
              <w:rPr>
                <w:rFonts w:hint="eastAsia"/>
                <w:color w:val="auto"/>
              </w:rPr>
              <w:t>一致，则由采购人派代表从</w:t>
            </w:r>
            <w:r>
              <w:rPr>
                <w:rFonts w:hint="eastAsia"/>
                <w:color w:val="auto"/>
                <w:lang w:val="en-US" w:eastAsia="zh-CN"/>
              </w:rPr>
              <w:t>报价</w:t>
            </w:r>
            <w:r>
              <w:rPr>
                <w:rFonts w:hint="eastAsia"/>
                <w:color w:val="auto"/>
              </w:rPr>
              <w:t>最低的供应商中随机抽选一家为成交供应商。</w:t>
            </w:r>
            <w:r>
              <w:rPr>
                <w:rFonts w:hint="eastAsia"/>
                <w:color w:val="auto"/>
                <w:lang w:val="en-US" w:eastAsia="zh-CN"/>
              </w:rPr>
              <w:t>按照合同约定，</w:t>
            </w:r>
            <w:r>
              <w:rPr>
                <w:rFonts w:hint="eastAsia"/>
                <w:color w:val="auto"/>
              </w:rPr>
              <w:t>服务费用平均分四次支付</w:t>
            </w:r>
            <w:r>
              <w:rPr>
                <w:rFonts w:hint="eastAsia"/>
                <w:color w:val="auto"/>
                <w:lang w:eastAsia="zh-CN"/>
              </w:rPr>
              <w:t>，</w:t>
            </w:r>
            <w:r>
              <w:rPr>
                <w:rFonts w:hint="eastAsia"/>
                <w:color w:val="auto"/>
                <w:lang w:val="en-US" w:eastAsia="zh-CN"/>
              </w:rPr>
              <w:t>采购人分别于2026年9月、12月，2027年3月、6月</w:t>
            </w:r>
            <w:r>
              <w:rPr>
                <w:rFonts w:hint="eastAsia"/>
                <w:color w:val="auto"/>
              </w:rPr>
              <w:t>在收到供货商开具税务发票后的 30 天内，支付</w:t>
            </w:r>
            <w:r>
              <w:rPr>
                <w:rFonts w:hint="eastAsia"/>
                <w:color w:val="auto"/>
                <w:lang w:val="en-US" w:eastAsia="zh-CN"/>
              </w:rPr>
              <w:t>当期</w:t>
            </w:r>
            <w:r>
              <w:rPr>
                <w:rFonts w:hint="eastAsia"/>
                <w:color w:val="auto"/>
              </w:rPr>
              <w:t xml:space="preserve"> 100% 服务费用。</w:t>
            </w:r>
          </w:p>
        </w:tc>
      </w:tr>
    </w:tbl>
    <w:p w14:paraId="638ABD77">
      <w:pPr>
        <w:spacing w:line="480" w:lineRule="exact"/>
        <w:rPr>
          <w:rFonts w:hint="eastAsia" w:ascii="宋体" w:hAnsi="宋体" w:cs="宋体"/>
          <w:color w:val="0070C0"/>
          <w:sz w:val="21"/>
          <w:szCs w:val="21"/>
        </w:rPr>
      </w:pPr>
    </w:p>
    <w:p w14:paraId="4A63FDEA">
      <w:pPr>
        <w:spacing w:line="480" w:lineRule="exact"/>
        <w:rPr>
          <w:rFonts w:hint="eastAsia" w:ascii="思源黑体 CN Normal" w:hAnsi="思源黑体 CN Normal" w:eastAsia="思源黑体 CN Normal" w:cs="思源黑体 CN Normal"/>
          <w:color w:val="auto"/>
          <w:u w:val="single"/>
        </w:rPr>
      </w:pPr>
      <w:r>
        <w:rPr>
          <w:rFonts w:hint="eastAsia" w:ascii="思源黑体 CN Normal" w:hAnsi="思源黑体 CN Normal" w:eastAsia="思源黑体 CN Normal" w:cs="思源黑体 CN Normal"/>
          <w:color w:val="auto"/>
        </w:rPr>
        <w:t>报价单位名称并盖章：</w:t>
      </w:r>
      <w:r>
        <w:rPr>
          <w:rFonts w:hint="eastAsia" w:ascii="思源黑体 CN Normal" w:hAnsi="思源黑体 CN Normal" w:eastAsia="思源黑体 CN Normal" w:cs="思源黑体 CN Normal"/>
          <w:color w:val="auto"/>
          <w:u w:val="single"/>
        </w:rPr>
        <w:t xml:space="preserve">                    </w:t>
      </w:r>
    </w:p>
    <w:p w14:paraId="13AFF29B">
      <w:pPr>
        <w:spacing w:line="480" w:lineRule="exact"/>
        <w:rPr>
          <w:rFonts w:hint="eastAsia" w:ascii="思源黑体 CN Normal" w:hAnsi="思源黑体 CN Normal" w:eastAsia="思源黑体 CN Normal" w:cs="思源黑体 CN Normal"/>
          <w:color w:val="auto"/>
        </w:rPr>
      </w:pPr>
      <w:r>
        <w:rPr>
          <w:rFonts w:hint="eastAsia" w:ascii="思源黑体 CN Normal" w:hAnsi="思源黑体 CN Normal" w:eastAsia="思源黑体 CN Normal" w:cs="思源黑体 CN Normal"/>
          <w:color w:val="auto"/>
        </w:rPr>
        <w:t>法人代表或委托代理人（签字）：</w:t>
      </w:r>
      <w:r>
        <w:rPr>
          <w:rFonts w:hint="eastAsia" w:ascii="思源黑体 CN Normal" w:hAnsi="思源黑体 CN Normal" w:eastAsia="思源黑体 CN Normal" w:cs="思源黑体 CN Normal"/>
          <w:color w:val="auto"/>
          <w:u w:val="single"/>
        </w:rPr>
        <w:t xml:space="preserve">               </w:t>
      </w:r>
      <w:r>
        <w:rPr>
          <w:rFonts w:hint="eastAsia" w:ascii="思源黑体 CN Normal" w:hAnsi="思源黑体 CN Normal" w:eastAsia="思源黑体 CN Normal" w:cs="思源黑体 CN Normal"/>
          <w:color w:val="auto"/>
        </w:rPr>
        <w:t>联系电话：</w:t>
      </w:r>
      <w:r>
        <w:rPr>
          <w:rFonts w:hint="eastAsia" w:ascii="思源黑体 CN Normal" w:hAnsi="思源黑体 CN Normal" w:eastAsia="思源黑体 CN Normal" w:cs="思源黑体 CN Normal"/>
          <w:color w:val="auto"/>
          <w:u w:val="single"/>
        </w:rPr>
        <w:t xml:space="preserve">                 </w:t>
      </w:r>
      <w:r>
        <w:rPr>
          <w:rFonts w:hint="eastAsia" w:ascii="思源黑体 CN Normal" w:hAnsi="思源黑体 CN Normal" w:eastAsia="思源黑体 CN Normal" w:cs="思源黑体 CN Normal"/>
          <w:color w:val="auto"/>
        </w:rPr>
        <w:t>　</w:t>
      </w:r>
    </w:p>
    <w:p w14:paraId="4C5EFE1E">
      <w:pPr>
        <w:spacing w:line="480" w:lineRule="exact"/>
        <w:rPr>
          <w:color w:val="auto"/>
        </w:rPr>
      </w:pPr>
      <w:r>
        <w:rPr>
          <w:rFonts w:hint="eastAsia" w:ascii="思源黑体 CN Normal" w:hAnsi="思源黑体 CN Normal" w:eastAsia="思源黑体 CN Normal" w:cs="思源黑体 CN Normal"/>
          <w:color w:val="auto"/>
        </w:rPr>
        <w:t>地 址：</w:t>
      </w:r>
      <w:r>
        <w:rPr>
          <w:rFonts w:hint="eastAsia" w:ascii="思源黑体 CN Normal" w:hAnsi="思源黑体 CN Normal" w:eastAsia="思源黑体 CN Normal" w:cs="思源黑体 CN Normal"/>
          <w:color w:val="auto"/>
          <w:u w:val="single"/>
        </w:rPr>
        <w:t xml:space="preserve">                              </w:t>
      </w:r>
      <w:r>
        <w:rPr>
          <w:rFonts w:hint="eastAsia" w:ascii="思源黑体 CN Normal" w:hAnsi="思源黑体 CN Normal" w:eastAsia="思源黑体 CN Normal" w:cs="思源黑体 CN Normal"/>
          <w:color w:val="auto"/>
        </w:rPr>
        <w:t xml:space="preserve"> 邮政编码：</w:t>
      </w:r>
      <w:r>
        <w:rPr>
          <w:rFonts w:hint="eastAsia" w:ascii="思源黑体 CN Normal" w:hAnsi="思源黑体 CN Normal" w:eastAsia="思源黑体 CN Normal" w:cs="思源黑体 CN Normal"/>
          <w:color w:val="auto"/>
          <w:u w:val="single"/>
        </w:rPr>
        <w:t xml:space="preserve">               </w:t>
      </w:r>
      <w:r>
        <w:rPr>
          <w:rFonts w:hint="eastAsia" w:ascii="思源黑体 CN Normal" w:hAnsi="思源黑体 CN Normal" w:eastAsia="思源黑体 CN Normal" w:cs="思源黑体 CN Normal"/>
          <w:color w:val="auto"/>
        </w:rPr>
        <w:t xml:space="preserve"> 填单日期：</w:t>
      </w:r>
      <w:r>
        <w:rPr>
          <w:rFonts w:hint="eastAsia" w:ascii="思源黑体 CN Normal" w:hAnsi="思源黑体 CN Normal" w:eastAsia="思源黑体 CN Normal" w:cs="思源黑体 CN Normal"/>
          <w:color w:val="auto"/>
          <w:u w:val="single"/>
          <w:lang w:val="en-US" w:eastAsia="zh-CN"/>
        </w:rPr>
        <w:t xml:space="preserve">      </w:t>
      </w:r>
      <w:r>
        <w:rPr>
          <w:rFonts w:hint="eastAsia" w:ascii="思源黑体 CN Normal" w:hAnsi="思源黑体 CN Normal" w:eastAsia="思源黑体 CN Normal" w:cs="思源黑体 CN Normal"/>
          <w:color w:val="auto"/>
          <w:u w:val="single"/>
        </w:rPr>
        <w:t xml:space="preserve">                                           </w:t>
      </w:r>
      <w:r>
        <w:rPr>
          <w:rFonts w:hint="eastAsia" w:ascii="思源黑体 CN Normal" w:hAnsi="思源黑体 CN Normal" w:eastAsia="思源黑体 CN Normal" w:cs="思源黑体 CN Normal"/>
          <w:color w:val="auto"/>
        </w:rPr>
        <w:t xml:space="preserve">                           </w:t>
      </w:r>
    </w:p>
    <w:p w14:paraId="2B5B600F">
      <w:pPr>
        <w:spacing w:line="480" w:lineRule="exact"/>
        <w:rPr>
          <w:color w:val="auto"/>
          <w:szCs w:val="21"/>
        </w:rPr>
      </w:pPr>
      <w:r>
        <w:rPr>
          <w:rFonts w:hint="eastAsia"/>
          <w:color w:val="auto"/>
        </w:rPr>
        <w:t xml:space="preserve">                                                 </w:t>
      </w:r>
    </w:p>
    <w:p w14:paraId="4CD3795E">
      <w:pPr>
        <w:pStyle w:val="10"/>
        <w:ind w:left="99" w:leftChars="47" w:firstLine="6195" w:firstLineChars="2950"/>
        <w:rPr>
          <w:color w:val="auto"/>
          <w:sz w:val="21"/>
          <w:szCs w:val="21"/>
        </w:rPr>
      </w:pPr>
      <w:r>
        <w:rPr>
          <w:rFonts w:hint="eastAsia" w:ascii="思源黑体 CN Normal" w:hAnsi="思源黑体 CN Normal" w:eastAsia="思源黑体 CN Normal" w:cs="思源黑体 CN Normal"/>
          <w:color w:val="auto"/>
          <w:sz w:val="21"/>
          <w:szCs w:val="21"/>
        </w:rPr>
        <w:t>年　　月　  日</w:t>
      </w:r>
    </w:p>
    <w:p w14:paraId="1DBEF8B5">
      <w:pPr>
        <w:spacing w:line="480" w:lineRule="exact"/>
        <w:ind w:right="-195" w:rightChars="-93"/>
        <w:rPr>
          <w:rFonts w:hint="eastAsia" w:ascii="思源黑体 CN Normal" w:hAnsi="思源黑体 CN Normal" w:eastAsia="思源黑体 CN Normal" w:cs="思源黑体 CN Normal"/>
          <w:b/>
          <w:color w:val="auto"/>
        </w:rPr>
      </w:pPr>
    </w:p>
    <w:p w14:paraId="03E3B9FC">
      <w:pPr>
        <w:spacing w:line="480" w:lineRule="exact"/>
        <w:ind w:right="-195" w:rightChars="-93"/>
        <w:rPr>
          <w:rFonts w:hint="eastAsia" w:ascii="思源黑体 CN Normal" w:hAnsi="思源黑体 CN Normal" w:eastAsia="思源黑体 CN Normal" w:cs="思源黑体 CN Normal"/>
          <w:b/>
          <w:color w:val="auto"/>
        </w:rPr>
      </w:pPr>
    </w:p>
    <w:p w14:paraId="559463B8">
      <w:pPr>
        <w:spacing w:line="480" w:lineRule="exact"/>
        <w:ind w:right="-195" w:rightChars="-93"/>
        <w:rPr>
          <w:rFonts w:eastAsia="思源黑体 CN Normal"/>
          <w:b/>
          <w:color w:val="auto"/>
        </w:rPr>
      </w:pPr>
      <w:r>
        <w:rPr>
          <w:rFonts w:hint="eastAsia" w:ascii="思源黑体 CN Normal" w:hAnsi="思源黑体 CN Normal" w:eastAsia="思源黑体 CN Normal" w:cs="思源黑体 CN Normal"/>
          <w:b/>
          <w:color w:val="auto"/>
        </w:rPr>
        <w:t>说明:本报价表，请于</w:t>
      </w:r>
      <w:r>
        <w:rPr>
          <w:rFonts w:hint="eastAsia" w:ascii="思源黑体 CN Normal" w:hAnsi="思源黑体 CN Normal" w:eastAsia="思源黑体 CN Normal" w:cs="思源黑体 CN Normal"/>
          <w:b/>
          <w:color w:val="auto"/>
          <w:u w:val="single"/>
          <w:lang w:val="en-US" w:eastAsia="zh-CN"/>
        </w:rPr>
        <w:t>2026</w:t>
      </w:r>
      <w:r>
        <w:rPr>
          <w:rFonts w:hint="eastAsia" w:ascii="思源黑体 CN Normal" w:hAnsi="思源黑体 CN Normal" w:eastAsia="思源黑体 CN Normal" w:cs="思源黑体 CN Normal"/>
          <w:b/>
          <w:color w:val="auto"/>
        </w:rPr>
        <w:t>年</w:t>
      </w:r>
      <w:r>
        <w:rPr>
          <w:rFonts w:hint="eastAsia" w:ascii="思源黑体 CN Normal" w:hAnsi="思源黑体 CN Normal" w:eastAsia="思源黑体 CN Normal" w:cs="思源黑体 CN Normal"/>
          <w:b/>
          <w:color w:val="auto"/>
          <w:u w:val="single"/>
          <w:lang w:val="en-US" w:eastAsia="zh-CN"/>
        </w:rPr>
        <w:t>6</w:t>
      </w:r>
      <w:r>
        <w:rPr>
          <w:rFonts w:hint="eastAsia" w:ascii="思源黑体 CN Normal" w:hAnsi="思源黑体 CN Normal" w:eastAsia="思源黑体 CN Normal" w:cs="思源黑体 CN Normal"/>
          <w:b/>
          <w:color w:val="auto"/>
        </w:rPr>
        <w:t>月</w:t>
      </w:r>
      <w:r>
        <w:rPr>
          <w:rFonts w:hint="eastAsia" w:ascii="思源黑体 CN Normal" w:hAnsi="思源黑体 CN Normal" w:eastAsia="思源黑体 CN Normal" w:cs="思源黑体 CN Normal"/>
          <w:b/>
          <w:color w:val="auto"/>
          <w:u w:val="single"/>
          <w:lang w:val="en-US" w:eastAsia="zh-CN"/>
        </w:rPr>
        <w:t>23</w:t>
      </w:r>
      <w:r>
        <w:rPr>
          <w:rFonts w:hint="eastAsia" w:ascii="思源黑体 CN Normal" w:hAnsi="思源黑体 CN Normal" w:eastAsia="思源黑体 CN Normal" w:cs="思源黑体 CN Normal"/>
          <w:b/>
          <w:color w:val="auto"/>
        </w:rPr>
        <w:t>日</w:t>
      </w:r>
      <w:r>
        <w:rPr>
          <w:rFonts w:hint="eastAsia" w:ascii="思源黑体 CN Normal" w:hAnsi="思源黑体 CN Normal" w:eastAsia="思源黑体 CN Normal" w:cs="思源黑体 CN Normal"/>
          <w:b/>
          <w:color w:val="auto"/>
          <w:u w:val="single"/>
          <w:lang w:val="en-US" w:eastAsia="zh-CN"/>
        </w:rPr>
        <w:t>9:30</w:t>
      </w:r>
      <w:r>
        <w:rPr>
          <w:rFonts w:hint="eastAsia" w:ascii="思源黑体 CN Normal" w:hAnsi="思源黑体 CN Normal" w:eastAsia="思源黑体 CN Normal" w:cs="思源黑体 CN Normal"/>
          <w:b/>
          <w:color w:val="auto"/>
        </w:rPr>
        <w:t>前盖章密封送至采购单位询价</w:t>
      </w:r>
      <w:r>
        <w:rPr>
          <w:rFonts w:hint="eastAsia" w:ascii="思源黑体 CN Normal" w:hAnsi="思源黑体 CN Normal" w:eastAsia="思源黑体 CN Normal" w:cs="思源黑体 CN Normal"/>
          <w:b/>
          <w:color w:val="auto"/>
          <w:lang w:val="en-US" w:eastAsia="zh-CN"/>
        </w:rPr>
        <w:t>比价</w:t>
      </w:r>
      <w:r>
        <w:rPr>
          <w:rFonts w:hint="eastAsia" w:ascii="思源黑体 CN Normal" w:hAnsi="思源黑体 CN Normal" w:eastAsia="思源黑体 CN Normal" w:cs="思源黑体 CN Normal"/>
          <w:b/>
          <w:color w:val="auto"/>
        </w:rPr>
        <w:t>小组处，逾期不予接收。用铅笔、圆珠笔填写均无效。报价文件以邮寄方式递交的，以采购联系人签收时间为准（应要求快递人员与采购联系人当面签字确认）。</w:t>
      </w:r>
    </w:p>
    <w:p w14:paraId="451F3300">
      <w:pPr>
        <w:widowControl/>
        <w:snapToGrid w:val="0"/>
        <w:jc w:val="center"/>
        <w:rPr>
          <w:rFonts w:hint="eastAsia" w:ascii="宋体" w:hAnsi="宋体" w:cs="宋体"/>
          <w:b/>
          <w:bCs/>
          <w:kern w:val="0"/>
          <w:sz w:val="28"/>
          <w:szCs w:val="28"/>
        </w:rPr>
      </w:pPr>
      <w:bookmarkStart w:id="1" w:name="_GoBack"/>
      <w:bookmarkEnd w:id="1"/>
    </w:p>
    <w:p w14:paraId="4A673199">
      <w:pPr>
        <w:widowControl/>
        <w:snapToGrid w:val="0"/>
        <w:jc w:val="center"/>
        <w:rPr>
          <w:rFonts w:hint="eastAsia" w:ascii="宋体" w:hAnsi="宋体" w:cs="宋体"/>
          <w:b/>
          <w:bCs/>
          <w:kern w:val="0"/>
          <w:sz w:val="28"/>
          <w:szCs w:val="28"/>
        </w:rPr>
      </w:pPr>
    </w:p>
    <w:p w14:paraId="323ACA9B">
      <w:pPr>
        <w:widowControl/>
        <w:snapToGrid w:val="0"/>
        <w:rPr>
          <w:rFonts w:hint="eastAsia" w:ascii="宋体" w:hAnsi="宋体" w:cs="宋体"/>
          <w:b/>
          <w:bCs/>
          <w:kern w:val="0"/>
          <w:sz w:val="28"/>
          <w:szCs w:val="28"/>
        </w:rPr>
      </w:pPr>
    </w:p>
    <w:p w14:paraId="67FEA88A">
      <w:pPr>
        <w:widowControl/>
        <w:snapToGrid w:val="0"/>
        <w:rPr>
          <w:rFonts w:hint="eastAsia" w:ascii="宋体" w:hAnsi="宋体" w:cs="宋体"/>
          <w:b/>
          <w:bCs/>
          <w:kern w:val="0"/>
          <w:sz w:val="28"/>
          <w:szCs w:val="28"/>
        </w:rPr>
      </w:pPr>
    </w:p>
    <w:p w14:paraId="18D986B3">
      <w:pPr>
        <w:widowControl/>
        <w:snapToGrid w:val="0"/>
        <w:rPr>
          <w:rFonts w:hint="eastAsia" w:ascii="宋体" w:hAnsi="宋体" w:cs="宋体"/>
          <w:b/>
          <w:bCs/>
          <w:kern w:val="0"/>
          <w:sz w:val="28"/>
          <w:szCs w:val="28"/>
        </w:rPr>
      </w:pPr>
    </w:p>
    <w:p w14:paraId="6766752E">
      <w:pPr>
        <w:spacing w:line="480" w:lineRule="exact"/>
        <w:jc w:val="both"/>
        <w:rPr>
          <w:rFonts w:hint="eastAsia" w:ascii="黑体" w:hAnsi="黑体" w:eastAsia="黑体" w:cs="黑体"/>
          <w:b/>
          <w:sz w:val="28"/>
          <w:szCs w:val="28"/>
        </w:rPr>
      </w:pPr>
    </w:p>
    <w:p w14:paraId="74FC138F">
      <w:pPr>
        <w:spacing w:line="480" w:lineRule="exact"/>
        <w:jc w:val="both"/>
        <w:rPr>
          <w:rFonts w:hint="eastAsia" w:ascii="黑体" w:hAnsi="黑体" w:eastAsia="黑体" w:cs="黑体"/>
          <w:b/>
          <w:sz w:val="28"/>
          <w:szCs w:val="28"/>
        </w:rPr>
      </w:pPr>
    </w:p>
    <w:p w14:paraId="0FA3B1DB">
      <w:pPr>
        <w:spacing w:line="480" w:lineRule="exact"/>
        <w:jc w:val="both"/>
        <w:rPr>
          <w:rFonts w:hint="eastAsia" w:ascii="黑体" w:hAnsi="黑体" w:eastAsia="黑体" w:cs="黑体"/>
          <w:b/>
          <w:sz w:val="28"/>
          <w:szCs w:val="28"/>
        </w:rPr>
      </w:pPr>
    </w:p>
    <w:p w14:paraId="7456A1A4">
      <w:pPr>
        <w:spacing w:line="480" w:lineRule="exact"/>
        <w:jc w:val="both"/>
        <w:rPr>
          <w:rFonts w:hint="eastAsia" w:ascii="黑体" w:hAnsi="黑体" w:eastAsia="黑体" w:cs="黑体"/>
          <w:b/>
          <w:sz w:val="28"/>
          <w:szCs w:val="28"/>
        </w:rPr>
      </w:pPr>
    </w:p>
    <w:p w14:paraId="08473CDC">
      <w:pPr>
        <w:spacing w:line="480" w:lineRule="exact"/>
        <w:jc w:val="both"/>
        <w:rPr>
          <w:rFonts w:hint="eastAsia" w:ascii="黑体" w:hAnsi="黑体" w:eastAsia="黑体" w:cs="黑体"/>
          <w:b/>
          <w:sz w:val="28"/>
          <w:szCs w:val="28"/>
        </w:rPr>
      </w:pPr>
    </w:p>
    <w:p w14:paraId="7DCB8B36">
      <w:pPr>
        <w:spacing w:line="480" w:lineRule="exact"/>
        <w:jc w:val="both"/>
        <w:rPr>
          <w:rFonts w:hint="eastAsia" w:ascii="黑体" w:hAnsi="黑体" w:eastAsia="黑体" w:cs="黑体"/>
          <w:b/>
          <w:sz w:val="28"/>
          <w:szCs w:val="28"/>
        </w:rPr>
      </w:pPr>
    </w:p>
    <w:p w14:paraId="1AB345CE">
      <w:pPr>
        <w:spacing w:line="480" w:lineRule="exact"/>
        <w:jc w:val="both"/>
        <w:rPr>
          <w:rFonts w:hint="eastAsia" w:ascii="黑体" w:hAnsi="黑体" w:eastAsia="黑体" w:cs="黑体"/>
          <w:b/>
          <w:sz w:val="28"/>
          <w:szCs w:val="28"/>
        </w:rPr>
      </w:pPr>
    </w:p>
    <w:p w14:paraId="011A8C12">
      <w:pPr>
        <w:spacing w:line="480" w:lineRule="exact"/>
        <w:jc w:val="both"/>
        <w:rPr>
          <w:rFonts w:hint="eastAsia" w:ascii="黑体" w:hAnsi="黑体" w:eastAsia="黑体" w:cs="黑体"/>
          <w:b/>
          <w:sz w:val="28"/>
          <w:szCs w:val="28"/>
        </w:rPr>
      </w:pPr>
      <w:r>
        <w:rPr>
          <w:rFonts w:hint="eastAsia" w:ascii="黑体" w:hAnsi="黑体" w:eastAsia="黑体" w:cs="黑体"/>
          <w:b/>
          <w:sz w:val="28"/>
          <w:szCs w:val="28"/>
        </w:rPr>
        <w:t>附件2：</w:t>
      </w:r>
    </w:p>
    <w:p w14:paraId="336E511E">
      <w:pPr>
        <w:spacing w:line="480" w:lineRule="exact"/>
        <w:jc w:val="center"/>
        <w:rPr>
          <w:rFonts w:hint="eastAsia" w:ascii="黑体" w:hAnsi="黑体" w:eastAsia="黑体" w:cs="黑体"/>
          <w:b/>
          <w:sz w:val="44"/>
          <w:szCs w:val="44"/>
        </w:rPr>
      </w:pPr>
      <w:r>
        <w:rPr>
          <w:rFonts w:hint="eastAsia" w:ascii="黑体" w:hAnsi="黑体" w:eastAsia="黑体" w:cs="黑体"/>
          <w:b/>
          <w:sz w:val="44"/>
          <w:szCs w:val="44"/>
        </w:rPr>
        <w:t>密封示范</w:t>
      </w:r>
    </w:p>
    <w:p w14:paraId="48D511E7">
      <w:pPr>
        <w:widowControl/>
        <w:numPr>
          <w:ilvl w:val="0"/>
          <w:numId w:val="3"/>
        </w:numPr>
        <w:snapToGrid w:val="0"/>
        <w:rPr>
          <w:rFonts w:hint="eastAsia" w:ascii="宋体" w:hAnsi="宋体" w:cs="宋体"/>
          <w:b/>
          <w:bCs/>
          <w:kern w:val="0"/>
          <w:sz w:val="28"/>
          <w:szCs w:val="28"/>
        </w:rPr>
      </w:pPr>
      <w:r>
        <w:rPr>
          <w:rFonts w:hint="eastAsia" w:ascii="宋体" w:hAnsi="宋体" w:cs="宋体"/>
          <w:b/>
          <w:bCs/>
          <w:kern w:val="0"/>
          <w:sz w:val="28"/>
          <w:szCs w:val="28"/>
        </w:rPr>
        <w:t>报价响应文件加贴封条，并在封套的封口处加盖报价单位公章。参考下图：</w:t>
      </w:r>
    </w:p>
    <w:p w14:paraId="77A26DF5">
      <w:pPr>
        <w:widowControl/>
        <w:snapToGrid w:val="0"/>
        <w:jc w:val="center"/>
        <w:rPr>
          <w:rFonts w:hint="eastAsia" w:ascii="宋体" w:hAnsi="宋体" w:cs="宋体"/>
          <w:b/>
          <w:bCs/>
          <w:kern w:val="0"/>
          <w:sz w:val="28"/>
          <w:szCs w:val="28"/>
        </w:rPr>
      </w:pPr>
      <w:r>
        <w:rPr>
          <w:rFonts w:ascii="宋体" w:hAnsi="宋体" w:cs="宋体"/>
          <w:b/>
          <w:bCs/>
          <w:kern w:val="0"/>
          <w:sz w:val="28"/>
          <w:szCs w:val="28"/>
        </w:rPr>
        <w:drawing>
          <wp:inline distT="0" distB="0" distL="114300" distR="114300">
            <wp:extent cx="3663950" cy="2592705"/>
            <wp:effectExtent l="0" t="0" r="17145" b="12700"/>
            <wp:docPr id="1" name="图片 1" descr="密封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密封1"/>
                    <pic:cNvPicPr>
                      <a:picLocks noChangeAspect="1"/>
                    </pic:cNvPicPr>
                  </pic:nvPicPr>
                  <pic:blipFill>
                    <a:blip r:embed="rId4"/>
                    <a:srcRect l="3673" t="7674" r="4358" b="5539"/>
                    <a:stretch>
                      <a:fillRect/>
                    </a:stretch>
                  </pic:blipFill>
                  <pic:spPr>
                    <a:xfrm rot="5400000">
                      <a:off x="0" y="0"/>
                      <a:ext cx="3663950" cy="2592705"/>
                    </a:xfrm>
                    <a:prstGeom prst="rect">
                      <a:avLst/>
                    </a:prstGeom>
                    <a:noFill/>
                    <a:ln>
                      <a:noFill/>
                    </a:ln>
                  </pic:spPr>
                </pic:pic>
              </a:graphicData>
            </a:graphic>
          </wp:inline>
        </w:drawing>
      </w:r>
    </w:p>
    <w:p w14:paraId="119B6229">
      <w:pPr>
        <w:widowControl/>
        <w:snapToGrid w:val="0"/>
        <w:rPr>
          <w:rFonts w:hint="eastAsia" w:ascii="宋体" w:hAnsi="宋体" w:cs="宋体"/>
          <w:b/>
          <w:bCs/>
          <w:kern w:val="0"/>
          <w:sz w:val="28"/>
          <w:szCs w:val="28"/>
        </w:rPr>
      </w:pPr>
    </w:p>
    <w:p w14:paraId="49AD94A1">
      <w:pPr>
        <w:widowControl/>
        <w:snapToGrid w:val="0"/>
        <w:rPr>
          <w:rFonts w:hint="eastAsia" w:ascii="宋体" w:hAnsi="宋体" w:cs="宋体"/>
          <w:b/>
          <w:bCs/>
          <w:kern w:val="0"/>
          <w:sz w:val="28"/>
          <w:szCs w:val="28"/>
        </w:rPr>
      </w:pPr>
      <w:r>
        <w:rPr>
          <w:rFonts w:hint="eastAsia" w:ascii="宋体" w:hAnsi="宋体" w:cs="宋体"/>
          <w:b/>
          <w:bCs/>
          <w:kern w:val="0"/>
          <w:sz w:val="28"/>
          <w:szCs w:val="28"/>
        </w:rPr>
        <w:t>2.正面密封需注明项目名称、项目编号、供应商名称、日期等并加盖公章。参考下图：</w:t>
      </w:r>
    </w:p>
    <w:p w14:paraId="4245ABC4">
      <w:pPr>
        <w:widowControl/>
        <w:snapToGrid w:val="0"/>
        <w:jc w:val="center"/>
        <w:rPr>
          <w:rFonts w:hint="eastAsia" w:ascii="宋体" w:hAnsi="宋体" w:cs="宋体"/>
          <w:b/>
          <w:bCs/>
          <w:kern w:val="0"/>
          <w:sz w:val="28"/>
          <w:szCs w:val="28"/>
        </w:rPr>
      </w:pPr>
      <w:r>
        <w:rPr>
          <w:rFonts w:hint="eastAsia" w:ascii="宋体" w:hAnsi="宋体" w:cs="宋体"/>
          <w:b/>
          <w:bCs/>
          <w:kern w:val="0"/>
          <w:sz w:val="28"/>
          <w:szCs w:val="28"/>
        </w:rPr>
        <w:drawing>
          <wp:inline distT="0" distB="0" distL="114300" distR="114300">
            <wp:extent cx="3377565" cy="2533650"/>
            <wp:effectExtent l="0" t="0" r="38100" b="32385"/>
            <wp:docPr id="2" name="图片 16" descr="密封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6" descr="密封2"/>
                    <pic:cNvPicPr>
                      <a:picLocks noChangeAspect="1"/>
                    </pic:cNvPicPr>
                  </pic:nvPicPr>
                  <pic:blipFill>
                    <a:blip r:embed="rId5"/>
                    <a:srcRect l="2228" t="4720" r="11859" b="9503"/>
                    <a:stretch>
                      <a:fillRect/>
                    </a:stretch>
                  </pic:blipFill>
                  <pic:spPr>
                    <a:xfrm rot="5400000">
                      <a:off x="0" y="0"/>
                      <a:ext cx="3377565" cy="2533650"/>
                    </a:xfrm>
                    <a:prstGeom prst="rect">
                      <a:avLst/>
                    </a:prstGeom>
                    <a:noFill/>
                    <a:ln>
                      <a:noFill/>
                    </a:ln>
                    <a:effectLst>
                      <a:outerShdw dist="35921" dir="2699999" algn="ctr" rotWithShape="0">
                        <a:srgbClr val="808080">
                          <a:alpha val="100000"/>
                        </a:srgbClr>
                      </a:outerShdw>
                    </a:effectLst>
                  </pic:spPr>
                </pic:pic>
              </a:graphicData>
            </a:graphic>
          </wp:inline>
        </w:drawing>
      </w:r>
    </w:p>
    <w:sectPr>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思源黑体 CN Normal">
    <w:altName w:val="黑体"/>
    <w:panose1 w:val="00000000000000000000"/>
    <w:charset w:val="00"/>
    <w:family w:val="auto"/>
    <w:pitch w:val="default"/>
    <w:sig w:usb0="00000000" w:usb1="00000000" w:usb2="00000000" w:usb3="00000000" w:csb0="00040001" w:csb1="00000000"/>
  </w:font>
  <w:font w:name="KSOF954951BB">
    <w:panose1 w:val="02010609060101010101"/>
    <w:charset w:val="86"/>
    <w:family w:val="auto"/>
    <w:pitch w:val="default"/>
    <w:sig w:usb0="00000001" w:usb1="00000000" w:usb2="00000000" w:usb3="00000000" w:csb0="00060001" w:csb1="00000000"/>
  </w:font>
  <w:font w:name="KSOF9549C61A">
    <w:panose1 w:val="02010609060101010101"/>
    <w:charset w:val="86"/>
    <w:family w:val="auto"/>
    <w:pitch w:val="default"/>
    <w:sig w:usb0="00000001" w:usb1="00000000" w:usb2="00000000" w:usb3="00000000" w:csb0="0006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1A91A7"/>
    <w:multiLevelType w:val="singleLevel"/>
    <w:tmpl w:val="F01A91A7"/>
    <w:lvl w:ilvl="0" w:tentative="0">
      <w:start w:val="1"/>
      <w:numFmt w:val="decimal"/>
      <w:lvlText w:val="%1."/>
      <w:lvlJc w:val="left"/>
      <w:pPr>
        <w:tabs>
          <w:tab w:val="left" w:pos="312"/>
        </w:tabs>
      </w:pPr>
    </w:lvl>
  </w:abstractNum>
  <w:abstractNum w:abstractNumId="1">
    <w:nsid w:val="0000000A"/>
    <w:multiLevelType w:val="multilevel"/>
    <w:tmpl w:val="0000000A"/>
    <w:lvl w:ilvl="0" w:tentative="0">
      <w:start w:val="1"/>
      <w:numFmt w:val="decimal"/>
      <w:pStyle w:val="32"/>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ascii="宋体" w:hAnsi="宋体" w:eastAsia="宋体"/>
        <w:b w:val="0"/>
        <w:color w:val="auto"/>
        <w:sz w:val="21"/>
        <w:szCs w:val="21"/>
      </w:rPr>
    </w:lvl>
    <w:lvl w:ilvl="2" w:tentative="0">
      <w:start w:val="1"/>
      <w:numFmt w:val="decimal"/>
      <w:lvlText w:val="%1.%2.%3."/>
      <w:lvlJc w:val="left"/>
      <w:pPr>
        <w:tabs>
          <w:tab w:val="left" w:pos="425"/>
        </w:tabs>
        <w:ind w:left="425" w:hanging="425"/>
      </w:pPr>
      <w:rPr>
        <w:rFonts w:hint="eastAsia"/>
        <w:sz w:val="21"/>
        <w:szCs w:val="21"/>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00000018"/>
    <w:multiLevelType w:val="multilevel"/>
    <w:tmpl w:val="00000018"/>
    <w:lvl w:ilvl="0" w:tentative="0">
      <w:start w:val="1"/>
      <w:numFmt w:val="chineseCountingThousand"/>
      <w:suff w:val="nothing"/>
      <w:lvlText w:val="第%1部分"/>
      <w:lvlJc w:val="center"/>
      <w:pPr>
        <w:ind w:left="-288" w:firstLine="288"/>
      </w:pPr>
      <w:rPr>
        <w:rFonts w:hint="eastAsia"/>
        <w:sz w:val="28"/>
        <w:szCs w:val="28"/>
      </w:rPr>
    </w:lvl>
    <w:lvl w:ilvl="1" w:tentative="0">
      <w:start w:val="1"/>
      <w:numFmt w:val="chineseCountingThousand"/>
      <w:pStyle w:val="3"/>
      <w:suff w:val="nothing"/>
      <w:lvlText w:val="%2、"/>
      <w:lvlJc w:val="left"/>
      <w:pPr>
        <w:ind w:left="254" w:firstLine="0"/>
      </w:pPr>
      <w:rPr>
        <w:rFonts w:hint="eastAsia" w:ascii="宋体" w:hAnsi="宋体" w:eastAsia="宋体"/>
        <w:sz w:val="24"/>
        <w:szCs w:val="24"/>
      </w:rPr>
    </w:lvl>
    <w:lvl w:ilvl="2" w:tentative="0">
      <w:start w:val="1"/>
      <w:numFmt w:val="chineseCountingThousand"/>
      <w:suff w:val="nothing"/>
      <w:lvlText w:val="(%3)"/>
      <w:lvlJc w:val="left"/>
      <w:pPr>
        <w:ind w:left="0" w:firstLine="0"/>
      </w:pPr>
      <w:rPr>
        <w:rFonts w:hint="default" w:ascii="Times New Roman" w:hAnsi="Times New Roman" w:eastAsia="宋体"/>
        <w:b/>
        <w:i w:val="0"/>
        <w:spacing w:val="0"/>
        <w:w w:val="100"/>
        <w:position w:val="0"/>
        <w:sz w:val="21"/>
        <w:szCs w:val="21"/>
      </w:rPr>
    </w:lvl>
    <w:lvl w:ilvl="3" w:tentative="0">
      <w:start w:val="1"/>
      <w:numFmt w:val="decimal"/>
      <w:suff w:val="nothing"/>
      <w:lvlText w:val="%4、"/>
      <w:lvlJc w:val="left"/>
      <w:pPr>
        <w:ind w:left="0" w:firstLine="0"/>
      </w:pPr>
      <w:rPr>
        <w:rFonts w:hint="eastAsia"/>
      </w:rPr>
    </w:lvl>
    <w:lvl w:ilvl="4" w:tentative="0">
      <w:start w:val="1"/>
      <w:numFmt w:val="upperLetter"/>
      <w:suff w:val="nothing"/>
      <w:lvlText w:val="%5、"/>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3M2Y5NzIzMDFlZjAyY2Q4Njk5ODkyYjFjNzBiNTQifQ=="/>
  </w:docVars>
  <w:rsids>
    <w:rsidRoot w:val="00172A27"/>
    <w:rsid w:val="00000271"/>
    <w:rsid w:val="0000322E"/>
    <w:rsid w:val="00015585"/>
    <w:rsid w:val="00026210"/>
    <w:rsid w:val="000407B5"/>
    <w:rsid w:val="00040AB1"/>
    <w:rsid w:val="00074DDD"/>
    <w:rsid w:val="00093274"/>
    <w:rsid w:val="000952B7"/>
    <w:rsid w:val="000A362E"/>
    <w:rsid w:val="000A7465"/>
    <w:rsid w:val="000B1B69"/>
    <w:rsid w:val="000F5F72"/>
    <w:rsid w:val="001203E2"/>
    <w:rsid w:val="001374C0"/>
    <w:rsid w:val="00141CDB"/>
    <w:rsid w:val="00151BC3"/>
    <w:rsid w:val="00152366"/>
    <w:rsid w:val="00157F78"/>
    <w:rsid w:val="00172A27"/>
    <w:rsid w:val="001834B5"/>
    <w:rsid w:val="001A06C3"/>
    <w:rsid w:val="001A69EB"/>
    <w:rsid w:val="001B75D2"/>
    <w:rsid w:val="001C5B23"/>
    <w:rsid w:val="001D1551"/>
    <w:rsid w:val="001E1F4E"/>
    <w:rsid w:val="001F3147"/>
    <w:rsid w:val="0020540B"/>
    <w:rsid w:val="00215374"/>
    <w:rsid w:val="002263F7"/>
    <w:rsid w:val="0024005E"/>
    <w:rsid w:val="00253D9D"/>
    <w:rsid w:val="00262371"/>
    <w:rsid w:val="00276322"/>
    <w:rsid w:val="00276549"/>
    <w:rsid w:val="002850D0"/>
    <w:rsid w:val="002A6002"/>
    <w:rsid w:val="002C0CED"/>
    <w:rsid w:val="002E08FD"/>
    <w:rsid w:val="002E2A5E"/>
    <w:rsid w:val="002F55E3"/>
    <w:rsid w:val="002F5ABB"/>
    <w:rsid w:val="002F7572"/>
    <w:rsid w:val="003012A2"/>
    <w:rsid w:val="00302065"/>
    <w:rsid w:val="00305E90"/>
    <w:rsid w:val="00326EA6"/>
    <w:rsid w:val="00355D9F"/>
    <w:rsid w:val="0037249C"/>
    <w:rsid w:val="003A19B5"/>
    <w:rsid w:val="003A516C"/>
    <w:rsid w:val="003C0E36"/>
    <w:rsid w:val="003D4C71"/>
    <w:rsid w:val="003E46C3"/>
    <w:rsid w:val="003F75F7"/>
    <w:rsid w:val="00404537"/>
    <w:rsid w:val="004070F7"/>
    <w:rsid w:val="0040784C"/>
    <w:rsid w:val="00421FD1"/>
    <w:rsid w:val="004263FD"/>
    <w:rsid w:val="00440AC1"/>
    <w:rsid w:val="004622E2"/>
    <w:rsid w:val="00472A65"/>
    <w:rsid w:val="00474C0F"/>
    <w:rsid w:val="00487BB9"/>
    <w:rsid w:val="004919FF"/>
    <w:rsid w:val="00494CF3"/>
    <w:rsid w:val="004A5EA5"/>
    <w:rsid w:val="004B36BD"/>
    <w:rsid w:val="004C1958"/>
    <w:rsid w:val="004C6298"/>
    <w:rsid w:val="004E5FED"/>
    <w:rsid w:val="004E7068"/>
    <w:rsid w:val="004F6896"/>
    <w:rsid w:val="004F7EC7"/>
    <w:rsid w:val="0050052D"/>
    <w:rsid w:val="0050190C"/>
    <w:rsid w:val="00504C0A"/>
    <w:rsid w:val="00541FBC"/>
    <w:rsid w:val="00570922"/>
    <w:rsid w:val="00587D2F"/>
    <w:rsid w:val="005B1861"/>
    <w:rsid w:val="005C7015"/>
    <w:rsid w:val="005D1312"/>
    <w:rsid w:val="005D4F0B"/>
    <w:rsid w:val="005D6448"/>
    <w:rsid w:val="005E26A7"/>
    <w:rsid w:val="005F0DD6"/>
    <w:rsid w:val="005F2399"/>
    <w:rsid w:val="006132DD"/>
    <w:rsid w:val="006555BE"/>
    <w:rsid w:val="00664B30"/>
    <w:rsid w:val="0066730A"/>
    <w:rsid w:val="00670F36"/>
    <w:rsid w:val="00672254"/>
    <w:rsid w:val="0069448B"/>
    <w:rsid w:val="006A3E7C"/>
    <w:rsid w:val="006C5DA0"/>
    <w:rsid w:val="006C6566"/>
    <w:rsid w:val="006E7F06"/>
    <w:rsid w:val="006F2A57"/>
    <w:rsid w:val="00703273"/>
    <w:rsid w:val="007109F6"/>
    <w:rsid w:val="00724389"/>
    <w:rsid w:val="00753A8C"/>
    <w:rsid w:val="00783B8D"/>
    <w:rsid w:val="00791F3A"/>
    <w:rsid w:val="00796C02"/>
    <w:rsid w:val="00797350"/>
    <w:rsid w:val="007C7427"/>
    <w:rsid w:val="007D0787"/>
    <w:rsid w:val="007F1697"/>
    <w:rsid w:val="008142F1"/>
    <w:rsid w:val="008202A3"/>
    <w:rsid w:val="0083104E"/>
    <w:rsid w:val="00833FFE"/>
    <w:rsid w:val="008360E2"/>
    <w:rsid w:val="00844E54"/>
    <w:rsid w:val="00846BC7"/>
    <w:rsid w:val="00860860"/>
    <w:rsid w:val="008926F6"/>
    <w:rsid w:val="00892BB2"/>
    <w:rsid w:val="008A3FFB"/>
    <w:rsid w:val="008A73EC"/>
    <w:rsid w:val="008C69CD"/>
    <w:rsid w:val="008D3B18"/>
    <w:rsid w:val="008D4E9C"/>
    <w:rsid w:val="009142DC"/>
    <w:rsid w:val="00921F08"/>
    <w:rsid w:val="0092532E"/>
    <w:rsid w:val="009327BE"/>
    <w:rsid w:val="00941D3C"/>
    <w:rsid w:val="009423C4"/>
    <w:rsid w:val="00947988"/>
    <w:rsid w:val="00957A78"/>
    <w:rsid w:val="00964AF2"/>
    <w:rsid w:val="00986425"/>
    <w:rsid w:val="00995A8D"/>
    <w:rsid w:val="009A7A6C"/>
    <w:rsid w:val="009C58CD"/>
    <w:rsid w:val="009E4BA0"/>
    <w:rsid w:val="00A07997"/>
    <w:rsid w:val="00A07B70"/>
    <w:rsid w:val="00A521E3"/>
    <w:rsid w:val="00A5251B"/>
    <w:rsid w:val="00A602E8"/>
    <w:rsid w:val="00A9736C"/>
    <w:rsid w:val="00AA3DEA"/>
    <w:rsid w:val="00AB2078"/>
    <w:rsid w:val="00AC129E"/>
    <w:rsid w:val="00AF08DE"/>
    <w:rsid w:val="00AF4094"/>
    <w:rsid w:val="00B00F62"/>
    <w:rsid w:val="00B03703"/>
    <w:rsid w:val="00B15A97"/>
    <w:rsid w:val="00B3568D"/>
    <w:rsid w:val="00B72ADD"/>
    <w:rsid w:val="00B81967"/>
    <w:rsid w:val="00B82722"/>
    <w:rsid w:val="00B84D63"/>
    <w:rsid w:val="00BB38BC"/>
    <w:rsid w:val="00BB3C3D"/>
    <w:rsid w:val="00BE3939"/>
    <w:rsid w:val="00BE64F4"/>
    <w:rsid w:val="00C12EE5"/>
    <w:rsid w:val="00C134AC"/>
    <w:rsid w:val="00C147C3"/>
    <w:rsid w:val="00C54C21"/>
    <w:rsid w:val="00C61967"/>
    <w:rsid w:val="00C61F07"/>
    <w:rsid w:val="00C64892"/>
    <w:rsid w:val="00C67484"/>
    <w:rsid w:val="00C73C17"/>
    <w:rsid w:val="00C7697E"/>
    <w:rsid w:val="00C861B3"/>
    <w:rsid w:val="00C86D72"/>
    <w:rsid w:val="00CA4858"/>
    <w:rsid w:val="00CB5A1D"/>
    <w:rsid w:val="00CB5C8E"/>
    <w:rsid w:val="00CD161C"/>
    <w:rsid w:val="00CD569D"/>
    <w:rsid w:val="00CE3B60"/>
    <w:rsid w:val="00D0051A"/>
    <w:rsid w:val="00D02DBC"/>
    <w:rsid w:val="00D03417"/>
    <w:rsid w:val="00D72509"/>
    <w:rsid w:val="00D87C28"/>
    <w:rsid w:val="00D9223E"/>
    <w:rsid w:val="00D953CA"/>
    <w:rsid w:val="00DC2E26"/>
    <w:rsid w:val="00DD4B1E"/>
    <w:rsid w:val="00DE1B47"/>
    <w:rsid w:val="00DE43A4"/>
    <w:rsid w:val="00DE6E95"/>
    <w:rsid w:val="00DF2E2F"/>
    <w:rsid w:val="00DF59E1"/>
    <w:rsid w:val="00E01385"/>
    <w:rsid w:val="00E16B89"/>
    <w:rsid w:val="00E25223"/>
    <w:rsid w:val="00E42498"/>
    <w:rsid w:val="00E43C3E"/>
    <w:rsid w:val="00E472BA"/>
    <w:rsid w:val="00E50E82"/>
    <w:rsid w:val="00E5588F"/>
    <w:rsid w:val="00E84B38"/>
    <w:rsid w:val="00EB36C5"/>
    <w:rsid w:val="00EC117D"/>
    <w:rsid w:val="00EE22B6"/>
    <w:rsid w:val="00EF14FC"/>
    <w:rsid w:val="00F047BF"/>
    <w:rsid w:val="00F145F6"/>
    <w:rsid w:val="00F21553"/>
    <w:rsid w:val="00F34D94"/>
    <w:rsid w:val="00F91B0B"/>
    <w:rsid w:val="00FB2353"/>
    <w:rsid w:val="00FB4E12"/>
    <w:rsid w:val="00FD68B3"/>
    <w:rsid w:val="00FF0FEB"/>
    <w:rsid w:val="00FF4DC4"/>
    <w:rsid w:val="010B6197"/>
    <w:rsid w:val="015F5DD0"/>
    <w:rsid w:val="01F64E18"/>
    <w:rsid w:val="026C54E5"/>
    <w:rsid w:val="03B86421"/>
    <w:rsid w:val="04537FF5"/>
    <w:rsid w:val="05754C01"/>
    <w:rsid w:val="05B645A3"/>
    <w:rsid w:val="065834B6"/>
    <w:rsid w:val="07B4225A"/>
    <w:rsid w:val="086F7F71"/>
    <w:rsid w:val="09DE716A"/>
    <w:rsid w:val="0B175320"/>
    <w:rsid w:val="0E0E4A9D"/>
    <w:rsid w:val="0E2E47E4"/>
    <w:rsid w:val="0E942A98"/>
    <w:rsid w:val="0FAB4A4F"/>
    <w:rsid w:val="121F1B82"/>
    <w:rsid w:val="13F440DB"/>
    <w:rsid w:val="14E8498B"/>
    <w:rsid w:val="19514AC7"/>
    <w:rsid w:val="19636521"/>
    <w:rsid w:val="1A2F03D4"/>
    <w:rsid w:val="1A442663"/>
    <w:rsid w:val="1C0320AA"/>
    <w:rsid w:val="1C502501"/>
    <w:rsid w:val="1CBB7632"/>
    <w:rsid w:val="1CBC50B4"/>
    <w:rsid w:val="1CD15271"/>
    <w:rsid w:val="1D2E5C8A"/>
    <w:rsid w:val="1E8C0BF9"/>
    <w:rsid w:val="207D3520"/>
    <w:rsid w:val="21AE5F25"/>
    <w:rsid w:val="22C274A9"/>
    <w:rsid w:val="241E4EFD"/>
    <w:rsid w:val="246376B7"/>
    <w:rsid w:val="24CE594B"/>
    <w:rsid w:val="25E145B1"/>
    <w:rsid w:val="260B2CAC"/>
    <w:rsid w:val="28691DDD"/>
    <w:rsid w:val="298A3181"/>
    <w:rsid w:val="29A04058"/>
    <w:rsid w:val="29B35544"/>
    <w:rsid w:val="2B0100FD"/>
    <w:rsid w:val="2E2C25DE"/>
    <w:rsid w:val="2EE4486A"/>
    <w:rsid w:val="2EEC01AF"/>
    <w:rsid w:val="309B0A4D"/>
    <w:rsid w:val="30B21D57"/>
    <w:rsid w:val="316373FA"/>
    <w:rsid w:val="3185448E"/>
    <w:rsid w:val="31A34E59"/>
    <w:rsid w:val="33CE092B"/>
    <w:rsid w:val="354E145F"/>
    <w:rsid w:val="35923A74"/>
    <w:rsid w:val="36C72B52"/>
    <w:rsid w:val="3A2160C5"/>
    <w:rsid w:val="4107219C"/>
    <w:rsid w:val="41ED2A77"/>
    <w:rsid w:val="421A45D8"/>
    <w:rsid w:val="42CE3261"/>
    <w:rsid w:val="44BB34B3"/>
    <w:rsid w:val="45124E7C"/>
    <w:rsid w:val="4524425C"/>
    <w:rsid w:val="47184E06"/>
    <w:rsid w:val="496D311C"/>
    <w:rsid w:val="4C3D79D3"/>
    <w:rsid w:val="4DAE4E36"/>
    <w:rsid w:val="4E550010"/>
    <w:rsid w:val="50E1216D"/>
    <w:rsid w:val="563B1BA0"/>
    <w:rsid w:val="5A733A7C"/>
    <w:rsid w:val="5B3A4A29"/>
    <w:rsid w:val="5CE570CC"/>
    <w:rsid w:val="5E4E54AA"/>
    <w:rsid w:val="5ECE3418"/>
    <w:rsid w:val="5ED244D2"/>
    <w:rsid w:val="5F2076B4"/>
    <w:rsid w:val="5FA32F55"/>
    <w:rsid w:val="5FD33511"/>
    <w:rsid w:val="606114F5"/>
    <w:rsid w:val="62796489"/>
    <w:rsid w:val="629C2C4C"/>
    <w:rsid w:val="63746AEA"/>
    <w:rsid w:val="63BD264D"/>
    <w:rsid w:val="642D6F15"/>
    <w:rsid w:val="67C26415"/>
    <w:rsid w:val="689E274C"/>
    <w:rsid w:val="690A7914"/>
    <w:rsid w:val="6B4E0DA9"/>
    <w:rsid w:val="6BCE3108"/>
    <w:rsid w:val="6C822A2B"/>
    <w:rsid w:val="6D4641CC"/>
    <w:rsid w:val="6E1D79F2"/>
    <w:rsid w:val="6E6B7EAB"/>
    <w:rsid w:val="6F706940"/>
    <w:rsid w:val="6FEB702D"/>
    <w:rsid w:val="74A861CC"/>
    <w:rsid w:val="75C42647"/>
    <w:rsid w:val="767501D9"/>
    <w:rsid w:val="77C2237F"/>
    <w:rsid w:val="7A782457"/>
    <w:rsid w:val="7D0564AB"/>
    <w:rsid w:val="7E520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paragraph" w:styleId="3">
    <w:name w:val="heading 2"/>
    <w:basedOn w:val="1"/>
    <w:next w:val="1"/>
    <w:qFormat/>
    <w:uiPriority w:val="0"/>
    <w:pPr>
      <w:keepNext/>
      <w:keepLines/>
      <w:numPr>
        <w:ilvl w:val="1"/>
        <w:numId w:val="1"/>
      </w:numPr>
      <w:spacing w:before="260" w:after="260" w:line="416" w:lineRule="atLeast"/>
      <w:outlineLvl w:val="1"/>
    </w:pPr>
    <w:rPr>
      <w:rFonts w:ascii="Arial" w:hAnsi="Arial" w:eastAsia="黑体"/>
      <w:b/>
      <w:bCs/>
      <w:sz w:val="32"/>
      <w:szCs w:val="32"/>
    </w:rPr>
  </w:style>
  <w:style w:type="paragraph" w:styleId="4">
    <w:name w:val="heading 3"/>
    <w:basedOn w:val="1"/>
    <w:next w:val="1"/>
    <w:qFormat/>
    <w:uiPriority w:val="0"/>
    <w:pPr>
      <w:spacing w:before="100" w:beforeAutospacing="1" w:after="100" w:afterAutospacing="1"/>
      <w:jc w:val="left"/>
      <w:outlineLvl w:val="2"/>
    </w:pPr>
    <w:rPr>
      <w:rFonts w:hint="eastAsia" w:ascii="宋体" w:hAnsi="宋体"/>
      <w:b/>
      <w:kern w:val="0"/>
      <w:sz w:val="27"/>
      <w:szCs w:val="27"/>
    </w:rPr>
  </w:style>
  <w:style w:type="paragraph" w:styleId="5">
    <w:name w:val="heading 4"/>
    <w:basedOn w:val="1"/>
    <w:next w:val="1"/>
    <w:qFormat/>
    <w:uiPriority w:val="0"/>
    <w:pPr>
      <w:keepNext/>
      <w:keepLines/>
      <w:spacing w:before="200"/>
      <w:outlineLvl w:val="3"/>
    </w:pPr>
    <w:rPr>
      <w:rFonts w:ascii="Calibri" w:hAnsi="Calibri"/>
      <w:b/>
      <w:i/>
      <w:color w:val="7E97AD"/>
      <w:sz w:val="20"/>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qFormat/>
    <w:uiPriority w:val="0"/>
    <w:pPr>
      <w:spacing w:after="120"/>
    </w:pPr>
  </w:style>
  <w:style w:type="paragraph" w:styleId="8">
    <w:name w:val="index 4"/>
    <w:basedOn w:val="1"/>
    <w:next w:val="1"/>
    <w:unhideWhenUsed/>
    <w:qFormat/>
    <w:uiPriority w:val="99"/>
    <w:pPr>
      <w:ind w:left="600" w:leftChars="600"/>
    </w:pPr>
    <w:rPr>
      <w:rFonts w:ascii="Verdana" w:hAnsi="Verdana"/>
      <w:szCs w:val="20"/>
    </w:rPr>
  </w:style>
  <w:style w:type="paragraph" w:styleId="9">
    <w:name w:val="Plain Text"/>
    <w:basedOn w:val="1"/>
    <w:qFormat/>
    <w:uiPriority w:val="0"/>
    <w:rPr>
      <w:rFonts w:ascii="宋体" w:hAnsi="Courier New"/>
      <w:szCs w:val="21"/>
    </w:rPr>
  </w:style>
  <w:style w:type="paragraph" w:styleId="10">
    <w:name w:val="Date"/>
    <w:basedOn w:val="1"/>
    <w:next w:val="1"/>
    <w:qFormat/>
    <w:uiPriority w:val="0"/>
    <w:pPr>
      <w:ind w:left="100" w:leftChars="2500"/>
    </w:pPr>
    <w:rPr>
      <w:sz w:val="24"/>
    </w:rPr>
  </w:style>
  <w:style w:type="paragraph" w:styleId="11">
    <w:name w:val="Balloon Text"/>
    <w:basedOn w:val="1"/>
    <w:link w:val="23"/>
    <w:qFormat/>
    <w:uiPriority w:val="0"/>
    <w:rPr>
      <w:kern w:val="0"/>
      <w:sz w:val="18"/>
      <w:szCs w:val="18"/>
      <w:lang w:val="zh-CN"/>
    </w:rPr>
  </w:style>
  <w:style w:type="paragraph" w:styleId="12">
    <w:name w:val="footer"/>
    <w:basedOn w:val="1"/>
    <w:link w:val="22"/>
    <w:qFormat/>
    <w:uiPriority w:val="0"/>
    <w:pPr>
      <w:tabs>
        <w:tab w:val="center" w:pos="4153"/>
        <w:tab w:val="right" w:pos="8306"/>
      </w:tabs>
      <w:snapToGrid w:val="0"/>
      <w:jc w:val="left"/>
    </w:pPr>
    <w:rPr>
      <w:kern w:val="0"/>
      <w:sz w:val="18"/>
      <w:szCs w:val="18"/>
      <w:lang w:val="zh-CN"/>
    </w:rPr>
  </w:style>
  <w:style w:type="paragraph" w:styleId="13">
    <w:name w:val="header"/>
    <w:basedOn w:val="1"/>
    <w:link w:val="21"/>
    <w:qFormat/>
    <w:uiPriority w:val="0"/>
    <w:pPr>
      <w:pBdr>
        <w:bottom w:val="single" w:color="auto" w:sz="6" w:space="1"/>
      </w:pBdr>
      <w:tabs>
        <w:tab w:val="center" w:pos="4153"/>
        <w:tab w:val="right" w:pos="8306"/>
      </w:tabs>
      <w:snapToGrid w:val="0"/>
      <w:jc w:val="center"/>
    </w:pPr>
    <w:rPr>
      <w:kern w:val="0"/>
      <w:sz w:val="18"/>
      <w:szCs w:val="18"/>
      <w:lang w:val="zh-CN"/>
    </w:rPr>
  </w:style>
  <w:style w:type="paragraph" w:styleId="14">
    <w:name w:val="Normal (Web)"/>
    <w:basedOn w:val="1"/>
    <w:qFormat/>
    <w:uiPriority w:val="0"/>
    <w:rPr>
      <w:sz w:val="24"/>
    </w:rPr>
  </w:style>
  <w:style w:type="table" w:styleId="16">
    <w:name w:val="Table Grid"/>
    <w:basedOn w:val="1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0"/>
  </w:style>
  <w:style w:type="character" w:styleId="19">
    <w:name w:val="FollowedHyperlink"/>
    <w:qFormat/>
    <w:uiPriority w:val="0"/>
    <w:rPr>
      <w:rFonts w:hint="eastAsia" w:ascii="宋体" w:hAnsi="宋体" w:eastAsia="宋体" w:cs="宋体"/>
      <w:color w:val="0066CC"/>
      <w:sz w:val="18"/>
      <w:szCs w:val="18"/>
      <w:u w:val="single"/>
    </w:rPr>
  </w:style>
  <w:style w:type="character" w:styleId="20">
    <w:name w:val="Hyperlink"/>
    <w:basedOn w:val="17"/>
    <w:qFormat/>
    <w:uiPriority w:val="0"/>
    <w:rPr>
      <w:rFonts w:hint="eastAsia" w:ascii="宋体" w:hAnsi="宋体" w:eastAsia="宋体" w:cs="宋体"/>
      <w:color w:val="000000"/>
      <w:sz w:val="18"/>
      <w:szCs w:val="18"/>
      <w:u w:val="single"/>
    </w:rPr>
  </w:style>
  <w:style w:type="character" w:customStyle="1" w:styleId="21">
    <w:name w:val="页眉 字符"/>
    <w:link w:val="13"/>
    <w:qFormat/>
    <w:uiPriority w:val="0"/>
    <w:rPr>
      <w:rFonts w:ascii="Times New Roman" w:hAnsi="Times New Roman" w:eastAsia="宋体" w:cs="Times New Roman"/>
      <w:sz w:val="18"/>
      <w:szCs w:val="18"/>
    </w:rPr>
  </w:style>
  <w:style w:type="character" w:customStyle="1" w:styleId="22">
    <w:name w:val="页脚 字符"/>
    <w:link w:val="12"/>
    <w:qFormat/>
    <w:uiPriority w:val="0"/>
    <w:rPr>
      <w:rFonts w:ascii="Times New Roman" w:hAnsi="Times New Roman" w:eastAsia="宋体" w:cs="Times New Roman"/>
      <w:sz w:val="18"/>
      <w:szCs w:val="18"/>
    </w:rPr>
  </w:style>
  <w:style w:type="character" w:customStyle="1" w:styleId="23">
    <w:name w:val="批注框文本 字符"/>
    <w:link w:val="11"/>
    <w:qFormat/>
    <w:uiPriority w:val="0"/>
    <w:rPr>
      <w:rFonts w:ascii="Times New Roman" w:hAnsi="Times New Roman" w:eastAsia="宋体" w:cs="Times New Roman"/>
      <w:sz w:val="18"/>
      <w:szCs w:val="18"/>
    </w:rPr>
  </w:style>
  <w:style w:type="character" w:customStyle="1" w:styleId="24">
    <w:name w:val="页码1"/>
    <w:basedOn w:val="17"/>
    <w:qFormat/>
    <w:uiPriority w:val="0"/>
  </w:style>
  <w:style w:type="character" w:customStyle="1" w:styleId="25">
    <w:name w:val="文档结构图 Char"/>
    <w:link w:val="26"/>
    <w:qFormat/>
    <w:uiPriority w:val="0"/>
    <w:rPr>
      <w:rFonts w:ascii="宋体" w:hAnsi="Times New Roman" w:eastAsia="宋体" w:cs="Times New Roman"/>
      <w:sz w:val="18"/>
      <w:szCs w:val="18"/>
    </w:rPr>
  </w:style>
  <w:style w:type="paragraph" w:customStyle="1" w:styleId="26">
    <w:name w:val="文档结构图1"/>
    <w:basedOn w:val="1"/>
    <w:link w:val="25"/>
    <w:qFormat/>
    <w:uiPriority w:val="0"/>
    <w:rPr>
      <w:rFonts w:ascii="宋体"/>
      <w:kern w:val="0"/>
      <w:sz w:val="18"/>
      <w:szCs w:val="18"/>
      <w:lang w:val="zh-CN"/>
    </w:rPr>
  </w:style>
  <w:style w:type="paragraph" w:customStyle="1" w:styleId="27">
    <w:name w:val="样式 标题 3h3H3sect1.2.3 + 五号 段前: 6 磅 段后: 6 磅 行距: 单倍行距"/>
    <w:basedOn w:val="4"/>
    <w:unhideWhenUsed/>
    <w:qFormat/>
    <w:uiPriority w:val="0"/>
    <w:pPr>
      <w:spacing w:before="120" w:after="120"/>
    </w:pPr>
    <w:rPr>
      <w:rFonts w:hint="default"/>
      <w:sz w:val="21"/>
    </w:rPr>
  </w:style>
  <w:style w:type="paragraph" w:customStyle="1" w:styleId="28">
    <w:name w:val="样式 标题 1 + 四号 居中 段前: 12 磅 段后: 12 磅 行距: 单倍行距"/>
    <w:basedOn w:val="2"/>
    <w:qFormat/>
    <w:uiPriority w:val="0"/>
    <w:pPr>
      <w:spacing w:before="240" w:after="240" w:line="240" w:lineRule="auto"/>
      <w:jc w:val="center"/>
    </w:pPr>
    <w:rPr>
      <w:rFonts w:cs="宋体"/>
      <w:sz w:val="28"/>
      <w:szCs w:val="20"/>
    </w:rPr>
  </w:style>
  <w:style w:type="paragraph" w:customStyle="1" w:styleId="29">
    <w:name w:val="列表段落1"/>
    <w:basedOn w:val="1"/>
    <w:qFormat/>
    <w:uiPriority w:val="0"/>
    <w:pPr>
      <w:ind w:firstLine="420" w:firstLineChars="200"/>
    </w:pPr>
  </w:style>
  <w:style w:type="paragraph" w:customStyle="1" w:styleId="30">
    <w:name w:val="样式 标题 2 + 宋体 五号 非加粗 黑色"/>
    <w:basedOn w:val="3"/>
    <w:qFormat/>
    <w:uiPriority w:val="0"/>
    <w:rPr>
      <w:rFonts w:ascii="宋体" w:hAnsi="宋体" w:eastAsia="宋体"/>
      <w:b w:val="0"/>
      <w:bCs w:val="0"/>
      <w:color w:val="000000"/>
      <w:sz w:val="21"/>
    </w:rPr>
  </w:style>
  <w:style w:type="paragraph" w:customStyle="1" w:styleId="31">
    <w:name w:val="列出段落1"/>
    <w:basedOn w:val="1"/>
    <w:qFormat/>
    <w:uiPriority w:val="0"/>
    <w:pPr>
      <w:adjustRightInd w:val="0"/>
      <w:spacing w:line="360" w:lineRule="atLeast"/>
      <w:ind w:firstLine="420" w:firstLineChars="200"/>
      <w:jc w:val="left"/>
      <w:textAlignment w:val="baseline"/>
    </w:pPr>
    <w:rPr>
      <w:kern w:val="0"/>
      <w:sz w:val="24"/>
    </w:rPr>
  </w:style>
  <w:style w:type="paragraph" w:customStyle="1" w:styleId="32">
    <w:name w:val="样式1"/>
    <w:basedOn w:val="1"/>
    <w:qFormat/>
    <w:uiPriority w:val="0"/>
    <w:pPr>
      <w:numPr>
        <w:ilvl w:val="0"/>
        <w:numId w:val="2"/>
      </w:numPr>
    </w:pPr>
    <w:rPr>
      <w:rFonts w:ascii="宋体" w:hAnsi="宋体"/>
      <w:szCs w:val="21"/>
    </w:rPr>
  </w:style>
  <w:style w:type="paragraph" w:customStyle="1" w:styleId="33">
    <w:name w:val="样式 标题 4 + 段前: 5 磅 段后: 5 磅 行距: 单倍行距"/>
    <w:basedOn w:val="5"/>
    <w:unhideWhenUsed/>
    <w:qFormat/>
    <w:uiPriority w:val="0"/>
    <w:pPr>
      <w:spacing w:before="100" w:after="100"/>
    </w:pPr>
    <w:rPr>
      <w:sz w:val="28"/>
    </w:rPr>
  </w:style>
  <w:style w:type="paragraph" w:customStyle="1" w:styleId="34">
    <w:name w:val="样式 样式 样式 样式 标题 2 + 宋体 五号 非加粗 黑色 + 段前: 6 磅 段后: 0 磅 行距: 单倍行距 + 段前:..."/>
    <w:basedOn w:val="35"/>
    <w:qFormat/>
    <w:uiPriority w:val="0"/>
    <w:rPr>
      <w:b/>
      <w:bCs/>
    </w:rPr>
  </w:style>
  <w:style w:type="paragraph" w:customStyle="1" w:styleId="35">
    <w:name w:val="样式 样式 样式 标题 2 + 宋体 五号 非加粗 黑色 + 段前: 6 磅 段后: 0 磅 行距: 单倍行距 + 段前: 12..."/>
    <w:basedOn w:val="36"/>
    <w:qFormat/>
    <w:uiPriority w:val="0"/>
    <w:pPr>
      <w:spacing w:before="240"/>
    </w:pPr>
  </w:style>
  <w:style w:type="paragraph" w:customStyle="1" w:styleId="36">
    <w:name w:val="样式 样式 标题 2 + 宋体 五号 非加粗 黑色 + 段前: 6 磅 段后: 0 磅 行距: 单倍行距"/>
    <w:basedOn w:val="30"/>
    <w:qFormat/>
    <w:uiPriority w:val="0"/>
    <w:pPr>
      <w:spacing w:before="120" w:after="0" w:line="240" w:lineRule="auto"/>
    </w:pPr>
    <w:rPr>
      <w:rFonts w:cs="宋体"/>
      <w:szCs w:val="20"/>
    </w:rPr>
  </w:style>
  <w:style w:type="paragraph" w:customStyle="1" w:styleId="37">
    <w:name w:val="表格标题"/>
    <w:basedOn w:val="1"/>
    <w:qFormat/>
    <w:uiPriority w:val="10"/>
    <w:pPr>
      <w:keepNext/>
      <w:pBdr>
        <w:top w:val="single" w:color="7E97AD" w:sz="4" w:space="1"/>
        <w:left w:val="single" w:color="7E97AD" w:sz="4" w:space="6"/>
        <w:bottom w:val="single" w:color="7E97AD" w:sz="4" w:space="2"/>
        <w:right w:val="single" w:color="7E97AD" w:sz="4" w:space="6"/>
      </w:pBdr>
      <w:shd w:val="clear" w:color="auto" w:fill="7E97AD"/>
      <w:spacing w:before="160"/>
      <w:ind w:left="144" w:right="144"/>
    </w:pPr>
    <w:rPr>
      <w:rFonts w:ascii="Calibri" w:hAnsi="Calibri" w:cs="黑体"/>
      <w:caps/>
      <w:color w:val="FFFFFF"/>
      <w:sz w:val="24"/>
    </w:rPr>
  </w:style>
  <w:style w:type="character" w:customStyle="1" w:styleId="38">
    <w:name w:val="font51"/>
    <w:basedOn w:val="17"/>
    <w:qFormat/>
    <w:uiPriority w:val="0"/>
    <w:rPr>
      <w:rFonts w:hint="eastAsia" w:ascii="宋体" w:hAnsi="宋体" w:eastAsia="宋体" w:cs="宋体"/>
      <w:color w:val="000000"/>
      <w:sz w:val="20"/>
      <w:szCs w:val="20"/>
      <w:u w:val="none"/>
    </w:rPr>
  </w:style>
  <w:style w:type="character" w:customStyle="1" w:styleId="39">
    <w:name w:val="font01"/>
    <w:basedOn w:val="17"/>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4002</Words>
  <Characters>4224</Characters>
  <Lines>22</Lines>
  <Paragraphs>6</Paragraphs>
  <TotalTime>18</TotalTime>
  <ScaleCrop>false</ScaleCrop>
  <LinksUpToDate>false</LinksUpToDate>
  <CharactersWithSpaces>4561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2024-06-20T01:24:00Z</dcterms:created>
  <dc:creator>Administrator</dc:creator>
  <cp:lastModifiedBy>御无双</cp:lastModifiedBy>
  <dcterms:modified xsi:type="dcterms:W3CDTF">2026-06-16T04:42:53Z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AE5D2161CA894D18A0CEEA7916E59EBD_13</vt:lpwstr>
  </property>
  <property fmtid="{D5CDD505-2E9C-101B-9397-08002B2CF9AE}" pid="4" name="KSOTemplateDocerSaveRecord">
    <vt:lpwstr>eyJoZGlkIjoiMTBiMWZhYzBiY2I1YTczOGYyNzhhNmI2MjM5YjFjZjEiLCJ1c2VySWQiOiI1NzMwMTAwMzgifQ==</vt:lpwstr>
  </property>
</Properties>
</file>