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万安县总医院</w:t>
      </w:r>
      <w:r>
        <w:rPr>
          <w:rFonts w:hint="eastAsia"/>
        </w:rPr>
        <w:t>有害生物防治服务项目竞价公告</w:t>
      </w:r>
    </w:p>
    <w:p>
      <w:pPr>
        <w:rPr>
          <w:rFonts w:hint="eastAsia"/>
        </w:rPr>
      </w:pPr>
      <w:r>
        <w:rPr>
          <w:rFonts w:hint="eastAsia"/>
        </w:rPr>
        <w:t>一、项目基本情况</w:t>
      </w:r>
    </w:p>
    <w:p>
      <w:pPr>
        <w:rPr>
          <w:rFonts w:hint="eastAsia"/>
        </w:rPr>
      </w:pPr>
      <w:r>
        <w:rPr>
          <w:rFonts w:hint="eastAsia"/>
        </w:rPr>
        <w:t>1.项目名称：</w:t>
      </w:r>
      <w:r>
        <w:rPr>
          <w:rFonts w:hint="eastAsia"/>
          <w:lang w:val="en-US" w:eastAsia="zh-CN"/>
        </w:rPr>
        <w:t>万安县总医院</w:t>
      </w:r>
      <w:r>
        <w:rPr>
          <w:rFonts w:hint="eastAsia"/>
        </w:rPr>
        <w:t>有害生物防治服务项目</w:t>
      </w:r>
    </w:p>
    <w:p>
      <w:pPr>
        <w:rPr>
          <w:rFonts w:hint="eastAsia"/>
        </w:rPr>
      </w:pPr>
      <w:r>
        <w:rPr>
          <w:rFonts w:hint="eastAsia"/>
        </w:rPr>
        <w:t>2.预算金额：¥5</w:t>
      </w:r>
      <w:r>
        <w:rPr>
          <w:rFonts w:hint="eastAsia"/>
          <w:lang w:val="en-US" w:eastAsia="zh-CN"/>
        </w:rPr>
        <w:t>38</w:t>
      </w:r>
      <w:r>
        <w:rPr>
          <w:rFonts w:hint="eastAsia"/>
        </w:rPr>
        <w:t>00.00元（含税全包价）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.服务内容及价格：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 xml:space="preserve"> 中医院</w:t>
      </w:r>
      <w:r>
        <w:rPr>
          <w:rFonts w:hint="eastAsia"/>
          <w:lang w:val="en-US" w:eastAsia="zh-CN"/>
        </w:rPr>
        <w:t>院区</w:t>
      </w:r>
      <w:r>
        <w:rPr>
          <w:rFonts w:hint="eastAsia"/>
        </w:rPr>
        <w:t>：服务期限</w:t>
      </w:r>
      <w:r>
        <w:rPr>
          <w:rFonts w:hint="eastAsia"/>
          <w:lang w:val="en-US" w:eastAsia="zh-CN"/>
        </w:rPr>
        <w:t>2026年8月1日至2027年5月31日共计10</w:t>
      </w:r>
      <w:r>
        <w:rPr>
          <w:rFonts w:hint="eastAsia"/>
        </w:rPr>
        <w:t>个月，每月1400元，合计¥1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00.00元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人民医院</w:t>
      </w:r>
      <w:r>
        <w:rPr>
          <w:rFonts w:hint="eastAsia"/>
          <w:lang w:val="en-US" w:eastAsia="zh-CN"/>
        </w:rPr>
        <w:t>院区</w:t>
      </w:r>
      <w:r>
        <w:rPr>
          <w:rFonts w:hint="eastAsia"/>
        </w:rPr>
        <w:t>：服务期限</w:t>
      </w:r>
      <w:r>
        <w:rPr>
          <w:rFonts w:hint="eastAsia"/>
          <w:lang w:val="en-US" w:eastAsia="zh-CN"/>
        </w:rPr>
        <w:t>2026年6月1日至2027年5月31日共计</w:t>
      </w:r>
      <w:r>
        <w:rPr>
          <w:rFonts w:hint="eastAsia"/>
        </w:rPr>
        <w:t>12个月，合计¥39800.00元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报价需要写明总价和两个院区的分报价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.服务区域：人民医院院区、中医院院区（含门诊、住院、医技、药房、食堂、仓库、卫生间、地下车库、绿化带、垃圾站、排水沟热烟雾等）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.防治对象：老鼠、蟑螂、蚊蝇、白蚁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.服务频次：5—10月每月2次，其余月份每月1次；应急处置24小时内响应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.药剂要求：高效、低毒、环保，符合国家卫生、环保、疾控标准，不影响医疗环境</w:t>
      </w:r>
    </w:p>
    <w:tbl>
      <w:tblPr>
        <w:tblStyle w:val="3"/>
        <w:tblpPr w:leftFromText="180" w:rightFromText="180" w:vertAnchor="text" w:horzAnchor="margin" w:tblpY="435"/>
        <w:tblOverlap w:val="never"/>
        <w:tblW w:w="93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830"/>
        <w:gridCol w:w="1605"/>
        <w:gridCol w:w="1605"/>
        <w:gridCol w:w="1035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b w:val="0"/>
                <w:bCs w:val="0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b w:val="0"/>
                <w:bCs w:val="0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4"/>
              </w:rPr>
              <w:t>药品需求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b w:val="0"/>
                <w:bCs w:val="0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4"/>
              </w:rPr>
              <w:t>总有效成分含量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b w:val="0"/>
                <w:bCs w:val="0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4"/>
              </w:rPr>
              <w:t>灭治对象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b w:val="0"/>
                <w:bCs w:val="0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4"/>
              </w:rPr>
              <w:t>使用方法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生产厂家要求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/>
              <w:jc w:val="center"/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溴鼠灵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毒饵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≥0.005%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投饵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菊酯类＋四氟醚菊酯复配剂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≥5</w:t>
            </w:r>
            <w:r>
              <w:rPr>
                <w:rFonts w:ascii="宋体" w:hAnsi="宋体" w:cs="宋体"/>
                <w:color w:val="auto"/>
                <w:sz w:val="24"/>
                <w:lang w:eastAsia="zh-CN"/>
              </w:rPr>
              <w:t>%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蚊、蝇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超低容量喷雾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菊酯类＋残杀威复配剂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≥5</w:t>
            </w:r>
            <w:r>
              <w:rPr>
                <w:rFonts w:ascii="宋体" w:hAnsi="宋体" w:cs="宋体"/>
                <w:color w:val="auto"/>
                <w:sz w:val="24"/>
                <w:lang w:eastAsia="zh-CN"/>
              </w:rPr>
              <w:t>%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蚊、蝇、蜚蠊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滞留喷洒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hint="eastAsia"/>
                <w:color w:val="auto"/>
                <w:lang w:eastAsia="zh-CN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color w:val="auto"/>
              </w:rPr>
              <w:t>吡丙醚颗粒剂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ind w:firstLine="120" w:firstLineChars="50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≥0.5%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孑孓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（蚊幼虫）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撒施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hint="eastAsia"/>
                <w:color w:val="auto"/>
                <w:lang w:eastAsia="zh-CN"/>
              </w:rPr>
              <w:t>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color w:val="auto"/>
              </w:rPr>
              <w:t>灭蟑饵剂或饵粒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ind w:firstLine="120" w:firstLineChars="50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≥0.05%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蜚蠊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</w:pPr>
            <w:r>
              <w:rPr>
                <w:rFonts w:ascii="宋体" w:hAnsi="宋体" w:cs="宋体"/>
                <w:color w:val="auto"/>
                <w:sz w:val="24"/>
              </w:rPr>
              <w:t>投放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hint="eastAsia" w:asciiTheme="minorAscii" w:hAnsiTheme="minorAsci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Ascii" w:hAnsiTheme="minorAsci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杀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虫</w:t>
            </w:r>
            <w:r>
              <w:rPr>
                <w:rFonts w:hint="eastAsia"/>
                <w:color w:val="auto"/>
              </w:rPr>
              <w:t>热烟</w:t>
            </w:r>
            <w:r>
              <w:rPr>
                <w:rFonts w:hint="eastAsia"/>
                <w:color w:val="auto"/>
                <w:lang w:val="en-US" w:eastAsia="zh-CN"/>
              </w:rPr>
              <w:t>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ind w:firstLine="120" w:firstLineChars="50"/>
              <w:jc w:val="center"/>
              <w:rPr>
                <w:rFonts w:ascii="宋体" w:hAnsi="宋体" w:cs="宋体" w:eastAsiaTheme="minorEastAsia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1.5%含量烟雾剂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ascii="宋体" w:hAnsi="宋体" w:cs="宋体" w:eastAsiaTheme="minorEastAsia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蚊、蜚蠊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 w:beforeLines="30" w:after="72" w:afterLines="30" w:line="440" w:lineRule="atLeast"/>
              <w:jc w:val="center"/>
              <w:rPr>
                <w:rFonts w:ascii="宋体" w:hAnsi="宋体" w:cs="宋体" w:eastAsiaTheme="minorEastAsia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热烟雾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  <w:t>注：响应文件中须提供农业部颁发的农药登记证、 农药生产许可证、企业标准信息公共服务平台备案的企业标准复印件并加盖公章佐证，保证进货渠道正规，无过期产品，否则做无效投标处理。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不</w:t>
      </w:r>
      <w:r>
        <w:rPr>
          <w:rFonts w:hint="eastAsia"/>
        </w:rPr>
        <w:t>接受联合体：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不</w:t>
      </w:r>
      <w:r>
        <w:rPr>
          <w:rFonts w:hint="eastAsia"/>
        </w:rPr>
        <w:t>允许转包分包：</w:t>
      </w:r>
    </w:p>
    <w:p>
      <w:pPr>
        <w:rPr>
          <w:rFonts w:hint="eastAsia"/>
        </w:rPr>
      </w:pPr>
      <w:r>
        <w:rPr>
          <w:rFonts w:hint="eastAsia"/>
        </w:rPr>
        <w:t>二、供应商资格要求</w:t>
      </w:r>
    </w:p>
    <w:p>
      <w:pPr>
        <w:rPr>
          <w:rFonts w:hint="eastAsia"/>
        </w:rPr>
      </w:pPr>
      <w:r>
        <w:rPr>
          <w:rFonts w:hint="eastAsia"/>
        </w:rPr>
        <w:t>1.具有独立承担民事责任能力，营业执照经营范围包含有害生物防治或病媒生物防制相关内容；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.具备有害生物防制相关资质，作业人员持证上岗；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.未被列入失信被执行人、重大税收违法失信主体、政府采购严重违法失信名单；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.近3年无重大违法记录，具有良好商业信誉。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投标人自202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年1月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日起至投标截止时间，承担并完成过类似项目业绩不少于3份。</w:t>
      </w:r>
    </w:p>
    <w:p>
      <w:pPr>
        <w:rPr>
          <w:rFonts w:hint="eastAsia"/>
        </w:rPr>
      </w:pPr>
      <w:r>
        <w:rPr>
          <w:rFonts w:hint="eastAsia"/>
        </w:rPr>
        <w:t>三、现场勘察要求</w:t>
      </w:r>
    </w:p>
    <w:p>
      <w:pPr>
        <w:rPr>
          <w:rFonts w:hint="eastAsia"/>
        </w:rPr>
      </w:pPr>
      <w:r>
        <w:rPr>
          <w:rFonts w:hint="eastAsia"/>
        </w:rPr>
        <w:t>1.本项目须进行现场勘察，供应商应自行对服务范围、现场环境、作业条件等进行实地踏勘，充分了解项目实际情况。</w:t>
      </w:r>
    </w:p>
    <w:p>
      <w:pPr>
        <w:ind w:left="5320" w:hanging="5320" w:hangingChars="1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.勘察联系人：</w:t>
      </w:r>
      <w:r>
        <w:rPr>
          <w:rFonts w:hint="eastAsia"/>
          <w:lang w:val="en-US" w:eastAsia="zh-CN"/>
        </w:rPr>
        <w:t>许主任 程主</w:t>
      </w:r>
      <w:bookmarkStart w:id="0" w:name="_GoBack"/>
      <w:bookmarkEnd w:id="0"/>
      <w:r>
        <w:rPr>
          <w:rFonts w:hint="eastAsia"/>
          <w:lang w:val="en-US" w:eastAsia="zh-CN"/>
        </w:rPr>
        <w:t xml:space="preserve">任         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13970615123   联系电</w:t>
      </w:r>
      <w:r>
        <w:rPr>
          <w:rFonts w:hint="eastAsia"/>
        </w:rPr>
        <w:t>话：</w:t>
      </w:r>
      <w:r>
        <w:rPr>
          <w:rFonts w:hint="eastAsia"/>
          <w:lang w:val="en-US" w:eastAsia="zh-CN"/>
        </w:rPr>
        <w:t xml:space="preserve">18170647482                </w:t>
      </w:r>
    </w:p>
    <w:p>
      <w:pPr>
        <w:ind w:left="560" w:hanging="560" w:hangingChars="200"/>
        <w:rPr>
          <w:rFonts w:hint="eastAsia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勘察地址：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万</w:t>
      </w:r>
      <w:r>
        <w:rPr>
          <w:rFonts w:hint="eastAsia"/>
          <w:lang w:val="en-US" w:eastAsia="zh-CN"/>
        </w:rPr>
        <w:t>安</w:t>
      </w:r>
      <w:r>
        <w:rPr>
          <w:rFonts w:hint="eastAsia"/>
        </w:rPr>
        <w:t>人民医院</w:t>
      </w:r>
      <w:r>
        <w:rPr>
          <w:rFonts w:hint="eastAsia"/>
          <w:lang w:val="en-US" w:eastAsia="zh-CN"/>
        </w:rPr>
        <w:t>院区</w:t>
      </w:r>
      <w:r>
        <w:rPr>
          <w:rFonts w:hint="eastAsia"/>
        </w:rPr>
        <w:t>、中医院</w:t>
      </w:r>
      <w:r>
        <w:rPr>
          <w:rFonts w:hint="eastAsia"/>
          <w:lang w:val="en-US" w:eastAsia="zh-CN"/>
        </w:rPr>
        <w:t>院区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公告期限</w:t>
      </w:r>
    </w:p>
    <w:p>
      <w:pPr>
        <w:rPr>
          <w:rFonts w:hint="eastAsia"/>
        </w:rPr>
      </w:pPr>
      <w:r>
        <w:rPr>
          <w:rFonts w:hint="eastAsia"/>
        </w:rPr>
        <w:t>自本公告发布之日起3个工作日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四．</w:t>
      </w:r>
      <w:r>
        <w:rPr>
          <w:rFonts w:hint="eastAsia"/>
        </w:rPr>
        <w:t>其他补充事宜</w:t>
      </w:r>
    </w:p>
    <w:p>
      <w:pPr>
        <w:rPr>
          <w:rFonts w:hint="eastAsia"/>
        </w:rPr>
      </w:pPr>
      <w:r>
        <w:rPr>
          <w:rFonts w:hint="eastAsia"/>
        </w:rPr>
        <w:t>1.报价含药剂、人工、器械、交通、税费、应急服务等全部费用，合同期内不调价；</w:t>
      </w:r>
    </w:p>
    <w:p>
      <w:pPr>
        <w:rPr>
          <w:rFonts w:hint="eastAsia"/>
        </w:rPr>
      </w:pPr>
      <w:r>
        <w:rPr>
          <w:rFonts w:hint="eastAsia"/>
        </w:rPr>
        <w:t>2.中标后按江西省电子卖场规定签订合同；</w:t>
      </w:r>
    </w:p>
    <w:p>
      <w:pPr>
        <w:rPr>
          <w:rFonts w:hint="eastAsia"/>
        </w:rPr>
      </w:pPr>
      <w:r>
        <w:rPr>
          <w:rFonts w:hint="eastAsia"/>
        </w:rPr>
        <w:t>3.服务须建立台账，每次作业经采购人确认；</w:t>
      </w:r>
    </w:p>
    <w:p>
      <w:pPr>
        <w:rPr>
          <w:rFonts w:hint="eastAsia"/>
        </w:rPr>
      </w:pPr>
      <w:r>
        <w:rPr>
          <w:rFonts w:hint="eastAsia"/>
        </w:rPr>
        <w:t>4.供应商应充分踏勘现场，中标后不得以不了解现场为由拒绝履约。</w:t>
      </w:r>
    </w:p>
    <w:p>
      <w:pPr>
        <w:ind w:left="6160" w:leftChars="2200" w:firstLine="2240" w:firstLineChars="800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2026年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>
      <w:pPr>
        <w:ind w:left="6160" w:leftChars="2200" w:firstLine="2240" w:firstLineChars="8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7B3CC"/>
    <w:multiLevelType w:val="singleLevel"/>
    <w:tmpl w:val="E807B3C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DRmMzQ4ZTQyMjc2NmMwY2M4ZGI1YmM1MTQ0NmQifQ=="/>
  </w:docVars>
  <w:rsids>
    <w:rsidRoot w:val="08B86FC4"/>
    <w:rsid w:val="07337A4A"/>
    <w:rsid w:val="08B86FC4"/>
    <w:rsid w:val="190D677D"/>
    <w:rsid w:val="45502BDC"/>
    <w:rsid w:val="4BBD3660"/>
    <w:rsid w:val="5B4E19AD"/>
    <w:rsid w:val="70C868B6"/>
    <w:rsid w:val="758F3024"/>
    <w:rsid w:val="761F6C50"/>
    <w:rsid w:val="76983B29"/>
    <w:rsid w:val="7E7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2026-04-22T00:27:00Z</dcterms:created>
  <dc:creator>微信用户</dc:creator>
  <cp:lastModifiedBy>Admin</cp:lastModifiedBy>
  <dcterms:modified xsi:type="dcterms:W3CDTF">2026-06-16T01:20:12Z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50DAE24FA32145FB88651055BA2280ED_13</vt:lpwstr>
  </property>
</Properties>
</file>