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F838">
      <w:pPr>
        <w:pStyle w:val="6"/>
        <w:widowControl/>
        <w:shd w:val="clear" w:color="auto" w:fill="FDFDFE"/>
        <w:spacing w:line="560" w:lineRule="exact"/>
        <w:ind w:firstLine="482"/>
        <w:jc w:val="center"/>
        <w:rPr>
          <w:rFonts w:hint="eastAsia" w:ascii="仿宋_GB2312" w:hAnsi="仿宋_GB2312" w:eastAsia="仿宋_GB2312" w:cs="仿宋_GB2312"/>
          <w:b/>
          <w:bCs/>
          <w:sz w:val="36"/>
          <w:szCs w:val="36"/>
          <w:shd w:val="clear" w:color="auto" w:fill="FDFDFE"/>
          <w:lang w:val="en-US" w:eastAsia="zh-CN"/>
        </w:rPr>
      </w:pPr>
      <w:r>
        <w:rPr>
          <w:rFonts w:hint="eastAsia" w:ascii="仿宋_GB2312" w:hAnsi="仿宋_GB2312" w:eastAsia="仿宋_GB2312" w:cs="仿宋_GB2312"/>
          <w:b/>
          <w:bCs/>
          <w:sz w:val="36"/>
          <w:szCs w:val="36"/>
          <w:lang w:val="en-US" w:eastAsia="zh-CN"/>
        </w:rPr>
        <w:t>湖南科技学院2026年白蚁防治服务项目（第二次）竞价文件</w:t>
      </w:r>
    </w:p>
    <w:p w14:paraId="73A37502">
      <w:pPr>
        <w:spacing w:line="480" w:lineRule="exact"/>
        <w:rPr>
          <w:rFonts w:hint="eastAsia" w:ascii="仿宋_GB2312" w:hAnsi="仿宋_GB2312" w:eastAsia="仿宋_GB2312" w:cs="仿宋_GB2312"/>
          <w:sz w:val="32"/>
          <w:szCs w:val="32"/>
        </w:rPr>
      </w:pPr>
    </w:p>
    <w:p w14:paraId="42EF3CE1">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一、采购项目概况：</w:t>
      </w:r>
    </w:p>
    <w:p w14:paraId="73330E39">
      <w:pPr>
        <w:keepNext w:val="0"/>
        <w:keepLines w:val="0"/>
        <w:pageBreakBefore w:val="0"/>
        <w:kinsoku/>
        <w:wordWrap/>
        <w:overflowPunct/>
        <w:topLinePunct w:val="0"/>
        <w:autoSpaceDE/>
        <w:autoSpaceDN/>
        <w:bidi w:val="0"/>
        <w:spacing w:line="360" w:lineRule="auto"/>
        <w:ind w:firstLine="280" w:firstLineChars="100"/>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1.项目名称：</w:t>
      </w:r>
      <w:r>
        <w:rPr>
          <w:rFonts w:hint="eastAsia" w:ascii="仿宋_GB2312" w:hAnsi="仿宋_GB2312" w:eastAsia="仿宋_GB2312" w:cs="仿宋_GB2312"/>
          <w:bCs/>
          <w:kern w:val="21"/>
          <w:sz w:val="28"/>
          <w:szCs w:val="28"/>
          <w:lang w:eastAsia="zh-CN"/>
        </w:rPr>
        <w:t>2026年白蚁防治服务项目（</w:t>
      </w:r>
      <w:r>
        <w:rPr>
          <w:rFonts w:hint="eastAsia" w:ascii="仿宋_GB2312" w:hAnsi="仿宋_GB2312" w:eastAsia="仿宋_GB2312" w:cs="仿宋_GB2312"/>
          <w:bCs/>
          <w:kern w:val="21"/>
          <w:sz w:val="28"/>
          <w:szCs w:val="28"/>
          <w:lang w:val="en-US" w:eastAsia="zh-CN"/>
        </w:rPr>
        <w:t>第二次</w:t>
      </w:r>
      <w:bookmarkStart w:id="0" w:name="_GoBack"/>
      <w:bookmarkEnd w:id="0"/>
      <w:r>
        <w:rPr>
          <w:rFonts w:hint="eastAsia" w:ascii="仿宋_GB2312" w:hAnsi="仿宋_GB2312" w:eastAsia="仿宋_GB2312" w:cs="仿宋_GB2312"/>
          <w:bCs/>
          <w:kern w:val="21"/>
          <w:sz w:val="28"/>
          <w:szCs w:val="28"/>
          <w:lang w:eastAsia="zh-CN"/>
        </w:rPr>
        <w:t>）</w:t>
      </w:r>
    </w:p>
    <w:p w14:paraId="1D0A00CD">
      <w:pPr>
        <w:keepNext w:val="0"/>
        <w:keepLines w:val="0"/>
        <w:pageBreakBefore w:val="0"/>
        <w:widowControl/>
        <w:kinsoku/>
        <w:wordWrap/>
        <w:overflowPunct/>
        <w:topLinePunct w:val="0"/>
        <w:autoSpaceDE/>
        <w:autoSpaceDN/>
        <w:bidi w:val="0"/>
        <w:adjustRightInd w:val="0"/>
        <w:snapToGrid w:val="0"/>
        <w:spacing w:line="360" w:lineRule="auto"/>
        <w:ind w:firstLine="280" w:firstLineChars="100"/>
        <w:jc w:val="left"/>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2.采购方式：电子卖场竞价</w:t>
      </w:r>
    </w:p>
    <w:p w14:paraId="212061EE">
      <w:pPr>
        <w:keepNext w:val="0"/>
        <w:keepLines w:val="0"/>
        <w:pageBreakBefore w:val="0"/>
        <w:widowControl/>
        <w:kinsoku/>
        <w:wordWrap/>
        <w:overflowPunct/>
        <w:topLinePunct w:val="0"/>
        <w:autoSpaceDE/>
        <w:autoSpaceDN/>
        <w:bidi w:val="0"/>
        <w:adjustRightInd w:val="0"/>
        <w:snapToGrid w:val="0"/>
        <w:spacing w:line="360" w:lineRule="auto"/>
        <w:ind w:firstLine="280" w:firstLineChars="100"/>
        <w:jc w:val="left"/>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3.</w:t>
      </w:r>
      <w:r>
        <w:rPr>
          <w:rFonts w:hint="eastAsia" w:ascii="仿宋_GB2312" w:hAnsi="仿宋_GB2312" w:eastAsia="仿宋_GB2312" w:cs="仿宋_GB2312"/>
          <w:bCs/>
          <w:kern w:val="21"/>
          <w:sz w:val="28"/>
          <w:szCs w:val="28"/>
        </w:rPr>
        <w:t>控制金额：人民币</w:t>
      </w:r>
      <w:r>
        <w:rPr>
          <w:rFonts w:hint="eastAsia" w:ascii="仿宋_GB2312" w:hAnsi="仿宋_GB2312" w:eastAsia="仿宋_GB2312" w:cs="仿宋_GB2312"/>
          <w:bCs/>
          <w:kern w:val="21"/>
          <w:sz w:val="28"/>
          <w:szCs w:val="28"/>
          <w:lang w:val="en-US" w:eastAsia="zh-CN"/>
        </w:rPr>
        <w:t>42600</w:t>
      </w:r>
      <w:r>
        <w:rPr>
          <w:rFonts w:hint="eastAsia" w:ascii="仿宋_GB2312" w:hAnsi="仿宋_GB2312" w:eastAsia="仿宋_GB2312" w:cs="仿宋_GB2312"/>
          <w:bCs/>
          <w:kern w:val="21"/>
          <w:sz w:val="28"/>
          <w:szCs w:val="28"/>
        </w:rPr>
        <w:t>元。</w:t>
      </w:r>
    </w:p>
    <w:p w14:paraId="266B6A93">
      <w:pPr>
        <w:keepNext w:val="0"/>
        <w:keepLines w:val="0"/>
        <w:pageBreakBefore w:val="0"/>
        <w:widowControl/>
        <w:kinsoku/>
        <w:wordWrap/>
        <w:overflowPunct/>
        <w:topLinePunct w:val="0"/>
        <w:autoSpaceDE/>
        <w:autoSpaceDN/>
        <w:bidi w:val="0"/>
        <w:adjustRightInd w:val="0"/>
        <w:snapToGrid w:val="0"/>
        <w:spacing w:line="360" w:lineRule="auto"/>
        <w:ind w:firstLine="280" w:firstLineChars="100"/>
        <w:jc w:val="left"/>
        <w:textAlignment w:val="auto"/>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4.项目概况：对校园内所有树木、绿化进行每年两次以上的药物防治喷洒，并做到每月不定期检查，即发现立消杀、随传随到。同时，需对校园内120棵白蚁危害严重的大树（胸径40cm以上）进行白蚁挖槽处理，在巢穴内施放专业药物，确保白蚁彻底清除。</w:t>
      </w:r>
    </w:p>
    <w:p w14:paraId="08AD70F7">
      <w:pPr>
        <w:spacing w:line="48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二、投标人资格要求：</w:t>
      </w:r>
    </w:p>
    <w:p w14:paraId="57196E21">
      <w:pPr>
        <w:keepNext w:val="0"/>
        <w:keepLines w:val="0"/>
        <w:pageBreakBefore w:val="0"/>
        <w:kinsoku/>
        <w:wordWrap/>
        <w:overflowPunct/>
        <w:topLinePunct w:val="0"/>
        <w:autoSpaceDE/>
        <w:autoSpaceDN/>
        <w:bidi w:val="0"/>
        <w:spacing w:line="360" w:lineRule="auto"/>
        <w:ind w:firstLine="280" w:firstLineChars="100"/>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1.具有独立法人资格，具备相应的经营范围和资质。</w:t>
      </w:r>
    </w:p>
    <w:p w14:paraId="5E345E2A">
      <w:pPr>
        <w:keepNext w:val="0"/>
        <w:keepLines w:val="0"/>
        <w:pageBreakBefore w:val="0"/>
        <w:kinsoku/>
        <w:wordWrap/>
        <w:overflowPunct/>
        <w:topLinePunct w:val="0"/>
        <w:autoSpaceDE/>
        <w:autoSpaceDN/>
        <w:bidi w:val="0"/>
        <w:spacing w:line="360" w:lineRule="auto"/>
        <w:ind w:firstLine="280" w:firstLineChars="100"/>
        <w:textAlignment w:val="auto"/>
        <w:rPr>
          <w:rFonts w:hint="eastAsia" w:ascii="仿宋_GB2312" w:hAnsi="仿宋_GB2312" w:eastAsia="仿宋_GB2312" w:cs="仿宋_GB2312"/>
          <w:bCs/>
          <w:kern w:val="21"/>
          <w:sz w:val="28"/>
          <w:szCs w:val="28"/>
          <w:highlight w:val="yellow"/>
        </w:rPr>
      </w:pPr>
      <w:r>
        <w:rPr>
          <w:rFonts w:hint="eastAsia" w:ascii="仿宋_GB2312" w:hAnsi="仿宋_GB2312" w:eastAsia="仿宋_GB2312" w:cs="仿宋_GB2312"/>
          <w:bCs/>
          <w:kern w:val="21"/>
          <w:sz w:val="28"/>
          <w:szCs w:val="28"/>
          <w:highlight w:val="none"/>
        </w:rPr>
        <w:t>2.开展白蚁挖巢作业的施工人员，须持有</w:t>
      </w:r>
      <w:r>
        <w:rPr>
          <w:rFonts w:hint="eastAsia" w:ascii="仿宋_GB2312" w:hAnsi="仿宋_GB2312" w:eastAsia="仿宋_GB2312" w:cs="仿宋_GB2312"/>
          <w:b/>
          <w:bCs w:val="0"/>
          <w:kern w:val="21"/>
          <w:sz w:val="28"/>
          <w:szCs w:val="28"/>
          <w:highlight w:val="none"/>
        </w:rPr>
        <w:t>白蚁防治</w:t>
      </w:r>
      <w:r>
        <w:rPr>
          <w:rFonts w:hint="eastAsia" w:ascii="仿宋_GB2312" w:hAnsi="仿宋_GB2312" w:eastAsia="仿宋_GB2312" w:cs="仿宋_GB2312"/>
          <w:b/>
          <w:bCs w:val="0"/>
          <w:kern w:val="21"/>
          <w:sz w:val="28"/>
          <w:szCs w:val="28"/>
          <w:highlight w:val="none"/>
          <w:lang w:val="en-US" w:eastAsia="zh-CN"/>
        </w:rPr>
        <w:t>员</w:t>
      </w:r>
      <w:r>
        <w:rPr>
          <w:rFonts w:hint="eastAsia" w:ascii="仿宋_GB2312" w:hAnsi="仿宋_GB2312" w:eastAsia="仿宋_GB2312" w:cs="仿宋_GB2312"/>
          <w:b/>
          <w:bCs w:val="0"/>
          <w:kern w:val="21"/>
          <w:sz w:val="28"/>
          <w:szCs w:val="28"/>
          <w:highlight w:val="none"/>
        </w:rPr>
        <w:t>相关职业资格证书</w:t>
      </w:r>
      <w:r>
        <w:rPr>
          <w:rFonts w:hint="eastAsia" w:ascii="仿宋_GB2312" w:hAnsi="仿宋_GB2312" w:eastAsia="仿宋_GB2312" w:cs="仿宋_GB2312"/>
          <w:bCs/>
          <w:kern w:val="21"/>
          <w:sz w:val="28"/>
          <w:szCs w:val="28"/>
          <w:highlight w:val="none"/>
        </w:rPr>
        <w:t>方可上岗作业。</w:t>
      </w:r>
    </w:p>
    <w:p w14:paraId="6503907D">
      <w:pPr>
        <w:keepNext w:val="0"/>
        <w:keepLines w:val="0"/>
        <w:pageBreakBefore w:val="0"/>
        <w:kinsoku/>
        <w:wordWrap/>
        <w:overflowPunct/>
        <w:topLinePunct w:val="0"/>
        <w:autoSpaceDE/>
        <w:autoSpaceDN/>
        <w:bidi w:val="0"/>
        <w:spacing w:line="360" w:lineRule="auto"/>
        <w:ind w:firstLine="280" w:firstLineChars="100"/>
        <w:textAlignment w:val="auto"/>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rPr>
        <w:t>3.近三年内无重大违法违规记录。</w:t>
      </w:r>
      <w:r>
        <w:rPr>
          <w:rFonts w:hint="eastAsia" w:ascii="仿宋_GB2312" w:hAnsi="仿宋_GB2312" w:eastAsia="仿宋_GB2312" w:cs="仿宋_GB2312"/>
          <w:bCs/>
          <w:kern w:val="21"/>
          <w:sz w:val="28"/>
          <w:szCs w:val="28"/>
          <w:lang w:val="en-US" w:eastAsia="zh-CN"/>
        </w:rPr>
        <w:t xml:space="preserve">                                                                                                                       </w:t>
      </w:r>
    </w:p>
    <w:p w14:paraId="6F6D3951">
      <w:pPr>
        <w:keepNext w:val="0"/>
        <w:keepLines w:val="0"/>
        <w:pageBreakBefore w:val="0"/>
        <w:kinsoku/>
        <w:wordWrap/>
        <w:overflowPunct/>
        <w:topLinePunct w:val="0"/>
        <w:autoSpaceDE/>
        <w:autoSpaceDN/>
        <w:bidi w:val="0"/>
        <w:spacing w:line="360" w:lineRule="auto"/>
        <w:ind w:firstLine="280" w:firstLineChars="100"/>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4.乙方需有相关经验，电话通知</w:t>
      </w:r>
      <w:r>
        <w:rPr>
          <w:rFonts w:hint="eastAsia" w:ascii="仿宋_GB2312" w:hAnsi="仿宋_GB2312" w:eastAsia="仿宋_GB2312" w:cs="仿宋_GB2312"/>
          <w:bCs/>
          <w:kern w:val="21"/>
          <w:sz w:val="28"/>
          <w:szCs w:val="28"/>
          <w:lang w:val="en-US" w:eastAsia="zh-CN"/>
        </w:rPr>
        <w:t>1小时</w:t>
      </w:r>
      <w:r>
        <w:rPr>
          <w:rFonts w:hint="eastAsia" w:ascii="仿宋_GB2312" w:hAnsi="仿宋_GB2312" w:eastAsia="仿宋_GB2312" w:cs="仿宋_GB2312"/>
          <w:bCs/>
          <w:kern w:val="21"/>
          <w:sz w:val="28"/>
          <w:szCs w:val="28"/>
        </w:rPr>
        <w:t>内</w:t>
      </w:r>
      <w:r>
        <w:rPr>
          <w:rFonts w:hint="eastAsia" w:ascii="仿宋_GB2312" w:hAnsi="仿宋_GB2312" w:eastAsia="仿宋_GB2312" w:cs="仿宋_GB2312"/>
          <w:bCs/>
          <w:kern w:val="21"/>
          <w:sz w:val="28"/>
          <w:szCs w:val="28"/>
          <w:lang w:val="en-US" w:eastAsia="zh-CN"/>
        </w:rPr>
        <w:t>可</w:t>
      </w:r>
      <w:r>
        <w:rPr>
          <w:rFonts w:hint="eastAsia" w:ascii="仿宋_GB2312" w:hAnsi="仿宋_GB2312" w:eastAsia="仿宋_GB2312" w:cs="仿宋_GB2312"/>
          <w:bCs/>
          <w:kern w:val="21"/>
          <w:sz w:val="28"/>
          <w:szCs w:val="28"/>
        </w:rPr>
        <w:t>到现场</w:t>
      </w:r>
      <w:r>
        <w:rPr>
          <w:rFonts w:hint="eastAsia" w:ascii="仿宋_GB2312" w:hAnsi="仿宋_GB2312" w:eastAsia="仿宋_GB2312" w:cs="仿宋_GB2312"/>
          <w:bCs/>
          <w:kern w:val="21"/>
          <w:sz w:val="28"/>
          <w:szCs w:val="28"/>
          <w:lang w:val="en-US" w:eastAsia="zh-CN"/>
        </w:rPr>
        <w:t>处理</w:t>
      </w:r>
      <w:r>
        <w:rPr>
          <w:rFonts w:hint="eastAsia" w:ascii="仿宋_GB2312" w:hAnsi="仿宋_GB2312" w:eastAsia="仿宋_GB2312" w:cs="仿宋_GB2312"/>
          <w:bCs/>
          <w:kern w:val="21"/>
          <w:sz w:val="28"/>
          <w:szCs w:val="28"/>
        </w:rPr>
        <w:t>，方便随时联系，严禁中介皮包公司参与竞价。</w:t>
      </w:r>
    </w:p>
    <w:p w14:paraId="1BFEE2B4">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b/>
          <w:bCs/>
          <w:sz w:val="28"/>
          <w:szCs w:val="28"/>
          <w:lang w:val="en-US" w:eastAsia="zh-CN"/>
        </w:rPr>
        <w:t>质保期及售后责任：</w:t>
      </w:r>
    </w:p>
    <w:p w14:paraId="074F48CA">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1.药物防治质保期：</w:t>
      </w:r>
      <w:r>
        <w:rPr>
          <w:rFonts w:hint="eastAsia" w:ascii="仿宋_GB2312" w:hAnsi="仿宋_GB2312" w:eastAsia="仿宋_GB2312" w:cs="仿宋_GB2312"/>
          <w:b/>
          <w:bCs/>
          <w:sz w:val="28"/>
          <w:szCs w:val="28"/>
          <w:lang w:val="en-US" w:eastAsia="zh-CN"/>
        </w:rPr>
        <w:t>质保期为1年</w:t>
      </w:r>
      <w:r>
        <w:rPr>
          <w:rFonts w:hint="eastAsia" w:ascii="仿宋_GB2312" w:hAnsi="仿宋_GB2312" w:eastAsia="仿宋_GB2312" w:cs="仿宋_GB2312"/>
          <w:b w:val="0"/>
          <w:bCs w:val="0"/>
          <w:sz w:val="28"/>
          <w:szCs w:val="28"/>
          <w:lang w:val="en-US" w:eastAsia="zh-CN"/>
        </w:rPr>
        <w:t>，自合同签订之日起计算。质保期内若发现白蚁，中标方须无条件进行免费灭杀。</w:t>
      </w:r>
    </w:p>
    <w:p w14:paraId="070F9C80">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lang w:val="en-US" w:eastAsia="zh-CN"/>
        </w:rPr>
        <w:t>2.挖巢处理质保期：</w:t>
      </w:r>
      <w:r>
        <w:rPr>
          <w:rFonts w:hint="eastAsia" w:ascii="仿宋_GB2312" w:hAnsi="仿宋_GB2312" w:eastAsia="仿宋_GB2312" w:cs="仿宋_GB2312"/>
          <w:b/>
          <w:bCs/>
          <w:sz w:val="28"/>
          <w:szCs w:val="28"/>
          <w:lang w:val="en-US" w:eastAsia="zh-CN"/>
        </w:rPr>
        <w:t>质保期为3年</w:t>
      </w:r>
      <w:r>
        <w:rPr>
          <w:rFonts w:hint="eastAsia" w:ascii="仿宋_GB2312" w:hAnsi="仿宋_GB2312" w:eastAsia="仿宋_GB2312" w:cs="仿宋_GB2312"/>
          <w:b w:val="0"/>
          <w:bCs w:val="0"/>
          <w:sz w:val="28"/>
          <w:szCs w:val="28"/>
          <w:lang w:val="en-US" w:eastAsia="zh-CN"/>
        </w:rPr>
        <w:t>，自白蚁挖巢施工完成起计算。针对实施挖巢处理的大树，质保期内若出现白蚁复发，中标方须无条件免费进行返工治理。</w:t>
      </w:r>
    </w:p>
    <w:p w14:paraId="061B4DB4">
      <w:pPr>
        <w:rPr>
          <w:rFonts w:hint="eastAsia" w:ascii="仿宋_GB2312" w:hAnsi="仿宋_GB2312" w:eastAsia="仿宋_GB2312" w:cs="仿宋_GB2312"/>
          <w:bCs/>
          <w:kern w:val="21"/>
          <w:sz w:val="28"/>
          <w:szCs w:val="28"/>
        </w:rPr>
      </w:pPr>
    </w:p>
    <w:p w14:paraId="0EB56767">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四、采购需求：</w:t>
      </w:r>
    </w:p>
    <w:p w14:paraId="3C5A28E1">
      <w:pPr>
        <w:widowControl/>
        <w:adjustRightInd w:val="0"/>
        <w:snapToGrid w:val="0"/>
        <w:spacing w:line="480" w:lineRule="exact"/>
        <w:ind w:firstLine="280" w:firstLineChars="100"/>
        <w:jc w:val="left"/>
        <w:rPr>
          <w:rFonts w:hint="eastAsia" w:ascii="仿宋_GB2312" w:hAnsi="仿宋_GB2312" w:eastAsia="仿宋_GB2312" w:cs="仿宋_GB2312"/>
          <w:bCs/>
          <w:kern w:val="21"/>
          <w:sz w:val="28"/>
          <w:szCs w:val="28"/>
          <w:lang w:eastAsia="zh-CN"/>
        </w:rPr>
      </w:pPr>
      <w:r>
        <w:rPr>
          <w:rFonts w:hint="eastAsia" w:ascii="仿宋_GB2312" w:hAnsi="仿宋_GB2312" w:eastAsia="仿宋_GB2312" w:cs="仿宋_GB2312"/>
          <w:bCs/>
          <w:kern w:val="21"/>
          <w:sz w:val="28"/>
          <w:szCs w:val="28"/>
        </w:rPr>
        <w:t>1.为避免恶意竞价，竞价单位</w:t>
      </w:r>
      <w:r>
        <w:rPr>
          <w:rFonts w:hint="eastAsia" w:ascii="仿宋_GB2312" w:hAnsi="仿宋_GB2312" w:eastAsia="仿宋_GB2312" w:cs="仿宋_GB2312"/>
          <w:bCs/>
          <w:kern w:val="21"/>
          <w:sz w:val="28"/>
          <w:szCs w:val="28"/>
          <w:lang w:eastAsia="zh-CN"/>
        </w:rPr>
        <w:t>需</w:t>
      </w:r>
      <w:r>
        <w:rPr>
          <w:rFonts w:hint="eastAsia" w:ascii="仿宋_GB2312" w:hAnsi="仿宋_GB2312" w:eastAsia="仿宋_GB2312" w:cs="仿宋_GB2312"/>
          <w:bCs/>
          <w:kern w:val="21"/>
          <w:sz w:val="28"/>
          <w:szCs w:val="28"/>
        </w:rPr>
        <w:t>在竞价前</w:t>
      </w:r>
      <w:r>
        <w:rPr>
          <w:rFonts w:hint="eastAsia" w:ascii="仿宋_GB2312" w:hAnsi="仿宋_GB2312" w:eastAsia="仿宋_GB2312" w:cs="仿宋_GB2312"/>
          <w:bCs/>
          <w:kern w:val="21"/>
          <w:sz w:val="28"/>
          <w:szCs w:val="28"/>
          <w:lang w:val="en-US" w:eastAsia="zh-CN"/>
        </w:rPr>
        <w:t>进行</w:t>
      </w:r>
      <w:r>
        <w:rPr>
          <w:rFonts w:hint="eastAsia" w:ascii="仿宋_GB2312" w:hAnsi="仿宋_GB2312" w:eastAsia="仿宋_GB2312" w:cs="仿宋_GB2312"/>
          <w:bCs/>
          <w:kern w:val="21"/>
          <w:sz w:val="28"/>
          <w:szCs w:val="28"/>
          <w:lang w:eastAsia="zh-CN"/>
        </w:rPr>
        <w:t>实地查看具体现场</w:t>
      </w:r>
      <w:r>
        <w:rPr>
          <w:rFonts w:hint="eastAsia" w:ascii="仿宋_GB2312" w:hAnsi="仿宋_GB2312" w:eastAsia="仿宋_GB2312" w:cs="仿宋_GB2312"/>
          <w:bCs/>
          <w:kern w:val="21"/>
          <w:sz w:val="28"/>
          <w:szCs w:val="28"/>
          <w:lang w:val="en-US" w:eastAsia="zh-CN"/>
        </w:rPr>
        <w:t>并</w:t>
      </w:r>
      <w:r>
        <w:rPr>
          <w:rFonts w:hint="eastAsia" w:ascii="仿宋_GB2312" w:hAnsi="仿宋_GB2312" w:eastAsia="仿宋_GB2312" w:cs="仿宋_GB2312"/>
          <w:bCs/>
          <w:kern w:val="21"/>
          <w:sz w:val="28"/>
          <w:szCs w:val="28"/>
        </w:rPr>
        <w:t>确定</w:t>
      </w:r>
      <w:r>
        <w:rPr>
          <w:rFonts w:hint="eastAsia" w:ascii="仿宋_GB2312" w:hAnsi="仿宋_GB2312" w:eastAsia="仿宋_GB2312" w:cs="仿宋_GB2312"/>
          <w:bCs/>
          <w:kern w:val="21"/>
          <w:sz w:val="28"/>
          <w:szCs w:val="28"/>
          <w:lang w:eastAsia="zh-CN"/>
        </w:rPr>
        <w:t>施工方案。</w:t>
      </w:r>
    </w:p>
    <w:p w14:paraId="323919BD">
      <w:pPr>
        <w:widowControl/>
        <w:adjustRightInd w:val="0"/>
        <w:snapToGrid w:val="0"/>
        <w:spacing w:line="480" w:lineRule="exact"/>
        <w:ind w:firstLine="280" w:firstLineChars="1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2</w:t>
      </w:r>
      <w:r>
        <w:rPr>
          <w:rFonts w:hint="eastAsia" w:ascii="仿宋_GB2312" w:hAnsi="仿宋_GB2312" w:eastAsia="仿宋_GB2312" w:cs="仿宋_GB2312"/>
          <w:bCs/>
          <w:kern w:val="21"/>
          <w:sz w:val="28"/>
          <w:szCs w:val="28"/>
        </w:rPr>
        <w:t>.投标文件应包含</w:t>
      </w:r>
      <w:r>
        <w:rPr>
          <w:rFonts w:hint="eastAsia" w:ascii="仿宋_GB2312" w:hAnsi="仿宋_GB2312" w:eastAsia="仿宋_GB2312" w:cs="仿宋_GB2312"/>
          <w:b/>
          <w:bCs w:val="0"/>
          <w:kern w:val="21"/>
          <w:sz w:val="28"/>
          <w:szCs w:val="28"/>
        </w:rPr>
        <w:t>报价清单、营业执照</w:t>
      </w:r>
      <w:r>
        <w:rPr>
          <w:rFonts w:hint="eastAsia" w:ascii="仿宋_GB2312" w:hAnsi="仿宋_GB2312" w:eastAsia="仿宋_GB2312" w:cs="仿宋_GB2312"/>
          <w:bCs/>
          <w:kern w:val="21"/>
          <w:sz w:val="28"/>
          <w:szCs w:val="28"/>
        </w:rPr>
        <w:t>副本复印件</w:t>
      </w:r>
      <w:r>
        <w:rPr>
          <w:rFonts w:hint="eastAsia" w:ascii="仿宋_GB2312" w:hAnsi="仿宋_GB2312" w:eastAsia="仿宋_GB2312" w:cs="仿宋_GB2312"/>
          <w:bCs/>
          <w:kern w:val="21"/>
          <w:sz w:val="28"/>
          <w:szCs w:val="28"/>
          <w:lang w:eastAsia="zh-CN"/>
        </w:rPr>
        <w:t>、</w:t>
      </w:r>
      <w:r>
        <w:rPr>
          <w:rFonts w:hint="eastAsia" w:ascii="仿宋_GB2312" w:hAnsi="仿宋_GB2312" w:eastAsia="仿宋_GB2312" w:cs="仿宋_GB2312"/>
          <w:bCs/>
          <w:kern w:val="21"/>
          <w:sz w:val="28"/>
          <w:szCs w:val="28"/>
          <w:lang w:val="en-US" w:eastAsia="zh-CN"/>
        </w:rPr>
        <w:t>所要求的</w:t>
      </w:r>
      <w:r>
        <w:rPr>
          <w:rFonts w:hint="eastAsia" w:ascii="仿宋_GB2312" w:hAnsi="仿宋_GB2312" w:eastAsia="仿宋_GB2312" w:cs="仿宋_GB2312"/>
          <w:b/>
          <w:bCs w:val="0"/>
          <w:kern w:val="21"/>
          <w:sz w:val="28"/>
          <w:szCs w:val="28"/>
          <w:lang w:val="en-US" w:eastAsia="zh-CN"/>
        </w:rPr>
        <w:t>职业资格证书及我方提供的承诺书</w:t>
      </w:r>
      <w:r>
        <w:rPr>
          <w:rFonts w:hint="eastAsia" w:ascii="仿宋_GB2312" w:hAnsi="仿宋_GB2312" w:eastAsia="仿宋_GB2312" w:cs="仿宋_GB2312"/>
          <w:bCs/>
          <w:kern w:val="21"/>
          <w:sz w:val="28"/>
          <w:szCs w:val="28"/>
        </w:rPr>
        <w:t>，</w:t>
      </w:r>
      <w:r>
        <w:rPr>
          <w:rFonts w:hint="eastAsia" w:ascii="仿宋_GB2312" w:hAnsi="仿宋_GB2312" w:eastAsia="仿宋_GB2312" w:cs="仿宋_GB2312"/>
          <w:b/>
          <w:bCs w:val="0"/>
          <w:kern w:val="21"/>
          <w:sz w:val="28"/>
          <w:szCs w:val="28"/>
        </w:rPr>
        <w:t>所有资料须加盖单位公章</w:t>
      </w:r>
      <w:r>
        <w:rPr>
          <w:rFonts w:hint="eastAsia" w:ascii="仿宋_GB2312" w:hAnsi="仿宋_GB2312" w:eastAsia="仿宋_GB2312" w:cs="仿宋_GB2312"/>
          <w:bCs/>
          <w:kern w:val="21"/>
          <w:sz w:val="28"/>
          <w:szCs w:val="28"/>
        </w:rPr>
        <w:t>。未按本项目竞价文件要求提供相关材料的视为无效报价。</w:t>
      </w:r>
    </w:p>
    <w:p w14:paraId="28E459B9">
      <w:pPr>
        <w:widowControl/>
        <w:adjustRightInd w:val="0"/>
        <w:snapToGrid w:val="0"/>
        <w:spacing w:line="480" w:lineRule="exact"/>
        <w:ind w:firstLine="280" w:firstLineChars="100"/>
        <w:jc w:val="left"/>
        <w:rPr>
          <w:rFonts w:hint="default" w:ascii="仿宋_GB2312" w:hAnsi="仿宋_GB2312" w:eastAsia="仿宋_GB2312" w:cs="仿宋_GB2312"/>
          <w:b w:val="0"/>
          <w:bCs/>
          <w:kern w:val="21"/>
          <w:sz w:val="28"/>
          <w:szCs w:val="28"/>
          <w:lang w:val="en-US" w:eastAsia="zh-CN"/>
        </w:rPr>
      </w:pPr>
      <w:r>
        <w:rPr>
          <w:rFonts w:hint="eastAsia" w:ascii="仿宋_GB2312" w:hAnsi="仿宋_GB2312" w:eastAsia="仿宋_GB2312" w:cs="仿宋_GB2312"/>
          <w:b w:val="0"/>
          <w:bCs/>
          <w:kern w:val="21"/>
          <w:sz w:val="28"/>
          <w:szCs w:val="28"/>
          <w:lang w:val="en-US" w:eastAsia="zh-CN"/>
        </w:rPr>
        <w:t>3.日常白蚁防治需每年集中施药两次，分别于5月至6月及9月至10月进行，其余时间随时发现随时灭杀。供应商需每月定期进行巡查，并向采购方提交巡查记录与消杀档案。</w:t>
      </w:r>
    </w:p>
    <w:p w14:paraId="1ED613D6">
      <w:pPr>
        <w:widowControl/>
        <w:adjustRightInd w:val="0"/>
        <w:snapToGrid w:val="0"/>
        <w:spacing w:line="480" w:lineRule="exact"/>
        <w:ind w:firstLine="280" w:firstLineChars="100"/>
        <w:jc w:val="left"/>
        <w:rPr>
          <w:rFonts w:hint="default" w:ascii="仿宋_GB2312" w:hAnsi="仿宋_GB2312" w:eastAsia="仿宋_GB2312" w:cs="仿宋_GB2312"/>
          <w:b/>
          <w:kern w:val="21"/>
          <w:sz w:val="28"/>
          <w:szCs w:val="28"/>
          <w:lang w:val="en-US" w:eastAsia="zh-CN"/>
        </w:rPr>
      </w:pPr>
      <w:r>
        <w:rPr>
          <w:rFonts w:hint="eastAsia" w:ascii="仿宋_GB2312" w:hAnsi="仿宋_GB2312" w:eastAsia="仿宋_GB2312" w:cs="仿宋_GB2312"/>
          <w:b w:val="0"/>
          <w:bCs/>
          <w:kern w:val="21"/>
          <w:sz w:val="28"/>
          <w:szCs w:val="28"/>
          <w:lang w:val="en-US" w:eastAsia="zh-CN"/>
        </w:rPr>
        <w:t>4</w:t>
      </w:r>
      <w:r>
        <w:rPr>
          <w:rFonts w:hint="eastAsia" w:ascii="仿宋_GB2312" w:hAnsi="仿宋_GB2312" w:eastAsia="仿宋_GB2312" w:cs="仿宋_GB2312"/>
          <w:b w:val="0"/>
          <w:bCs/>
          <w:kern w:val="21"/>
          <w:sz w:val="28"/>
          <w:szCs w:val="28"/>
        </w:rPr>
        <w:t>.对白蚁危害严重的大树（胸径40cm以上）</w:t>
      </w:r>
      <w:r>
        <w:rPr>
          <w:rFonts w:hint="eastAsia" w:ascii="仿宋_GB2312" w:hAnsi="仿宋_GB2312" w:eastAsia="仿宋_GB2312" w:cs="仿宋_GB2312"/>
          <w:b w:val="0"/>
          <w:bCs/>
          <w:kern w:val="21"/>
          <w:sz w:val="28"/>
          <w:szCs w:val="28"/>
          <w:lang w:val="en-US" w:eastAsia="zh-CN"/>
        </w:rPr>
        <w:t>进行</w:t>
      </w:r>
      <w:r>
        <w:rPr>
          <w:rFonts w:hint="eastAsia" w:ascii="仿宋_GB2312" w:hAnsi="仿宋_GB2312" w:eastAsia="仿宋_GB2312" w:cs="仿宋_GB2312"/>
          <w:b w:val="0"/>
          <w:bCs/>
          <w:kern w:val="21"/>
          <w:sz w:val="28"/>
          <w:szCs w:val="28"/>
        </w:rPr>
        <w:t>挖巢</w:t>
      </w:r>
      <w:r>
        <w:rPr>
          <w:rFonts w:hint="eastAsia" w:ascii="仿宋_GB2312" w:hAnsi="仿宋_GB2312" w:eastAsia="仿宋_GB2312" w:cs="仿宋_GB2312"/>
          <w:b w:val="0"/>
          <w:bCs/>
          <w:kern w:val="21"/>
          <w:sz w:val="28"/>
          <w:szCs w:val="28"/>
          <w:lang w:val="en-US" w:eastAsia="zh-CN"/>
        </w:rPr>
        <w:t>处理</w:t>
      </w:r>
      <w:r>
        <w:rPr>
          <w:rFonts w:hint="eastAsia" w:ascii="仿宋_GB2312" w:hAnsi="仿宋_GB2312" w:eastAsia="仿宋_GB2312" w:cs="仿宋_GB2312"/>
          <w:b w:val="0"/>
          <w:bCs/>
          <w:kern w:val="21"/>
          <w:sz w:val="28"/>
          <w:szCs w:val="28"/>
          <w:lang w:eastAsia="zh-CN"/>
        </w:rPr>
        <w:t>，</w:t>
      </w:r>
      <w:r>
        <w:rPr>
          <w:rFonts w:hint="eastAsia" w:ascii="仿宋_GB2312" w:hAnsi="仿宋_GB2312" w:eastAsia="仿宋_GB2312" w:cs="仿宋_GB2312"/>
          <w:b w:val="0"/>
          <w:bCs/>
          <w:kern w:val="21"/>
          <w:sz w:val="28"/>
          <w:szCs w:val="28"/>
        </w:rPr>
        <w:t>并在巢穴内施放专业药物，确保白蚁彻底清除。要求白蚁挖巢的施工人员对已实施白蚁挖巢的树木进行挂牌标记</w:t>
      </w:r>
      <w:r>
        <w:rPr>
          <w:rFonts w:hint="eastAsia" w:ascii="仿宋_GB2312" w:hAnsi="仿宋_GB2312" w:eastAsia="仿宋_GB2312" w:cs="仿宋_GB2312"/>
          <w:b w:val="0"/>
          <w:bCs/>
          <w:kern w:val="21"/>
          <w:sz w:val="28"/>
          <w:szCs w:val="28"/>
          <w:lang w:eastAsia="zh-CN"/>
        </w:rPr>
        <w:t>（</w:t>
      </w:r>
      <w:r>
        <w:rPr>
          <w:rFonts w:hint="eastAsia" w:ascii="仿宋_GB2312" w:hAnsi="仿宋_GB2312" w:eastAsia="仿宋_GB2312" w:cs="仿宋_GB2312"/>
          <w:b w:val="0"/>
          <w:bCs/>
          <w:kern w:val="21"/>
          <w:sz w:val="28"/>
          <w:szCs w:val="28"/>
          <w:lang w:val="en-US" w:eastAsia="zh-CN"/>
        </w:rPr>
        <w:t>记录处理人员及日期</w:t>
      </w:r>
      <w:r>
        <w:rPr>
          <w:rFonts w:hint="eastAsia" w:ascii="仿宋_GB2312" w:hAnsi="仿宋_GB2312" w:eastAsia="仿宋_GB2312" w:cs="仿宋_GB2312"/>
          <w:b w:val="0"/>
          <w:bCs/>
          <w:kern w:val="21"/>
          <w:sz w:val="28"/>
          <w:szCs w:val="28"/>
          <w:lang w:eastAsia="zh-CN"/>
        </w:rPr>
        <w:t>）</w:t>
      </w:r>
      <w:r>
        <w:rPr>
          <w:rFonts w:hint="eastAsia" w:ascii="仿宋_GB2312" w:hAnsi="仿宋_GB2312" w:eastAsia="仿宋_GB2312" w:cs="仿宋_GB2312"/>
          <w:b w:val="0"/>
          <w:bCs/>
          <w:kern w:val="21"/>
          <w:sz w:val="28"/>
          <w:szCs w:val="28"/>
        </w:rPr>
        <w:t>，并提供三年质保期。质保期内如发现白蚁复发，施工方须无条件免费进行返工治理。</w:t>
      </w:r>
    </w:p>
    <w:p w14:paraId="63441362">
      <w:pPr>
        <w:widowControl/>
        <w:adjustRightInd w:val="0"/>
        <w:snapToGrid w:val="0"/>
        <w:spacing w:line="560" w:lineRule="exact"/>
        <w:ind w:firstLine="280" w:firstLineChars="1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sz w:val="28"/>
          <w:szCs w:val="28"/>
          <w:lang w:val="en-US" w:eastAsia="zh-CN"/>
        </w:rPr>
        <w:t>5.每棵进行白蚁挖巢的大树需拍照留档，记录处理时间、药物处理情况等，施工完成后提交治理台账</w:t>
      </w:r>
      <w:r>
        <w:rPr>
          <w:rFonts w:hint="eastAsia" w:ascii="仿宋_GB2312" w:hAnsi="仿宋_GB2312" w:eastAsia="仿宋_GB2312" w:cs="仿宋_GB2312"/>
          <w:bCs/>
          <w:kern w:val="21"/>
          <w:sz w:val="28"/>
          <w:szCs w:val="28"/>
        </w:rPr>
        <w:t>。</w:t>
      </w:r>
    </w:p>
    <w:p w14:paraId="52023D23">
      <w:pPr>
        <w:widowControl/>
        <w:adjustRightInd w:val="0"/>
        <w:snapToGrid w:val="0"/>
        <w:spacing w:line="560" w:lineRule="exact"/>
        <w:ind w:firstLine="280" w:firstLineChars="100"/>
        <w:jc w:val="left"/>
        <w:rPr>
          <w:rFonts w:hint="eastAsia"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6.成交供应商每次施工采购方必须知情，如施工与建筑物发生冲突或对绿地造成大面积损毁，需在采购方同意后进行。</w:t>
      </w:r>
    </w:p>
    <w:p w14:paraId="412EE2FF">
      <w:pPr>
        <w:widowControl/>
        <w:adjustRightInd w:val="0"/>
        <w:snapToGrid w:val="0"/>
        <w:spacing w:line="560" w:lineRule="exact"/>
        <w:ind w:firstLine="280" w:firstLineChars="100"/>
        <w:jc w:val="left"/>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7.成交供应商每次施工后，必须当天清理现场卫生，对绿地恢复整理。</w:t>
      </w:r>
    </w:p>
    <w:p w14:paraId="06A7F9B8">
      <w:pPr>
        <w:widowControl/>
        <w:adjustRightInd w:val="0"/>
        <w:snapToGrid w:val="0"/>
        <w:spacing w:line="560" w:lineRule="exact"/>
        <w:ind w:firstLine="281"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、付款方式</w:t>
      </w:r>
    </w:p>
    <w:p w14:paraId="12F76F7B">
      <w:pPr>
        <w:widowControl/>
        <w:adjustRightInd w:val="0"/>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Cs/>
          <w:kern w:val="21"/>
          <w:sz w:val="28"/>
          <w:szCs w:val="28"/>
          <w:lang w:val="en-US" w:eastAsia="zh-CN"/>
        </w:rPr>
        <w:t>本项目最终结算以双方共同确认的实际药物灭杀次数与白蚁巢挖除数量为依据。在每年两次集中灭杀及挖巢工作完成并经甲方验收合格后，甲方支付至结算总价的90%；剩余10%作为质量保证金，于全部质保期满（即三年质保期满）且无任何质量争议后，由甲方一次性无息支付给乙方。</w:t>
      </w:r>
    </w:p>
    <w:p w14:paraId="492F62C5">
      <w:pPr>
        <w:widowControl/>
        <w:adjustRightInd w:val="0"/>
        <w:snapToGrid w:val="0"/>
        <w:spacing w:line="560" w:lineRule="exact"/>
        <w:ind w:firstLine="281" w:firstLineChars="1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、其他要求</w:t>
      </w:r>
    </w:p>
    <w:p w14:paraId="678E4A7C">
      <w:pPr>
        <w:widowControl/>
        <w:adjustRightInd w:val="0"/>
        <w:snapToGrid w:val="0"/>
        <w:spacing w:line="560" w:lineRule="exact"/>
        <w:ind w:firstLine="560" w:firstLineChars="2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1.投标人应确保投标</w:t>
      </w:r>
      <w:r>
        <w:rPr>
          <w:rFonts w:hint="eastAsia" w:ascii="仿宋_GB2312" w:hAnsi="仿宋_GB2312" w:eastAsia="仿宋_GB2312" w:cs="仿宋_GB2312"/>
          <w:bCs/>
          <w:kern w:val="21"/>
          <w:sz w:val="28"/>
          <w:szCs w:val="28"/>
          <w:lang w:val="en-US" w:eastAsia="zh-CN"/>
        </w:rPr>
        <w:t>提交资料</w:t>
      </w:r>
      <w:r>
        <w:rPr>
          <w:rFonts w:hint="eastAsia" w:ascii="仿宋_GB2312" w:hAnsi="仿宋_GB2312" w:eastAsia="仿宋_GB2312" w:cs="仿宋_GB2312"/>
          <w:bCs/>
          <w:kern w:val="21"/>
          <w:sz w:val="28"/>
          <w:szCs w:val="28"/>
        </w:rPr>
        <w:t>的真实性、完整性和准确性。</w:t>
      </w:r>
    </w:p>
    <w:p w14:paraId="68463E5E">
      <w:pPr>
        <w:widowControl/>
        <w:adjustRightInd w:val="0"/>
        <w:snapToGrid w:val="0"/>
        <w:spacing w:line="560" w:lineRule="exact"/>
        <w:ind w:firstLine="560" w:firstLineChars="2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2</w:t>
      </w:r>
      <w:r>
        <w:rPr>
          <w:rFonts w:hint="eastAsia" w:ascii="仿宋_GB2312" w:hAnsi="仿宋_GB2312" w:eastAsia="仿宋_GB2312" w:cs="仿宋_GB2312"/>
          <w:bCs/>
          <w:kern w:val="21"/>
          <w:sz w:val="28"/>
          <w:szCs w:val="28"/>
        </w:rPr>
        <w:t>.成交供应商必须</w:t>
      </w:r>
      <w:r>
        <w:rPr>
          <w:rFonts w:hint="eastAsia" w:ascii="仿宋_GB2312" w:hAnsi="仿宋_GB2312" w:eastAsia="仿宋_GB2312" w:cs="仿宋_GB2312"/>
          <w:bCs/>
          <w:kern w:val="21"/>
          <w:sz w:val="28"/>
          <w:szCs w:val="28"/>
          <w:lang w:val="en-US" w:eastAsia="zh-CN"/>
        </w:rPr>
        <w:t>按承诺书及竞价文件所要求的</w:t>
      </w:r>
      <w:r>
        <w:rPr>
          <w:rFonts w:hint="eastAsia" w:ascii="仿宋_GB2312" w:hAnsi="仿宋_GB2312" w:eastAsia="仿宋_GB2312" w:cs="仿宋_GB2312"/>
          <w:bCs/>
          <w:kern w:val="21"/>
          <w:sz w:val="28"/>
          <w:szCs w:val="28"/>
        </w:rPr>
        <w:t>服务内容</w:t>
      </w:r>
      <w:r>
        <w:rPr>
          <w:rFonts w:hint="eastAsia" w:ascii="仿宋_GB2312" w:hAnsi="仿宋_GB2312" w:eastAsia="仿宋_GB2312" w:cs="仿宋_GB2312"/>
          <w:bCs/>
          <w:kern w:val="21"/>
          <w:sz w:val="28"/>
          <w:szCs w:val="28"/>
          <w:lang w:val="en-US" w:eastAsia="zh-CN"/>
        </w:rPr>
        <w:t>执行</w:t>
      </w:r>
      <w:r>
        <w:rPr>
          <w:rFonts w:hint="eastAsia" w:ascii="仿宋_GB2312" w:hAnsi="仿宋_GB2312" w:eastAsia="仿宋_GB2312" w:cs="仿宋_GB2312"/>
          <w:bCs/>
          <w:kern w:val="21"/>
          <w:sz w:val="28"/>
          <w:szCs w:val="28"/>
        </w:rPr>
        <w:t>，不得进行任何形式的转让或转包。</w:t>
      </w:r>
    </w:p>
    <w:p w14:paraId="37F8405C">
      <w:pPr>
        <w:widowControl/>
        <w:adjustRightInd w:val="0"/>
        <w:snapToGrid w:val="0"/>
        <w:spacing w:line="560" w:lineRule="exact"/>
        <w:ind w:firstLine="560" w:firstLineChars="200"/>
        <w:jc w:val="left"/>
        <w:rPr>
          <w:rFonts w:hint="eastAsia" w:ascii="仿宋_GB2312" w:hAnsi="仿宋_GB2312" w:eastAsia="仿宋_GB2312" w:cs="仿宋_GB2312"/>
          <w:b w:val="0"/>
          <w:bCs/>
          <w:kern w:val="21"/>
          <w:sz w:val="28"/>
          <w:szCs w:val="28"/>
          <w:lang w:val="en-US" w:eastAsia="zh-CN" w:bidi="ar-SA"/>
        </w:rPr>
      </w:pPr>
      <w:r>
        <w:rPr>
          <w:rFonts w:hint="eastAsia" w:ascii="仿宋_GB2312" w:hAnsi="仿宋_GB2312" w:eastAsia="仿宋_GB2312" w:cs="仿宋_GB2312"/>
          <w:b w:val="0"/>
          <w:bCs/>
          <w:kern w:val="21"/>
          <w:sz w:val="28"/>
          <w:szCs w:val="28"/>
          <w:lang w:val="en-US" w:eastAsia="zh-CN" w:bidi="ar-SA"/>
        </w:rPr>
        <w:t>3.成交供应商在施工过程中，必须严格执行国家有关安全操作管理的规范和条例，自行解决安全施工及防护的有关设施设备，确保不发生任何安全问题。</w:t>
      </w:r>
    </w:p>
    <w:p w14:paraId="0A67A808">
      <w:pPr>
        <w:widowControl/>
        <w:adjustRightInd w:val="0"/>
        <w:snapToGrid w:val="0"/>
        <w:spacing w:line="560" w:lineRule="exact"/>
        <w:ind w:firstLine="560" w:firstLineChars="2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4</w:t>
      </w:r>
      <w:r>
        <w:rPr>
          <w:rFonts w:hint="eastAsia" w:ascii="仿宋_GB2312" w:hAnsi="仿宋_GB2312" w:eastAsia="仿宋_GB2312" w:cs="仿宋_GB2312"/>
          <w:bCs/>
          <w:kern w:val="21"/>
          <w:sz w:val="28"/>
          <w:szCs w:val="28"/>
        </w:rPr>
        <w:t>.成交供应商提供的服务不满足竞价文件要求或验收不合格的，采购人有权解除合同并追究成交供应商的违约责任。</w:t>
      </w:r>
    </w:p>
    <w:p w14:paraId="32A3D584">
      <w:pPr>
        <w:widowControl/>
        <w:adjustRightInd w:val="0"/>
        <w:snapToGrid w:val="0"/>
        <w:spacing w:line="560" w:lineRule="exact"/>
        <w:ind w:firstLine="560" w:firstLineChars="200"/>
        <w:jc w:val="left"/>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5.</w:t>
      </w:r>
      <w:r>
        <w:rPr>
          <w:rFonts w:hint="eastAsia" w:ascii="仿宋_GB2312" w:hAnsi="仿宋_GB2312" w:eastAsia="仿宋_GB2312" w:cs="仿宋_GB2312"/>
          <w:bCs/>
          <w:kern w:val="21"/>
          <w:sz w:val="28"/>
          <w:szCs w:val="28"/>
        </w:rPr>
        <w:t>接采购人服务通知，成交供应商须立即响应（响应时间不超过2小时）并到达指定现场进行处理，遇重大问题或其它不可预见的问题应与采购人协商解决。</w:t>
      </w:r>
    </w:p>
    <w:p w14:paraId="2E899AB5">
      <w:pPr>
        <w:widowControl/>
        <w:adjustRightInd w:val="0"/>
        <w:snapToGrid w:val="0"/>
        <w:spacing w:line="560" w:lineRule="exact"/>
        <w:ind w:firstLine="560" w:firstLineChars="200"/>
        <w:jc w:val="left"/>
        <w:rPr>
          <w:rFonts w:hint="eastAsia"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highlight w:val="none"/>
          <w:lang w:val="en-US" w:eastAsia="zh-CN"/>
        </w:rPr>
        <w:t>6.供应商中标后，须在正式开展白蚁防治作业前，完成</w:t>
      </w:r>
      <w:r>
        <w:rPr>
          <w:rFonts w:hint="eastAsia" w:ascii="仿宋_GB2312" w:hAnsi="仿宋_GB2312" w:eastAsia="仿宋_GB2312" w:cs="仿宋_GB2312"/>
          <w:b/>
          <w:bCs w:val="0"/>
          <w:kern w:val="21"/>
          <w:sz w:val="28"/>
          <w:szCs w:val="28"/>
          <w:highlight w:val="none"/>
          <w:lang w:val="en-US" w:eastAsia="zh-CN"/>
        </w:rPr>
        <w:t>5处白蚁挖巢示范展示施工</w:t>
      </w:r>
      <w:r>
        <w:rPr>
          <w:rFonts w:hint="eastAsia" w:ascii="仿宋_GB2312" w:hAnsi="仿宋_GB2312" w:eastAsia="仿宋_GB2312" w:cs="仿宋_GB2312"/>
          <w:bCs/>
          <w:kern w:val="21"/>
          <w:sz w:val="28"/>
          <w:szCs w:val="28"/>
          <w:highlight w:val="none"/>
          <w:lang w:val="en-US" w:eastAsia="zh-CN"/>
        </w:rPr>
        <w:t>，展示点位全部由采购方选定。供应商须严格按照采购方要求的时间、地点及规范标准完成示范施工，施工全过程接受采购方监督核查，示范施工验收合格后方可启动整体项目施工作业。</w:t>
      </w:r>
    </w:p>
    <w:p w14:paraId="3FDD82DD">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br w:type="page"/>
      </w:r>
    </w:p>
    <w:p w14:paraId="6D50C08E">
      <w:pPr>
        <w:widowControl/>
        <w:adjustRightInd w:val="0"/>
        <w:snapToGrid w:val="0"/>
        <w:spacing w:line="560" w:lineRule="exact"/>
        <w:jc w:val="left"/>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
          <w:bCs/>
          <w:sz w:val="28"/>
          <w:szCs w:val="28"/>
          <w:lang w:val="en-US" w:eastAsia="zh-CN"/>
        </w:rPr>
        <w:t>七、报价一览表</w:t>
      </w:r>
    </w:p>
    <w:tbl>
      <w:tblPr>
        <w:tblStyle w:val="7"/>
        <w:tblW w:w="7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749"/>
        <w:gridCol w:w="1378"/>
        <w:gridCol w:w="750"/>
        <w:gridCol w:w="873"/>
      </w:tblGrid>
      <w:tr w14:paraId="39B1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03" w:type="dxa"/>
            <w:noWrap w:val="0"/>
            <w:vAlign w:val="center"/>
          </w:tcPr>
          <w:p w14:paraId="02FD2D39">
            <w:pPr>
              <w:widowControl/>
              <w:spacing w:line="288" w:lineRule="auto"/>
              <w:jc w:val="center"/>
              <w:rPr>
                <w:rFonts w:hint="eastAsia" w:ascii="仿宋" w:hAnsi="仿宋" w:eastAsia="仿宋" w:cs="仿宋"/>
                <w:b/>
                <w:kern w:val="0"/>
                <w:sz w:val="24"/>
                <w:szCs w:val="24"/>
                <w:lang w:eastAsia="zh-CN"/>
              </w:rPr>
            </w:pPr>
            <w:r>
              <w:rPr>
                <w:rFonts w:hint="eastAsia" w:ascii="仿宋" w:hAnsi="仿宋" w:eastAsia="仿宋" w:cs="仿宋"/>
                <w:b/>
                <w:kern w:val="0"/>
                <w:sz w:val="24"/>
                <w:szCs w:val="24"/>
                <w:lang w:val="en-US" w:eastAsia="zh-CN"/>
              </w:rPr>
              <w:t>名称</w:t>
            </w:r>
          </w:p>
        </w:tc>
        <w:tc>
          <w:tcPr>
            <w:tcW w:w="3749" w:type="dxa"/>
            <w:noWrap w:val="0"/>
            <w:vAlign w:val="center"/>
          </w:tcPr>
          <w:p w14:paraId="359AC531">
            <w:pPr>
              <w:widowControl/>
              <w:spacing w:line="288" w:lineRule="auto"/>
              <w:jc w:val="center"/>
              <w:rPr>
                <w:rFonts w:hint="eastAsia" w:ascii="仿宋" w:hAnsi="仿宋" w:eastAsia="仿宋" w:cs="仿宋"/>
                <w:b/>
                <w:kern w:val="0"/>
                <w:sz w:val="24"/>
                <w:szCs w:val="24"/>
                <w:lang w:val="en-US" w:eastAsia="zh-CN" w:bidi="ar-SA"/>
              </w:rPr>
            </w:pPr>
            <w:r>
              <w:rPr>
                <w:rFonts w:hint="eastAsia" w:ascii="仿宋" w:hAnsi="仿宋" w:eastAsia="仿宋" w:cs="仿宋"/>
                <w:b/>
                <w:kern w:val="0"/>
                <w:sz w:val="24"/>
                <w:szCs w:val="24"/>
                <w:lang w:val="en-US" w:eastAsia="zh-CN"/>
              </w:rPr>
              <w:t>要求</w:t>
            </w:r>
          </w:p>
        </w:tc>
        <w:tc>
          <w:tcPr>
            <w:tcW w:w="1378" w:type="dxa"/>
            <w:tcBorders>
              <w:bottom w:val="single" w:color="auto" w:sz="4" w:space="0"/>
            </w:tcBorders>
            <w:noWrap w:val="0"/>
            <w:vAlign w:val="center"/>
          </w:tcPr>
          <w:p w14:paraId="7D4D3744">
            <w:pPr>
              <w:adjustRightInd w:val="0"/>
              <w:snapToGrid w:val="0"/>
              <w:spacing w:line="380" w:lineRule="exact"/>
              <w:jc w:val="center"/>
              <w:rPr>
                <w:rFonts w:hint="default" w:ascii="仿宋_GB2312" w:hAnsi="宋体" w:eastAsia="仿宋_GB2312"/>
                <w:b/>
                <w:color w:val="auto"/>
                <w:kern w:val="2"/>
                <w:sz w:val="28"/>
                <w:szCs w:val="28"/>
                <w:lang w:val="en-US" w:eastAsia="zh-CN" w:bidi="ar-SA"/>
              </w:rPr>
            </w:pPr>
            <w:r>
              <w:rPr>
                <w:rFonts w:hint="eastAsia" w:ascii="仿宋_GB2312" w:hAnsi="宋体" w:eastAsia="仿宋_GB2312"/>
                <w:b/>
                <w:color w:val="auto"/>
                <w:sz w:val="24"/>
                <w:szCs w:val="24"/>
                <w:lang w:eastAsia="zh-CN"/>
              </w:rPr>
              <w:t>数量</w:t>
            </w:r>
          </w:p>
        </w:tc>
        <w:tc>
          <w:tcPr>
            <w:tcW w:w="750" w:type="dxa"/>
            <w:tcBorders>
              <w:bottom w:val="single" w:color="auto" w:sz="4" w:space="0"/>
            </w:tcBorders>
            <w:noWrap w:val="0"/>
            <w:vAlign w:val="center"/>
          </w:tcPr>
          <w:p w14:paraId="46034D2C">
            <w:pPr>
              <w:widowControl/>
              <w:spacing w:line="288" w:lineRule="auto"/>
              <w:jc w:val="center"/>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单价</w:t>
            </w:r>
          </w:p>
        </w:tc>
        <w:tc>
          <w:tcPr>
            <w:tcW w:w="873" w:type="dxa"/>
            <w:tcBorders>
              <w:bottom w:val="single" w:color="auto" w:sz="4" w:space="0"/>
            </w:tcBorders>
            <w:noWrap w:val="0"/>
            <w:vAlign w:val="center"/>
          </w:tcPr>
          <w:p w14:paraId="466E16E6">
            <w:pPr>
              <w:widowControl/>
              <w:spacing w:line="288" w:lineRule="auto"/>
              <w:jc w:val="center"/>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小计</w:t>
            </w:r>
          </w:p>
        </w:tc>
      </w:tr>
      <w:tr w14:paraId="7884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803" w:type="dxa"/>
            <w:noWrap w:val="0"/>
            <w:vAlign w:val="center"/>
          </w:tcPr>
          <w:p w14:paraId="3425FD23">
            <w:pPr>
              <w:keepNext w:val="0"/>
              <w:keepLines w:val="0"/>
              <w:widowControl/>
              <w:suppressLineNumbers w:val="0"/>
              <w:jc w:val="center"/>
              <w:textAlignment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校园内绿化带白蚁防治药物灭杀</w:t>
            </w:r>
          </w:p>
        </w:tc>
        <w:tc>
          <w:tcPr>
            <w:tcW w:w="3749" w:type="dxa"/>
            <w:noWrap w:val="0"/>
            <w:vAlign w:val="center"/>
          </w:tcPr>
          <w:p w14:paraId="0C03AF79">
            <w:pPr>
              <w:keepNext w:val="0"/>
              <w:keepLines w:val="0"/>
              <w:widowControl/>
              <w:suppressLineNumbers w:val="0"/>
              <w:ind w:firstLine="480" w:firstLineChars="20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全年集中施药两次，分别于5月-6月及9月-10月，其余时间随时发现随时灭杀（单价含人工、药物、工具等费用）。</w:t>
            </w:r>
          </w:p>
        </w:tc>
        <w:tc>
          <w:tcPr>
            <w:tcW w:w="1378" w:type="dxa"/>
            <w:noWrap w:val="0"/>
            <w:vAlign w:val="center"/>
          </w:tcPr>
          <w:p w14:paraId="4F361953">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180000</w:t>
            </w:r>
            <w:r>
              <w:rPr>
                <w:rFonts w:hint="eastAsia" w:ascii="仿宋" w:hAnsi="仿宋" w:eastAsia="仿宋" w:cs="仿宋"/>
                <w:kern w:val="2"/>
                <w:sz w:val="24"/>
                <w:szCs w:val="24"/>
                <w:lang w:val="en-US" w:eastAsia="zh-CN" w:bidi="ar-SA"/>
              </w:rPr>
              <w:t>㎡</w:t>
            </w:r>
          </w:p>
        </w:tc>
        <w:tc>
          <w:tcPr>
            <w:tcW w:w="750" w:type="dxa"/>
            <w:noWrap w:val="0"/>
            <w:vAlign w:val="center"/>
          </w:tcPr>
          <w:p w14:paraId="1D4CF4D9">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873" w:type="dxa"/>
            <w:noWrap w:val="0"/>
            <w:vAlign w:val="center"/>
          </w:tcPr>
          <w:p w14:paraId="0C3857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p>
        </w:tc>
      </w:tr>
      <w:tr w14:paraId="412E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803" w:type="dxa"/>
            <w:noWrap w:val="0"/>
            <w:vAlign w:val="center"/>
          </w:tcPr>
          <w:p w14:paraId="6DE261A6">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白蚁挖巢</w:t>
            </w:r>
          </w:p>
        </w:tc>
        <w:tc>
          <w:tcPr>
            <w:tcW w:w="3749" w:type="dxa"/>
            <w:noWrap w:val="0"/>
            <w:vAlign w:val="center"/>
          </w:tcPr>
          <w:p w14:paraId="7D05E170">
            <w:pPr>
              <w:keepNext w:val="0"/>
              <w:keepLines w:val="0"/>
              <w:widowControl/>
              <w:suppressLineNumbers w:val="0"/>
              <w:ind w:firstLine="480" w:firstLineChars="20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白蚁危害严重的大树（胸径40cm以上）进行挖巢处理，并在巢穴内施放专业药物，质保期三年。（单价含人工、药物、工具等费用）</w:t>
            </w:r>
          </w:p>
        </w:tc>
        <w:tc>
          <w:tcPr>
            <w:tcW w:w="1378" w:type="dxa"/>
            <w:noWrap w:val="0"/>
            <w:vAlign w:val="center"/>
          </w:tcPr>
          <w:p w14:paraId="0B0101E0">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120窝</w:t>
            </w:r>
          </w:p>
        </w:tc>
        <w:tc>
          <w:tcPr>
            <w:tcW w:w="750" w:type="dxa"/>
            <w:noWrap w:val="0"/>
            <w:vAlign w:val="center"/>
          </w:tcPr>
          <w:p w14:paraId="5C4465D3">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873" w:type="dxa"/>
            <w:noWrap w:val="0"/>
            <w:vAlign w:val="center"/>
          </w:tcPr>
          <w:p w14:paraId="37275C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p>
        </w:tc>
      </w:tr>
      <w:tr w14:paraId="5D7D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3" w:type="dxa"/>
            <w:noWrap w:val="0"/>
            <w:vAlign w:val="center"/>
          </w:tcPr>
          <w:p w14:paraId="2137FC96">
            <w:pPr>
              <w:keepNext w:val="0"/>
              <w:keepLines w:val="0"/>
              <w:widowControl/>
              <w:suppressLineNumbers w:val="0"/>
              <w:jc w:val="center"/>
              <w:textAlignment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合计</w:t>
            </w:r>
          </w:p>
        </w:tc>
        <w:tc>
          <w:tcPr>
            <w:tcW w:w="6750" w:type="dxa"/>
            <w:gridSpan w:val="4"/>
            <w:noWrap w:val="0"/>
            <w:vAlign w:val="center"/>
          </w:tcPr>
          <w:p w14:paraId="1164D1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p>
        </w:tc>
      </w:tr>
    </w:tbl>
    <w:p w14:paraId="269147C9">
      <w:pPr>
        <w:widowControl/>
        <w:adjustRightInd w:val="0"/>
        <w:snapToGrid w:val="0"/>
        <w:spacing w:line="560" w:lineRule="exact"/>
        <w:ind w:firstLine="280" w:firstLineChars="100"/>
        <w:jc w:val="left"/>
        <w:rPr>
          <w:rFonts w:hint="default" w:ascii="仿宋_GB2312" w:hAnsi="仿宋_GB2312" w:eastAsia="仿宋_GB2312" w:cs="仿宋_GB2312"/>
          <w:bCs/>
          <w:kern w:val="21"/>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845A9"/>
    <w:rsid w:val="0001517C"/>
    <w:rsid w:val="0005576F"/>
    <w:rsid w:val="00180003"/>
    <w:rsid w:val="002961FF"/>
    <w:rsid w:val="00403E5F"/>
    <w:rsid w:val="004C1DE4"/>
    <w:rsid w:val="00624AD2"/>
    <w:rsid w:val="0075474F"/>
    <w:rsid w:val="007B1BFF"/>
    <w:rsid w:val="008C026A"/>
    <w:rsid w:val="008C59B6"/>
    <w:rsid w:val="00970968"/>
    <w:rsid w:val="0098242E"/>
    <w:rsid w:val="00B208A0"/>
    <w:rsid w:val="00B63609"/>
    <w:rsid w:val="00BB5102"/>
    <w:rsid w:val="00BE3881"/>
    <w:rsid w:val="00BF0D05"/>
    <w:rsid w:val="00CC096E"/>
    <w:rsid w:val="00F42F3B"/>
    <w:rsid w:val="00F638B2"/>
    <w:rsid w:val="00F822EA"/>
    <w:rsid w:val="00FC27EE"/>
    <w:rsid w:val="013F620E"/>
    <w:rsid w:val="014F7E0F"/>
    <w:rsid w:val="035C0A46"/>
    <w:rsid w:val="05342445"/>
    <w:rsid w:val="05567F22"/>
    <w:rsid w:val="05DC19DC"/>
    <w:rsid w:val="063A4B21"/>
    <w:rsid w:val="07E321B4"/>
    <w:rsid w:val="08436AEE"/>
    <w:rsid w:val="08A725A3"/>
    <w:rsid w:val="0A1C3CBF"/>
    <w:rsid w:val="0F492922"/>
    <w:rsid w:val="106B1EF6"/>
    <w:rsid w:val="120E12D9"/>
    <w:rsid w:val="13B000A5"/>
    <w:rsid w:val="13BB516B"/>
    <w:rsid w:val="166444E5"/>
    <w:rsid w:val="16815279"/>
    <w:rsid w:val="16970417"/>
    <w:rsid w:val="176A1687"/>
    <w:rsid w:val="17FB7649"/>
    <w:rsid w:val="19202945"/>
    <w:rsid w:val="1A147D6D"/>
    <w:rsid w:val="1A6C7DE4"/>
    <w:rsid w:val="1DC44733"/>
    <w:rsid w:val="1F705CA9"/>
    <w:rsid w:val="20942687"/>
    <w:rsid w:val="217A2E0F"/>
    <w:rsid w:val="23EF4818"/>
    <w:rsid w:val="2527370D"/>
    <w:rsid w:val="25787898"/>
    <w:rsid w:val="25D32AED"/>
    <w:rsid w:val="27D742FF"/>
    <w:rsid w:val="28580528"/>
    <w:rsid w:val="28B27704"/>
    <w:rsid w:val="28D66E5D"/>
    <w:rsid w:val="2C4E7372"/>
    <w:rsid w:val="2C773AF1"/>
    <w:rsid w:val="2DFE63E1"/>
    <w:rsid w:val="2E7241E5"/>
    <w:rsid w:val="2EAD42E9"/>
    <w:rsid w:val="2F04774A"/>
    <w:rsid w:val="31DE2F46"/>
    <w:rsid w:val="32AF6C3F"/>
    <w:rsid w:val="332E43C2"/>
    <w:rsid w:val="39BD78E5"/>
    <w:rsid w:val="3A2D05C6"/>
    <w:rsid w:val="3AFE048B"/>
    <w:rsid w:val="3B9D207C"/>
    <w:rsid w:val="3D5A6244"/>
    <w:rsid w:val="3E9E7CE5"/>
    <w:rsid w:val="3FBA57AE"/>
    <w:rsid w:val="40CE70D5"/>
    <w:rsid w:val="42E845A9"/>
    <w:rsid w:val="44F468B0"/>
    <w:rsid w:val="4541761C"/>
    <w:rsid w:val="455663D7"/>
    <w:rsid w:val="45E969E0"/>
    <w:rsid w:val="469D4D26"/>
    <w:rsid w:val="46EB4138"/>
    <w:rsid w:val="484F2050"/>
    <w:rsid w:val="48A75157"/>
    <w:rsid w:val="4A1C5802"/>
    <w:rsid w:val="4B321807"/>
    <w:rsid w:val="4B345505"/>
    <w:rsid w:val="4C8458AD"/>
    <w:rsid w:val="4D221D9C"/>
    <w:rsid w:val="4EBB2673"/>
    <w:rsid w:val="50797895"/>
    <w:rsid w:val="51457C2F"/>
    <w:rsid w:val="54907C78"/>
    <w:rsid w:val="55967510"/>
    <w:rsid w:val="56F866BF"/>
    <w:rsid w:val="590A1CD5"/>
    <w:rsid w:val="5A37398A"/>
    <w:rsid w:val="5AF63320"/>
    <w:rsid w:val="5C58107B"/>
    <w:rsid w:val="6075715A"/>
    <w:rsid w:val="61365ED5"/>
    <w:rsid w:val="61D07D7F"/>
    <w:rsid w:val="63E31CD5"/>
    <w:rsid w:val="648F648A"/>
    <w:rsid w:val="65A07295"/>
    <w:rsid w:val="66704455"/>
    <w:rsid w:val="66C46EFB"/>
    <w:rsid w:val="68ED0ED4"/>
    <w:rsid w:val="6A8D2D6E"/>
    <w:rsid w:val="6AA313BA"/>
    <w:rsid w:val="6B631271"/>
    <w:rsid w:val="6C062433"/>
    <w:rsid w:val="6CCA070A"/>
    <w:rsid w:val="6D6F45E7"/>
    <w:rsid w:val="6E9B3577"/>
    <w:rsid w:val="70A24B63"/>
    <w:rsid w:val="73F94F64"/>
    <w:rsid w:val="77E617D9"/>
    <w:rsid w:val="79A404AD"/>
    <w:rsid w:val="7AAE6CFD"/>
    <w:rsid w:val="7CF6129E"/>
    <w:rsid w:val="7D16490F"/>
    <w:rsid w:val="7DE0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99"/>
    <w:rPr>
      <w:rFonts w:ascii="宋体" w:hAnsi="Courier New"/>
      <w:kern w:val="0"/>
      <w:sz w:val="20"/>
      <w:szCs w:val="21"/>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 w:type="paragraph" w:customStyle="1" w:styleId="1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3">
    <w:name w:val="页眉 Char"/>
    <w:basedOn w:val="9"/>
    <w:link w:val="5"/>
    <w:qFormat/>
    <w:uiPriority w:val="0"/>
    <w:rPr>
      <w:rFonts w:ascii="Calibri" w:hAnsi="Calibri" w:eastAsia="宋体" w:cs="Times New Roman"/>
      <w:kern w:val="2"/>
      <w:sz w:val="18"/>
      <w:szCs w:val="18"/>
    </w:rPr>
  </w:style>
  <w:style w:type="character" w:customStyle="1" w:styleId="14">
    <w:name w:val="页脚 Char"/>
    <w:basedOn w:val="9"/>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1552</Words>
  <Characters>1611</Characters>
  <Lines>13</Lines>
  <Paragraphs>3</Paragraphs>
  <TotalTime>48</TotalTime>
  <ScaleCrop>false</ScaleCrop>
  <LinksUpToDate>false</LinksUpToDate>
  <CharactersWithSpaces>1730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2025-01-12T03:16:00Z</dcterms:created>
  <dc:creator>Administrator</dc:creator>
  <cp:lastModifiedBy>雷娟</cp:lastModifiedBy>
  <dcterms:modified xsi:type="dcterms:W3CDTF">2026-06-12T02:43:19Z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eyJoZGlkIjoiZjgwNjY4MjZhMTkxY2YwMDc4ZjRiYmY0ZGIxNmE2YmQiLCJ1c2VySWQiOiI0NjM5MTc4MDIifQ==</vt:lpwstr>
  </property>
  <property fmtid="{D5CDD505-2E9C-101B-9397-08002B2CF9AE}" pid="4" name="ICV">
    <vt:lpwstr>70F47FD0271F429DA089496ABA6135F7_13</vt:lpwstr>
  </property>
</Properties>
</file>