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AD891">
      <w:pPr>
        <w:bidi w:val="0"/>
        <w:jc w:val="center"/>
        <w:rPr>
          <w:rFonts w:hint="eastAsia" w:eastAsiaTheme="minorEastAsia"/>
          <w:color w:val="454545"/>
          <w:sz w:val="24"/>
          <w:szCs w:val="24"/>
          <w:lang w:val="en-US" w:eastAsia="zh-CN"/>
        </w:rPr>
      </w:pPr>
      <w:r>
        <w:rPr>
          <w:rFonts w:hint="eastAsia"/>
          <w:b/>
          <w:bCs/>
          <w:sz w:val="44"/>
          <w:szCs w:val="48"/>
          <w:lang w:val="en-US" w:eastAsia="zh-CN"/>
        </w:rPr>
        <w:t>上饶市广丰区</w:t>
      </w:r>
      <w:r>
        <w:rPr>
          <w:rFonts w:hint="default"/>
          <w:b/>
          <w:bCs/>
          <w:sz w:val="44"/>
          <w:szCs w:val="48"/>
          <w:lang w:val="en-US" w:eastAsia="zh-CN"/>
        </w:rPr>
        <w:t>202</w:t>
      </w:r>
      <w:r>
        <w:rPr>
          <w:rFonts w:hint="eastAsia"/>
          <w:b/>
          <w:bCs/>
          <w:sz w:val="44"/>
          <w:szCs w:val="48"/>
          <w:lang w:val="en-US" w:eastAsia="zh-CN"/>
        </w:rPr>
        <w:t>6</w:t>
      </w:r>
      <w:r>
        <w:rPr>
          <w:rFonts w:hint="default"/>
          <w:b/>
          <w:bCs/>
          <w:sz w:val="44"/>
          <w:szCs w:val="48"/>
          <w:lang w:val="en-US" w:eastAsia="zh-CN"/>
        </w:rPr>
        <w:t>年登革热</w:t>
      </w:r>
      <w:r>
        <w:rPr>
          <w:rFonts w:hint="eastAsia"/>
          <w:b/>
          <w:bCs/>
          <w:sz w:val="44"/>
          <w:szCs w:val="48"/>
          <w:lang w:val="en-US" w:eastAsia="zh-CN"/>
        </w:rPr>
        <w:t>预防防控</w:t>
      </w:r>
      <w:r>
        <w:rPr>
          <w:rFonts w:hint="default"/>
          <w:b/>
          <w:bCs/>
          <w:sz w:val="44"/>
          <w:szCs w:val="48"/>
          <w:lang w:val="en-US" w:eastAsia="zh-CN"/>
        </w:rPr>
        <w:t>应急消杀</w:t>
      </w:r>
      <w:r>
        <w:rPr>
          <w:rFonts w:hint="eastAsia"/>
          <w:b/>
          <w:bCs/>
          <w:sz w:val="44"/>
          <w:szCs w:val="48"/>
          <w:lang w:val="en-US" w:eastAsia="zh-CN"/>
        </w:rPr>
        <w:t>队伍</w:t>
      </w:r>
      <w:r>
        <w:rPr>
          <w:rFonts w:hint="default"/>
          <w:b/>
          <w:bCs/>
          <w:sz w:val="44"/>
          <w:szCs w:val="48"/>
          <w:lang w:val="en-US" w:eastAsia="zh-CN"/>
        </w:rPr>
        <w:t>服务</w:t>
      </w:r>
      <w:r>
        <w:rPr>
          <w:rFonts w:hint="eastAsia"/>
          <w:b/>
          <w:bCs/>
          <w:sz w:val="44"/>
          <w:szCs w:val="48"/>
          <w:lang w:val="en-US" w:eastAsia="zh-CN"/>
        </w:rPr>
        <w:t>项目竞价方案</w:t>
      </w:r>
    </w:p>
    <w:p w14:paraId="292FE8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按照相关规定，现就广丰区登革热预防、防控应急消杀队伍服务项目进行竞价，邀请符合资质要求的有关单位参加本次竞价工作。有关事项如下：</w:t>
      </w:r>
    </w:p>
    <w:p w14:paraId="52BA62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一、项目需求内容、范围及限价</w:t>
      </w:r>
    </w:p>
    <w:p w14:paraId="3ADB85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（一）项目内容：登革热预防应急消杀服务。</w:t>
      </w:r>
    </w:p>
    <w:p w14:paraId="128B00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b w:val="0"/>
          <w:bCs w:val="0"/>
          <w:spacing w:val="0"/>
          <w:sz w:val="28"/>
          <w:szCs w:val="28"/>
          <w:lang w:val="en-US" w:eastAsia="zh-CN"/>
        </w:rPr>
      </w:pPr>
      <w:r>
        <w:rPr>
          <w:rFonts w:hint="eastAsia"/>
          <w:b w:val="0"/>
          <w:bCs w:val="0"/>
          <w:spacing w:val="0"/>
          <w:sz w:val="28"/>
          <w:szCs w:val="28"/>
          <w:lang w:val="en-US" w:eastAsia="zh-CN"/>
        </w:rPr>
        <w:t>（二）项目范围：</w:t>
      </w:r>
      <w:r>
        <w:rPr>
          <w:rFonts w:hint="default"/>
          <w:b w:val="0"/>
          <w:bCs w:val="0"/>
          <w:spacing w:val="0"/>
          <w:sz w:val="28"/>
          <w:szCs w:val="28"/>
          <w:lang w:val="en-US" w:eastAsia="zh-CN"/>
        </w:rPr>
        <w:t>①</w:t>
      </w:r>
      <w:r>
        <w:rPr>
          <w:rFonts w:hint="eastAsia"/>
          <w:b w:val="0"/>
          <w:bCs w:val="0"/>
          <w:spacing w:val="0"/>
          <w:sz w:val="28"/>
          <w:szCs w:val="28"/>
          <w:lang w:val="en-US" w:eastAsia="zh-CN"/>
        </w:rPr>
        <w:t>广丰区中心城区五街道范围内公共外环境（总面积约22.6平方公里），以及各物业小区、公园、公厕、垃圾中转站、学校、农贸市场等43社区的重点场所；</w:t>
      </w:r>
      <w:r>
        <w:rPr>
          <w:rFonts w:hint="default"/>
          <w:b w:val="0"/>
          <w:bCs w:val="0"/>
          <w:spacing w:val="0"/>
          <w:sz w:val="28"/>
          <w:szCs w:val="28"/>
          <w:lang w:val="en-US" w:eastAsia="zh-CN"/>
        </w:rPr>
        <w:t>②</w:t>
      </w:r>
      <w:r>
        <w:rPr>
          <w:rFonts w:hint="eastAsia"/>
          <w:b w:val="0"/>
          <w:bCs w:val="0"/>
          <w:spacing w:val="0"/>
          <w:sz w:val="28"/>
          <w:szCs w:val="28"/>
          <w:lang w:val="en-US" w:eastAsia="zh-CN"/>
        </w:rPr>
        <w:t>10个乡镇20个疫点（2025年度发生过疫情）的</w:t>
      </w:r>
      <w:r>
        <w:rPr>
          <w:rFonts w:hint="default"/>
          <w:b w:val="0"/>
          <w:bCs w:val="0"/>
          <w:spacing w:val="0"/>
          <w:sz w:val="28"/>
          <w:szCs w:val="28"/>
          <w:lang w:val="en-US" w:eastAsia="zh-CN"/>
        </w:rPr>
        <w:t>消杀。</w:t>
      </w:r>
    </w:p>
    <w:p w14:paraId="71540E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b w:val="0"/>
          <w:bCs w:val="0"/>
          <w:spacing w:val="0"/>
          <w:sz w:val="28"/>
          <w:szCs w:val="28"/>
          <w:lang w:val="en-US" w:eastAsia="zh-CN"/>
        </w:rPr>
      </w:pPr>
      <w:r>
        <w:rPr>
          <w:rFonts w:hint="eastAsia"/>
          <w:b w:val="0"/>
          <w:bCs w:val="0"/>
          <w:spacing w:val="0"/>
          <w:sz w:val="28"/>
          <w:szCs w:val="28"/>
          <w:lang w:val="en-US" w:eastAsia="zh-CN"/>
        </w:rPr>
        <w:t>（三）项目最高限价：预算</w:t>
      </w:r>
      <w:r>
        <w:rPr>
          <w:rFonts w:hint="default"/>
          <w:b w:val="0"/>
          <w:bCs w:val="0"/>
          <w:spacing w:val="0"/>
          <w:sz w:val="28"/>
          <w:szCs w:val="28"/>
          <w:lang w:val="en-US" w:eastAsia="zh-CN"/>
        </w:rPr>
        <w:t>1</w:t>
      </w:r>
      <w:r>
        <w:rPr>
          <w:rFonts w:hint="eastAsia"/>
          <w:b w:val="0"/>
          <w:bCs w:val="0"/>
          <w:spacing w:val="0"/>
          <w:sz w:val="28"/>
          <w:szCs w:val="28"/>
          <w:lang w:val="en-US" w:eastAsia="zh-CN"/>
        </w:rPr>
        <w:t>000</w:t>
      </w:r>
      <w:r>
        <w:rPr>
          <w:rFonts w:hint="default"/>
          <w:b w:val="0"/>
          <w:bCs w:val="0"/>
          <w:spacing w:val="0"/>
          <w:sz w:val="28"/>
          <w:szCs w:val="28"/>
          <w:lang w:val="en-US" w:eastAsia="zh-CN"/>
        </w:rPr>
        <w:t>元/</w:t>
      </w:r>
      <w:r>
        <w:rPr>
          <w:rFonts w:hint="eastAsia"/>
          <w:b w:val="0"/>
          <w:bCs w:val="0"/>
          <w:spacing w:val="0"/>
          <w:sz w:val="28"/>
          <w:szCs w:val="28"/>
          <w:lang w:val="en-US" w:eastAsia="zh-CN"/>
        </w:rPr>
        <w:t>人</w:t>
      </w:r>
      <w:r>
        <w:rPr>
          <w:rFonts w:hint="default"/>
          <w:b w:val="0"/>
          <w:bCs w:val="0"/>
          <w:spacing w:val="0"/>
          <w:sz w:val="28"/>
          <w:szCs w:val="28"/>
          <w:lang w:val="en-US" w:eastAsia="zh-CN"/>
        </w:rPr>
        <w:t>/</w:t>
      </w:r>
      <w:r>
        <w:rPr>
          <w:rFonts w:hint="eastAsia"/>
          <w:b w:val="0"/>
          <w:bCs w:val="0"/>
          <w:spacing w:val="0"/>
          <w:sz w:val="28"/>
          <w:szCs w:val="28"/>
          <w:lang w:val="en-US" w:eastAsia="zh-CN"/>
        </w:rPr>
        <w:t>天</w:t>
      </w:r>
      <w:r>
        <w:rPr>
          <w:rFonts w:hint="default"/>
          <w:b w:val="0"/>
          <w:bCs w:val="0"/>
          <w:spacing w:val="0"/>
          <w:sz w:val="28"/>
          <w:szCs w:val="28"/>
          <w:lang w:val="en-US" w:eastAsia="zh-CN"/>
        </w:rPr>
        <w:t>（</w:t>
      </w:r>
      <w:r>
        <w:rPr>
          <w:rFonts w:hint="eastAsia"/>
          <w:b w:val="0"/>
          <w:bCs w:val="0"/>
          <w:spacing w:val="0"/>
          <w:sz w:val="28"/>
          <w:szCs w:val="28"/>
          <w:lang w:val="en-US" w:eastAsia="zh-CN"/>
        </w:rPr>
        <w:t>包括</w:t>
      </w:r>
      <w:r>
        <w:rPr>
          <w:rFonts w:hint="default"/>
          <w:b w:val="0"/>
          <w:bCs w:val="0"/>
          <w:spacing w:val="0"/>
          <w:sz w:val="28"/>
          <w:szCs w:val="28"/>
          <w:lang w:val="en-US" w:eastAsia="zh-CN"/>
        </w:rPr>
        <w:t>税费</w:t>
      </w:r>
      <w:r>
        <w:rPr>
          <w:rFonts w:hint="eastAsia"/>
          <w:b w:val="0"/>
          <w:bCs w:val="0"/>
          <w:spacing w:val="0"/>
          <w:sz w:val="28"/>
          <w:szCs w:val="28"/>
          <w:lang w:val="en-US" w:eastAsia="zh-CN"/>
        </w:rPr>
        <w:t>、药品器械、人工、餐食、交通、保险等全部费用</w:t>
      </w:r>
      <w:r>
        <w:rPr>
          <w:rFonts w:hint="default"/>
          <w:b w:val="0"/>
          <w:bCs w:val="0"/>
          <w:spacing w:val="0"/>
          <w:sz w:val="28"/>
          <w:szCs w:val="28"/>
          <w:lang w:val="en-US" w:eastAsia="zh-CN"/>
        </w:rPr>
        <w:t>）</w:t>
      </w:r>
      <w:r>
        <w:rPr>
          <w:rFonts w:hint="eastAsia"/>
          <w:b w:val="0"/>
          <w:bCs w:val="0"/>
          <w:spacing w:val="0"/>
          <w:sz w:val="28"/>
          <w:szCs w:val="28"/>
          <w:lang w:val="en-US" w:eastAsia="zh-CN"/>
        </w:rPr>
        <w:t>，项目总价不得高于6.3万元</w:t>
      </w:r>
      <w:r>
        <w:rPr>
          <w:rFonts w:hint="default"/>
          <w:b w:val="0"/>
          <w:bCs w:val="0"/>
          <w:spacing w:val="0"/>
          <w:sz w:val="28"/>
          <w:szCs w:val="28"/>
          <w:lang w:val="en-US" w:eastAsia="zh-CN"/>
        </w:rPr>
        <w:t>。</w:t>
      </w:r>
    </w:p>
    <w:p w14:paraId="79E0EE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FF0000"/>
          <w:spacing w:val="0"/>
          <w:sz w:val="28"/>
          <w:szCs w:val="28"/>
          <w:lang w:val="en-US" w:eastAsia="zh-CN"/>
        </w:rPr>
      </w:pPr>
      <w:r>
        <w:rPr>
          <w:rFonts w:hint="eastAsia"/>
          <w:b w:val="0"/>
          <w:bCs w:val="0"/>
          <w:spacing w:val="0"/>
          <w:sz w:val="28"/>
          <w:szCs w:val="28"/>
          <w:lang w:val="en-US" w:eastAsia="zh-CN"/>
        </w:rPr>
        <w:t>（四）项目服务目标：防制工作主要目标是</w:t>
      </w:r>
      <w:r>
        <w:rPr>
          <w:rFonts w:hint="default"/>
          <w:b w:val="0"/>
          <w:bCs w:val="0"/>
          <w:spacing w:val="0"/>
          <w:sz w:val="28"/>
          <w:szCs w:val="28"/>
          <w:lang w:val="en-US" w:eastAsia="zh-CN"/>
        </w:rPr>
        <w:t>将</w:t>
      </w:r>
      <w:r>
        <w:rPr>
          <w:rFonts w:hint="eastAsia"/>
          <w:b w:val="0"/>
          <w:bCs w:val="0"/>
          <w:spacing w:val="0"/>
          <w:sz w:val="28"/>
          <w:szCs w:val="28"/>
          <w:lang w:val="en-US" w:eastAsia="zh-CN"/>
        </w:rPr>
        <w:t>广丰区指定服务范围内</w:t>
      </w:r>
      <w:r>
        <w:rPr>
          <w:rFonts w:hint="default"/>
          <w:b w:val="0"/>
          <w:bCs w:val="0"/>
          <w:spacing w:val="0"/>
          <w:sz w:val="28"/>
          <w:szCs w:val="28"/>
          <w:lang w:val="en-US" w:eastAsia="zh-CN"/>
        </w:rPr>
        <w:t>伊蚊布雷图指数持续控制在5以下，重点区域伊蚊成蚊密度控制在低风险水平</w:t>
      </w:r>
      <w:r>
        <w:rPr>
          <w:rFonts w:hint="eastAsia"/>
          <w:b w:val="0"/>
          <w:bCs w:val="0"/>
          <w:spacing w:val="0"/>
          <w:sz w:val="28"/>
          <w:szCs w:val="28"/>
          <w:lang w:val="en-US" w:eastAsia="zh-CN"/>
        </w:rPr>
        <w:t>。</w:t>
      </w:r>
    </w:p>
    <w:p w14:paraId="7647577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（五）车辆、设备及人员要求</w:t>
      </w:r>
    </w:p>
    <w:p w14:paraId="58C6AE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1）本次项目须配备车载式专用喷雾机车辆、热烟雾机、电动背负式超低容量喷雾机、电动背负式常量喷雾机。</w:t>
      </w:r>
    </w:p>
    <w:p w14:paraId="741179D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2）本次项目负责人1名，专业消杀作业人员9人，总消杀作业不得少于63人次，每天三个组，3人一组同时作业，一个月内完成此项工作，作业人员应具备有害生物防制员职业资格证书。</w:t>
      </w:r>
    </w:p>
    <w:p w14:paraId="4F7B39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3）所有作业人员上岗前须接受登革热防控知识、消杀药剂安全使用、器械操作及个人防护培训。</w:t>
      </w:r>
    </w:p>
    <w:p w14:paraId="25CECD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b w:val="0"/>
          <w:bCs w:val="0"/>
          <w:spacing w:val="0"/>
          <w:sz w:val="28"/>
          <w:szCs w:val="28"/>
          <w:lang w:val="en-US" w:eastAsia="zh-CN"/>
        </w:rPr>
      </w:pPr>
      <w:r>
        <w:rPr>
          <w:rFonts w:hint="eastAsia"/>
          <w:b w:val="0"/>
          <w:bCs w:val="0"/>
          <w:spacing w:val="0"/>
          <w:sz w:val="28"/>
          <w:szCs w:val="28"/>
          <w:lang w:val="en-US" w:eastAsia="zh-CN"/>
        </w:rPr>
        <w:t>（六）用药标准及要求</w:t>
      </w:r>
    </w:p>
    <w:p w14:paraId="7D746E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ind w:left="0" w:right="0" w:firstLine="560" w:firstLineChars="200"/>
        <w:jc w:val="left"/>
        <w:textAlignment w:val="auto"/>
        <w:rPr>
          <w:rFonts w:hint="eastAsia"/>
          <w:b w:val="0"/>
          <w:bCs w:val="0"/>
          <w:spacing w:val="0"/>
          <w:sz w:val="28"/>
          <w:szCs w:val="28"/>
          <w:lang w:val="en-US" w:eastAsia="zh-CN"/>
        </w:rPr>
      </w:pPr>
      <w:r>
        <w:rPr>
          <w:rFonts w:hint="eastAsia"/>
          <w:b w:val="0"/>
          <w:bCs w:val="0"/>
          <w:spacing w:val="0"/>
          <w:sz w:val="28"/>
          <w:szCs w:val="28"/>
          <w:lang w:val="en-US" w:eastAsia="zh-CN"/>
        </w:rPr>
        <w:t>供应商必须注重科学合理用药，不得使用假药、国家禁用的药物，并须保证药物来源和质量正当可靠，使用的药物必须符合GB/T27779-2011《卫生杀虫剂安全使用准则》的要求，达到“安全、高效、环保”并交替使用药物防止产生耐药性的要求。</w:t>
      </w:r>
    </w:p>
    <w:tbl>
      <w:tblPr>
        <w:tblStyle w:val="9"/>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30"/>
        <w:gridCol w:w="912"/>
        <w:gridCol w:w="1027"/>
        <w:gridCol w:w="1028"/>
        <w:gridCol w:w="3417"/>
      </w:tblGrid>
      <w:tr w14:paraId="1EC2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tcBorders>
              <w:bottom w:val="single" w:color="auto" w:sz="4" w:space="0"/>
            </w:tcBorders>
            <w:noWrap w:val="0"/>
            <w:vAlign w:val="center"/>
          </w:tcPr>
          <w:p w14:paraId="4E6F10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序号</w:t>
            </w:r>
          </w:p>
        </w:tc>
        <w:tc>
          <w:tcPr>
            <w:tcW w:w="1830" w:type="dxa"/>
            <w:tcBorders>
              <w:bottom w:val="single" w:color="auto" w:sz="4" w:space="0"/>
            </w:tcBorders>
            <w:noWrap w:val="0"/>
            <w:vAlign w:val="center"/>
          </w:tcPr>
          <w:p w14:paraId="4A7820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药品名称</w:t>
            </w:r>
          </w:p>
        </w:tc>
        <w:tc>
          <w:tcPr>
            <w:tcW w:w="912" w:type="dxa"/>
            <w:tcBorders>
              <w:bottom w:val="single" w:color="auto" w:sz="4" w:space="0"/>
            </w:tcBorders>
            <w:noWrap w:val="0"/>
            <w:vAlign w:val="center"/>
          </w:tcPr>
          <w:p w14:paraId="69187C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规格型号</w:t>
            </w:r>
          </w:p>
        </w:tc>
        <w:tc>
          <w:tcPr>
            <w:tcW w:w="1027" w:type="dxa"/>
            <w:tcBorders>
              <w:bottom w:val="single" w:color="auto" w:sz="4" w:space="0"/>
            </w:tcBorders>
            <w:noWrap w:val="0"/>
            <w:vAlign w:val="center"/>
          </w:tcPr>
          <w:p w14:paraId="2B48A2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单位</w:t>
            </w:r>
          </w:p>
        </w:tc>
        <w:tc>
          <w:tcPr>
            <w:tcW w:w="1028" w:type="dxa"/>
            <w:tcBorders>
              <w:bottom w:val="single" w:color="auto" w:sz="4" w:space="0"/>
            </w:tcBorders>
            <w:noWrap w:val="0"/>
            <w:vAlign w:val="center"/>
          </w:tcPr>
          <w:p w14:paraId="5F736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数量</w:t>
            </w:r>
          </w:p>
        </w:tc>
        <w:tc>
          <w:tcPr>
            <w:tcW w:w="3417" w:type="dxa"/>
            <w:tcBorders>
              <w:bottom w:val="single" w:color="auto" w:sz="4" w:space="0"/>
            </w:tcBorders>
            <w:noWrap w:val="0"/>
            <w:vAlign w:val="center"/>
          </w:tcPr>
          <w:p w14:paraId="11A257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用途说明</w:t>
            </w:r>
          </w:p>
        </w:tc>
      </w:tr>
      <w:tr w14:paraId="2FC8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6AF97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w:t>
            </w:r>
          </w:p>
        </w:tc>
        <w:tc>
          <w:tcPr>
            <w:tcW w:w="1830" w:type="dxa"/>
            <w:noWrap w:val="0"/>
            <w:vAlign w:val="center"/>
          </w:tcPr>
          <w:p w14:paraId="64D04C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default"/>
                <w:b w:val="0"/>
                <w:bCs w:val="0"/>
                <w:spacing w:val="0"/>
                <w:sz w:val="28"/>
                <w:szCs w:val="28"/>
                <w:lang w:val="en-US" w:eastAsia="zh-CN"/>
              </w:rPr>
              <w:t>2.5%氯氰残杀威热烟雾剂</w:t>
            </w:r>
          </w:p>
        </w:tc>
        <w:tc>
          <w:tcPr>
            <w:tcW w:w="912" w:type="dxa"/>
            <w:noWrap w:val="0"/>
            <w:vAlign w:val="center"/>
          </w:tcPr>
          <w:p w14:paraId="12F76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5L/桶</w:t>
            </w:r>
          </w:p>
        </w:tc>
        <w:tc>
          <w:tcPr>
            <w:tcW w:w="1027" w:type="dxa"/>
            <w:noWrap w:val="0"/>
            <w:vAlign w:val="center"/>
          </w:tcPr>
          <w:p w14:paraId="0F4602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桶</w:t>
            </w:r>
          </w:p>
        </w:tc>
        <w:tc>
          <w:tcPr>
            <w:tcW w:w="1028" w:type="dxa"/>
            <w:noWrap w:val="0"/>
            <w:vAlign w:val="center"/>
          </w:tcPr>
          <w:p w14:paraId="5B4A6E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43</w:t>
            </w:r>
          </w:p>
        </w:tc>
        <w:tc>
          <w:tcPr>
            <w:tcW w:w="3417" w:type="dxa"/>
            <w:noWrap w:val="0"/>
            <w:vAlign w:val="center"/>
          </w:tcPr>
          <w:p w14:paraId="1B5941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直接加入热雾机里使用，对卫生害虫具有击倒、致死作用，适用于内外环境。主要适用于草坪、仓库、垃圾场、下水道（污水沟）及园林等较为开阔的场所。</w:t>
            </w:r>
          </w:p>
        </w:tc>
      </w:tr>
      <w:tr w14:paraId="078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7BA336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2</w:t>
            </w:r>
          </w:p>
        </w:tc>
        <w:tc>
          <w:tcPr>
            <w:tcW w:w="1830" w:type="dxa"/>
            <w:noWrap w:val="0"/>
            <w:vAlign w:val="center"/>
          </w:tcPr>
          <w:p w14:paraId="0DF55C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5%倍硫磷灭蚊幼缓释剂</w:t>
            </w:r>
          </w:p>
        </w:tc>
        <w:tc>
          <w:tcPr>
            <w:tcW w:w="912" w:type="dxa"/>
            <w:noWrap w:val="0"/>
            <w:vAlign w:val="center"/>
          </w:tcPr>
          <w:p w14:paraId="2D0856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5克*2000包/袋</w:t>
            </w:r>
          </w:p>
        </w:tc>
        <w:tc>
          <w:tcPr>
            <w:tcW w:w="1027" w:type="dxa"/>
            <w:noWrap w:val="0"/>
            <w:vAlign w:val="center"/>
          </w:tcPr>
          <w:p w14:paraId="21A37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袋</w:t>
            </w:r>
          </w:p>
        </w:tc>
        <w:tc>
          <w:tcPr>
            <w:tcW w:w="1028" w:type="dxa"/>
            <w:noWrap w:val="0"/>
            <w:vAlign w:val="center"/>
          </w:tcPr>
          <w:p w14:paraId="57EF65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6</w:t>
            </w:r>
          </w:p>
        </w:tc>
        <w:tc>
          <w:tcPr>
            <w:tcW w:w="3417" w:type="dxa"/>
            <w:noWrap w:val="0"/>
            <w:vAlign w:val="center"/>
          </w:tcPr>
          <w:p w14:paraId="3A68DC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适用于中小水体、沟渠、井、下水道、垃圾站(点)等各种蚊类孳生地，杀灭蚊类幼虫。</w:t>
            </w:r>
          </w:p>
        </w:tc>
      </w:tr>
      <w:tr w14:paraId="4D74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61D44E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3</w:t>
            </w:r>
          </w:p>
        </w:tc>
        <w:tc>
          <w:tcPr>
            <w:tcW w:w="1830" w:type="dxa"/>
            <w:noWrap w:val="0"/>
            <w:vAlign w:val="center"/>
          </w:tcPr>
          <w:p w14:paraId="244694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6%氯氰·氯氟醚悬浮剂</w:t>
            </w:r>
          </w:p>
        </w:tc>
        <w:tc>
          <w:tcPr>
            <w:tcW w:w="912" w:type="dxa"/>
            <w:noWrap w:val="0"/>
            <w:vAlign w:val="center"/>
          </w:tcPr>
          <w:p w14:paraId="09FB33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500g*20瓶/箱</w:t>
            </w:r>
          </w:p>
        </w:tc>
        <w:tc>
          <w:tcPr>
            <w:tcW w:w="1027" w:type="dxa"/>
            <w:noWrap w:val="0"/>
            <w:vAlign w:val="center"/>
          </w:tcPr>
          <w:p w14:paraId="299C4A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箱</w:t>
            </w:r>
          </w:p>
        </w:tc>
        <w:tc>
          <w:tcPr>
            <w:tcW w:w="1028" w:type="dxa"/>
            <w:noWrap w:val="0"/>
            <w:vAlign w:val="center"/>
          </w:tcPr>
          <w:p w14:paraId="1518C2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10</w:t>
            </w:r>
          </w:p>
        </w:tc>
        <w:tc>
          <w:tcPr>
            <w:tcW w:w="3417" w:type="dxa"/>
            <w:noWrap w:val="0"/>
            <w:vAlign w:val="center"/>
          </w:tcPr>
          <w:p w14:paraId="69199C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对蚊类防制具有击倒快、杀灭率高，杀虫效果不受处理表面及环境的影响，在脏污条件下效果同样优异。产品主要载体为水，不含化学溶剂，不易燃，更加安全环保。</w:t>
            </w:r>
          </w:p>
        </w:tc>
      </w:tr>
      <w:tr w14:paraId="5DF5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039327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4</w:t>
            </w:r>
          </w:p>
        </w:tc>
        <w:tc>
          <w:tcPr>
            <w:tcW w:w="1830" w:type="dxa"/>
            <w:noWrap w:val="0"/>
            <w:vAlign w:val="center"/>
          </w:tcPr>
          <w:p w14:paraId="0D8112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10%残杀威·甲氧苄氟菊酯微乳剂</w:t>
            </w:r>
          </w:p>
        </w:tc>
        <w:tc>
          <w:tcPr>
            <w:tcW w:w="912" w:type="dxa"/>
            <w:noWrap w:val="0"/>
            <w:vAlign w:val="center"/>
          </w:tcPr>
          <w:p w14:paraId="5FBE49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1000ml*10瓶/箱</w:t>
            </w:r>
          </w:p>
        </w:tc>
        <w:tc>
          <w:tcPr>
            <w:tcW w:w="1027" w:type="dxa"/>
            <w:noWrap w:val="0"/>
            <w:vAlign w:val="center"/>
          </w:tcPr>
          <w:p w14:paraId="32E8E2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箱</w:t>
            </w:r>
          </w:p>
        </w:tc>
        <w:tc>
          <w:tcPr>
            <w:tcW w:w="1028" w:type="dxa"/>
            <w:noWrap w:val="0"/>
            <w:vAlign w:val="center"/>
          </w:tcPr>
          <w:p w14:paraId="70641D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5</w:t>
            </w:r>
          </w:p>
        </w:tc>
        <w:tc>
          <w:tcPr>
            <w:tcW w:w="3417" w:type="dxa"/>
            <w:noWrap w:val="0"/>
            <w:vAlign w:val="center"/>
          </w:tcPr>
          <w:p w14:paraId="31A76A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超低容量喷雾，40倍兑水稀释</w:t>
            </w:r>
          </w:p>
        </w:tc>
      </w:tr>
      <w:tr w14:paraId="2F90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25446E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5</w:t>
            </w:r>
          </w:p>
        </w:tc>
        <w:tc>
          <w:tcPr>
            <w:tcW w:w="1830" w:type="dxa"/>
            <w:noWrap w:val="0"/>
            <w:vAlign w:val="center"/>
          </w:tcPr>
          <w:p w14:paraId="76D0CF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10%氯菊酯·四氟甲醚水乳剂</w:t>
            </w:r>
          </w:p>
        </w:tc>
        <w:tc>
          <w:tcPr>
            <w:tcW w:w="912" w:type="dxa"/>
            <w:noWrap w:val="0"/>
            <w:vAlign w:val="center"/>
          </w:tcPr>
          <w:p w14:paraId="500E68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1000ml×10瓶/箱</w:t>
            </w:r>
          </w:p>
        </w:tc>
        <w:tc>
          <w:tcPr>
            <w:tcW w:w="1027" w:type="dxa"/>
            <w:noWrap w:val="0"/>
            <w:vAlign w:val="center"/>
          </w:tcPr>
          <w:p w14:paraId="4C38CA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箱</w:t>
            </w:r>
          </w:p>
        </w:tc>
        <w:tc>
          <w:tcPr>
            <w:tcW w:w="1028" w:type="dxa"/>
            <w:noWrap w:val="0"/>
            <w:vAlign w:val="center"/>
          </w:tcPr>
          <w:p w14:paraId="774F62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10</w:t>
            </w:r>
          </w:p>
        </w:tc>
        <w:tc>
          <w:tcPr>
            <w:tcW w:w="3417" w:type="dxa"/>
            <w:noWrap w:val="0"/>
            <w:vAlign w:val="center"/>
          </w:tcPr>
          <w:p w14:paraId="171CE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车载式喷雾，40倍兑水稀释</w:t>
            </w:r>
          </w:p>
        </w:tc>
      </w:tr>
    </w:tbl>
    <w:p w14:paraId="354E2E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jc w:val="left"/>
        <w:rPr>
          <w:rFonts w:hint="eastAsia"/>
          <w:b w:val="0"/>
          <w:bCs w:val="0"/>
          <w:spacing w:val="0"/>
          <w:sz w:val="28"/>
          <w:szCs w:val="28"/>
          <w:lang w:val="en-US" w:eastAsia="zh-CN"/>
        </w:rPr>
      </w:pPr>
      <w:r>
        <w:rPr>
          <w:rFonts w:hint="eastAsia"/>
          <w:b/>
          <w:bCs/>
          <w:spacing w:val="0"/>
          <w:sz w:val="28"/>
          <w:szCs w:val="28"/>
          <w:lang w:val="en-US" w:eastAsia="zh-CN"/>
        </w:rPr>
        <w:t>备注：上述药品需提供农药登记证、农药生产批准证书或农药生产许可证。</w:t>
      </w:r>
    </w:p>
    <w:p w14:paraId="7FE8C0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（六）服务具体要求 </w:t>
      </w:r>
    </w:p>
    <w:p w14:paraId="601A3D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1.孳生地调查 </w:t>
      </w:r>
    </w:p>
    <w:p w14:paraId="25C2A4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作为灭蚊工作的根本措施，重点清除各类积水和蚊虫孳生环境，从源头阻断蚊虫繁殖链条。安排专业人员对防制区域进行全面排查清理蚊类孳生地，开展小型水体的翻坛倒罐工作；指导业主单位疏通堵塞的沟渠、泄水井、下水道等，确保无积水滞留；及时上报杂物堆积等蚊虫易孳生的环境区域，并及时清理。 </w:t>
      </w:r>
    </w:p>
    <w:p w14:paraId="42B721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2.投放灭蚊幼药包</w:t>
      </w:r>
    </w:p>
    <w:p w14:paraId="630458A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针对无法彻底清除积水的孳生地（如泄水井、下水道等），投放符合国家标准的低毒灭蚊幼药包（如吡丙醚、倍硫磷颗粒剂）。</w:t>
      </w:r>
    </w:p>
    <w:p w14:paraId="76CCE5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3.空间喷洒</w:t>
      </w:r>
    </w:p>
    <w:p w14:paraId="628A04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公共外环境、绿地、绿化带、公园等开阔区域，采用超低容量喷雾器开展空间喷洒，选用高效、低毒、速杀型杀虫剂，快速杀灭成蚊。在蚊虫活动高峰时段，避开居民出行高峰时段和雨天、大风天（风速超过15km/h暂停作业），确保消杀效果。</w:t>
      </w:r>
    </w:p>
    <w:p w14:paraId="55C367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4.滞留喷洒</w:t>
      </w:r>
    </w:p>
    <w:p w14:paraId="18CC2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针对蚊虫易栖息的隐蔽区域，如地下停车场、公厕墙面、楼道门洞、垃圾站点周边墙体等，选用持效期长、低毒的滞留喷洒药剂开展滞留喷洒，延长灭蚊时效。</w:t>
      </w:r>
    </w:p>
    <w:p w14:paraId="6CE9C3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5.热烟雾熏杀</w:t>
      </w:r>
    </w:p>
    <w:p w14:paraId="3CF7F6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下水道、绿化带、竹林等常规喷洒难以覆盖的区域，选用适配热烟雾机的专用杀虫剂开展熏杀，确保烟雾弥散性好、杀灭效果强，且低毒、低残留，彻底杀灭隐蔽处成蚊。操作人员佩戴专业防护装备（如口罩、手套等），作业时设置警示区域，禁止居民靠近。</w:t>
      </w:r>
    </w:p>
    <w:p w14:paraId="68C8A0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二、商务条件</w:t>
      </w:r>
    </w:p>
    <w:p w14:paraId="163235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Theme="minor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1、服务周期：合同签定后一个月内完成</w:t>
      </w:r>
    </w:p>
    <w:p w14:paraId="2F72E1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2、付款方式：验收合格一次性付款   </w:t>
      </w:r>
    </w:p>
    <w:p w14:paraId="117190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3、服务地点：采购人指定地点。</w:t>
      </w:r>
    </w:p>
    <w:p w14:paraId="16B784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4、本项目报价包括成本费用、运杂费、保险费、施工费、验收费、利税以及交付使用前一切可能发生的所有费用。</w:t>
      </w:r>
    </w:p>
    <w:p w14:paraId="4E3CBE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三、报价供应商资格要求</w:t>
      </w:r>
    </w:p>
    <w:p w14:paraId="5AFF50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（一）报价供应商应同时具备以下资格条件：</w:t>
      </w:r>
    </w:p>
    <w:p w14:paraId="158BDE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（1）具备《政府采购法》第二十二条供应商资格条件；</w:t>
      </w:r>
    </w:p>
    <w:p w14:paraId="5CF27F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（2）参加本次招标前三年内，在经营活动中没有重大违法记录；未被“信用中国”网站（www.creditchina.gov.cn）中列入失信被执行人和重大税收违法案件当事人名单的公司单位（提供查询截图）；</w:t>
      </w:r>
    </w:p>
    <w:p w14:paraId="0ED9DC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（3）参加本项目的报价人为中华人民共和国境内注册的企业法人或事业单位法人。分公司投标的，必须具有法人资格的总公司授权。</w:t>
      </w:r>
    </w:p>
    <w:p w14:paraId="7EFDB0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（二）单位负责人为同一人或者存在直接控股、管理关系的不同供应商，不得同时参加同一投标活动。供应商之间有上述关系的，应主动声明，否则作无效处理。</w:t>
      </w:r>
    </w:p>
    <w:p w14:paraId="77DA11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（三）本项目不接受联合体投标。</w:t>
      </w:r>
    </w:p>
    <w:p w14:paraId="714BFC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四、项目竞价文件要求提供的资料</w:t>
      </w:r>
    </w:p>
    <w:p w14:paraId="5DD84B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（一）封面（自拟、加盖单位公章）。</w:t>
      </w:r>
    </w:p>
    <w:p w14:paraId="14D1CF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（二）报价人营业执照副本、上述药品需提供农药登记证、农药生产批准证书或农药生产许可证、相关有害生物防治的资质证书（加盖单位公章）。</w:t>
      </w:r>
    </w:p>
    <w:p w14:paraId="3CB19B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（三）拟派本项目负责人1名及消杀人员9人的有害生物防制相关资质证书、公司授权书等资料，项目负责人需提供有害生物防制相关高级或中级资质证书。</w:t>
      </w:r>
    </w:p>
    <w:p w14:paraId="031D2E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（四）过往业绩（提供2022年至今病媒生物防制或灭“四害”业绩证明复印件，加盖公章）。</w:t>
      </w:r>
    </w:p>
    <w:p w14:paraId="390B9C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（五）提供应急消杀方案</w:t>
      </w:r>
    </w:p>
    <w:p w14:paraId="4E035A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（六）报价单（见附件）</w:t>
      </w:r>
    </w:p>
    <w:p w14:paraId="6CA999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注：以上文件资料均须真实、完整、有效、一致并加盖公章，封面填写联系人、联系电话，否则自行承担由此导致的任何损失。</w:t>
      </w:r>
    </w:p>
    <w:p w14:paraId="76050D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jc w:val="left"/>
        <w:rPr>
          <w:rFonts w:hint="eastAsia"/>
          <w:b w:val="0"/>
          <w:bCs w:val="0"/>
          <w:spacing w:val="0"/>
          <w:sz w:val="28"/>
          <w:szCs w:val="28"/>
          <w:lang w:val="en-US" w:eastAsia="zh-CN"/>
        </w:rPr>
      </w:pPr>
      <w:r>
        <w:rPr>
          <w:rFonts w:hint="eastAsia"/>
          <w:b w:val="0"/>
          <w:bCs w:val="0"/>
          <w:spacing w:val="0"/>
          <w:sz w:val="28"/>
          <w:szCs w:val="28"/>
          <w:lang w:val="en-US" w:eastAsia="zh-CN"/>
        </w:rPr>
        <w:t>　五、公告和递交资料时间</w:t>
      </w:r>
    </w:p>
    <w:p w14:paraId="4AA5CE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有意向的单位，可自公告发布之日在电子卖场上传相关资料，逾期恕不受理。</w:t>
      </w:r>
    </w:p>
    <w:p w14:paraId="452F5B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六、联系方式</w:t>
      </w:r>
    </w:p>
    <w:p w14:paraId="3E0AB0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b w:val="0"/>
          <w:bCs w:val="0"/>
          <w:spacing w:val="0"/>
          <w:sz w:val="28"/>
          <w:szCs w:val="28"/>
          <w:lang w:val="en-US" w:eastAsia="zh-CN"/>
        </w:rPr>
      </w:pPr>
      <w:r>
        <w:rPr>
          <w:rFonts w:hint="eastAsia"/>
          <w:b w:val="0"/>
          <w:bCs w:val="0"/>
          <w:spacing w:val="0"/>
          <w:sz w:val="28"/>
          <w:szCs w:val="28"/>
          <w:lang w:val="en-US" w:eastAsia="zh-CN"/>
        </w:rPr>
        <w:t>联系人：宋女士  王先生  联系电话：13879330766　13870386276</w:t>
      </w:r>
    </w:p>
    <w:p w14:paraId="1D91B89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560" w:firstLineChars="200"/>
        <w:jc w:val="left"/>
        <w:rPr>
          <w:rFonts w:hint="eastAsia"/>
          <w:b w:val="0"/>
          <w:bCs w:val="0"/>
          <w:spacing w:val="0"/>
          <w:sz w:val="28"/>
          <w:szCs w:val="28"/>
          <w:lang w:val="en-US" w:eastAsia="zh-CN"/>
        </w:rPr>
      </w:pPr>
      <w:r>
        <w:rPr>
          <w:rFonts w:hint="eastAsia" w:cstheme="minorBidi"/>
          <w:b w:val="0"/>
          <w:bCs w:val="0"/>
          <w:spacing w:val="0"/>
          <w:kern w:val="0"/>
          <w:sz w:val="28"/>
          <w:szCs w:val="28"/>
          <w:lang w:val="en-US" w:eastAsia="zh-CN" w:bidi="ar"/>
        </w:rPr>
        <w:t>七</w:t>
      </w:r>
      <w:r>
        <w:rPr>
          <w:rFonts w:hint="eastAsia" w:asciiTheme="minorHAnsi" w:hAnsiTheme="minorHAnsi" w:eastAsiaTheme="minorEastAsia" w:cstheme="minorBidi"/>
          <w:b w:val="0"/>
          <w:bCs w:val="0"/>
          <w:spacing w:val="0"/>
          <w:kern w:val="0"/>
          <w:sz w:val="28"/>
          <w:szCs w:val="28"/>
          <w:lang w:val="en-US" w:eastAsia="zh-CN" w:bidi="ar"/>
        </w:rPr>
        <w:t>、</w:t>
      </w:r>
      <w:r>
        <w:rPr>
          <w:rFonts w:hint="eastAsia"/>
          <w:b w:val="0"/>
          <w:bCs w:val="0"/>
          <w:spacing w:val="0"/>
          <w:sz w:val="28"/>
          <w:szCs w:val="28"/>
          <w:lang w:val="en-US" w:eastAsia="zh-CN"/>
        </w:rPr>
        <w:t>上饶市广丰区卫生健康委员会对公告具有最终解释权。未尽事宜，另行通知。</w:t>
      </w:r>
    </w:p>
    <w:p w14:paraId="72CFB26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b w:val="0"/>
          <w:bCs w:val="0"/>
          <w:spacing w:val="0"/>
          <w:sz w:val="28"/>
          <w:szCs w:val="28"/>
          <w:lang w:val="en-US" w:eastAsia="zh-CN"/>
        </w:rPr>
        <w:sectPr>
          <w:footerReference r:id="rId3" w:type="default"/>
          <w:pgSz w:w="11906" w:h="16838"/>
          <w:pgMar w:top="1304" w:right="1474" w:bottom="1304" w:left="1474" w:header="851" w:footer="992" w:gutter="0"/>
          <w:cols w:space="425" w:num="1"/>
          <w:docGrid w:type="lines" w:linePitch="312" w:charSpace="0"/>
        </w:sectPr>
      </w:pPr>
    </w:p>
    <w:p w14:paraId="400CEB4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b w:val="0"/>
          <w:bCs w:val="0"/>
          <w:spacing w:val="0"/>
          <w:sz w:val="28"/>
          <w:szCs w:val="28"/>
          <w:lang w:val="en-US" w:eastAsia="zh-CN"/>
        </w:rPr>
      </w:pPr>
      <w:r>
        <w:rPr>
          <w:rFonts w:hint="eastAsia"/>
          <w:b w:val="0"/>
          <w:bCs w:val="0"/>
          <w:spacing w:val="0"/>
          <w:sz w:val="28"/>
          <w:szCs w:val="28"/>
          <w:lang w:val="en-US" w:eastAsia="zh-CN"/>
        </w:rPr>
        <w:t>附件：</w:t>
      </w:r>
    </w:p>
    <w:p w14:paraId="13CE4A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21" w:firstLineChars="100"/>
        <w:jc w:val="left"/>
        <w:rPr>
          <w:rFonts w:hint="eastAsia"/>
          <w:b/>
          <w:bCs/>
          <w:spacing w:val="0"/>
          <w:sz w:val="32"/>
          <w:szCs w:val="32"/>
          <w:lang w:val="en-US" w:eastAsia="zh-CN"/>
        </w:rPr>
      </w:pPr>
      <w:r>
        <w:rPr>
          <w:rFonts w:hint="default"/>
          <w:b/>
          <w:bCs/>
          <w:spacing w:val="0"/>
          <w:sz w:val="32"/>
          <w:szCs w:val="32"/>
          <w:lang w:val="en-US" w:eastAsia="zh-CN"/>
        </w:rPr>
        <w:t>202</w:t>
      </w:r>
      <w:r>
        <w:rPr>
          <w:rFonts w:hint="eastAsia"/>
          <w:b/>
          <w:bCs/>
          <w:spacing w:val="0"/>
          <w:sz w:val="32"/>
          <w:szCs w:val="32"/>
          <w:lang w:val="en-US" w:eastAsia="zh-CN"/>
        </w:rPr>
        <w:t>6</w:t>
      </w:r>
      <w:r>
        <w:rPr>
          <w:rFonts w:hint="default"/>
          <w:b/>
          <w:bCs/>
          <w:spacing w:val="0"/>
          <w:sz w:val="32"/>
          <w:szCs w:val="32"/>
          <w:lang w:val="en-US" w:eastAsia="zh-CN"/>
        </w:rPr>
        <w:t>年登革热</w:t>
      </w:r>
      <w:r>
        <w:rPr>
          <w:rFonts w:hint="eastAsia"/>
          <w:b/>
          <w:bCs/>
          <w:spacing w:val="0"/>
          <w:sz w:val="32"/>
          <w:szCs w:val="32"/>
          <w:lang w:val="en-US" w:eastAsia="zh-CN"/>
        </w:rPr>
        <w:t>预防防控</w:t>
      </w:r>
      <w:r>
        <w:rPr>
          <w:rFonts w:hint="default"/>
          <w:b/>
          <w:bCs/>
          <w:spacing w:val="0"/>
          <w:sz w:val="32"/>
          <w:szCs w:val="32"/>
          <w:lang w:val="en-US" w:eastAsia="zh-CN"/>
        </w:rPr>
        <w:t>应急消杀</w:t>
      </w:r>
      <w:r>
        <w:rPr>
          <w:rFonts w:hint="eastAsia"/>
          <w:b/>
          <w:bCs/>
          <w:spacing w:val="0"/>
          <w:sz w:val="32"/>
          <w:szCs w:val="32"/>
          <w:lang w:val="en-US" w:eastAsia="zh-CN"/>
        </w:rPr>
        <w:t>队伍</w:t>
      </w:r>
      <w:r>
        <w:rPr>
          <w:rFonts w:hint="default"/>
          <w:b/>
          <w:bCs/>
          <w:spacing w:val="0"/>
          <w:sz w:val="32"/>
          <w:szCs w:val="32"/>
          <w:lang w:val="en-US" w:eastAsia="zh-CN"/>
        </w:rPr>
        <w:t>服务</w:t>
      </w:r>
      <w:r>
        <w:rPr>
          <w:rFonts w:hint="eastAsia"/>
          <w:b/>
          <w:bCs/>
          <w:spacing w:val="0"/>
          <w:sz w:val="32"/>
          <w:szCs w:val="32"/>
          <w:lang w:val="en-US" w:eastAsia="zh-CN"/>
        </w:rPr>
        <w:t>项目报价表</w:t>
      </w:r>
    </w:p>
    <w:p w14:paraId="5A876B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b w:val="0"/>
          <w:bCs w:val="0"/>
          <w:spacing w:val="0"/>
          <w:sz w:val="28"/>
          <w:szCs w:val="28"/>
          <w:lang w:val="en-US" w:eastAsia="zh-CN"/>
        </w:rPr>
      </w:pPr>
      <w:r>
        <w:rPr>
          <w:rFonts w:hint="eastAsia"/>
          <w:b w:val="0"/>
          <w:bCs w:val="0"/>
          <w:spacing w:val="0"/>
          <w:sz w:val="28"/>
          <w:szCs w:val="28"/>
          <w:lang w:val="en-US" w:eastAsia="zh-CN"/>
        </w:rPr>
        <w:t xml:space="preserve">供应商名称（盖章）：              </w:t>
      </w:r>
    </w:p>
    <w:tbl>
      <w:tblPr>
        <w:tblStyle w:val="9"/>
        <w:tblW w:w="8522" w:type="dxa"/>
        <w:jc w:val="center"/>
        <w:tblBorders>
          <w:top w:val="none" w:color="auto" w:sz="12" w:space="0"/>
          <w:left w:val="none" w:color="auto" w:sz="12" w:space="0"/>
          <w:bottom w:val="none" w:color="auto" w:sz="12" w:space="0"/>
          <w:right w:val="none" w:color="auto" w:sz="12" w:space="0"/>
          <w:insideH w:val="none" w:color="auto" w:sz="6" w:space="0"/>
          <w:insideV w:val="none" w:color="auto" w:sz="6" w:space="0"/>
        </w:tblBorders>
        <w:tblLayout w:type="autofit"/>
        <w:tblCellMar>
          <w:top w:w="0" w:type="dxa"/>
          <w:left w:w="108" w:type="dxa"/>
          <w:bottom w:w="0" w:type="dxa"/>
          <w:right w:w="108" w:type="dxa"/>
        </w:tblCellMar>
      </w:tblPr>
      <w:tblGrid>
        <w:gridCol w:w="912"/>
        <w:gridCol w:w="2945"/>
        <w:gridCol w:w="1605"/>
        <w:gridCol w:w="1073"/>
        <w:gridCol w:w="1074"/>
        <w:gridCol w:w="913"/>
      </w:tblGrid>
      <w:tr w14:paraId="4F83C7C9">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tblHeader/>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2AE5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序号</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F4BEF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kern w:val="0"/>
                <w:sz w:val="28"/>
                <w:szCs w:val="28"/>
                <w:lang w:val="en-US" w:eastAsia="zh-CN" w:bidi="ar"/>
              </w:rPr>
            </w:pPr>
            <w:r>
              <w:rPr>
                <w:rFonts w:hint="eastAsia" w:asciiTheme="minorEastAsia" w:hAnsiTheme="minorEastAsia" w:eastAsiaTheme="minorEastAsia" w:cstheme="minorEastAsia"/>
                <w:b/>
                <w:bCs w:val="0"/>
                <w:spacing w:val="0"/>
                <w:sz w:val="28"/>
                <w:szCs w:val="28"/>
                <w:lang w:val="en-US" w:eastAsia="zh-CN"/>
              </w:rPr>
              <w:t>费用名称</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09901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kern w:val="0"/>
                <w:sz w:val="28"/>
                <w:szCs w:val="28"/>
                <w:lang w:val="en-US" w:eastAsia="zh-CN" w:bidi="ar"/>
              </w:rPr>
            </w:pPr>
            <w:r>
              <w:rPr>
                <w:rFonts w:hint="eastAsia" w:asciiTheme="minorEastAsia" w:hAnsiTheme="minorEastAsia" w:eastAsiaTheme="minorEastAsia" w:cstheme="minorEastAsia"/>
                <w:b/>
                <w:bCs w:val="0"/>
                <w:spacing w:val="0"/>
                <w:sz w:val="28"/>
                <w:szCs w:val="28"/>
                <w:lang w:val="en-US" w:eastAsia="zh-CN"/>
              </w:rPr>
              <w:t>规格型号</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E878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单价</w:t>
            </w:r>
          </w:p>
          <w:p w14:paraId="42FA9A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（元）</w:t>
            </w: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23DC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总价</w:t>
            </w:r>
          </w:p>
          <w:p w14:paraId="5C2904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（元）</w:t>
            </w: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50A5E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heme="minorEastAsia" w:hAnsiTheme="minorEastAsia" w:eastAsiaTheme="minorEastAsia" w:cstheme="minorEastAsia"/>
                <w:b/>
                <w:bCs w:val="0"/>
                <w:spacing w:val="0"/>
                <w:sz w:val="28"/>
                <w:szCs w:val="28"/>
                <w:lang w:val="en-US" w:eastAsia="zh-CN"/>
              </w:rPr>
            </w:pPr>
            <w:r>
              <w:rPr>
                <w:rFonts w:hint="eastAsia" w:asciiTheme="minorEastAsia" w:hAnsiTheme="minorEastAsia" w:cstheme="minorEastAsia"/>
                <w:b/>
                <w:bCs w:val="0"/>
                <w:spacing w:val="0"/>
                <w:sz w:val="28"/>
                <w:szCs w:val="28"/>
                <w:lang w:val="en-US" w:eastAsia="zh-CN"/>
              </w:rPr>
              <w:t>是否响 应</w:t>
            </w:r>
            <w:bookmarkStart w:id="4" w:name="_GoBack"/>
            <w:bookmarkEnd w:id="4"/>
          </w:p>
        </w:tc>
      </w:tr>
      <w:tr w14:paraId="3EE5456B">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5341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634398E">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r>
              <w:rPr>
                <w:rStyle w:val="16"/>
                <w:rFonts w:hint="eastAsia" w:asciiTheme="minorEastAsia" w:hAnsiTheme="minorEastAsia" w:eastAsiaTheme="minorEastAsia" w:cstheme="minorEastAsia"/>
                <w:sz w:val="28"/>
                <w:szCs w:val="28"/>
                <w:lang w:val="en-US" w:eastAsia="zh-CN" w:bidi="ar"/>
              </w:rPr>
              <w:t>氯氰残杀威热烟雾剂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AF3137C">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5L/</w:t>
            </w:r>
            <w:r>
              <w:rPr>
                <w:rStyle w:val="16"/>
                <w:rFonts w:hint="eastAsia" w:asciiTheme="minorEastAsia" w:hAnsiTheme="minorEastAsia" w:eastAsiaTheme="minorEastAsia" w:cstheme="minorEastAsia"/>
                <w:sz w:val="28"/>
                <w:szCs w:val="28"/>
                <w:lang w:val="en-US" w:eastAsia="zh-CN" w:bidi="ar"/>
              </w:rPr>
              <w:t>桶</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A615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82E3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D4E75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0482F42D">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6696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7450B00">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5%倍硫磷灭蚊幼缓释剂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DD1BFD5">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5克</w:t>
            </w:r>
            <w:r>
              <w:rPr>
                <w:rStyle w:val="17"/>
                <w:rFonts w:hint="eastAsia" w:asciiTheme="minorEastAsia" w:hAnsiTheme="minorEastAsia" w:eastAsiaTheme="minorEastAsia" w:cstheme="minorEastAsia"/>
                <w:sz w:val="28"/>
                <w:szCs w:val="28"/>
                <w:lang w:val="en-US" w:eastAsia="zh-CN" w:bidi="ar"/>
              </w:rPr>
              <w:t>*2000</w:t>
            </w:r>
            <w:r>
              <w:rPr>
                <w:rFonts w:hint="eastAsia" w:asciiTheme="minorEastAsia" w:hAnsiTheme="minorEastAsia" w:eastAsiaTheme="minorEastAsia" w:cstheme="minorEastAsia"/>
                <w:i w:val="0"/>
                <w:iCs w:val="0"/>
                <w:color w:val="000000"/>
                <w:kern w:val="0"/>
                <w:sz w:val="28"/>
                <w:szCs w:val="28"/>
                <w:u w:val="none"/>
                <w:lang w:val="en-US" w:eastAsia="zh-CN" w:bidi="ar"/>
              </w:rPr>
              <w:t>包</w:t>
            </w:r>
            <w:r>
              <w:rPr>
                <w:rStyle w:val="17"/>
                <w:rFonts w:hint="eastAsia" w:asciiTheme="minorEastAsia" w:hAnsiTheme="minorEastAsia" w:eastAsiaTheme="minorEastAsia" w:cstheme="minorEastAsia"/>
                <w:sz w:val="28"/>
                <w:szCs w:val="28"/>
                <w:lang w:val="en-US" w:eastAsia="zh-CN" w:bidi="ar"/>
              </w:rPr>
              <w:t>/</w:t>
            </w: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31B7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2A64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11A37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0566B45E">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48A0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C8336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6%氯氰·氯氟醚悬浮剂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DFBEC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500g*20瓶/箱</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684E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F17D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6D365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1C002A19">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FCBE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96EDE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10%残杀威·甲氧苄氟菊酯微乳剂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1BA7F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1000ml*10瓶/箱</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2C3E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9397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F100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50BF47EA">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EEA6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DB6D3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10%氯菊酯·四氟甲醚水乳剂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D70CE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1000ml×10瓶/箱</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B2DF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B60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79528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6B5C4305">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31"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8CE3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7C89F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kern w:val="0"/>
                <w:sz w:val="28"/>
                <w:szCs w:val="28"/>
                <w:lang w:val="en-US" w:eastAsia="zh-CN" w:bidi="ar"/>
              </w:rPr>
              <w:t>人员费用</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23B06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3B91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E0E9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9243F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5DC7DC5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07"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A965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7</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4F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车辆费用</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73E3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2961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903A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FBC40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124790D4">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94" w:hRule="atLeast"/>
          <w:jc w:val="center"/>
        </w:trPr>
        <w:tc>
          <w:tcPr>
            <w:tcW w:w="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7CA51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8</w:t>
            </w:r>
          </w:p>
        </w:tc>
        <w:tc>
          <w:tcPr>
            <w:tcW w:w="294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29CC9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其他办公费用费用费作</w:t>
            </w:r>
          </w:p>
        </w:tc>
        <w:tc>
          <w:tcPr>
            <w:tcW w:w="160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EA797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56EF8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807C8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A8BCD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4D1B9A56">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94" w:hRule="atLeast"/>
          <w:jc w:val="center"/>
        </w:trPr>
        <w:tc>
          <w:tcPr>
            <w:tcW w:w="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DC72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heme="minorEastAsia" w:hAnsiTheme="minorEastAsia" w:eastAsiaTheme="minorEastAsia" w:cstheme="minorEastAsia"/>
                <w:b w:val="0"/>
                <w:bCs w:val="0"/>
                <w:spacing w:val="0"/>
                <w:sz w:val="28"/>
                <w:szCs w:val="28"/>
                <w:lang w:val="en-US" w:eastAsia="zh-CN"/>
              </w:rPr>
            </w:pPr>
            <w:bookmarkStart w:id="0" w:name="_Toc2539"/>
            <w:bookmarkStart w:id="1" w:name="_Toc494292933"/>
            <w:bookmarkStart w:id="2" w:name="_Toc494138645"/>
            <w:bookmarkStart w:id="3" w:name="_Toc4904"/>
          </w:p>
        </w:tc>
        <w:tc>
          <w:tcPr>
            <w:tcW w:w="294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AD27B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cstheme="minorEastAsia"/>
                <w:b w:val="0"/>
                <w:bCs w:val="0"/>
                <w:spacing w:val="0"/>
                <w:sz w:val="28"/>
                <w:szCs w:val="28"/>
                <w:lang w:val="en-US" w:eastAsia="zh-CN"/>
              </w:rPr>
              <w:t>合计</w:t>
            </w:r>
          </w:p>
        </w:tc>
        <w:tc>
          <w:tcPr>
            <w:tcW w:w="160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B5F90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CAA57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1857E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8055B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bl>
    <w:p w14:paraId="37924BEE">
      <w:pPr>
        <w:pStyle w:val="4"/>
        <w:jc w:val="both"/>
        <w:rPr>
          <w:rFonts w:hint="eastAsia" w:ascii="宋体" w:hAnsi="宋体" w:eastAsia="宋体" w:cs="宋体"/>
          <w:i w:val="0"/>
          <w:iCs w:val="0"/>
          <w:color w:val="auto"/>
          <w:sz w:val="28"/>
          <w:szCs w:val="28"/>
          <w:highlight w:val="none"/>
        </w:rPr>
        <w:sectPr>
          <w:pgSz w:w="11906" w:h="16838"/>
          <w:pgMar w:top="1440" w:right="1800" w:bottom="1440" w:left="1800" w:header="851" w:footer="992" w:gutter="0"/>
          <w:cols w:space="425" w:num="1"/>
          <w:docGrid w:type="lines" w:linePitch="312" w:charSpace="0"/>
        </w:sectPr>
      </w:pPr>
    </w:p>
    <w:p w14:paraId="740D617E">
      <w:pPr>
        <w:pStyle w:val="4"/>
        <w:jc w:val="both"/>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法定代表人授权书</w:t>
      </w:r>
      <w:bookmarkEnd w:id="0"/>
      <w:bookmarkEnd w:id="1"/>
      <w:bookmarkEnd w:id="2"/>
      <w:bookmarkEnd w:id="3"/>
      <w:r>
        <w:rPr>
          <w:rFonts w:hint="eastAsia" w:ascii="宋体" w:hAnsi="宋体" w:eastAsia="宋体" w:cs="宋体"/>
          <w:i w:val="0"/>
          <w:iCs w:val="0"/>
          <w:color w:val="auto"/>
          <w:sz w:val="28"/>
          <w:szCs w:val="28"/>
          <w:highlight w:val="none"/>
          <w:lang w:eastAsia="zh-CN"/>
        </w:rPr>
        <w:t>（格式模板）</w:t>
      </w:r>
    </w:p>
    <w:p w14:paraId="0D6F416F">
      <w:pPr>
        <w:pStyle w:val="4"/>
        <w:jc w:val="both"/>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8"/>
          <w:szCs w:val="28"/>
          <w:highlight w:val="none"/>
        </w:rPr>
        <w:t>致：</w:t>
      </w:r>
      <w:r>
        <w:rPr>
          <w:rFonts w:hint="eastAsia" w:ascii="宋体" w:hAnsi="宋体" w:eastAsia="宋体" w:cs="宋体"/>
          <w:i w:val="0"/>
          <w:iCs w:val="0"/>
          <w:color w:val="auto"/>
          <w:sz w:val="28"/>
          <w:szCs w:val="28"/>
          <w:highlight w:val="none"/>
          <w:lang w:eastAsia="zh-CN"/>
        </w:rPr>
        <w:t>广丰区卫健委</w:t>
      </w:r>
    </w:p>
    <w:p w14:paraId="065B1BDE">
      <w:pPr>
        <w:spacing w:line="440" w:lineRule="exact"/>
        <w:ind w:firstLine="480" w:firstLineChars="200"/>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（投标人全称）法定代表人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授权</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（全权代表姓名）为全权代表,参加贵处组织的</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项目招标活动，全权代表我方处理招标活动中的一切事宜</w:t>
      </w:r>
      <w:r>
        <w:rPr>
          <w:rFonts w:hint="eastAsia" w:ascii="宋体" w:hAnsi="宋体" w:eastAsia="宋体" w:cs="宋体"/>
          <w:i w:val="0"/>
          <w:iCs w:val="0"/>
          <w:color w:val="auto"/>
          <w:sz w:val="24"/>
          <w:highlight w:val="none"/>
          <w:lang w:eastAsia="zh-CN"/>
        </w:rPr>
        <w:t>（全权代表人或授权人电话）。</w:t>
      </w:r>
    </w:p>
    <w:p w14:paraId="5D45FC6E">
      <w:pPr>
        <w:spacing w:line="440" w:lineRule="exact"/>
        <w:rPr>
          <w:rFonts w:hint="eastAsia" w:ascii="宋体" w:hAnsi="宋体" w:eastAsia="宋体" w:cs="宋体"/>
          <w:i w:val="0"/>
          <w:iCs w:val="0"/>
          <w:color w:val="auto"/>
          <w:sz w:val="24"/>
          <w:highlight w:val="none"/>
        </w:rPr>
      </w:pPr>
    </w:p>
    <w:p w14:paraId="60290C44">
      <w:pPr>
        <w:spacing w:line="44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法定代表人</w:t>
      </w:r>
      <w:r>
        <w:rPr>
          <w:rFonts w:hint="eastAsia" w:ascii="宋体" w:hAnsi="宋体" w:eastAsia="宋体" w:cs="宋体"/>
          <w:i w:val="0"/>
          <w:iCs w:val="0"/>
          <w:color w:val="auto"/>
          <w:sz w:val="24"/>
          <w:highlight w:val="none"/>
          <w:lang w:eastAsia="zh-CN"/>
        </w:rPr>
        <w:t>签字或盖章</w:t>
      </w:r>
      <w:r>
        <w:rPr>
          <w:rFonts w:hint="eastAsia" w:ascii="宋体" w:hAnsi="宋体" w:eastAsia="宋体" w:cs="宋体"/>
          <w:i w:val="0"/>
          <w:iCs w:val="0"/>
          <w:color w:val="auto"/>
          <w:sz w:val="24"/>
          <w:highlight w:val="none"/>
        </w:rPr>
        <w:t>：</w:t>
      </w:r>
    </w:p>
    <w:p w14:paraId="4A9E1B9A">
      <w:pPr>
        <w:spacing w:line="440" w:lineRule="exact"/>
        <w:rPr>
          <w:rFonts w:hint="eastAsia" w:ascii="宋体" w:hAnsi="宋体" w:eastAsia="宋体" w:cs="宋体"/>
          <w:i w:val="0"/>
          <w:iCs w:val="0"/>
          <w:color w:val="auto"/>
          <w:sz w:val="24"/>
          <w:highlight w:val="none"/>
        </w:rPr>
      </w:pPr>
    </w:p>
    <w:p w14:paraId="2D74FD56">
      <w:pPr>
        <w:spacing w:line="44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w:t>
      </w:r>
      <w:r>
        <w:rPr>
          <w:rFonts w:hint="eastAsia" w:ascii="宋体" w:hAnsi="宋体" w:eastAsia="宋体" w:cs="宋体"/>
          <w:i w:val="0"/>
          <w:iCs w:val="0"/>
          <w:color w:val="auto"/>
          <w:sz w:val="24"/>
          <w:highlight w:val="none"/>
          <w:lang w:eastAsia="zh-CN"/>
        </w:rPr>
        <w:t>投标人盖章</w:t>
      </w:r>
      <w:r>
        <w:rPr>
          <w:rFonts w:hint="eastAsia" w:ascii="宋体" w:hAnsi="宋体" w:eastAsia="宋体" w:cs="宋体"/>
          <w:i w:val="0"/>
          <w:iCs w:val="0"/>
          <w:color w:val="auto"/>
          <w:sz w:val="24"/>
          <w:highlight w:val="none"/>
        </w:rPr>
        <w:t>：</w:t>
      </w:r>
    </w:p>
    <w:p w14:paraId="78021E4F">
      <w:pPr>
        <w:spacing w:line="440" w:lineRule="exact"/>
        <w:rPr>
          <w:rFonts w:hint="eastAsia" w:ascii="宋体" w:hAnsi="宋体" w:eastAsia="宋体" w:cs="宋体"/>
          <w:i w:val="0"/>
          <w:iCs w:val="0"/>
          <w:color w:val="auto"/>
          <w:sz w:val="24"/>
          <w:highlight w:val="none"/>
        </w:rPr>
      </w:pPr>
    </w:p>
    <w:p w14:paraId="0F3CBA37">
      <w:pPr>
        <w:spacing w:line="44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  期：</w:t>
      </w:r>
    </w:p>
    <w:p w14:paraId="7B8350FF">
      <w:pPr>
        <w:spacing w:line="440" w:lineRule="exact"/>
        <w:rPr>
          <w:rFonts w:hint="eastAsia" w:ascii="宋体" w:hAnsi="宋体" w:eastAsia="宋体" w:cs="宋体"/>
          <w:i w:val="0"/>
          <w:iCs w:val="0"/>
          <w:color w:val="auto"/>
          <w:sz w:val="24"/>
          <w:highlight w:val="none"/>
        </w:rPr>
      </w:pPr>
    </w:p>
    <w:p w14:paraId="6421B882">
      <w:pPr>
        <w:spacing w:line="440" w:lineRule="exact"/>
        <w:rPr>
          <w:rFonts w:hint="eastAsia" w:ascii="宋体" w:hAnsi="宋体" w:eastAsia="宋体" w:cs="宋体"/>
          <w:i w:val="0"/>
          <w:iCs w:val="0"/>
          <w:color w:val="auto"/>
          <w:sz w:val="24"/>
          <w:highlight w:val="none"/>
        </w:rPr>
      </w:pPr>
    </w:p>
    <w:p w14:paraId="51038DA6">
      <w:pPr>
        <w:spacing w:line="440" w:lineRule="exact"/>
        <w:rPr>
          <w:rFonts w:hint="eastAsia" w:ascii="宋体" w:hAnsi="宋体" w:eastAsia="宋体" w:cs="宋体"/>
          <w:i w:val="0"/>
          <w:iCs w:val="0"/>
          <w:color w:val="auto"/>
          <w:highlight w:val="none"/>
        </w:rPr>
      </w:pPr>
      <w:r>
        <w:rPr>
          <w:rFonts w:hint="eastAsia" w:ascii="宋体" w:hAnsi="宋体" w:eastAsia="宋体" w:cs="宋体"/>
          <w:i w:val="0"/>
          <w:iCs w:val="0"/>
          <w:color w:val="auto"/>
          <w:sz w:val="24"/>
          <w:highlight w:val="none"/>
        </w:rPr>
        <w:t>附：全权代表姓名</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电话</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szCs w:val="24"/>
          <w:highlight w:val="none"/>
        </w:rPr>
        <w:t>全权代表</w:t>
      </w:r>
      <w:r>
        <w:rPr>
          <w:rFonts w:hint="eastAsia" w:ascii="宋体" w:hAnsi="宋体" w:eastAsia="宋体" w:cs="宋体"/>
          <w:i w:val="0"/>
          <w:iCs w:val="0"/>
          <w:color w:val="auto"/>
          <w:sz w:val="24"/>
          <w:szCs w:val="24"/>
          <w:highlight w:val="none"/>
          <w:lang w:eastAsia="zh-CN"/>
        </w:rPr>
        <w:t>或授权人</w:t>
      </w:r>
      <w:r>
        <w:rPr>
          <w:rFonts w:hint="eastAsia" w:ascii="宋体" w:hAnsi="宋体" w:eastAsia="宋体" w:cs="宋体"/>
          <w:i w:val="0"/>
          <w:iCs w:val="0"/>
          <w:color w:val="auto"/>
          <w:sz w:val="24"/>
          <w:szCs w:val="24"/>
          <w:highlight w:val="none"/>
        </w:rPr>
        <w:t>身份证</w:t>
      </w:r>
      <w:r>
        <w:rPr>
          <w:rFonts w:hint="eastAsia" w:ascii="宋体" w:hAnsi="宋体" w:eastAsia="宋体" w:cs="宋体"/>
          <w:i w:val="0"/>
          <w:iCs w:val="0"/>
          <w:color w:val="auto"/>
          <w:sz w:val="24"/>
          <w:szCs w:val="24"/>
          <w:highlight w:val="none"/>
          <w:lang w:val="en-US" w:eastAsia="zh-CN"/>
        </w:rPr>
        <w:t>扫描件（正反面）</w:t>
      </w:r>
    </w:p>
    <w:p w14:paraId="172303EC">
      <w:pPr>
        <w:pStyle w:val="4"/>
        <w:rPr>
          <w:rFonts w:hint="eastAsia" w:asciiTheme="minorHAnsi" w:hAnsiTheme="minorHAnsi" w:eastAsiaTheme="minorEastAsia" w:cstheme="minorBidi"/>
          <w:b w:val="0"/>
          <w:bCs w:val="0"/>
          <w:spacing w:val="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5455">
    <w:pPr>
      <w:spacing w:before="1" w:line="181" w:lineRule="auto"/>
      <w:ind w:right="123"/>
      <w:jc w:val="right"/>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97CCF">
                          <w:pPr>
                            <w:pStyle w:val="5"/>
                          </w:pPr>
                          <w:r>
                            <w:fldChar w:fldCharType="begin"/>
                          </w:r>
                          <w:r>
                            <w:instrText xml:space="preserve"> PAGE  \* MERGEFORMAT </w:instrText>
                          </w:r>
                          <w:r>
                            <w:fldChar w:fldCharType="separate"/>
                          </w:r>
                          <w:r>
                            <w:t>XL</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397CCF">
                    <w:pPr>
                      <w:pStyle w:val="5"/>
                    </w:pPr>
                    <w:r>
                      <w:fldChar w:fldCharType="begin"/>
                    </w:r>
                    <w:r>
                      <w:instrText xml:space="preserve"> PAGE  \* MERGEFORMAT </w:instrText>
                    </w:r>
                    <w:r>
                      <w:fldChar w:fldCharType="separate"/>
                    </w:r>
                    <w:r>
                      <w:t>XL</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3305"/>
    <w:rsid w:val="01CD19FA"/>
    <w:rsid w:val="0BBB39C2"/>
    <w:rsid w:val="195B79A9"/>
    <w:rsid w:val="1C5E3305"/>
    <w:rsid w:val="1C637301"/>
    <w:rsid w:val="1E74351C"/>
    <w:rsid w:val="282D0D73"/>
    <w:rsid w:val="477E5958"/>
    <w:rsid w:val="4CCB72BF"/>
    <w:rsid w:val="5DB06152"/>
    <w:rsid w:val="5F38334C"/>
    <w:rsid w:val="68AB68B3"/>
    <w:rsid w:val="6C996C01"/>
    <w:rsid w:val="6D6725C8"/>
    <w:rsid w:val="70C072C6"/>
    <w:rsid w:val="714577B0"/>
    <w:rsid w:val="75CF76DB"/>
    <w:rsid w:val="77C276FB"/>
    <w:rsid w:val="794644CA"/>
    <w:rsid w:val="7A162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widowControl/>
      <w:kinsoku w:val="0"/>
      <w:autoSpaceDE w:val="0"/>
      <w:autoSpaceDN w:val="0"/>
      <w:adjustRightInd w:val="0"/>
      <w:snapToGrid w:val="0"/>
      <w:jc w:val="left"/>
      <w:textAlignment w:val="baseline"/>
    </w:pPr>
    <w:rPr>
      <w:rFonts w:ascii="宋体" w:hAnsi="宋体" w:eastAsia="宋体" w:cs="宋体"/>
      <w:color w:val="000000"/>
      <w:kern w:val="0"/>
      <w:sz w:val="28"/>
      <w:szCs w:val="2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Normal"/>
    <w:qFormat/>
    <w:uiPriority w:val="0"/>
    <w:pPr>
      <w:jc w:val="both"/>
    </w:pPr>
    <w:rPr>
      <w:rFonts w:ascii="Arial" w:hAnsi="Arial" w:eastAsia="宋体" w:cs="Arial"/>
      <w:kern w:val="2"/>
      <w:sz w:val="21"/>
      <w:szCs w:val="21"/>
      <w:lang w:val="en-US" w:eastAsia="zh-CN" w:bidi="ar-SA"/>
    </w:rPr>
  </w:style>
  <w:style w:type="paragraph" w:customStyle="1" w:styleId="15">
    <w:name w:val="case3"/>
    <w:basedOn w:val="1"/>
    <w:qFormat/>
    <w:uiPriority w:val="0"/>
    <w:pPr>
      <w:widowControl/>
      <w:spacing w:before="100" w:beforeAutospacing="1" w:after="100" w:afterAutospacing="1" w:line="390" w:lineRule="atLeast"/>
      <w:jc w:val="left"/>
    </w:pPr>
    <w:rPr>
      <w:color w:val="000000"/>
      <w:kern w:val="0"/>
      <w:szCs w:val="21"/>
    </w:rPr>
  </w:style>
  <w:style w:type="character" w:customStyle="1" w:styleId="16">
    <w:name w:val="font21"/>
    <w:basedOn w:val="10"/>
    <w:qFormat/>
    <w:uiPriority w:val="0"/>
    <w:rPr>
      <w:rFonts w:hint="eastAsia" w:ascii="宋体" w:hAnsi="宋体" w:eastAsia="宋体" w:cs="宋体"/>
      <w:color w:val="000000"/>
      <w:sz w:val="28"/>
      <w:szCs w:val="28"/>
      <w:u w:val="none"/>
    </w:rPr>
  </w:style>
  <w:style w:type="character" w:customStyle="1" w:styleId="17">
    <w:name w:val="font11"/>
    <w:basedOn w:val="10"/>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2607</Words>
  <Characters>2771</Characters>
  <Lines>0</Lines>
  <Paragraphs>0</Paragraphs>
  <TotalTime>93</TotalTime>
  <ScaleCrop>false</ScaleCrop>
  <LinksUpToDate>false</LinksUpToDate>
  <CharactersWithSpaces>2977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2026-04-17T00:48:00Z</dcterms:created>
  <dc:creator>卧龙</dc:creator>
  <cp:lastModifiedBy>宋玉立</cp:lastModifiedBy>
  <cp:lastPrinted>2026-04-22T07:45:00Z</cp:lastPrinted>
  <dcterms:modified xsi:type="dcterms:W3CDTF">2026-05-19T03:11:25Z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340C9E4D958244748FC05F3B327A2A29_13</vt:lpwstr>
  </property>
  <property fmtid="{D5CDD505-2E9C-101B-9397-08002B2CF9AE}" pid="4" name="KSOTemplateDocerSaveRecord">
    <vt:lpwstr>eyJoZGlkIjoiN2Y5YzI1NDA0ZDNjM2U3MDM2NGRlNjQyNzE5MDg4Y2IiLCJ1c2VySWQiOiI0MzY0MjU1NjUifQ==</vt:lpwstr>
  </property>
</Properties>
</file>