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441900002-2026-00560</w:t>
      </w:r>
    </w:p>
    <w:p>
      <w:pPr>
        <w:pStyle w:val="null3"/>
        <w:jc w:val="center"/>
        <w:outlineLvl w:val="3"/>
      </w:pPr>
      <w:r>
        <w:rPr>
          <w:sz w:val="24"/>
          <w:b/>
        </w:rPr>
        <w:t>采购项目编号：</w:t>
      </w:r>
      <w:r>
        <w:rPr>
          <w:sz w:val="24"/>
          <w:b/>
        </w:rPr>
        <w:t>DCCG2026032</w:t>
      </w:r>
    </w:p>
    <w:p>
      <w:pPr>
        <w:pStyle w:val="null3"/>
        <w:jc w:val="center"/>
        <w:outlineLvl w:val="3"/>
      </w:pPr>
      <w:r>
        <w:rPr>
          <w:sz w:val="24"/>
          <w:b/>
        </w:rPr>
        <w:t>项目名称：</w:t>
      </w:r>
      <w:r>
        <w:rPr>
          <w:sz w:val="24"/>
          <w:b/>
        </w:rPr>
        <w:t>东城街道2026年虫媒应急消杀服务项目</w:t>
      </w:r>
    </w:p>
    <w:p>
      <w:pPr>
        <w:pStyle w:val="null3"/>
        <w:jc w:val="center"/>
        <w:outlineLvl w:val="3"/>
      </w:pPr>
      <w:r>
        <w:rPr>
          <w:sz w:val="24"/>
          <w:b/>
        </w:rPr>
        <w:t>采购人：</w:t>
      </w:r>
      <w:r>
        <w:rPr>
          <w:sz w:val="24"/>
          <w:b/>
        </w:rPr>
        <w:t>东莞市东城公用事业服务中心</w:t>
      </w:r>
    </w:p>
    <w:p>
      <w:pPr>
        <w:pStyle w:val="null3"/>
        <w:jc w:val="center"/>
        <w:outlineLvl w:val="3"/>
      </w:pPr>
      <w:r>
        <w:rPr>
          <w:sz w:val="24"/>
          <w:b/>
        </w:rPr>
        <w:t>采购代理机构：</w:t>
      </w:r>
      <w:r>
        <w:rPr>
          <w:sz w:val="24"/>
          <w:b/>
        </w:rPr>
        <w:t>中诚（广东）项目管理咨询有限公司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中诚（广东）项目管理咨询有限公司</w:t>
      </w:r>
      <w:r>
        <w:rPr/>
        <w:t>受</w:t>
      </w:r>
      <w:r>
        <w:rPr/>
        <w:t>东莞市东城公用事业服务中心</w:t>
      </w:r>
      <w:r>
        <w:rPr/>
        <w:t>的委托，采用</w:t>
      </w:r>
      <w:r>
        <w:rPr/>
        <w:t>公开招标</w:t>
      </w:r>
      <w:r>
        <w:rPr/>
        <w:t>方式组织采购</w:t>
      </w:r>
      <w:r>
        <w:rPr/>
        <w:t>东城街道2026年虫媒应急消杀服务项目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东城街道2026年虫媒应急消杀服务项目</w:t>
      </w:r>
    </w:p>
    <w:p>
      <w:pPr>
        <w:pStyle w:val="null3"/>
        <w:ind w:firstLine="480"/>
      </w:pPr>
      <w:r>
        <w:rPr/>
        <w:t>采购计划编号：</w:t>
      </w:r>
      <w:r>
        <w:rPr/>
        <w:t>441900002-2026-00560</w:t>
      </w:r>
    </w:p>
    <w:p>
      <w:pPr>
        <w:pStyle w:val="null3"/>
        <w:ind w:firstLine="480"/>
      </w:pPr>
      <w:r>
        <w:rPr/>
        <w:t>采购项目编号：</w:t>
      </w:r>
      <w:r>
        <w:rPr/>
        <w:t>DCCG2026032</w:t>
      </w:r>
    </w:p>
    <w:p>
      <w:pPr>
        <w:pStyle w:val="null3"/>
        <w:ind w:firstLine="480"/>
      </w:pPr>
      <w:r>
        <w:rPr/>
        <w:t>采购方式：</w:t>
      </w:r>
      <w:r>
        <w:rPr/>
        <w:t>公开招标</w:t>
      </w:r>
    </w:p>
    <w:p>
      <w:pPr>
        <w:pStyle w:val="null3"/>
        <w:ind w:firstLine="480"/>
      </w:pPr>
      <w:r>
        <w:rPr/>
        <w:t>预算金额：</w:t>
      </w:r>
      <w:r>
        <w:rPr/>
        <w:t>2,025,000.00</w:t>
      </w:r>
      <w:r>
        <w:rPr/>
        <w:t>元</w:t>
      </w:r>
    </w:p>
    <w:p>
      <w:pPr>
        <w:pStyle w:val="null3"/>
        <w:outlineLvl w:val="3"/>
      </w:pPr>
      <w:r>
        <w:rPr>
          <w:sz w:val="24"/>
          <w:b/>
        </w:rPr>
        <w:t>2.项目内容及需求情况（采购项目技术规格、参数及要求）</w:t>
      </w:r>
    </w:p>
    <w:p>
      <w:pPr>
        <w:pStyle w:val="null3"/>
      </w:pPr>
      <w:r>
        <w:rPr/>
        <w:t>采购包1(东城街道2026年虫媒应急消杀服务项目):</w:t>
      </w:r>
    </w:p>
    <w:p>
      <w:pPr>
        <w:pStyle w:val="null3"/>
      </w:pPr>
      <w:r>
        <w:rPr/>
        <w:t>采购包预算金额：2,025,000.00元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东城街道2026年虫媒应急消杀服务项目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2）有依法缴纳税收和社会保障资金的良好记录：提供《资格条件承诺函》（详见公告附件）。</w:t>
      </w:r>
    </w:p>
    <w:p>
      <w:pPr>
        <w:pStyle w:val="null3"/>
      </w:pPr>
      <w:r>
        <w:rPr/>
        <w:t>3）具有良好的商业信誉和健全的财务会计制度：提供《资格条件承诺函》（详见公告附件）。</w:t>
      </w:r>
    </w:p>
    <w:p>
      <w:pPr>
        <w:pStyle w:val="null3"/>
      </w:pPr>
      <w:r>
        <w:rPr/>
        <w:t>4）履行合同所必需的设备和专业技术能力：提供《资格条件承诺函》（详见公告附件）。</w:t>
      </w:r>
    </w:p>
    <w:p>
      <w:pPr>
        <w:pStyle w:val="null3"/>
      </w:pPr>
      <w:r>
        <w:rPr/>
        <w:t>5）参加采购活动前3年内，在经营活动中没有重大违法记录：提供《资格条件承诺函》（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采购包1（东城街道2026年虫媒应急消杀服务项目）：</w:t>
      </w:r>
      <w:r>
        <w:rPr/>
        <w:t>采购包整体专门面向中小企业采购。中小企业须符合本项目采购标的对应行业（其他未列明行业）的政策划分标准。注：1、供应商投标时应提供《中小企业声明函（工程、服务）》。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 注：分支机构投标的，若适用政府采购扶持政策（如中小企业、残疾人福利性单位或监狱企业等），应当提供总公司的《中小企业声明函（工程、服务）》（或《残疾人福利性单位声明函》或属于监狱企业的证明文件）。</w:t>
      </w:r>
    </w:p>
    <w:p>
      <w:pPr>
        <w:pStyle w:val="null3"/>
        <w:outlineLvl w:val="3"/>
      </w:pPr>
      <w:r>
        <w:rPr>
          <w:sz w:val="24"/>
          <w:b/>
        </w:rPr>
        <w:t>3.本项目特定的资格要求：</w:t>
      </w:r>
    </w:p>
    <w:p>
      <w:pPr>
        <w:pStyle w:val="null3"/>
      </w:pPr>
      <w:r>
        <w:rPr/>
        <w:t>采购包1（东城街道2026年虫媒应急消杀服务项目）：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提供《投标函》（详见投标文件格式）。</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东莞市东城公用事业服务中心</w:t>
      </w:r>
    </w:p>
    <w:p>
      <w:pPr>
        <w:pStyle w:val="null3"/>
        <w:ind w:firstLine="480"/>
      </w:pPr>
      <w:r>
        <w:rPr/>
        <w:t xml:space="preserve"> 地址：</w:t>
      </w:r>
      <w:r>
        <w:rPr/>
        <w:t>广东省东莞市东城街道东城路东城段561号东城街道办事处3号楼4楼</w:t>
      </w:r>
    </w:p>
    <w:p>
      <w:pPr>
        <w:pStyle w:val="null3"/>
        <w:ind w:firstLine="480"/>
      </w:pPr>
      <w:r>
        <w:rPr/>
        <w:t xml:space="preserve"> 联系方式：</w:t>
      </w:r>
      <w:r>
        <w:rPr/>
        <w:t>0769-22328100</w:t>
      </w:r>
    </w:p>
    <w:p>
      <w:pPr>
        <w:pStyle w:val="null3"/>
        <w:outlineLvl w:val="3"/>
      </w:pPr>
      <w:r>
        <w:rPr>
          <w:sz w:val="24"/>
          <w:b/>
        </w:rPr>
        <w:t xml:space="preserve"> 2.采购代理机构信息</w:t>
      </w:r>
    </w:p>
    <w:p>
      <w:pPr>
        <w:pStyle w:val="null3"/>
        <w:ind w:firstLine="480"/>
      </w:pPr>
      <w:r>
        <w:rPr/>
        <w:t xml:space="preserve"> 名称：</w:t>
      </w:r>
      <w:r>
        <w:rPr/>
        <w:t>中诚（广东）项目管理咨询有限公司</w:t>
      </w:r>
    </w:p>
    <w:p>
      <w:pPr>
        <w:pStyle w:val="null3"/>
        <w:ind w:firstLine="480"/>
      </w:pPr>
      <w:r>
        <w:rPr/>
        <w:t xml:space="preserve"> 地址：</w:t>
      </w:r>
      <w:r>
        <w:rPr/>
        <w:t>东莞市东城街道东城路东城段577号御景大厦1栋206室09</w:t>
      </w:r>
    </w:p>
    <w:p>
      <w:pPr>
        <w:pStyle w:val="null3"/>
        <w:ind w:firstLine="480"/>
      </w:pPr>
      <w:r>
        <w:rPr/>
        <w:t xml:space="preserve"> 联系方式：</w:t>
      </w:r>
      <w:r>
        <w:rPr/>
        <w:t>0769-21661653</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0769-21661653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中诚（广东）项目管理咨询有限公司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应急队伍严格遵照市、镇疾控部门及防控专班工作部署，对东城街道辖区蚊媒密度偏高区域、登革热和基孔肯雅热等</w:t>
      </w:r>
      <w:r>
        <w:rPr>
          <w:sz w:val="22"/>
        </w:rPr>
        <w:t>“两热” 病例涉疫区域（含病例核心范围、成蚊 BI 指数超标场所及虫害突出点位）及其他新发突发虫媒传染病防控需求的区域，组织开展专项消杀防控作业；快速降低成蚊密度，并现场指导并协助属地全面清理整治蚊虫孳生地，从源头筑牢蚊媒传染病防控防线。</w:t>
      </w:r>
    </w:p>
    <w:p>
      <w:pPr>
        <w:pStyle w:val="null3"/>
      </w:pPr>
      <w:r>
        <w:rPr/>
        <w:t>采购包1（东城街道2026年虫媒应急消杀服务项目）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合同签订生效后一年</w:t>
            </w:r>
          </w:p>
        </w:tc>
      </w:tr>
      <w:tr>
        <w:tc>
          <w:tcPr>
            <w:tcW w:type="dxa" w:w="4153"/>
          </w:tcPr>
          <w:p>
            <w:pPr>
              <w:pStyle w:val="null3"/>
            </w:pPr>
            <w:r>
              <w:rPr/>
              <w:t>标的提供的地点</w:t>
            </w:r>
          </w:p>
        </w:tc>
        <w:tc>
          <w:tcPr>
            <w:tcW w:type="dxa" w:w="4153"/>
          </w:tcPr>
          <w:p>
            <w:pPr>
              <w:pStyle w:val="null3"/>
            </w:pPr>
            <w:r>
              <w:rPr/>
              <w:t>采购人指定地点（东莞市东城街道辖区内公共环境）</w:t>
            </w:r>
          </w:p>
        </w:tc>
      </w:tr>
      <w:tr>
        <w:tc>
          <w:tcPr>
            <w:tcW w:type="dxa" w:w="4153"/>
          </w:tcPr>
          <w:p>
            <w:pPr>
              <w:pStyle w:val="null3"/>
            </w:pPr>
            <w:r>
              <w:rPr/>
              <w:t>付款方式</w:t>
            </w:r>
          </w:p>
        </w:tc>
        <w:tc>
          <w:tcPr>
            <w:tcW w:type="dxa" w:w="4153"/>
          </w:tcPr>
          <w:p>
            <w:pPr>
              <w:pStyle w:val="null3"/>
            </w:pPr>
            <w:r>
              <w:rPr/>
              <w:t>1期：支付比例100%,应急服务实行按半年（6个月）据实结算，结算计算公式：结算费用=中标单价×实际出勤人数×实际服务天数。若考核未达到合格分或发生服务违约行为，须从结算费用中扣除相应服务费及违约款项。服务每满半年（6个月），中标人向采购人提交该期服务记录表和有效发票申请结算，采购人收到发票并核实相关费用后结付该期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核心区和警戒区应在3天内将成蚊密度控制在安全水平（如双层叠帐法帐诱指数小于0.9只/顶•小时，人诱停落法低于2只/人•次，诱蚊诱卵指数低于5）。备注：若国家标准发生更新的，以最新标准为准。2.满足招标文件规定的其他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其他，1.投标人应对合同文本作出实质性响应。 2.本项目总预算202.50万元，服务费用单价最高限价900元/人/天，预估2250人次。</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投标报价说明</w:t>
            </w:r>
          </w:p>
        </w:tc>
        <w:tc>
          <w:tcPr>
            <w:tcW w:type="dxa" w:w="2076"/>
          </w:tcPr>
          <w:p>
            <w:pPr>
              <w:pStyle w:val="null3"/>
              <w:jc w:val="left"/>
            </w:pPr>
            <w:r>
              <w:rPr/>
              <w:t>本项目报价形式为总价（投标总价=投标单价×2250）。该总价仅作为价格评审依据，不作为最终结算金额。投标单价不得超过服务费用单价最高限价（900元/人/天），投标总价不得超过预算总价（2,025,000.00元）。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东城街道2026年虫媒应急消杀服务项目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2,025,000.00</w:t>
            </w:r>
          </w:p>
        </w:tc>
        <w:tc>
          <w:tcPr>
            <w:tcW w:type="dxa" w:w="933"/>
          </w:tcPr>
          <w:p>
            <w:pPr>
              <w:pStyle w:val="null3"/>
              <w:jc w:val="right"/>
            </w:pPr>
            <w:r>
              <w:rPr/>
              <w:t>2,025,000.00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东城街道2026年虫媒应急消杀服务项目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b/>
              </w:rPr>
              <w:t>一、应急服务要求</w:t>
            </w:r>
          </w:p>
          <w:p>
            <w:pPr>
              <w:pStyle w:val="null3"/>
              <w:ind w:firstLine="440"/>
              <w:jc w:val="both"/>
            </w:pPr>
            <w:r>
              <w:rPr>
                <w:sz w:val="22"/>
              </w:rPr>
              <w:t>1、中标人应严格按照《登革热和基孔肯雅热防控方案（2026年版）》、《东莞市登革热、基孔肯雅热疫点应急消杀技术工作指引（试行）》等相关要求，迅速开展灭蚊作业，将蚊媒密度控制在安全管控范围。</w:t>
            </w:r>
          </w:p>
          <w:p>
            <w:pPr>
              <w:pStyle w:val="null3"/>
              <w:ind w:firstLine="440"/>
              <w:jc w:val="both"/>
            </w:pPr>
            <w:r>
              <w:rPr>
                <w:sz w:val="22"/>
              </w:rPr>
              <w:t>2、中标人负责辖区范围内登革热、基孔肯雅热疫点核心区的蚊媒应急处置工作，对蚊媒密度监测指数偏高区域及重点难点区域，按采购人要求开展消杀作业。</w:t>
            </w:r>
          </w:p>
          <w:p>
            <w:pPr>
              <w:pStyle w:val="null3"/>
              <w:ind w:firstLine="440"/>
              <w:jc w:val="both"/>
            </w:pPr>
            <w:r>
              <w:rPr>
                <w:sz w:val="22"/>
              </w:rPr>
              <w:t>3、中标人负责对疫点周边公共外环境开展病媒生物孳生地排查，作业前开展现场勘察；对无法自行处置的问题须登记造册，并及时向采购人书面上报。</w:t>
            </w:r>
          </w:p>
          <w:p>
            <w:pPr>
              <w:pStyle w:val="null3"/>
              <w:ind w:firstLine="440"/>
              <w:jc w:val="both"/>
            </w:pPr>
            <w:r>
              <w:rPr>
                <w:sz w:val="22"/>
              </w:rPr>
              <w:t>4、作业人员须严格遵守消杀技术操作规程，文明规范作业；每日作业完成后，如实填写蚊媒控制应急工作台账并及时上报采购人。</w:t>
            </w:r>
          </w:p>
          <w:p>
            <w:pPr>
              <w:pStyle w:val="null3"/>
              <w:ind w:firstLine="440"/>
              <w:jc w:val="both"/>
            </w:pPr>
            <w:r>
              <w:rPr>
                <w:sz w:val="22"/>
              </w:rPr>
              <w:t>5、中标人应主动向采购人提出合理化建议，指导开展积水清理、蚊虫防控等日常巩固工作。</w:t>
            </w:r>
          </w:p>
          <w:p>
            <w:pPr>
              <w:pStyle w:val="null3"/>
              <w:ind w:firstLine="440"/>
              <w:jc w:val="both"/>
            </w:pPr>
            <w:r>
              <w:rPr>
                <w:sz w:val="22"/>
              </w:rPr>
              <w:t>6、中标人应规范使用消杀药品，保障用药效果与作业安全；对需重点防护的部位和环节，应提前告知采购人并落实有效防护措施。</w:t>
            </w:r>
          </w:p>
          <w:p>
            <w:pPr>
              <w:pStyle w:val="null3"/>
              <w:ind w:firstLine="440"/>
              <w:jc w:val="both"/>
            </w:pPr>
            <w:r>
              <w:rPr>
                <w:sz w:val="22"/>
              </w:rPr>
              <w:t>7、如遇特殊情况或发生蚊媒传染病相关疫情，中标人应根据防控专班意见启动应急消杀，服务费用结算时以中标单价为准，费用包含人员工资、消杀设备及机具折旧、防控药品、交通运输、保险、食宿、物料消耗、管理费、各项税费及实施过程中其他不可预见费用。</w:t>
            </w:r>
          </w:p>
          <w:p>
            <w:pPr>
              <w:pStyle w:val="null3"/>
              <w:ind w:firstLine="440"/>
              <w:jc w:val="both"/>
            </w:pPr>
            <w:r>
              <w:rPr>
                <w:sz w:val="22"/>
              </w:rPr>
              <w:t>8、应急服务根据疫情形势动态调整，本项目应急队伍储备人员24人（常态下至少12人），工作天数按实际需求确定，服务费用按实际完成情况结算。</w:t>
            </w:r>
          </w:p>
          <w:p>
            <w:pPr>
              <w:pStyle w:val="null3"/>
              <w:ind w:firstLine="440"/>
              <w:jc w:val="both"/>
            </w:pPr>
            <w:r>
              <w:rPr>
                <w:sz w:val="22"/>
              </w:rPr>
              <w:t>9、由采购人组织安排供应商在疫点核心区内进行应急消杀（以实际指派任务及工作量为准），每次行动根据采购人实际情况安排，工作时间一般为每天7小时，早上7：00-10：00，15:00-19:00。</w:t>
            </w:r>
          </w:p>
          <w:p>
            <w:pPr>
              <w:pStyle w:val="null3"/>
              <w:ind w:firstLine="440"/>
              <w:jc w:val="both"/>
            </w:pPr>
            <w:r>
              <w:rPr>
                <w:sz w:val="22"/>
              </w:rPr>
              <w:t>10、应急队伍遵循“15分钟响应、1小时抵达、2小时展开”的快速处置标准。每个病例区域投入不少于12名经专业认证的应急队员，全员配备标准化的专业消杀设备与足量应急药品器械，确保抵达现场即可投入工作。</w:t>
            </w:r>
          </w:p>
          <w:p>
            <w:pPr>
              <w:pStyle w:val="null3"/>
              <w:ind w:firstLine="440"/>
              <w:jc w:val="both"/>
            </w:pPr>
            <w:r>
              <w:rPr>
                <w:sz w:val="22"/>
              </w:rPr>
              <w:t>11、处置实行“一疫点一策”，将根据病例区域具体环境类型（如物业小区、建筑工地、公园水体、城中村居民楼等），在市级指引框架下，定制包含药品科学选择（实施轮换用药，规避抗药性）、施药技术、重点靶位的个性化处置方案，按需投入使用无人机等设备，确保精准消杀，提升效能、减少环境影响。</w:t>
            </w:r>
          </w:p>
          <w:p>
            <w:pPr>
              <w:pStyle w:val="null3"/>
              <w:ind w:firstLine="440"/>
              <w:jc w:val="both"/>
            </w:pPr>
            <w:r>
              <w:rPr>
                <w:sz w:val="22"/>
              </w:rPr>
              <w:t>12、处置工作严格遵循《东莞市基孔肯雅热疫情应急处置工作指引》，执行“1113”快速处置机制：第1时间划定风险区域，启动紧急消杀；第1时间完成核心区入户排查与处置；1天内实现核心区与警戒区成蚊灭杀全覆盖；3天内通过持续监测与消杀，将蚊媒密度控制在安全范围。</w:t>
            </w:r>
          </w:p>
          <w:p>
            <w:pPr>
              <w:pStyle w:val="null3"/>
              <w:ind w:firstLine="440"/>
              <w:jc w:val="both"/>
            </w:pPr>
            <w:r>
              <w:rPr>
                <w:sz w:val="22"/>
              </w:rPr>
              <w:t>13、供应商自行负责消杀服务队伍的办公场所和员工培训，并应保证各项业务工作顺利实施。</w:t>
            </w:r>
          </w:p>
          <w:p>
            <w:pPr>
              <w:pStyle w:val="null3"/>
              <w:ind w:firstLine="440"/>
              <w:jc w:val="both"/>
            </w:pPr>
            <w:r>
              <w:rPr>
                <w:sz w:val="22"/>
              </w:rPr>
              <w:t>14、采购人安排专人督导消杀服务队伍，供应商合理安排工作，每次消杀要记录消杀服务队伍的人员情况和药械的使用情况，并组织安排质控考核评估工作。</w:t>
            </w:r>
          </w:p>
          <w:p>
            <w:pPr>
              <w:pStyle w:val="null3"/>
              <w:ind w:firstLine="440"/>
              <w:jc w:val="both"/>
            </w:pPr>
            <w:r>
              <w:rPr>
                <w:sz w:val="22"/>
              </w:rPr>
              <w:t>15、在服务期间每天工作结束后要做好蚊媒控制应急消杀工作台账，内容包括消杀日期、消杀起止时间、消杀区域、使用器械、药物名称/成分、药物剂型、药物浓度、药物稀释倍数、药物用量、消杀面积（M2）或户数、施工人数、天气情况、消杀责任人。</w:t>
            </w:r>
          </w:p>
          <w:p>
            <w:pPr>
              <w:pStyle w:val="null3"/>
              <w:ind w:firstLine="442"/>
              <w:jc w:val="both"/>
            </w:pPr>
            <w:r>
              <w:rPr>
                <w:sz w:val="22"/>
                <w:b/>
              </w:rPr>
              <w:t>二、项目人员、设备配置、应急药物要求</w:t>
            </w:r>
          </w:p>
          <w:p>
            <w:pPr>
              <w:pStyle w:val="null3"/>
              <w:ind w:firstLine="442"/>
              <w:jc w:val="both"/>
            </w:pPr>
            <w:r>
              <w:rPr>
                <w:sz w:val="22"/>
                <w:b/>
              </w:rPr>
              <w:t>1、项目人员配置：</w:t>
            </w:r>
          </w:p>
          <w:p>
            <w:pPr>
              <w:pStyle w:val="null3"/>
              <w:ind w:firstLine="440"/>
              <w:jc w:val="both"/>
            </w:pPr>
            <w:r>
              <w:rPr>
                <w:sz w:val="22"/>
              </w:rPr>
              <w:t>蚊媒传染病应急消杀人员不得少于</w:t>
            </w:r>
            <w:r>
              <w:rPr>
                <w:sz w:val="22"/>
              </w:rPr>
              <w:t>12人且必须取得有害生物防制类证书。</w:t>
            </w:r>
          </w:p>
          <w:p>
            <w:pPr>
              <w:pStyle w:val="null3"/>
              <w:ind w:firstLine="442"/>
              <w:jc w:val="both"/>
            </w:pPr>
            <w:r>
              <w:rPr>
                <w:sz w:val="22"/>
                <w:b/>
              </w:rPr>
              <w:t>2、拟投入本项目必要的机械设备及数量</w:t>
            </w:r>
          </w:p>
          <w:tbl>
            <w:tblPr>
              <w:tblBorders>
                <w:top w:val="none" w:color="000000" w:sz="4"/>
                <w:left w:val="none" w:color="000000" w:sz="4"/>
                <w:bottom w:val="none" w:color="000000" w:sz="4"/>
                <w:right w:val="none" w:color="000000" w:sz="4"/>
                <w:insideH w:val="none"/>
                <w:insideV w:val="none"/>
              </w:tblBorders>
            </w:tblPr>
            <w:tblGrid>
              <w:gridCol w:w="474"/>
              <w:gridCol w:w="1072"/>
              <w:gridCol w:w="531"/>
              <w:gridCol w:w="3510"/>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3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工作车辆</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5辆</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车身尺寸：</w:t>
                  </w:r>
                  <w:r>
                    <w:rPr>
                      <w:sz w:val="22"/>
                    </w:rPr>
                    <w:t>4415×1665×1850mm</w:t>
                  </w:r>
                </w:p>
                <w:p>
                  <w:pPr>
                    <w:pStyle w:val="null3"/>
                    <w:jc w:val="left"/>
                  </w:pPr>
                  <w:r>
                    <w:rPr>
                      <w:sz w:val="22"/>
                    </w:rPr>
                    <w:t>轴距：</w:t>
                  </w:r>
                  <w:r>
                    <w:rPr>
                      <w:sz w:val="22"/>
                    </w:rPr>
                    <w:t>2720mm</w:t>
                  </w:r>
                </w:p>
                <w:p>
                  <w:pPr>
                    <w:pStyle w:val="null3"/>
                    <w:jc w:val="left"/>
                  </w:pPr>
                  <w:r>
                    <w:rPr>
                      <w:sz w:val="22"/>
                    </w:rPr>
                    <w:t>货厢空间座椅折叠后最大</w:t>
                  </w:r>
                  <w:r>
                    <w:rPr>
                      <w:sz w:val="22"/>
                    </w:rPr>
                    <w:t>4300L</w:t>
                  </w:r>
                  <w:r>
                    <w:rPr>
                      <w:sz w:val="22"/>
                    </w:rPr>
                    <w:t>，净高</w:t>
                  </w:r>
                  <w:r>
                    <w:rPr>
                      <w:sz w:val="22"/>
                    </w:rPr>
                    <w:t xml:space="preserve"> 1824mm</w:t>
                  </w:r>
                </w:p>
                <w:p>
                  <w:pPr>
                    <w:pStyle w:val="null3"/>
                    <w:jc w:val="left"/>
                  </w:pPr>
                  <w:r>
                    <w:rPr>
                      <w:sz w:val="22"/>
                    </w:rPr>
                    <w:t>最大允许总质量：</w:t>
                  </w:r>
                  <w:r>
                    <w:rPr>
                      <w:sz w:val="22"/>
                    </w:rPr>
                    <w:t>1825kg</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热烟雾机</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10台</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药箱容积：</w:t>
                  </w:r>
                  <w:r>
                    <w:rPr>
                      <w:sz w:val="22"/>
                    </w:rPr>
                    <w:t>5L</w:t>
                  </w:r>
                </w:p>
                <w:p>
                  <w:pPr>
                    <w:pStyle w:val="null3"/>
                    <w:jc w:val="left"/>
                  </w:pPr>
                  <w:r>
                    <w:rPr>
                      <w:sz w:val="22"/>
                    </w:rPr>
                    <w:t>油箱容积：</w:t>
                  </w:r>
                  <w:r>
                    <w:rPr>
                      <w:sz w:val="22"/>
                    </w:rPr>
                    <w:t>1.5L</w:t>
                  </w:r>
                </w:p>
                <w:p>
                  <w:pPr>
                    <w:pStyle w:val="null3"/>
                    <w:jc w:val="left"/>
                  </w:pPr>
                  <w:r>
                    <w:rPr>
                      <w:sz w:val="22"/>
                    </w:rPr>
                    <w:t>药液输出量：</w:t>
                  </w:r>
                  <w:r>
                    <w:rPr>
                      <w:sz w:val="22"/>
                    </w:rPr>
                    <w:t>8~42L/h</w:t>
                  </w:r>
                  <w:r>
                    <w:rPr>
                      <w:sz w:val="22"/>
                    </w:rPr>
                    <w:t>（可调）</w:t>
                  </w:r>
                </w:p>
                <w:p>
                  <w:pPr>
                    <w:pStyle w:val="null3"/>
                    <w:jc w:val="left"/>
                  </w:pPr>
                  <w:r>
                    <w:rPr>
                      <w:sz w:val="22"/>
                    </w:rPr>
                    <w:t>燃料类型：</w:t>
                  </w:r>
                  <w:r>
                    <w:rPr>
                      <w:sz w:val="22"/>
                    </w:rPr>
                    <w:t xml:space="preserve">90# </w:t>
                  </w:r>
                  <w:r>
                    <w:rPr>
                      <w:sz w:val="22"/>
                    </w:rPr>
                    <w:t>及以上汽油</w:t>
                  </w:r>
                </w:p>
                <w:p>
                  <w:pPr>
                    <w:pStyle w:val="null3"/>
                    <w:jc w:val="left"/>
                  </w:pPr>
                  <w:r>
                    <w:rPr>
                      <w:sz w:val="22"/>
                    </w:rPr>
                    <w:t>耗油量：约</w:t>
                  </w:r>
                  <w:r>
                    <w:rPr>
                      <w:sz w:val="22"/>
                    </w:rPr>
                    <w:t xml:space="preserve"> 1.5L/h</w:t>
                  </w:r>
                </w:p>
                <w:p>
                  <w:pPr>
                    <w:pStyle w:val="null3"/>
                    <w:jc w:val="left"/>
                  </w:pPr>
                  <w:r>
                    <w:rPr>
                      <w:sz w:val="22"/>
                    </w:rPr>
                    <w:t>燃烧室功率：</w:t>
                  </w:r>
                  <w:r>
                    <w:rPr>
                      <w:sz w:val="22"/>
                    </w:rPr>
                    <w:t>4kW</w:t>
                  </w:r>
                  <w:r>
                    <w:rPr>
                      <w:sz w:val="22"/>
                    </w:rPr>
                    <w:t>（</w:t>
                  </w:r>
                  <w:r>
                    <w:rPr>
                      <w:sz w:val="22"/>
                    </w:rPr>
                    <w:t xml:space="preserve">5.44 </w:t>
                  </w:r>
                  <w:r>
                    <w:rPr>
                      <w:sz w:val="22"/>
                    </w:rPr>
                    <w:t>马力）</w:t>
                  </w:r>
                </w:p>
                <w:p>
                  <w:pPr>
                    <w:pStyle w:val="null3"/>
                    <w:jc w:val="left"/>
                  </w:pPr>
                  <w:r>
                    <w:rPr>
                      <w:sz w:val="22"/>
                    </w:rPr>
                    <w:t>雾滴粒径：</w:t>
                  </w:r>
                  <w:r>
                    <w:rPr>
                      <w:sz w:val="22"/>
                    </w:rPr>
                    <w:t>1~50μm</w:t>
                  </w:r>
                  <w:r>
                    <w:rPr>
                      <w:sz w:val="22"/>
                    </w:rPr>
                    <w:t>（烟雾模式），可形成稳定弥漫性烟雾</w:t>
                  </w:r>
                </w:p>
                <w:p>
                  <w:pPr>
                    <w:pStyle w:val="null3"/>
                    <w:jc w:val="left"/>
                  </w:pPr>
                  <w:r>
                    <w:rPr>
                      <w:sz w:val="22"/>
                    </w:rPr>
                    <w:t>喷射距离：静风条件下：烟雾射程</w:t>
                  </w:r>
                  <w:r>
                    <w:rPr>
                      <w:sz w:val="22"/>
                    </w:rPr>
                    <w:t>≥20m</w:t>
                  </w:r>
                  <w:r>
                    <w:rPr>
                      <w:sz w:val="22"/>
                    </w:rPr>
                    <w:t>，水雾射程</w:t>
                  </w:r>
                  <w:r>
                    <w:rPr>
                      <w:sz w:val="22"/>
                    </w:rPr>
                    <w:t>≥10m</w:t>
                  </w:r>
                </w:p>
                <w:p>
                  <w:pPr>
                    <w:pStyle w:val="null3"/>
                    <w:jc w:val="left"/>
                  </w:pPr>
                  <w:r>
                    <w:rPr>
                      <w:sz w:val="22"/>
                    </w:rPr>
                    <w:t>启动方式：干电池电子点火（</w:t>
                  </w:r>
                  <w:r>
                    <w:rPr>
                      <w:sz w:val="22"/>
                    </w:rPr>
                    <w:t xml:space="preserve">1.5V×2~4 </w:t>
                  </w:r>
                  <w:r>
                    <w:rPr>
                      <w:sz w:val="22"/>
                    </w:rPr>
                    <w:t>节</w:t>
                  </w:r>
                  <w:r>
                    <w:rPr>
                      <w:sz w:val="22"/>
                    </w:rPr>
                    <w:t xml:space="preserve"> 1 </w:t>
                  </w:r>
                  <w:r>
                    <w:rPr>
                      <w:sz w:val="22"/>
                    </w:rPr>
                    <w:t>号电池）</w:t>
                  </w:r>
                </w:p>
                <w:p>
                  <w:pPr>
                    <w:pStyle w:val="null3"/>
                    <w:jc w:val="left"/>
                  </w:pPr>
                  <w:r>
                    <w:rPr>
                      <w:sz w:val="22"/>
                    </w:rPr>
                    <w:t>整机重量：约</w:t>
                  </w:r>
                  <w:r>
                    <w:rPr>
                      <w:sz w:val="22"/>
                    </w:rPr>
                    <w:t xml:space="preserve"> 7.9~8kg</w:t>
                  </w:r>
                </w:p>
                <w:p>
                  <w:pPr>
                    <w:pStyle w:val="null3"/>
                    <w:jc w:val="left"/>
                  </w:pPr>
                  <w:r>
                    <w:rPr>
                      <w:sz w:val="22"/>
                    </w:rPr>
                    <w:t>外形尺寸：</w:t>
                  </w:r>
                  <w:r>
                    <w:rPr>
                      <w:sz w:val="22"/>
                    </w:rPr>
                    <w:t>1440×270×315mm</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常量喷雾机</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20台</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药箱容量：</w:t>
                  </w:r>
                  <w:r>
                    <w:rPr>
                      <w:sz w:val="22"/>
                    </w:rPr>
                    <w:t>18L</w:t>
                  </w:r>
                </w:p>
                <w:p>
                  <w:pPr>
                    <w:pStyle w:val="null3"/>
                    <w:jc w:val="left"/>
                  </w:pPr>
                  <w:r>
                    <w:rPr>
                      <w:sz w:val="22"/>
                    </w:rPr>
                    <w:t>工作压力：</w:t>
                  </w:r>
                  <w:r>
                    <w:rPr>
                      <w:sz w:val="22"/>
                    </w:rPr>
                    <w:t>0.2~0.4MPa</w:t>
                  </w:r>
                  <w:r>
                    <w:rPr>
                      <w:sz w:val="22"/>
                    </w:rPr>
                    <w:t>可调</w:t>
                  </w:r>
                </w:p>
                <w:p>
                  <w:pPr>
                    <w:pStyle w:val="null3"/>
                    <w:jc w:val="left"/>
                  </w:pPr>
                  <w:r>
                    <w:rPr>
                      <w:sz w:val="22"/>
                    </w:rPr>
                    <w:t>雾滴粒径：</w:t>
                  </w:r>
                  <w:r>
                    <w:rPr>
                      <w:sz w:val="22"/>
                    </w:rPr>
                    <w:t>150-300μm</w:t>
                  </w:r>
                </w:p>
                <w:p>
                  <w:pPr>
                    <w:pStyle w:val="null3"/>
                    <w:jc w:val="left"/>
                  </w:pPr>
                  <w:r>
                    <w:rPr>
                      <w:sz w:val="22"/>
                    </w:rPr>
                    <w:t>动力类型：直流电动（</w:t>
                  </w:r>
                  <w:r>
                    <w:rPr>
                      <w:sz w:val="22"/>
                    </w:rPr>
                    <w:t>12V</w:t>
                  </w:r>
                  <w:r>
                    <w:rPr>
                      <w:sz w:val="22"/>
                    </w:rPr>
                    <w:t>铅酸</w:t>
                  </w:r>
                  <w:r>
                    <w:rPr>
                      <w:sz w:val="22"/>
                    </w:rPr>
                    <w:t>/</w:t>
                  </w:r>
                  <w:r>
                    <w:rPr>
                      <w:sz w:val="22"/>
                    </w:rPr>
                    <w:t>锂电池）</w:t>
                  </w:r>
                </w:p>
                <w:p>
                  <w:pPr>
                    <w:pStyle w:val="null3"/>
                    <w:jc w:val="left"/>
                  </w:pPr>
                  <w:r>
                    <w:rPr>
                      <w:sz w:val="22"/>
                    </w:rPr>
                    <w:t>续航时间：连续工作</w:t>
                  </w:r>
                  <w:r>
                    <w:rPr>
                      <w:sz w:val="22"/>
                    </w:rPr>
                    <w:t>≥4-6</w:t>
                  </w:r>
                  <w:r>
                    <w:rPr>
                      <w:sz w:val="22"/>
                    </w:rPr>
                    <w:t>小时</w:t>
                  </w:r>
                </w:p>
                <w:p>
                  <w:pPr>
                    <w:pStyle w:val="null3"/>
                    <w:jc w:val="left"/>
                  </w:pPr>
                  <w:r>
                    <w:rPr>
                      <w:sz w:val="22"/>
                    </w:rPr>
                    <w:t>整机重量：约</w:t>
                  </w:r>
                  <w:r>
                    <w:rPr>
                      <w:sz w:val="22"/>
                    </w:rPr>
                    <w:t>4-6kg</w:t>
                  </w:r>
                  <w:r>
                    <w:rPr>
                      <w:sz w:val="22"/>
                    </w:rPr>
                    <w:t>（不含药液）</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绿篱超低多功能喷雾器</w:t>
                  </w:r>
                </w:p>
                <w:p>
                  <w:pPr>
                    <w:pStyle w:val="null3"/>
                    <w:jc w:val="center"/>
                  </w:pPr>
                  <w:r>
                    <w:rPr>
                      <w:sz w:val="22"/>
                    </w:rPr>
                    <w:t>（电动背负式）</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20台</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1.喷雾压力≥0.6MPa，雾滴粒径10-50um，有效喷幅6—8米。</w:t>
                  </w:r>
                </w:p>
                <w:p>
                  <w:pPr>
                    <w:pStyle w:val="null3"/>
                    <w:jc w:val="left"/>
                  </w:pPr>
                  <w:r>
                    <w:rPr>
                      <w:sz w:val="22"/>
                    </w:rPr>
                    <w:t>2.绿篱喷头流量≥  110ml/min，超低喷头流量≥40ml/min。</w:t>
                  </w:r>
                </w:p>
                <w:p>
                  <w:pPr>
                    <w:pStyle w:val="null3"/>
                    <w:jc w:val="left"/>
                  </w:pPr>
                  <w:r>
                    <w:rPr>
                      <w:sz w:val="19"/>
                    </w:rPr>
                    <w:t xml:space="preserve"> </w:t>
                  </w:r>
                </w:p>
                <w:p>
                  <w:pPr>
                    <w:pStyle w:val="null3"/>
                    <w:jc w:val="left"/>
                  </w:pPr>
                  <w:r>
                    <w:rPr>
                      <w:sz w:val="22"/>
                    </w:rPr>
                    <w:t>3.壶体容积≥10L，整机净重≥7KG.</w:t>
                  </w:r>
                </w:p>
                <w:p>
                  <w:pPr>
                    <w:pStyle w:val="null3"/>
                    <w:jc w:val="left"/>
                  </w:pPr>
                  <w:r>
                    <w:rPr>
                      <w:sz w:val="22"/>
                    </w:rPr>
                    <w:t>4.大容量锂电池≥21V，续航时间≥2.5小时</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背负式超低容量喷雾机</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10台</w:t>
                  </w:r>
                </w:p>
              </w:tc>
              <w:tc>
                <w:tcPr>
                  <w:tcW w:type="dxa" w:w="3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油箱容量：</w:t>
                  </w:r>
                  <w:r>
                    <w:rPr>
                      <w:sz w:val="22"/>
                    </w:rPr>
                    <w:t>1公升</w:t>
                  </w:r>
                </w:p>
                <w:p>
                  <w:pPr>
                    <w:pStyle w:val="null3"/>
                    <w:jc w:val="left"/>
                  </w:pPr>
                  <w:r>
                    <w:rPr>
                      <w:sz w:val="22"/>
                    </w:rPr>
                    <w:t>药箱容量：</w:t>
                  </w:r>
                  <w:r>
                    <w:rPr>
                      <w:sz w:val="22"/>
                    </w:rPr>
                    <w:t>2.5公升</w:t>
                  </w:r>
                </w:p>
                <w:p>
                  <w:pPr>
                    <w:pStyle w:val="null3"/>
                    <w:jc w:val="left"/>
                  </w:pPr>
                  <w:r>
                    <w:rPr>
                      <w:sz w:val="22"/>
                    </w:rPr>
                    <w:t>压力：</w:t>
                  </w:r>
                  <w:r>
                    <w:rPr>
                      <w:sz w:val="22"/>
                    </w:rPr>
                    <w:t>0.52帕</w:t>
                  </w:r>
                </w:p>
                <w:p>
                  <w:pPr>
                    <w:pStyle w:val="null3"/>
                    <w:jc w:val="left"/>
                  </w:pPr>
                  <w:r>
                    <w:rPr>
                      <w:sz w:val="22"/>
                    </w:rPr>
                    <w:t>雾粒：</w:t>
                  </w:r>
                  <w:r>
                    <w:rPr>
                      <w:sz w:val="22"/>
                    </w:rPr>
                    <w:t>2-20微米射程：室内8米，户外14米</w:t>
                  </w:r>
                </w:p>
                <w:p>
                  <w:pPr>
                    <w:pStyle w:val="null3"/>
                    <w:jc w:val="left"/>
                  </w:pPr>
                  <w:r>
                    <w:rPr>
                      <w:sz w:val="22"/>
                    </w:rPr>
                    <w:t>(风速0.2米/秒)</w:t>
                  </w:r>
                </w:p>
                <w:p>
                  <w:pPr>
                    <w:pStyle w:val="null3"/>
                    <w:jc w:val="left"/>
                  </w:pPr>
                  <w:r>
                    <w:rPr>
                      <w:sz w:val="22"/>
                    </w:rPr>
                    <w:t>输出量：</w:t>
                  </w:r>
                  <w:r>
                    <w:rPr>
                      <w:sz w:val="22"/>
                    </w:rPr>
                    <w:t>NO.1   1.0公升/小时</w:t>
                  </w:r>
                </w:p>
                <w:p>
                  <w:pPr>
                    <w:pStyle w:val="null3"/>
                    <w:jc w:val="left"/>
                  </w:pPr>
                  <w:r>
                    <w:rPr>
                      <w:sz w:val="22"/>
                    </w:rPr>
                    <w:t>NO.2   2.0公升/小时</w:t>
                  </w:r>
                </w:p>
                <w:p>
                  <w:pPr>
                    <w:pStyle w:val="null3"/>
                    <w:jc w:val="left"/>
                  </w:pPr>
                  <w:r>
                    <w:rPr>
                      <w:sz w:val="22"/>
                    </w:rPr>
                    <w:t>NO.3   3.0公升/小时</w:t>
                  </w:r>
                </w:p>
                <w:p>
                  <w:pPr>
                    <w:pStyle w:val="null3"/>
                    <w:jc w:val="left"/>
                  </w:pPr>
                  <w:r>
                    <w:rPr>
                      <w:sz w:val="22"/>
                    </w:rPr>
                    <w:t>外形尺寸：</w:t>
                  </w:r>
                  <w:r>
                    <w:rPr>
                      <w:sz w:val="22"/>
                    </w:rPr>
                    <w:t>40×47×49.5厘米</w:t>
                  </w:r>
                </w:p>
                <w:p>
                  <w:pPr>
                    <w:pStyle w:val="null3"/>
                    <w:jc w:val="left"/>
                  </w:pPr>
                  <w:r>
                    <w:rPr>
                      <w:sz w:val="22"/>
                    </w:rPr>
                    <w:t>重量：</w:t>
                  </w:r>
                  <w:r>
                    <w:rPr>
                      <w:sz w:val="22"/>
                    </w:rPr>
                    <w:t>12公斤</w:t>
                  </w:r>
                </w:p>
                <w:p>
                  <w:pPr>
                    <w:pStyle w:val="null3"/>
                    <w:jc w:val="left"/>
                  </w:pPr>
                  <w:r>
                    <w:rPr>
                      <w:sz w:val="22"/>
                    </w:rPr>
                    <w:t>机油：</w:t>
                  </w:r>
                  <w:r>
                    <w:rPr>
                      <w:sz w:val="22"/>
                    </w:rPr>
                    <w:t>2冲程机油</w:t>
                  </w:r>
                </w:p>
                <w:p>
                  <w:pPr>
                    <w:pStyle w:val="null3"/>
                    <w:jc w:val="left"/>
                  </w:pPr>
                  <w:r>
                    <w:rPr>
                      <w:sz w:val="22"/>
                    </w:rPr>
                    <w:t>点火</w:t>
                  </w:r>
                  <w:r>
                    <w:rPr>
                      <w:sz w:val="22"/>
                    </w:rPr>
                    <w:t>/启动：电子，磁动/离心手拉式转动</w:t>
                  </w:r>
                </w:p>
              </w:tc>
            </w:tr>
          </w:tbl>
          <w:p>
            <w:pPr>
              <w:pStyle w:val="null3"/>
              <w:ind w:firstLine="440"/>
              <w:jc w:val="both"/>
            </w:pPr>
            <w:r>
              <w:rPr>
                <w:sz w:val="22"/>
              </w:rPr>
              <w:t>1）本项目的设备、车辆在合同签订后7天内要经采购人验收认定，要求出具证明该批设备为中标人的发票或租赁凭证。如数量不符，则作违约处理，采购人有权解除合同，取消中标人中标资格。</w:t>
            </w:r>
          </w:p>
          <w:p>
            <w:pPr>
              <w:pStyle w:val="null3"/>
              <w:ind w:firstLine="440"/>
              <w:jc w:val="both"/>
            </w:pPr>
            <w:r>
              <w:rPr>
                <w:sz w:val="22"/>
              </w:rPr>
              <w:t>2）实际进场的项目工作人员必须与投标中列明的人员数量相符，每少1个人在每月考核评分中扣1分。</w:t>
            </w:r>
          </w:p>
          <w:p>
            <w:pPr>
              <w:pStyle w:val="null3"/>
              <w:ind w:firstLine="440"/>
              <w:jc w:val="both"/>
            </w:pPr>
            <w:r>
              <w:rPr>
                <w:sz w:val="22"/>
              </w:rPr>
              <w:t>3）所使用设备、车辆须做好维护保养，保持外观整洁。</w:t>
            </w:r>
          </w:p>
          <w:p>
            <w:pPr>
              <w:pStyle w:val="null3"/>
              <w:ind w:firstLine="442"/>
              <w:jc w:val="both"/>
            </w:pPr>
            <w:r>
              <w:rPr>
                <w:sz w:val="22"/>
                <w:b/>
              </w:rPr>
              <w:t>3、应急药物要求：</w:t>
            </w:r>
          </w:p>
          <w:p>
            <w:pPr>
              <w:pStyle w:val="null3"/>
              <w:ind w:firstLine="440"/>
              <w:jc w:val="both"/>
            </w:pPr>
            <w:r>
              <w:rPr>
                <w:sz w:val="22"/>
              </w:rPr>
              <w:t>用药标准：中标人必须注重科学合理用药，使用的药物、器械必须符合国家的相关规定，禁止使用违禁药品，确保病媒生物控制达到</w:t>
            </w:r>
            <w:r>
              <w:rPr>
                <w:sz w:val="22"/>
              </w:rPr>
              <w:t>“安全、高效、环保”的要求，中标单位应按市疾控中心年度抗药性监测结果，在附表药品内动态调整、轮换用药。如药物使用不当引起人畜中毒或其他责任事故的，中标人应承担责任。</w:t>
            </w:r>
          </w:p>
          <w:tbl>
            <w:tblPr>
              <w:tblBorders>
                <w:top w:val="none" w:color="000000" w:sz="4"/>
                <w:left w:val="none" w:color="000000" w:sz="4"/>
                <w:bottom w:val="none" w:color="000000" w:sz="4"/>
                <w:right w:val="none" w:color="000000" w:sz="4"/>
                <w:insideH w:val="none"/>
                <w:insideV w:val="none"/>
              </w:tblBorders>
            </w:tblPr>
            <w:tblGrid>
              <w:gridCol w:w="581"/>
              <w:gridCol w:w="1143"/>
              <w:gridCol w:w="1931"/>
              <w:gridCol w:w="768"/>
              <w:gridCol w:w="1143"/>
            </w:tblGrid>
            <w:tr>
              <w:tc>
                <w:tcPr>
                  <w:tcW w:type="dxa" w:w="58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4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药品名称</w:t>
                  </w:r>
                </w:p>
              </w:tc>
              <w:tc>
                <w:tcPr>
                  <w:tcW w:type="dxa" w:w="193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有效成份含量</w:t>
                  </w:r>
                </w:p>
              </w:tc>
              <w:tc>
                <w:tcPr>
                  <w:tcW w:type="dxa" w:w="768"/>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剂型</w:t>
                  </w:r>
                </w:p>
              </w:tc>
              <w:tc>
                <w:tcPr>
                  <w:tcW w:type="dxa" w:w="1143"/>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b/>
                    </w:rPr>
                    <w:t>说明</w:t>
                  </w: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杀虫颗粒剂</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有机磷类或菊酯类制剂，总有效成分</w:t>
                  </w:r>
                  <w:r>
                    <w:rPr>
                      <w:sz w:val="22"/>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颗粒剂</w:t>
                  </w:r>
                </w:p>
              </w:tc>
              <w:tc>
                <w:tcPr>
                  <w:tcW w:type="dxa" w:w="11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化学水体灭蚊幼虫</w:t>
                  </w: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苏云金杆菌悬浮剂</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苏云金杆菌</w:t>
                  </w:r>
                  <w:r>
                    <w:rPr>
                      <w:sz w:val="22"/>
                    </w:rPr>
                    <w:t>(以色列亚种)≥400ITU/毫克</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悬浮剂</w:t>
                  </w:r>
                </w:p>
              </w:tc>
              <w:tc>
                <w:tcPr>
                  <w:tcW w:type="dxa" w:w="11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生物水体灭蚊幼虫</w:t>
                  </w: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杀虫热雾剂</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菊酯类混配剂，总有效成分</w:t>
                  </w:r>
                  <w:r>
                    <w:rPr>
                      <w:sz w:val="22"/>
                    </w:rPr>
                    <w:t>≥2.5%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热雾剂</w:t>
                  </w:r>
                </w:p>
              </w:tc>
              <w:tc>
                <w:tcPr>
                  <w:tcW w:type="dxa" w:w="11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烟熏下水道灭蚊、蟑。</w:t>
                  </w: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四氟醚菊酯</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四氟醚菊酯混配剂，总有效成分</w:t>
                  </w:r>
                  <w:r>
                    <w:rPr>
                      <w:sz w:val="22"/>
                    </w:rPr>
                    <w:t>≥3.5%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乳油或水乳剂</w:t>
                  </w:r>
                </w:p>
              </w:tc>
              <w:tc>
                <w:tcPr>
                  <w:tcW w:type="dxa" w:w="1143"/>
                  <w:vMerge w:val="restart"/>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超低容量控制蚊、蝇密度。</w:t>
                  </w: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联苯菊酯</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联苯菊酯</w:t>
                  </w:r>
                  <w:r>
                    <w:rPr>
                      <w:sz w:val="22"/>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水乳剂</w:t>
                  </w:r>
                </w:p>
              </w:tc>
              <w:tc>
                <w:tcPr>
                  <w:tcW w:type="dxa" w:w="1143"/>
                  <w:vMerge/>
                  <w:tcBorders>
                    <w:top w:val="none" w:color="000000" w:sz="4"/>
                    <w:left w:val="none" w:color="000000" w:sz="4"/>
                    <w:bottom w:val="single" w:color="000000" w:sz="4"/>
                    <w:right w:val="single" w:color="000000" w:sz="8"/>
                  </w:tcBorders>
                </w:tcP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四氟苯菊酯</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四氟苯菊酯混配剂，总有效</w:t>
                  </w:r>
                  <w:r>
                    <w:rPr>
                      <w:sz w:val="22"/>
                    </w:rPr>
                    <w:t>.成分≥6%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w:t>
                  </w:r>
                </w:p>
              </w:tc>
              <w:tc>
                <w:tcPr>
                  <w:tcW w:type="dxa" w:w="1143"/>
                  <w:vMerge/>
                  <w:tcBorders>
                    <w:top w:val="none" w:color="000000" w:sz="4"/>
                    <w:left w:val="none" w:color="000000" w:sz="4"/>
                    <w:bottom w:val="single" w:color="000000" w:sz="4"/>
                    <w:right w:val="single" w:color="000000" w:sz="8"/>
                  </w:tcBorders>
                </w:tcP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氯氟醚菊酯</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氯氟醚菊酯混配剂，总有效成分</w:t>
                  </w:r>
                  <w:r>
                    <w:rPr>
                      <w:sz w:val="22"/>
                    </w:rPr>
                    <w:t>≥6%</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w:t>
                  </w:r>
                </w:p>
              </w:tc>
              <w:tc>
                <w:tcPr>
                  <w:tcW w:type="dxa" w:w="1143"/>
                  <w:vMerge/>
                  <w:tcBorders>
                    <w:top w:val="none" w:color="000000" w:sz="4"/>
                    <w:left w:val="none" w:color="000000" w:sz="4"/>
                    <w:bottom w:val="single" w:color="000000" w:sz="4"/>
                    <w:right w:val="single" w:color="000000" w:sz="8"/>
                  </w:tcBorders>
                </w:tcPr>
                <w:p/>
              </w:tc>
            </w:tr>
            <w:tr>
              <w:tc>
                <w:tcPr>
                  <w:tcW w:type="dxa" w:w="58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残杀威</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残杀威类混配剂，总有效成分</w:t>
                  </w:r>
                  <w:r>
                    <w:rPr>
                      <w:sz w:val="22"/>
                    </w:rPr>
                    <w:t>≥8%</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悬浮剂</w:t>
                  </w:r>
                </w:p>
              </w:tc>
              <w:tc>
                <w:tcPr>
                  <w:tcW w:type="dxa" w:w="1143"/>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室内外灭成蚊、蝇等。</w:t>
                  </w:r>
                </w:p>
              </w:tc>
            </w:tr>
            <w:tr>
              <w:tc>
                <w:tcPr>
                  <w:tcW w:type="dxa" w:w="581"/>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43"/>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甲基嘧啶磷</w:t>
                  </w:r>
                </w:p>
              </w:tc>
              <w:tc>
                <w:tcPr>
                  <w:tcW w:type="dxa" w:w="193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甲基嘧啶磷混配剂，总有效成分</w:t>
                  </w:r>
                  <w:r>
                    <w:rPr>
                      <w:sz w:val="22"/>
                    </w:rPr>
                    <w:t>≥7%</w:t>
                  </w:r>
                </w:p>
              </w:tc>
              <w:tc>
                <w:tcPr>
                  <w:tcW w:type="dxa" w:w="768"/>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水乳剂</w:t>
                  </w:r>
                </w:p>
              </w:tc>
              <w:tc>
                <w:tcPr>
                  <w:tcW w:type="dxa" w:w="1143"/>
                  <w:vMerge/>
                  <w:tcBorders>
                    <w:top w:val="none" w:color="000000" w:sz="4"/>
                    <w:left w:val="none" w:color="000000" w:sz="4"/>
                    <w:bottom w:val="single" w:color="000000" w:sz="8"/>
                    <w:right w:val="single" w:color="000000" w:sz="8"/>
                  </w:tcBorders>
                </w:tcPr>
                <w:p/>
              </w:tc>
            </w:tr>
          </w:tbl>
          <w:p>
            <w:pPr>
              <w:pStyle w:val="null3"/>
              <w:ind w:firstLine="440"/>
              <w:jc w:val="both"/>
            </w:pPr>
            <w:r>
              <w:rPr>
                <w:sz w:val="22"/>
              </w:rPr>
              <w:t>中标人应在中标结果公告后</w:t>
            </w:r>
            <w:r>
              <w:rPr>
                <w:sz w:val="22"/>
              </w:rPr>
              <w:t>3个工作日内提供药品以下资料扫描件给采购人进行审核。</w:t>
            </w:r>
          </w:p>
          <w:p>
            <w:pPr>
              <w:pStyle w:val="null3"/>
              <w:ind w:firstLine="440"/>
              <w:jc w:val="both"/>
            </w:pPr>
            <w:r>
              <w:rPr>
                <w:sz w:val="22"/>
              </w:rPr>
              <w:t>①由农业农村部颁发的农药登记证或农药临时登记证。</w:t>
            </w:r>
          </w:p>
          <w:p>
            <w:pPr>
              <w:pStyle w:val="null3"/>
              <w:ind w:firstLine="440"/>
              <w:jc w:val="both"/>
            </w:pPr>
            <w:r>
              <w:rPr>
                <w:sz w:val="22"/>
              </w:rPr>
              <w:t>②省级农业部门颁发的登记证、持有人或委托加工企业农药生产许可证（生产范围包括投标产品剂型。）。</w:t>
            </w:r>
          </w:p>
          <w:p>
            <w:pPr>
              <w:pStyle w:val="null3"/>
              <w:ind w:firstLine="440"/>
              <w:jc w:val="both"/>
            </w:pPr>
            <w:r>
              <w:rPr>
                <w:sz w:val="22"/>
              </w:rPr>
              <w:t>③质量技术监督部门或企业标准信息公共服务平台备案的企业标准封面。</w:t>
            </w:r>
          </w:p>
          <w:p>
            <w:pPr>
              <w:pStyle w:val="null3"/>
              <w:ind w:firstLine="440"/>
              <w:jc w:val="both"/>
            </w:pPr>
            <w:r>
              <w:rPr>
                <w:sz w:val="22"/>
              </w:rPr>
              <w:t>④序号①-③的资料需将证书复印件加盖供应商公章且备案须在有效期内，续展期顺延三个月。</w:t>
            </w:r>
          </w:p>
          <w:p>
            <w:pPr>
              <w:pStyle w:val="null3"/>
              <w:ind w:firstLine="440"/>
              <w:jc w:val="both"/>
            </w:pPr>
            <w:r>
              <w:rPr>
                <w:sz w:val="22"/>
              </w:rPr>
              <w:t>⑤农药标签。</w:t>
            </w:r>
          </w:p>
          <w:p>
            <w:pPr>
              <w:pStyle w:val="null3"/>
              <w:ind w:firstLine="440"/>
              <w:jc w:val="both"/>
            </w:pPr>
            <w:r>
              <w:rPr>
                <w:sz w:val="22"/>
              </w:rPr>
              <w:t>⑥药品化学品安全技术说明书或农药产品安全数据单（MSDS）。</w:t>
            </w:r>
          </w:p>
          <w:p>
            <w:pPr>
              <w:pStyle w:val="null3"/>
              <w:ind w:firstLine="440"/>
              <w:jc w:val="both"/>
            </w:pPr>
            <w:r>
              <w:rPr>
                <w:sz w:val="22"/>
              </w:rPr>
              <w:t>⑦药品相关检测报告。</w:t>
            </w:r>
          </w:p>
          <w:p>
            <w:pPr>
              <w:pStyle w:val="null3"/>
              <w:ind w:firstLine="440"/>
              <w:jc w:val="both"/>
            </w:pPr>
            <w:r>
              <w:rPr>
                <w:sz w:val="22"/>
              </w:rPr>
              <w:t>投标人拟投用药物必须满足本项目需求的用药要求，如使用的药物效果不达标，采购人有权要求投标人更换药物，因此产生的费用均由投标人承担。</w:t>
            </w:r>
          </w:p>
          <w:p>
            <w:pPr>
              <w:pStyle w:val="null3"/>
              <w:ind w:firstLine="442"/>
              <w:jc w:val="both"/>
            </w:pPr>
            <w:r>
              <w:rPr>
                <w:sz w:val="22"/>
                <w:b/>
              </w:rPr>
              <w:t>三、工作管理要求</w:t>
            </w:r>
          </w:p>
          <w:p>
            <w:pPr>
              <w:pStyle w:val="null3"/>
              <w:ind w:firstLine="440"/>
              <w:jc w:val="both"/>
            </w:pPr>
            <w:r>
              <w:rPr>
                <w:sz w:val="22"/>
              </w:rPr>
              <w:t>1、供应商对本项目应进行充分的理解及分析（包括但不限于基础调查、服务内容、项目环境情况、辖区内双热现状等理解熟悉情况）以及提供对重点难点分析的合理化建议。</w:t>
            </w:r>
          </w:p>
          <w:p>
            <w:pPr>
              <w:pStyle w:val="null3"/>
              <w:ind w:firstLine="440"/>
              <w:jc w:val="both"/>
            </w:pPr>
            <w:r>
              <w:rPr>
                <w:sz w:val="22"/>
              </w:rPr>
              <w:t>2、对于疫情应急响应，采购人提前两小时通知的前提下，供应商需按照要求及时响应。</w:t>
            </w:r>
          </w:p>
          <w:p>
            <w:pPr>
              <w:pStyle w:val="null3"/>
              <w:ind w:firstLine="440"/>
              <w:jc w:val="both"/>
            </w:pPr>
            <w:r>
              <w:rPr>
                <w:sz w:val="22"/>
              </w:rPr>
              <w:t>3、供应商应对项目提供总体实施服务方案（包括但不限于实施组织计划、灭蚊工作流程、技术措施、虫害管控等内容），且切实可行。</w:t>
            </w:r>
          </w:p>
          <w:p>
            <w:pPr>
              <w:pStyle w:val="null3"/>
              <w:ind w:firstLine="440"/>
              <w:jc w:val="both"/>
            </w:pPr>
            <w:r>
              <w:rPr>
                <w:sz w:val="22"/>
              </w:rPr>
              <w:t>4、供应商应对项目提供质量保证及安全作业措施（包括但不限于质量目标、工作保障措施、安全文明作业 、质量控制等）。</w:t>
            </w:r>
          </w:p>
          <w:p>
            <w:pPr>
              <w:pStyle w:val="null3"/>
              <w:ind w:firstLine="440"/>
              <w:jc w:val="both"/>
            </w:pPr>
            <w:r>
              <w:rPr>
                <w:sz w:val="22"/>
              </w:rPr>
              <w:t>5、供应商应对项目提供应急处置方案（包括但不限于针对天气影响，遇重大检查任务，重大节假日或活动，“两热”疫情加重等特殊情况制定应急方案，包括传达机制、人员和设备调配、责任分工等内容）。</w:t>
            </w:r>
          </w:p>
          <w:p>
            <w:pPr>
              <w:pStyle w:val="null3"/>
              <w:ind w:firstLine="440"/>
              <w:jc w:val="both"/>
            </w:pPr>
            <w:r>
              <w:rPr>
                <w:sz w:val="22"/>
              </w:rPr>
              <w:t>6、蚊媒控制应急消杀工作评价表</w:t>
            </w:r>
          </w:p>
          <w:p>
            <w:pPr>
              <w:pStyle w:val="null3"/>
              <w:jc w:val="center"/>
            </w:pPr>
            <w:r>
              <w:rPr>
                <w:sz w:val="22"/>
              </w:rPr>
              <w:t>供应商名称：</w:t>
            </w:r>
            <w:r>
              <w:rPr>
                <w:sz w:val="21"/>
              </w:rPr>
              <w:t xml:space="preserve">                       </w:t>
            </w:r>
            <w:r>
              <w:rPr>
                <w:sz w:val="22"/>
              </w:rPr>
              <w:t>处置区域：</w:t>
            </w:r>
            <w:r>
              <w:rPr>
                <w:sz w:val="21"/>
              </w:rPr>
              <w:t xml:space="preserve">                   </w:t>
            </w:r>
            <w:r>
              <w:rPr>
                <w:sz w:val="22"/>
              </w:rPr>
              <w:t>服务日期：</w:t>
            </w:r>
          </w:p>
          <w:tbl>
            <w:tblPr>
              <w:tblBorders>
                <w:top w:val="none" w:color="000000" w:sz="4"/>
                <w:left w:val="none" w:color="000000" w:sz="4"/>
                <w:bottom w:val="none" w:color="000000" w:sz="4"/>
                <w:right w:val="none" w:color="000000" w:sz="4"/>
                <w:insideH w:val="none"/>
                <w:insideV w:val="none"/>
              </w:tblBorders>
            </w:tblPr>
            <w:tblGrid>
              <w:gridCol w:w="2974"/>
              <w:gridCol w:w="2129"/>
              <w:gridCol w:w="485"/>
            </w:tblGrid>
            <w:tr>
              <w:tc>
                <w:tcPr>
                  <w:tcW w:type="dxa" w:w="2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扣分标准</w:t>
                  </w:r>
                </w:p>
              </w:tc>
              <w:tc>
                <w:tcPr>
                  <w:tcW w:type="dxa" w:w="2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扣分内容</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、响应及时性（</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每次响应采购人通知到达时间迟到半小时扣</w:t>
                  </w:r>
                  <w:r>
                    <w:rPr>
                      <w:sz w:val="22"/>
                    </w:rPr>
                    <w:t>1</w:t>
                  </w:r>
                  <w:r>
                    <w:rPr>
                      <w:sz w:val="22"/>
                    </w:rPr>
                    <w:t>分，最高扣</w:t>
                  </w:r>
                  <w:r>
                    <w:rPr>
                      <w:sz w:val="22"/>
                    </w:rPr>
                    <w:t>10</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w:t>
                  </w:r>
                  <w:r>
                    <w:rPr>
                      <w:sz w:val="22"/>
                    </w:rPr>
                    <w:t>、参与服务工作人员人数与采购人要求不符的（</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每少一人扣</w:t>
                  </w:r>
                  <w:r>
                    <w:rPr>
                      <w:sz w:val="22"/>
                    </w:rPr>
                    <w:t>1</w:t>
                  </w:r>
                  <w:r>
                    <w:rPr>
                      <w:sz w:val="22"/>
                    </w:rPr>
                    <w:t>分，最多扣</w:t>
                  </w:r>
                  <w:r>
                    <w:rPr>
                      <w:sz w:val="22"/>
                    </w:rPr>
                    <w:t>10</w:t>
                  </w:r>
                  <w:r>
                    <w:rPr>
                      <w:sz w:val="22"/>
                    </w:rPr>
                    <w:t>分。消杀人数：人</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w:t>
                  </w:r>
                  <w:r>
                    <w:rPr>
                      <w:sz w:val="22"/>
                    </w:rPr>
                    <w:t>、不按照施（投）药技术规范使用药物、不根据采购人督导意见使用药物。</w:t>
                  </w:r>
                  <w:r>
                    <w:rPr>
                      <w:sz w:val="22"/>
                    </w:rPr>
                    <w:t>1</w:t>
                  </w:r>
                  <w:r>
                    <w:rPr>
                      <w:sz w:val="22"/>
                    </w:rPr>
                    <w:t>）药物是否为合格卫生杀虫剂；</w:t>
                  </w:r>
                  <w:r>
                    <w:rPr>
                      <w:sz w:val="22"/>
                    </w:rPr>
                    <w:t>2</w:t>
                  </w:r>
                  <w:r>
                    <w:rPr>
                      <w:sz w:val="22"/>
                    </w:rPr>
                    <w:t>）药物是否过期；</w:t>
                  </w:r>
                  <w:r>
                    <w:rPr>
                      <w:sz w:val="22"/>
                    </w:rPr>
                    <w:t>3</w:t>
                  </w:r>
                  <w:r>
                    <w:rPr>
                      <w:sz w:val="22"/>
                    </w:rPr>
                    <w:t>）浓度配比是否按照要求；</w:t>
                  </w:r>
                  <w:r>
                    <w:rPr>
                      <w:sz w:val="22"/>
                    </w:rPr>
                    <w:t>4</w:t>
                  </w:r>
                  <w:r>
                    <w:rPr>
                      <w:sz w:val="22"/>
                    </w:rPr>
                    <w:t>）药物和器械是否匹配；喷雾器型号是否满足要求；</w:t>
                  </w:r>
                  <w:r>
                    <w:rPr>
                      <w:sz w:val="22"/>
                    </w:rPr>
                    <w:t>5.</w:t>
                  </w:r>
                  <w:r>
                    <w:rPr>
                      <w:sz w:val="22"/>
                    </w:rPr>
                    <w:t>器械是否正常规范使用）（</w:t>
                  </w:r>
                  <w:r>
                    <w:rPr>
                      <w:sz w:val="22"/>
                    </w:rPr>
                    <w:t>20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出现上述任一情况扣</w:t>
                  </w:r>
                  <w:r>
                    <w:rPr>
                      <w:sz w:val="22"/>
                    </w:rPr>
                    <w:t>4</w:t>
                  </w:r>
                  <w:r>
                    <w:rPr>
                      <w:sz w:val="22"/>
                    </w:rPr>
                    <w:t>分，最多扣</w:t>
                  </w:r>
                  <w:r>
                    <w:rPr>
                      <w:sz w:val="22"/>
                    </w:rPr>
                    <w:t>20</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w:t>
                  </w:r>
                  <w:r>
                    <w:rPr>
                      <w:sz w:val="22"/>
                    </w:rPr>
                    <w:t>、未经采购人允许变更现场项目负责人（</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w:t>
                  </w:r>
                  <w:r>
                    <w:rPr>
                      <w:sz w:val="22"/>
                    </w:rPr>
                    <w:t>、未按时按要求制定处理方案，未按确定的处理方案内容开展工作（</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w:t>
                  </w:r>
                  <w:r>
                    <w:rPr>
                      <w:sz w:val="22"/>
                    </w:rPr>
                    <w:t>、供应商处理方案不根据实际情况制定、使用违禁药物以及其它弄虚作假等情况（</w:t>
                  </w:r>
                  <w:r>
                    <w:rPr>
                      <w:sz w:val="22"/>
                    </w:rPr>
                    <w:t>15</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15</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7</w:t>
                  </w:r>
                  <w:r>
                    <w:rPr>
                      <w:sz w:val="22"/>
                    </w:rPr>
                    <w:t>、消杀器械是否按采购人要求提供到场，每少一台相应的器械扣</w:t>
                  </w:r>
                  <w:r>
                    <w:rPr>
                      <w:sz w:val="22"/>
                    </w:rPr>
                    <w:t>1</w:t>
                  </w:r>
                  <w:r>
                    <w:rPr>
                      <w:sz w:val="22"/>
                    </w:rPr>
                    <w:t>分，最高扣</w:t>
                  </w:r>
                  <w:r>
                    <w:rPr>
                      <w:sz w:val="22"/>
                    </w:rPr>
                    <w:t>10</w:t>
                  </w:r>
                  <w:r>
                    <w:rPr>
                      <w:sz w:val="22"/>
                    </w:rPr>
                    <w:t>分（</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8</w:t>
                  </w:r>
                  <w:r>
                    <w:rPr>
                      <w:sz w:val="22"/>
                    </w:rPr>
                    <w:t>、工作人员消极怠工，不服从工作安排，存在不良工作态度（</w:t>
                  </w:r>
                  <w:r>
                    <w:rPr>
                      <w:sz w:val="22"/>
                    </w:rPr>
                    <w:t>5</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5</w:t>
                  </w:r>
                  <w:r>
                    <w:rPr>
                      <w:sz w:val="22"/>
                    </w:rPr>
                    <w:t>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9</w:t>
                  </w:r>
                  <w:r>
                    <w:rPr>
                      <w:sz w:val="22"/>
                    </w:rPr>
                    <w:t>、未按要求完成服务任务（</w:t>
                  </w:r>
                  <w:r>
                    <w:rPr>
                      <w:sz w:val="22"/>
                    </w:rPr>
                    <w:t>10</w:t>
                  </w:r>
                  <w:r>
                    <w:rPr>
                      <w:sz w:val="22"/>
                    </w:rPr>
                    <w:t>分）</w:t>
                  </w:r>
                </w:p>
              </w:tc>
              <w:tc>
                <w:tcPr>
                  <w:tcW w:type="dxa" w:w="2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未按要求完成服务任务，每发现一次扣</w:t>
                  </w:r>
                  <w:r>
                    <w:rPr>
                      <w:sz w:val="22"/>
                    </w:rPr>
                    <w:t>5分，扣完为止。</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评分</w:t>
                  </w:r>
                </w:p>
              </w:tc>
              <w:tc>
                <w:tcPr>
                  <w:tcW w:type="dxa" w:w="261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注：</w:t>
            </w:r>
          </w:p>
          <w:p>
            <w:pPr>
              <w:pStyle w:val="null3"/>
              <w:ind w:firstLine="440"/>
              <w:jc w:val="both"/>
            </w:pPr>
            <w:r>
              <w:rPr>
                <w:sz w:val="22"/>
              </w:rPr>
              <w:t>1、需采购人和供应商双方签名确认。</w:t>
            </w:r>
          </w:p>
          <w:p>
            <w:pPr>
              <w:pStyle w:val="null3"/>
              <w:ind w:firstLine="440"/>
              <w:jc w:val="both"/>
            </w:pPr>
            <w:r>
              <w:rPr>
                <w:sz w:val="22"/>
              </w:rPr>
              <w:t>2、此表满分100分，考核评分=100-扣分总数，考核评分作为支付服务费用的依据。</w:t>
            </w:r>
          </w:p>
          <w:p>
            <w:pPr>
              <w:pStyle w:val="null3"/>
              <w:ind w:firstLine="440"/>
              <w:jc w:val="both"/>
            </w:pPr>
            <w:r>
              <w:rPr>
                <w:sz w:val="22"/>
              </w:rPr>
              <w:t>3、80分或以上作为合格分，未达到合格分的，每扣10分，则扣除当次服务费的10%。（若80分＞当次得分≥70分，则服务费扣除当次结算服务费的10%，若70分＞当次得分≥60分，则扣除当次结算服务费20%，以此类推）。</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1.采购代理机构：本项目是指中诚（广东）项目管理咨询有限公司，负责整个采购活动的组织，依法负责编制和发布招标文件，对招标文件拥有最终的解释权，不以任何身份出任评标委员会成员。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东莞市东城公用事业服务中心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采购机构代理服务收费标准：以中标成交金额为依据参照计价格[2002]1980号文相关标准向中标成交供应商收取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根据《关于推动解决政府采购异常低价问题的通知》（财库〔2026〕2号）规定，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2.分支机构投标的，总公司及其所有分支机构拥有的认证证书、奖项、业绩案例、人员设备等对参加本项目投标的分支机构有效（法律法规或行业另有规定的除外）。</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中诚（广东）项目管理咨询有限公司</w:t>
      </w:r>
      <w:r>
        <w:rPr/>
        <w:t>代收。具体操作要求详见</w:t>
      </w:r>
      <w:r>
        <w:rPr/>
        <w:t>中诚（广东）项目管理咨询有限公司</w:t>
      </w:r>
      <w:r>
        <w:rPr/>
        <w:t>有关指引，递交事宜请自行咨询</w:t>
      </w:r>
      <w:r>
        <w:rPr/>
        <w:t>中诚（广东）项目管理咨询有限公司</w:t>
      </w:r>
      <w:r>
        <w:rPr/>
        <w:t>；请各投标人在投标文件递交截止时间前按须知前附表规定的金额递交至</w:t>
      </w:r>
      <w:r>
        <w:rPr/>
        <w:t>中诚（广东）项目管理咨询有限公司</w:t>
      </w:r>
      <w:r>
        <w:rPr/>
        <w:t>，到账情况以开标时</w:t>
      </w:r>
      <w:r>
        <w:rPr/>
        <w:t>中诚（广东）项目管理咨询有限公司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0769-21661653</w:t>
      </w:r>
    </w:p>
    <w:p>
      <w:pPr>
        <w:pStyle w:val="null3"/>
        <w:ind w:firstLine="480"/>
      </w:pPr>
      <w:r>
        <w:rPr/>
        <w:t>传真：</w:t>
      </w:r>
      <w:r>
        <w:rPr/>
        <w:t>-</w:t>
      </w:r>
    </w:p>
    <w:p>
      <w:pPr>
        <w:pStyle w:val="null3"/>
        <w:ind w:firstLine="480"/>
      </w:pPr>
      <w:r>
        <w:rPr/>
        <w:t>邮箱：</w:t>
      </w:r>
      <w:r>
        <w:rPr/>
        <w:t>ZCGDXMGL@163.com</w:t>
      </w:r>
    </w:p>
    <w:p>
      <w:pPr>
        <w:pStyle w:val="null3"/>
        <w:ind w:firstLine="480"/>
      </w:pPr>
      <w:r>
        <w:rPr/>
        <w:t>地址：</w:t>
      </w:r>
      <w:r>
        <w:rPr/>
        <w:t>东莞市东城街道东城路东城段577号御景大厦1栋206室09</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城街道2026年虫媒应急消杀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中诚（广东）项目管理咨询有限公司</w:t>
      </w:r>
      <w:r>
        <w:rPr/>
        <w:t>统一对外发布。</w:t>
      </w:r>
    </w:p>
    <w:p>
      <w:pPr>
        <w:pStyle w:val="null3"/>
        <w:ind w:firstLine="480"/>
      </w:pPr>
      <w:r>
        <w:rPr/>
        <w:t>（2）对</w:t>
      </w:r>
      <w:r>
        <w:rPr/>
        <w:t>中诚（广东）项目管理咨询有限公司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采购包1（东城街道2026年虫媒应急消杀服务项目）：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采购包1（东城街道2026年虫媒应急消杀服务项目）：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提供《投标函》（详见投标文件格式）。</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中小企业须符合本项目采购标的对应行业（其他未列明行业）的政策划分标准。注：1、供应商投标时应提供《中小企业声明函（工程、服务）》。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 注：分支机构投标的，若适用政府采购扶持政策（如中小企业、残疾人福利性单位或监狱企业等），应当提供总公司的《中小企业声明函（工程、服务）》（或《残疾人福利性单位声明函》或属于监狱企业的证明文件）。</w:t>
            </w:r>
          </w:p>
        </w:tc>
      </w:tr>
    </w:tbl>
    <w:p>
      <w:pPr>
        <w:pStyle w:val="null3"/>
        <w:ind w:firstLine="480"/>
      </w:pPr>
      <w:r>
        <w:rPr/>
        <w:t>表二符合性审查表：</w:t>
      </w:r>
    </w:p>
    <w:p>
      <w:pPr>
        <w:pStyle w:val="null3"/>
      </w:pPr>
      <w:r>
        <w:rPr/>
        <w:t>采购包1（东城街道2026年虫媒应急消杀服务项目）：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投标文件未按照招标文件要求签署、盖章的，评审结果为不通过</w:t>
            </w:r>
          </w:p>
        </w:tc>
      </w:tr>
      <w:tr>
        <w:tc>
          <w:tcPr>
            <w:tcW w:type="dxa" w:w="890"/>
          </w:tcPr>
          <w:p>
            <w:pPr>
              <w:pStyle w:val="null3"/>
            </w:pPr>
            <w:r>
              <w:rPr/>
              <w:t>2</w:t>
            </w:r>
          </w:p>
        </w:tc>
        <w:tc>
          <w:tcPr>
            <w:tcW w:type="dxa" w:w="3178"/>
          </w:tcPr>
          <w:p>
            <w:pPr>
              <w:pStyle w:val="null3"/>
            </w:pPr>
            <w:r>
              <w:rPr/>
              <w:t>★号条款</w:t>
            </w:r>
          </w:p>
        </w:tc>
        <w:tc>
          <w:tcPr>
            <w:tcW w:type="dxa" w:w="4238"/>
          </w:tcPr>
          <w:p>
            <w:pPr>
              <w:pStyle w:val="null3"/>
            </w:pPr>
            <w:r>
              <w:rPr/>
              <w:t>投标文件未实质性响应招标文件规定★号条款的，评审结果为不通过</w:t>
            </w:r>
          </w:p>
        </w:tc>
      </w:tr>
      <w:tr>
        <w:tc>
          <w:tcPr>
            <w:tcW w:type="dxa" w:w="890"/>
          </w:tcPr>
          <w:p>
            <w:pPr>
              <w:pStyle w:val="null3"/>
            </w:pPr>
            <w:r>
              <w:rPr/>
              <w:t>3</w:t>
            </w:r>
          </w:p>
        </w:tc>
        <w:tc>
          <w:tcPr>
            <w:tcW w:type="dxa" w:w="3178"/>
          </w:tcPr>
          <w:p>
            <w:pPr>
              <w:pStyle w:val="null3"/>
            </w:pPr>
            <w:r>
              <w:rPr/>
              <w:t>其他无效情形</w:t>
            </w:r>
          </w:p>
        </w:tc>
        <w:tc>
          <w:tcPr>
            <w:tcW w:type="dxa" w:w="4238"/>
          </w:tcPr>
          <w:p>
            <w:pPr>
              <w:pStyle w:val="null3"/>
            </w:pPr>
            <w:r>
              <w:rPr/>
              <w:t>供应商存在法律、法规和招标文件规定的其他无效情形的，评审结果为不通过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采购包1(东城街道2026年虫媒应急消杀服务项目):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对本项目的理解分析及建议 (12.0分)</w:t>
            </w:r>
          </w:p>
        </w:tc>
        <w:tc>
          <w:tcPr>
            <w:tcW w:type="dxa" w:w="5076"/>
          </w:tcPr>
          <w:p>
            <w:pPr>
              <w:pStyle w:val="null3"/>
              <w:jc w:val="left"/>
            </w:pPr>
            <w:r>
              <w:rPr/>
              <w:t>根据投标人对本项目的理解分析（包括但不限于基础调查、服务内容、项目环境情况、辖区内双热现状等理解熟悉情况）以及提供对重点难点分析的合理化建议进行综合评审：(1)对服务内容和街道内双热现状理解透彻，对项目环境非常熟悉，重点难点分析到位，提供切实可行的合理化建议，非常有利于项目顺利实施的，得12分；(2)对服务内容和街道内双热现状理解较为准确，对项目环境较为熟悉，重点难点分析比较到位，提供的建议较为合理，部分有利于项目的顺利实施的，得8分；(3)对服务内容和街道内双热现状理解清晰，对项目环境有一定的了解的，重点难点分析一般，提供的建议基本合理，能够保证项目顺利实施的，得5分；(4)对服务内容和街道内双热现状理解不清晰，对项目环境熟悉程度一般，重点难点分析不到位，提供的建议缺乏合理性，得2分；(5)没有提供本项方案的不得分。</w:t>
            </w:r>
          </w:p>
        </w:tc>
      </w:tr>
      <w:tr>
        <w:tc>
          <w:tcPr>
            <w:tcW w:type="dxa" w:w="922"/>
            <w:gridSpan w:val="2"/>
            <w:vMerge/>
          </w:tcPr>
          <w:p/>
        </w:tc>
        <w:tc>
          <w:tcPr>
            <w:tcW w:type="dxa" w:w="2307"/>
          </w:tcPr>
          <w:p>
            <w:pPr>
              <w:pStyle w:val="null3"/>
              <w:jc w:val="left"/>
            </w:pPr>
            <w:r>
              <w:rPr/>
              <w:t>项目总体实施服务方案 (15.0分)</w:t>
            </w:r>
          </w:p>
        </w:tc>
        <w:tc>
          <w:tcPr>
            <w:tcW w:type="dxa" w:w="5076"/>
          </w:tcPr>
          <w:p>
            <w:pPr>
              <w:pStyle w:val="null3"/>
              <w:jc w:val="left"/>
            </w:pPr>
            <w:r>
              <w:rPr/>
              <w:t>根据投标人提供的项目总体实施服务方案（包括但不限于实施组织计划、灭蚊工作流程、技术措施、虫害管控等内容）进行综合评审：(1)实施组织计划科学合理，灭蚊工作流程和技术措施详尽完善，虫害管控清晰明确，可行性强的，得15分；(2)实施组织计划较为合理，灭蚊工作流程和技术措施较为完善，虫害管控较为明确，可行性较强的，得10分；(3)实施组织计划基本合理，有基础的灭蚊工作流程和技术措施，虫害管控基本明确，具备可行性的，得5分；(4)实施组织计划缺乏合理性，灭蚊工作流程和技术措施不完善，虫害管控不到位，不可行的，得2分；(5)没有提供本项方案的不得分。</w:t>
            </w:r>
          </w:p>
        </w:tc>
      </w:tr>
      <w:tr>
        <w:tc>
          <w:tcPr>
            <w:tcW w:type="dxa" w:w="922"/>
            <w:gridSpan w:val="2"/>
            <w:vMerge/>
          </w:tcPr>
          <w:p/>
        </w:tc>
        <w:tc>
          <w:tcPr>
            <w:tcW w:type="dxa" w:w="2307"/>
          </w:tcPr>
          <w:p>
            <w:pPr>
              <w:pStyle w:val="null3"/>
              <w:jc w:val="left"/>
            </w:pPr>
            <w:r>
              <w:rPr/>
              <w:t>质量保证及安全作业措施 (12.0分)</w:t>
            </w:r>
          </w:p>
        </w:tc>
        <w:tc>
          <w:tcPr>
            <w:tcW w:type="dxa" w:w="5076"/>
          </w:tcPr>
          <w:p>
            <w:pPr>
              <w:pStyle w:val="null3"/>
              <w:jc w:val="left"/>
            </w:pPr>
            <w:r>
              <w:rPr/>
              <w:t>根据投标人提供的质量保证及安全作业措施（包括但不限于质量目标、工作保障措施、安全文明作业、质量控制等）进行综合评审：(1)质量目标精准量化，契合项目。保障措施科学，作业流程规范且各环节有质量控制标准。消杀时安全文明作业皆有细致规划。在科学性上，符合行业标准与实际作业要求，逻辑严谨。紧密贴合本项目的消杀灭蚊特点，完全适配项目双热防控需求，得12分；(2)质量目标清晰合理，界定关键服务环节要求。保障措施较完整，消杀时安全文明作业流程有操作细则与关键环节质量控制监督机制。在科学性上较为合理，基本符合行业规范。可行性方面，能够在项目中较为有效实施，具有一定的实践基础，得8分；(3)质量目标基础明确，对整体质量有要求。保障措施中，安全文明作业流程有大致步骤但未细化，质量控制监督机制不完善。与项目特点和要求有一定关联，但不够深入和精准，得5分；(4)质量目标模糊无量化。保障措施不完整，安全文明作业流程仅简单提及未成体系，且缺乏针对性的质量控制，与本项目的特点和要求关联度低，无法切实满足项目需求，得2分；(5)没有提供本项方案的不得分。</w:t>
            </w:r>
          </w:p>
        </w:tc>
      </w:tr>
      <w:tr>
        <w:tc>
          <w:tcPr>
            <w:tcW w:type="dxa" w:w="922"/>
            <w:gridSpan w:val="2"/>
            <w:vMerge/>
          </w:tcPr>
          <w:p/>
        </w:tc>
        <w:tc>
          <w:tcPr>
            <w:tcW w:type="dxa" w:w="2307"/>
          </w:tcPr>
          <w:p>
            <w:pPr>
              <w:pStyle w:val="null3"/>
              <w:jc w:val="left"/>
            </w:pPr>
            <w:r>
              <w:rPr/>
              <w:t>应急处置方案 (11.0分)</w:t>
            </w:r>
          </w:p>
        </w:tc>
        <w:tc>
          <w:tcPr>
            <w:tcW w:type="dxa" w:w="5076"/>
          </w:tcPr>
          <w:p>
            <w:pPr>
              <w:pStyle w:val="null3"/>
              <w:jc w:val="left"/>
            </w:pPr>
            <w:r>
              <w:rPr/>
              <w:t>根据投标人提供的应急处置方案（包括但不限于针对天气影响，遇重大检查任务，重大节假日或活动，“两热”疫情加重等特殊情况制定应急方案，包括传达机制、人员和设备调配、责任分工等内容）进行综合评审：(1)应急方案完整合理、可行性强、响应迅速，传达机制十分完善，并有明确的应急响应流程、责任分工及资源调配充分准备，能够有效降低突发事件对项目的影响，非常有利于项目顺利实施的，得11分；(2)应急方案较为完整、可行性较强，传达机制较为完善，有较好的应急响应流程、责任分工及资源调配有所准备，能够降低突发事件对项目的影响，部分有利于项目的顺利实施的，得7分；(3)应急方案基本完整可行、有一定的传达机制，有基本的责任分工及资源调配准备，但存在应对措施不够具体的问题，基本能够保证项目顺利实施的，得3分；(4)应急方案不完整、可行性一般的，无基本的责任分工或资源调配准备，缺乏针对性与可操作性，难以有效应对突发事件，对项目的实施无帮助的，得1分；(5)没有提供本项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(12.5分)</w:t>
            </w:r>
          </w:p>
        </w:tc>
        <w:tc>
          <w:tcPr>
            <w:tcW w:type="dxa" w:w="5076"/>
          </w:tcPr>
          <w:p>
            <w:pPr>
              <w:pStyle w:val="null3"/>
              <w:jc w:val="left"/>
            </w:pPr>
            <w:r>
              <w:rPr/>
              <w:t>投标人具有“四害”消杀服务,或者病媒生物（或有害生物）防制服务，或者虫媒、蚊媒、虫害防制服务等相关项目业绩，每提供一个有效的项目业绩得2.5分，最高得12.5分。注：投标文件须提供合同复印件盖投标人公章。</w:t>
            </w:r>
          </w:p>
        </w:tc>
      </w:tr>
      <w:tr>
        <w:tc>
          <w:tcPr>
            <w:tcW w:type="dxa" w:w="922"/>
            <w:gridSpan w:val="2"/>
            <w:vMerge/>
          </w:tcPr>
          <w:p/>
        </w:tc>
        <w:tc>
          <w:tcPr>
            <w:tcW w:type="dxa" w:w="2307"/>
          </w:tcPr>
          <w:p>
            <w:pPr>
              <w:pStyle w:val="null3"/>
              <w:jc w:val="left"/>
            </w:pPr>
            <w:r>
              <w:rPr/>
              <w:t>体系认证 (7.5分)</w:t>
            </w:r>
          </w:p>
        </w:tc>
        <w:tc>
          <w:tcPr>
            <w:tcW w:type="dxa" w:w="5076"/>
          </w:tcPr>
          <w:p>
            <w:pPr>
              <w:pStyle w:val="null3"/>
              <w:jc w:val="left"/>
            </w:pPr>
            <w:r>
              <w:rPr/>
              <w:t>投标人具有国家认证认可监督管理部门批准设立的认证机构颁发并在有效期内的：质量管理体系认证证书、环境管理体系认证证书、职业健康安全管理体系认证证书，每个认证证书得2.5分，最高得7.5分。注：投标文件须同时提供证书复印件及能显示证书有效状态（失效、撤销或暂停的对应证书不得分）的全国认证认可信息公共服务平台查询结果截图盖投标人公章。因投标人成立时间不足，导致未能取得相关认证且提供书面说明的，可获得对应证书的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东城街道</w:t>
      </w:r>
      <w:r>
        <w:rPr>
          <w:sz w:val="44"/>
          <w:b/>
        </w:rPr>
        <w:t>2026年虫媒应急消杀服务项目</w:t>
      </w:r>
    </w:p>
    <w:p>
      <w:pPr>
        <w:pStyle w:val="null3"/>
        <w:jc w:val="center"/>
      </w:pPr>
      <w:r>
        <w:rPr>
          <w:sz w:val="48"/>
          <w:b/>
        </w:rPr>
        <w:t>合同书</w:t>
      </w:r>
    </w:p>
    <w:p>
      <w:pPr>
        <w:pStyle w:val="null3"/>
        <w:jc w:val="left"/>
      </w:pPr>
      <w:r>
        <w:rPr>
          <w:sz w:val="28"/>
          <w:b/>
        </w:rPr>
        <w:t>项目名称：</w:t>
      </w:r>
    </w:p>
    <w:p>
      <w:pPr>
        <w:pStyle w:val="null3"/>
        <w:ind w:left="1050"/>
        <w:jc w:val="left"/>
      </w:pPr>
      <w:r>
        <w:rPr>
          <w:sz w:val="28"/>
          <w:b/>
        </w:rPr>
        <w:t>项目地点：</w:t>
      </w:r>
    </w:p>
    <w:p>
      <w:pPr>
        <w:pStyle w:val="null3"/>
        <w:ind w:left="1050"/>
        <w:jc w:val="left"/>
      </w:pPr>
      <w:r>
        <w:rPr>
          <w:sz w:val="28"/>
          <w:b/>
        </w:rPr>
        <w:t>发包人：</w:t>
      </w:r>
    </w:p>
    <w:p>
      <w:pPr>
        <w:pStyle w:val="null3"/>
        <w:ind w:left="1050"/>
        <w:jc w:val="left"/>
      </w:pPr>
      <w:r>
        <w:rPr>
          <w:sz w:val="28"/>
          <w:b/>
        </w:rPr>
        <w:t>承包人：</w:t>
      </w:r>
    </w:p>
    <w:p>
      <w:pPr>
        <w:pStyle w:val="null3"/>
        <w:jc w:val="left"/>
      </w:pPr>
      <w:r>
        <w:rPr>
          <w:sz w:val="21"/>
        </w:rPr>
        <w:t>发包人：（全称）</w:t>
      </w:r>
      <w:r>
        <w:rPr>
          <w:sz w:val="21"/>
          <w:u w:val="single"/>
        </w:rPr>
        <w:t>东莞市东城公用事业服务中心</w:t>
      </w:r>
      <w:r>
        <w:rPr>
          <w:sz w:val="21"/>
          <w:u w:val="single"/>
        </w:rPr>
        <w:t>（以下简称</w:t>
      </w:r>
      <w:r>
        <w:rPr>
          <w:sz w:val="21"/>
          <w:u w:val="single"/>
        </w:rPr>
        <w:t>“甲方”）</w:t>
      </w:r>
    </w:p>
    <w:p>
      <w:pPr>
        <w:pStyle w:val="null3"/>
        <w:jc w:val="both"/>
      </w:pPr>
      <w:r>
        <w:rPr>
          <w:sz w:val="21"/>
        </w:rPr>
        <w:t>承包人：（全称）</w:t>
      </w:r>
      <w:r>
        <w:rPr>
          <w:sz w:val="21"/>
          <w:u w:val="single"/>
        </w:rPr>
        <w:t xml:space="preserve">                            </w:t>
      </w:r>
      <w:r>
        <w:rPr>
          <w:sz w:val="21"/>
          <w:u w:val="single"/>
        </w:rPr>
        <w:t>（以下简称</w:t>
      </w:r>
      <w:r>
        <w:rPr>
          <w:sz w:val="21"/>
          <w:u w:val="single"/>
        </w:rPr>
        <w:t>“乙方”）</w:t>
      </w:r>
    </w:p>
    <w:p>
      <w:pPr>
        <w:pStyle w:val="null3"/>
        <w:ind w:firstLine="420"/>
        <w:jc w:val="both"/>
      </w:pPr>
      <w:r>
        <w:rPr>
          <w:sz w:val="21"/>
        </w:rPr>
        <w:t>依照《中华人民共和国政府采购法》的规定，</w:t>
      </w:r>
      <w:r>
        <w:rPr>
          <w:sz w:val="21"/>
          <w:u w:val="single"/>
        </w:rPr>
        <w:t>东城街道</w:t>
      </w:r>
      <w:r>
        <w:rPr>
          <w:sz w:val="21"/>
          <w:u w:val="single"/>
        </w:rPr>
        <w:t>2026年虫媒应急消杀服务项目</w:t>
      </w:r>
      <w:r>
        <w:rPr>
          <w:sz w:val="21"/>
        </w:rPr>
        <w:t>（采购编号：</w:t>
      </w:r>
      <w:r>
        <w:rPr>
          <w:sz w:val="21"/>
        </w:rPr>
        <w:t>XXXXXXXX）于</w:t>
      </w:r>
      <w:r>
        <w:rPr>
          <w:sz w:val="21"/>
          <w:u w:val="single"/>
        </w:rPr>
        <w:t xml:space="preserve"> </w:t>
      </w:r>
      <w:r>
        <w:rPr>
          <w:sz w:val="21"/>
          <w:u w:val="single"/>
        </w:rPr>
        <w:t xml:space="preserve">20   </w:t>
      </w:r>
      <w:r>
        <w:rPr>
          <w:sz w:val="21"/>
        </w:rPr>
        <w:t>年</w:t>
      </w:r>
      <w:r>
        <w:rPr>
          <w:sz w:val="21"/>
          <w:u w:val="single"/>
        </w:rPr>
        <w:t xml:space="preserve">  </w:t>
      </w:r>
      <w:r>
        <w:rPr>
          <w:sz w:val="21"/>
        </w:rPr>
        <w:t>月</w:t>
      </w:r>
      <w:r>
        <w:rPr>
          <w:sz w:val="21"/>
          <w:u w:val="single"/>
        </w:rPr>
        <w:t xml:space="preserve">  </w:t>
      </w:r>
      <w:r>
        <w:rPr>
          <w:sz w:val="21"/>
        </w:rPr>
        <w:t>日经公开招标确定由乙方承包，按照《中华人民共和国民法典》的规定，经双方协商一致，订立本合同。</w:t>
      </w:r>
    </w:p>
    <w:p>
      <w:pPr>
        <w:pStyle w:val="null3"/>
        <w:ind w:firstLine="442"/>
        <w:jc w:val="both"/>
      </w:pPr>
      <w:r>
        <w:rPr>
          <w:sz w:val="22"/>
          <w:b/>
        </w:rPr>
        <w:t>一、项目概况</w:t>
      </w:r>
    </w:p>
    <w:p>
      <w:pPr>
        <w:pStyle w:val="null3"/>
        <w:ind w:firstLine="420"/>
        <w:jc w:val="both"/>
      </w:pPr>
      <w:r>
        <w:rPr>
          <w:sz w:val="21"/>
        </w:rPr>
        <w:t>应急队伍严格遵照市、镇疾控部门及防控专班工作部署，对东城街道辖区蚊媒密度偏高区域、登革热和基孔肯雅热等</w:t>
      </w:r>
      <w:r>
        <w:rPr>
          <w:sz w:val="21"/>
        </w:rPr>
        <w:t>“两热” 病例涉疫区域（含病例核心范围、成蚊 BI 指数超标场所及虫害突出点位）及其他新发突发虫媒传染病防控需求的区域，组织开展专项消杀防控作业；快速降低成蚊密度，并现场指导并协助属地全面清理整治蚊虫孳生地，从源头筑牢蚊媒传染病防控防线。</w:t>
      </w:r>
    </w:p>
    <w:p>
      <w:pPr>
        <w:pStyle w:val="null3"/>
        <w:ind w:firstLine="442"/>
        <w:jc w:val="both"/>
      </w:pPr>
      <w:r>
        <w:rPr>
          <w:sz w:val="22"/>
          <w:b/>
        </w:rPr>
        <w:t>二、价格</w:t>
      </w:r>
    </w:p>
    <w:p>
      <w:pPr>
        <w:pStyle w:val="null3"/>
        <w:ind w:firstLine="440"/>
        <w:jc w:val="both"/>
      </w:pPr>
      <w:r>
        <w:rPr>
          <w:sz w:val="22"/>
        </w:rPr>
        <w:t>1、</w:t>
      </w:r>
      <w:r>
        <w:rPr>
          <w:sz w:val="22"/>
        </w:rPr>
        <w:t>中标单价</w:t>
      </w:r>
      <w:r>
        <w:rPr>
          <w:sz w:val="22"/>
        </w:rPr>
        <w:t>：</w:t>
      </w:r>
    </w:p>
    <w:p>
      <w:pPr>
        <w:pStyle w:val="null3"/>
        <w:ind w:firstLine="440"/>
        <w:jc w:val="both"/>
      </w:pPr>
      <w:r>
        <w:rPr>
          <w:sz w:val="22"/>
        </w:rPr>
        <w:t>（</w:t>
      </w:r>
      <w:r>
        <w:rPr>
          <w:sz w:val="22"/>
        </w:rPr>
        <w:t>1）已</w:t>
      </w:r>
      <w:r>
        <w:rPr>
          <w:sz w:val="22"/>
        </w:rPr>
        <w:t>包含人员工资、消杀设备及机具折旧、防控药品、交通运输、保险、食宿、物料消耗、管理费、各项税费及实施过程中其他不可预见费用。</w:t>
      </w:r>
    </w:p>
    <w:p>
      <w:pPr>
        <w:pStyle w:val="null3"/>
        <w:ind w:firstLine="440"/>
        <w:jc w:val="both"/>
      </w:pPr>
      <w:r>
        <w:rPr>
          <w:sz w:val="22"/>
        </w:rPr>
        <w:t>（</w:t>
      </w:r>
      <w:r>
        <w:rPr>
          <w:sz w:val="22"/>
        </w:rPr>
        <w:t>2）</w:t>
      </w:r>
      <w:r>
        <w:rPr>
          <w:sz w:val="22"/>
        </w:rPr>
        <w:t>已</w:t>
      </w:r>
      <w:r>
        <w:rPr>
          <w:sz w:val="22"/>
        </w:rPr>
        <w:t>包括国家规定的所有税费及与项目相关的所有费用。</w:t>
      </w:r>
      <w:r>
        <w:rPr>
          <w:sz w:val="22"/>
        </w:rPr>
        <w:t>中标单价为不变价。除合同另有其他约定外，甲方无须支付乙方其他任何费用。</w:t>
      </w:r>
    </w:p>
    <w:p>
      <w:pPr>
        <w:pStyle w:val="null3"/>
        <w:ind w:firstLine="440"/>
        <w:jc w:val="both"/>
      </w:pPr>
      <w:r>
        <w:rPr>
          <w:sz w:val="22"/>
        </w:rPr>
        <w:t>2、合同总价</w:t>
      </w:r>
      <w:r>
        <w:rPr>
          <w:sz w:val="22"/>
        </w:rPr>
        <w:t>（合同预算）</w:t>
      </w:r>
      <w:r>
        <w:rPr>
          <w:sz w:val="22"/>
        </w:rPr>
        <w:t>：大写：</w:t>
      </w:r>
      <w:r>
        <w:rPr>
          <w:sz w:val="21"/>
          <w:u w:val="single"/>
        </w:rPr>
        <w:t xml:space="preserve">           </w:t>
      </w:r>
      <w:r>
        <w:rPr>
          <w:sz w:val="22"/>
        </w:rPr>
        <w:t>（小写：</w:t>
      </w:r>
      <w:r>
        <w:rPr>
          <w:sz w:val="22"/>
          <w:u w:val="single"/>
        </w:rPr>
        <w:t>¥</w:t>
      </w:r>
      <w:r>
        <w:rPr>
          <w:sz w:val="21"/>
          <w:u w:val="single"/>
        </w:rPr>
        <w:t xml:space="preserve">             </w:t>
      </w:r>
      <w:r>
        <w:rPr>
          <w:sz w:val="22"/>
        </w:rPr>
        <w:t>元）</w:t>
      </w:r>
      <w:r>
        <w:rPr>
          <w:sz w:val="22"/>
        </w:rPr>
        <w:t>；中标单价为</w:t>
      </w:r>
      <w:r>
        <w:rPr>
          <w:sz w:val="21"/>
          <w:u w:val="single"/>
        </w:rPr>
        <w:t xml:space="preserve">     </w:t>
      </w:r>
      <w:r>
        <w:rPr>
          <w:sz w:val="22"/>
        </w:rPr>
        <w:t>元</w:t>
      </w:r>
      <w:r>
        <w:rPr>
          <w:sz w:val="22"/>
        </w:rPr>
        <w:t>/人/天，实际支付费用即结算价以甲乙双方确认的实际出勤人数和实际服务天数为标准计算，结算费用=中标单价×实际出勤人数×实际服务天数。</w:t>
      </w:r>
    </w:p>
    <w:p>
      <w:pPr>
        <w:pStyle w:val="null3"/>
        <w:ind w:firstLine="442"/>
        <w:jc w:val="both"/>
      </w:pPr>
      <w:r>
        <w:rPr>
          <w:sz w:val="22"/>
          <w:b/>
        </w:rPr>
        <w:t>三、服务期限及地点</w:t>
      </w:r>
    </w:p>
    <w:p>
      <w:pPr>
        <w:pStyle w:val="null3"/>
        <w:ind w:firstLine="440"/>
        <w:jc w:val="both"/>
      </w:pPr>
      <w:r>
        <w:rPr>
          <w:sz w:val="22"/>
        </w:rPr>
        <w:t>1、服务期</w:t>
      </w:r>
      <w:r>
        <w:rPr>
          <w:sz w:val="22"/>
        </w:rPr>
        <w:t>（一年）</w:t>
      </w:r>
      <w:r>
        <w:rPr>
          <w:sz w:val="22"/>
        </w:rPr>
        <w:t>：从</w:t>
      </w:r>
      <w:r>
        <w:rPr>
          <w:sz w:val="21"/>
          <w:u w:val="single"/>
        </w:rPr>
        <w:t xml:space="preserve">     </w:t>
      </w:r>
      <w:r>
        <w:rPr>
          <w:sz w:val="22"/>
          <w:u w:val="single"/>
        </w:rPr>
        <w:t>年</w:t>
      </w:r>
      <w:r>
        <w:rPr>
          <w:sz w:val="21"/>
          <w:u w:val="single"/>
        </w:rPr>
        <w:t xml:space="preserve">   </w:t>
      </w:r>
      <w:r>
        <w:rPr>
          <w:sz w:val="22"/>
          <w:u w:val="single"/>
        </w:rPr>
        <w:t>月</w:t>
      </w:r>
      <w:r>
        <w:rPr>
          <w:sz w:val="22"/>
          <w:u w:val="single"/>
        </w:rPr>
        <w:t xml:space="preserve">   </w:t>
      </w:r>
      <w:r>
        <w:rPr>
          <w:sz w:val="22"/>
          <w:u w:val="single"/>
        </w:rPr>
        <w:t>日</w:t>
      </w:r>
      <w:r>
        <w:rPr>
          <w:sz w:val="22"/>
        </w:rPr>
        <w:t>至</w:t>
      </w:r>
      <w:r>
        <w:rPr>
          <w:sz w:val="21"/>
          <w:u w:val="single"/>
        </w:rPr>
        <w:t xml:space="preserve">    </w:t>
      </w:r>
      <w:r>
        <w:rPr>
          <w:sz w:val="22"/>
          <w:u w:val="single"/>
        </w:rPr>
        <w:t>年</w:t>
      </w:r>
      <w:r>
        <w:rPr>
          <w:sz w:val="21"/>
          <w:u w:val="single"/>
        </w:rPr>
        <w:t xml:space="preserve">     </w:t>
      </w:r>
      <w:r>
        <w:rPr>
          <w:sz w:val="22"/>
          <w:u w:val="single"/>
        </w:rPr>
        <w:t>月</w:t>
      </w:r>
      <w:r>
        <w:rPr>
          <w:sz w:val="22"/>
          <w:u w:val="single"/>
        </w:rPr>
        <w:t xml:space="preserve">   </w:t>
      </w:r>
      <w:r>
        <w:rPr>
          <w:sz w:val="22"/>
          <w:u w:val="single"/>
        </w:rPr>
        <w:t>日止</w:t>
      </w:r>
      <w:r>
        <w:rPr>
          <w:sz w:val="22"/>
        </w:rPr>
        <w:t>，或累计费用达到合同预算限额时自动终止；以前述两者中较早到达者为准。</w:t>
      </w:r>
    </w:p>
    <w:p>
      <w:pPr>
        <w:pStyle w:val="null3"/>
        <w:ind w:firstLine="440"/>
        <w:jc w:val="both"/>
      </w:pPr>
      <w:r>
        <w:rPr>
          <w:sz w:val="22"/>
        </w:rPr>
        <w:t>2、服务地点：甲方指定地点</w:t>
      </w:r>
      <w:r>
        <w:rPr>
          <w:sz w:val="22"/>
        </w:rPr>
        <w:t>（东莞市东城街道辖区内公共环境）</w:t>
      </w:r>
      <w:r>
        <w:rPr>
          <w:sz w:val="22"/>
        </w:rPr>
        <w:t>。</w:t>
      </w:r>
    </w:p>
    <w:p>
      <w:pPr>
        <w:pStyle w:val="null3"/>
        <w:ind w:firstLine="442"/>
        <w:jc w:val="both"/>
      </w:pPr>
      <w:r>
        <w:rPr>
          <w:sz w:val="22"/>
          <w:b/>
        </w:rPr>
        <w:t>四、付款方式</w:t>
      </w:r>
    </w:p>
    <w:p>
      <w:pPr>
        <w:pStyle w:val="null3"/>
        <w:ind w:firstLine="440"/>
        <w:jc w:val="both"/>
      </w:pPr>
      <w:r>
        <w:rPr>
          <w:sz w:val="22"/>
        </w:rPr>
        <w:t>1、应急服务实行按半年（6个月）据实结算，结算计算公式：结算费用=中标单价×实际出勤人数×实际服务天数。若考核未达到合格分或发生服务违约行为，须从结算费用中扣除相应服务费及违约款项。服务每满半年（6个月），乙方向甲方提交该期服务记录表和有效发票申请结算，甲方收到发票并核实相关费用后结付该期服务费。</w:t>
      </w:r>
    </w:p>
    <w:p>
      <w:pPr>
        <w:pStyle w:val="null3"/>
        <w:ind w:firstLine="440"/>
        <w:jc w:val="both"/>
      </w:pPr>
      <w:r>
        <w:rPr>
          <w:sz w:val="22"/>
        </w:rPr>
        <w:t>2、付款前乙方应向甲方提出请款申请及所需的材料和等额合格发票。本合同的经费由政府拨款，如因政策影响，拨款未能及时到位，乙方不得以此为由而不履行本合同规定的义务。否则，甲方按规定扣罚。</w:t>
      </w:r>
      <w:r>
        <w:rPr>
          <w:sz w:val="22"/>
        </w:rPr>
        <w:t>如因乙方怠于或者拒绝提供资料或者办理手续等乙方原因以及甲方财政审核原因导致的付款延迟，甲方不以违约论，乙方不得因此暂停履行本合同或主张解除本合同，也不得以此为由要求甲方承担违约责任或支付任何补偿、赔偿。</w:t>
      </w:r>
    </w:p>
    <w:p>
      <w:pPr>
        <w:pStyle w:val="null3"/>
        <w:ind w:firstLine="440"/>
        <w:jc w:val="both"/>
      </w:pPr>
      <w:r>
        <w:rPr>
          <w:sz w:val="22"/>
        </w:rPr>
        <w:t>上述款项以银行转账的方式支付。</w:t>
      </w:r>
    </w:p>
    <w:p>
      <w:pPr>
        <w:pStyle w:val="null3"/>
        <w:ind w:firstLine="440"/>
        <w:jc w:val="both"/>
      </w:pPr>
      <w:r>
        <w:rPr>
          <w:sz w:val="22"/>
        </w:rPr>
        <w:t>乙方银行账号</w:t>
      </w:r>
      <w:r>
        <w:rPr>
          <w:sz w:val="22"/>
        </w:rPr>
        <w:t>:</w:t>
      </w:r>
      <w:r>
        <w:rPr>
          <w:sz w:val="21"/>
          <w:u w:val="single"/>
        </w:rPr>
        <w:t xml:space="preserve">                        </w:t>
      </w:r>
    </w:p>
    <w:p>
      <w:pPr>
        <w:pStyle w:val="null3"/>
        <w:ind w:firstLine="440"/>
        <w:jc w:val="both"/>
      </w:pPr>
      <w:r>
        <w:rPr>
          <w:sz w:val="22"/>
        </w:rPr>
        <w:t>账</w:t>
      </w:r>
      <w:r>
        <w:rPr>
          <w:sz w:val="22"/>
        </w:rPr>
        <w:t xml:space="preserve">  </w:t>
      </w:r>
      <w:r>
        <w:rPr>
          <w:sz w:val="22"/>
        </w:rPr>
        <w:t>户名称</w:t>
      </w:r>
      <w:r>
        <w:rPr>
          <w:sz w:val="22"/>
        </w:rPr>
        <w:t>:</w:t>
      </w:r>
      <w:r>
        <w:rPr>
          <w:sz w:val="21"/>
          <w:u w:val="single"/>
        </w:rPr>
        <w:t xml:space="preserve">                        </w:t>
      </w:r>
    </w:p>
    <w:p>
      <w:pPr>
        <w:pStyle w:val="null3"/>
        <w:ind w:firstLine="440"/>
        <w:jc w:val="both"/>
      </w:pPr>
      <w:r>
        <w:rPr>
          <w:sz w:val="22"/>
        </w:rPr>
        <w:t>开</w:t>
      </w:r>
      <w:r>
        <w:rPr>
          <w:sz w:val="22"/>
        </w:rPr>
        <w:t xml:space="preserve">   </w:t>
      </w:r>
      <w:r>
        <w:rPr>
          <w:sz w:val="22"/>
        </w:rPr>
        <w:t>户</w:t>
      </w:r>
      <w:r>
        <w:rPr>
          <w:sz w:val="22"/>
        </w:rPr>
        <w:t xml:space="preserve">   </w:t>
      </w:r>
      <w:r>
        <w:rPr>
          <w:sz w:val="22"/>
        </w:rPr>
        <w:t>行</w:t>
      </w:r>
      <w:r>
        <w:rPr>
          <w:sz w:val="22"/>
        </w:rPr>
        <w:t>:</w:t>
      </w:r>
      <w:r>
        <w:rPr>
          <w:sz w:val="21"/>
          <w:u w:val="single"/>
        </w:rPr>
        <w:t xml:space="preserve">                        </w:t>
      </w:r>
    </w:p>
    <w:p>
      <w:pPr>
        <w:pStyle w:val="null3"/>
        <w:ind w:firstLine="442"/>
        <w:jc w:val="both"/>
      </w:pPr>
      <w:r>
        <w:rPr>
          <w:sz w:val="22"/>
          <w:b/>
        </w:rPr>
        <w:t>五、应急消杀标准</w:t>
      </w:r>
    </w:p>
    <w:p>
      <w:pPr>
        <w:pStyle w:val="null3"/>
        <w:ind w:firstLine="440"/>
        <w:jc w:val="both"/>
      </w:pPr>
      <w:r>
        <w:rPr>
          <w:sz w:val="22"/>
        </w:rPr>
        <w:t>核心区和警戒区应在</w:t>
      </w:r>
      <w:r>
        <w:rPr>
          <w:sz w:val="22"/>
        </w:rPr>
        <w:t>3天内将成蚊密度控制在安全水平（如双层叠帐法帐诱指数小于0.9只/顶•小时，人诱停落法低于2只/人•次，诱蚊诱卵指数低于5）。</w:t>
      </w:r>
    </w:p>
    <w:p>
      <w:pPr>
        <w:pStyle w:val="null3"/>
        <w:ind w:firstLine="440"/>
        <w:jc w:val="both"/>
      </w:pPr>
      <w:r>
        <w:rPr>
          <w:sz w:val="22"/>
        </w:rPr>
        <w:t>备注：若国家标准发生更新的，以最新标准为准。</w:t>
      </w:r>
    </w:p>
    <w:p>
      <w:pPr>
        <w:pStyle w:val="null3"/>
        <w:ind w:firstLine="442"/>
        <w:jc w:val="both"/>
      </w:pPr>
      <w:r>
        <w:rPr>
          <w:sz w:val="22"/>
          <w:b/>
        </w:rPr>
        <w:t>六、应急服务要求</w:t>
      </w:r>
    </w:p>
    <w:p>
      <w:pPr>
        <w:pStyle w:val="null3"/>
        <w:ind w:firstLine="440"/>
        <w:jc w:val="both"/>
      </w:pPr>
      <w:r>
        <w:rPr>
          <w:sz w:val="22"/>
        </w:rPr>
        <w:t>1、乙方应严格按照《登革热和基孔肯雅热防控方案（2026年版）》、《东莞市登革热、基孔肯雅热疫点应急消杀技术工作指引（试行）》等相关要求，迅速开展灭蚊作业，将蚊媒密度控制在安全管控范围。</w:t>
      </w:r>
    </w:p>
    <w:p>
      <w:pPr>
        <w:pStyle w:val="null3"/>
        <w:ind w:firstLine="440"/>
        <w:jc w:val="both"/>
      </w:pPr>
      <w:r>
        <w:rPr>
          <w:sz w:val="22"/>
        </w:rPr>
        <w:t>2、乙方负责辖区范围内登革热、基孔肯雅热疫点核心区的蚊媒应急处置工作，对蚊媒密度监测指数偏高区域及重点难点区域，按甲方要求开展消杀作业。</w:t>
      </w:r>
    </w:p>
    <w:p>
      <w:pPr>
        <w:pStyle w:val="null3"/>
        <w:ind w:firstLine="440"/>
        <w:jc w:val="both"/>
      </w:pPr>
      <w:r>
        <w:rPr>
          <w:sz w:val="22"/>
        </w:rPr>
        <w:t>3、乙方负责对疫点周边公共外环境开展病媒生物孳生地排查，作业前开展现场勘察；对无法自行处置的问题须登记造册，并及时向甲方书面上报。</w:t>
      </w:r>
    </w:p>
    <w:p>
      <w:pPr>
        <w:pStyle w:val="null3"/>
        <w:ind w:firstLine="440"/>
        <w:jc w:val="both"/>
      </w:pPr>
      <w:r>
        <w:rPr>
          <w:sz w:val="22"/>
        </w:rPr>
        <w:t>4、作业人员须严格遵守消杀技术操作规程，文明规范作业；每日作业完成后，如实填写蚊媒控制应急工作台账并及时上报甲方。</w:t>
      </w:r>
    </w:p>
    <w:p>
      <w:pPr>
        <w:pStyle w:val="null3"/>
        <w:ind w:firstLine="440"/>
        <w:jc w:val="both"/>
      </w:pPr>
      <w:r>
        <w:rPr>
          <w:sz w:val="22"/>
        </w:rPr>
        <w:t>5、乙方应主动向甲方提出合理化建议，指导开展积水清理、蚊虫防控等日常巩固工作。</w:t>
      </w:r>
    </w:p>
    <w:p>
      <w:pPr>
        <w:pStyle w:val="null3"/>
        <w:ind w:firstLine="440"/>
        <w:jc w:val="both"/>
      </w:pPr>
      <w:r>
        <w:rPr>
          <w:sz w:val="22"/>
        </w:rPr>
        <w:t>6、乙方应规范使用消杀药品，保障用药效果与作业安全；对需重点防护的部位和环节，应提前告知甲方并落实有效防护措施。</w:t>
      </w:r>
    </w:p>
    <w:p>
      <w:pPr>
        <w:pStyle w:val="null3"/>
        <w:ind w:firstLine="440"/>
        <w:jc w:val="both"/>
      </w:pPr>
      <w:r>
        <w:rPr>
          <w:sz w:val="22"/>
        </w:rPr>
        <w:t>7、如遇特殊情况或发生蚊媒传染病相关疫情，乙方应根据防控专班意见启动应急消杀。</w:t>
      </w:r>
    </w:p>
    <w:p>
      <w:pPr>
        <w:pStyle w:val="null3"/>
        <w:ind w:firstLine="440"/>
        <w:jc w:val="both"/>
      </w:pPr>
      <w:r>
        <w:rPr>
          <w:sz w:val="22"/>
        </w:rPr>
        <w:t>8、应急服务根据疫情形势动态调整，本项目应急队伍储备人员24人（常态下至少12人），工作天数按实际需求确定，服务费用按实际完成情况结算。</w:t>
      </w:r>
    </w:p>
    <w:p>
      <w:pPr>
        <w:pStyle w:val="null3"/>
        <w:ind w:firstLine="440"/>
        <w:jc w:val="both"/>
      </w:pPr>
      <w:r>
        <w:rPr>
          <w:sz w:val="22"/>
        </w:rPr>
        <w:t>9、由甲方组织安排乙方在疫点核心区内进行应急消杀（以实际指派任务及工作量为准），每次行动根据甲方实际情况安排，工作时间一般为每天7小时，早上7：00-10：00，15:00-19:00。</w:t>
      </w:r>
    </w:p>
    <w:p>
      <w:pPr>
        <w:pStyle w:val="null3"/>
        <w:ind w:firstLine="440"/>
        <w:jc w:val="both"/>
      </w:pPr>
      <w:r>
        <w:rPr>
          <w:sz w:val="22"/>
        </w:rPr>
        <w:t>10、应急队伍遵循“15分钟响应、1小时抵达、2小时展开”的快速处置标准。每个病例区域投入不少于12名经专业认证的应急队员，全员配备标准化的专业消杀设备与足量应急药品器械，确保抵达现场即可投入工作。</w:t>
      </w:r>
    </w:p>
    <w:p>
      <w:pPr>
        <w:pStyle w:val="null3"/>
        <w:ind w:firstLine="440"/>
        <w:jc w:val="both"/>
      </w:pPr>
      <w:r>
        <w:rPr>
          <w:sz w:val="22"/>
        </w:rPr>
        <w:t>11、处置实行“一疫点一策”，将根据病例区域具体环境类型（如物业小区、建筑工地、公园水体、城中村居民楼等），在市级指引框架下，定制包含药品科学选择（实施轮换用药，规避抗药性）、施药技术、重点靶位的个性化处置方案，按需投入使用无人机等设备，确保精准消杀，提升效能、减少环境影响。</w:t>
      </w:r>
    </w:p>
    <w:p>
      <w:pPr>
        <w:pStyle w:val="null3"/>
        <w:ind w:firstLine="440"/>
        <w:jc w:val="both"/>
      </w:pPr>
      <w:r>
        <w:rPr>
          <w:sz w:val="22"/>
        </w:rPr>
        <w:t>12、处置工作严格遵循《东莞市基孔肯雅热疫情应急处置工作指引》，执行“1113”快速处置机制：第1时间划定风险区域，启动紧急消杀；第1时间完成核心区入户排查与处置；1天内实现核心区与警戒区成蚊灭杀全覆盖；3天内通过持续监测与消杀，将蚊媒密度控制在安全范围。</w:t>
      </w:r>
    </w:p>
    <w:p>
      <w:pPr>
        <w:pStyle w:val="null3"/>
        <w:ind w:firstLine="440"/>
        <w:jc w:val="both"/>
      </w:pPr>
      <w:r>
        <w:rPr>
          <w:sz w:val="22"/>
        </w:rPr>
        <w:t>13、乙方自行负责消杀服务队伍的办公场所和员工培训，并应保证各项业务工作顺利实施。</w:t>
      </w:r>
    </w:p>
    <w:p>
      <w:pPr>
        <w:pStyle w:val="null3"/>
        <w:ind w:firstLine="440"/>
        <w:jc w:val="both"/>
      </w:pPr>
      <w:r>
        <w:rPr>
          <w:sz w:val="22"/>
        </w:rPr>
        <w:t>14、甲方安排专人督导消杀服务队伍，乙方合理安排工作，每次消杀要记录消杀服务队伍的人员情况和药械的使用情况，并组织安排质控考核评估工作。</w:t>
      </w:r>
    </w:p>
    <w:p>
      <w:pPr>
        <w:pStyle w:val="null3"/>
        <w:ind w:firstLine="440"/>
        <w:jc w:val="both"/>
      </w:pPr>
      <w:r>
        <w:rPr>
          <w:sz w:val="22"/>
        </w:rPr>
        <w:t>15、在服务期间每天工作结束后要做好蚊媒控制应急消杀工作台账，内容包括消杀日期、消杀起止时间、消杀区域、使用器械、药物名称/成分、药物剂型、药物浓度、药物稀释倍数、药物用量、消杀面积（M2）或户数、施工人数、天气情况、消杀责任人。</w:t>
      </w:r>
    </w:p>
    <w:p>
      <w:pPr>
        <w:pStyle w:val="null3"/>
        <w:ind w:firstLine="442"/>
        <w:jc w:val="both"/>
      </w:pPr>
      <w:r>
        <w:rPr>
          <w:sz w:val="22"/>
          <w:b/>
        </w:rPr>
        <w:t>七、</w:t>
      </w:r>
      <w:r>
        <w:rPr>
          <w:sz w:val="22"/>
          <w:b/>
        </w:rPr>
        <w:t>项目人员、设备配置、应急药物要求</w:t>
      </w:r>
    </w:p>
    <w:p>
      <w:pPr>
        <w:pStyle w:val="null3"/>
        <w:ind w:firstLine="442"/>
        <w:jc w:val="both"/>
      </w:pPr>
      <w:r>
        <w:rPr>
          <w:sz w:val="22"/>
          <w:b/>
        </w:rPr>
        <w:t>1、项目人员配置：</w:t>
      </w:r>
    </w:p>
    <w:p>
      <w:pPr>
        <w:pStyle w:val="null3"/>
        <w:ind w:firstLine="440"/>
        <w:jc w:val="both"/>
      </w:pPr>
      <w:r>
        <w:rPr>
          <w:sz w:val="22"/>
        </w:rPr>
        <w:t>蚊媒传染病应急消杀人员不得少于</w:t>
      </w:r>
      <w:r>
        <w:rPr>
          <w:sz w:val="22"/>
        </w:rPr>
        <w:t>12人且必须取得有害生物防制类证书。</w:t>
      </w:r>
    </w:p>
    <w:p>
      <w:pPr>
        <w:pStyle w:val="null3"/>
        <w:ind w:firstLine="442"/>
        <w:jc w:val="both"/>
      </w:pPr>
      <w:r>
        <w:rPr>
          <w:sz w:val="22"/>
          <w:b/>
        </w:rPr>
        <w:t>2、拟投入本项目必要的机械设备及数量</w:t>
      </w:r>
    </w:p>
    <w:tbl>
      <w:tblPr>
        <w:tblW w:w="0" w:type="auto"/>
        <w:tblBorders>
          <w:top w:val="none" w:color="000000" w:sz="4"/>
          <w:left w:val="none" w:color="000000" w:sz="4"/>
          <w:bottom w:val="none" w:color="000000" w:sz="4"/>
          <w:right w:val="none" w:color="000000" w:sz="4"/>
          <w:insideH w:val="none"/>
          <w:insideV w:val="none"/>
        </w:tblBorders>
      </w:tblPr>
      <w:tblGrid>
        <w:gridCol w:w="703"/>
        <w:gridCol w:w="1590"/>
        <w:gridCol w:w="788"/>
        <w:gridCol w:w="5208"/>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5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工作车辆</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5辆</w:t>
            </w:r>
          </w:p>
        </w:tc>
        <w:tc>
          <w:tcPr>
            <w:tcW w:type="dxa" w:w="5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车身尺寸：</w:t>
            </w:r>
            <w:r>
              <w:rPr>
                <w:sz w:val="22"/>
              </w:rPr>
              <w:t>4415×1665×1850mm</w:t>
            </w:r>
          </w:p>
          <w:p>
            <w:pPr>
              <w:pStyle w:val="null3"/>
              <w:jc w:val="left"/>
            </w:pPr>
            <w:r>
              <w:rPr>
                <w:sz w:val="22"/>
              </w:rPr>
              <w:t>轴距：</w:t>
            </w:r>
            <w:r>
              <w:rPr>
                <w:sz w:val="22"/>
              </w:rPr>
              <w:t>2720mm</w:t>
            </w:r>
          </w:p>
          <w:p>
            <w:pPr>
              <w:pStyle w:val="null3"/>
              <w:jc w:val="left"/>
            </w:pPr>
            <w:r>
              <w:rPr>
                <w:sz w:val="22"/>
              </w:rPr>
              <w:t>货厢空间座椅折叠后最大</w:t>
            </w:r>
            <w:r>
              <w:rPr>
                <w:sz w:val="22"/>
              </w:rPr>
              <w:t>4300L</w:t>
            </w:r>
            <w:r>
              <w:rPr>
                <w:sz w:val="22"/>
              </w:rPr>
              <w:t>，净高</w:t>
            </w:r>
            <w:r>
              <w:rPr>
                <w:sz w:val="22"/>
              </w:rPr>
              <w:t xml:space="preserve"> 1824mm</w:t>
            </w:r>
          </w:p>
          <w:p>
            <w:pPr>
              <w:pStyle w:val="null3"/>
              <w:jc w:val="left"/>
            </w:pPr>
            <w:r>
              <w:rPr>
                <w:sz w:val="22"/>
              </w:rPr>
              <w:t>最大允许总质量：</w:t>
            </w:r>
            <w:r>
              <w:rPr>
                <w:sz w:val="22"/>
              </w:rPr>
              <w:t>1825kg</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热烟雾机</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10台</w:t>
            </w:r>
          </w:p>
        </w:tc>
        <w:tc>
          <w:tcPr>
            <w:tcW w:type="dxa" w:w="5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药箱容积：</w:t>
            </w:r>
            <w:r>
              <w:rPr>
                <w:sz w:val="22"/>
              </w:rPr>
              <w:t>5L</w:t>
            </w:r>
          </w:p>
          <w:p>
            <w:pPr>
              <w:pStyle w:val="null3"/>
              <w:jc w:val="left"/>
            </w:pPr>
            <w:r>
              <w:rPr>
                <w:sz w:val="22"/>
              </w:rPr>
              <w:t>油箱容积：</w:t>
            </w:r>
            <w:r>
              <w:rPr>
                <w:sz w:val="22"/>
              </w:rPr>
              <w:t>1.5L</w:t>
            </w:r>
          </w:p>
          <w:p>
            <w:pPr>
              <w:pStyle w:val="null3"/>
              <w:jc w:val="left"/>
            </w:pPr>
            <w:r>
              <w:rPr>
                <w:sz w:val="22"/>
              </w:rPr>
              <w:t>药液输出量：</w:t>
            </w:r>
            <w:r>
              <w:rPr>
                <w:sz w:val="22"/>
              </w:rPr>
              <w:t>8~42L/h</w:t>
            </w:r>
            <w:r>
              <w:rPr>
                <w:sz w:val="22"/>
              </w:rPr>
              <w:t>（可调）</w:t>
            </w:r>
          </w:p>
          <w:p>
            <w:pPr>
              <w:pStyle w:val="null3"/>
              <w:jc w:val="left"/>
            </w:pPr>
            <w:r>
              <w:rPr>
                <w:sz w:val="22"/>
              </w:rPr>
              <w:t>燃料类型：</w:t>
            </w:r>
            <w:r>
              <w:rPr>
                <w:sz w:val="22"/>
              </w:rPr>
              <w:t xml:space="preserve">90# </w:t>
            </w:r>
            <w:r>
              <w:rPr>
                <w:sz w:val="22"/>
              </w:rPr>
              <w:t>及以上汽油</w:t>
            </w:r>
          </w:p>
          <w:p>
            <w:pPr>
              <w:pStyle w:val="null3"/>
              <w:jc w:val="left"/>
            </w:pPr>
            <w:r>
              <w:rPr>
                <w:sz w:val="22"/>
              </w:rPr>
              <w:t>耗油量：约</w:t>
            </w:r>
            <w:r>
              <w:rPr>
                <w:sz w:val="22"/>
              </w:rPr>
              <w:t xml:space="preserve"> 1.5L/h</w:t>
            </w:r>
          </w:p>
          <w:p>
            <w:pPr>
              <w:pStyle w:val="null3"/>
              <w:jc w:val="left"/>
            </w:pPr>
            <w:r>
              <w:rPr>
                <w:sz w:val="22"/>
              </w:rPr>
              <w:t>燃烧室功率：</w:t>
            </w:r>
            <w:r>
              <w:rPr>
                <w:sz w:val="22"/>
              </w:rPr>
              <w:t>4kW</w:t>
            </w:r>
            <w:r>
              <w:rPr>
                <w:sz w:val="22"/>
              </w:rPr>
              <w:t>（</w:t>
            </w:r>
            <w:r>
              <w:rPr>
                <w:sz w:val="22"/>
              </w:rPr>
              <w:t xml:space="preserve">5.44 </w:t>
            </w:r>
            <w:r>
              <w:rPr>
                <w:sz w:val="22"/>
              </w:rPr>
              <w:t>马力）</w:t>
            </w:r>
          </w:p>
          <w:p>
            <w:pPr>
              <w:pStyle w:val="null3"/>
              <w:jc w:val="left"/>
            </w:pPr>
            <w:r>
              <w:rPr>
                <w:sz w:val="22"/>
              </w:rPr>
              <w:t>雾滴粒径：</w:t>
            </w:r>
            <w:r>
              <w:rPr>
                <w:sz w:val="22"/>
              </w:rPr>
              <w:t>1~50μm</w:t>
            </w:r>
            <w:r>
              <w:rPr>
                <w:sz w:val="22"/>
              </w:rPr>
              <w:t>（烟雾模式），可形成稳定弥漫性烟雾</w:t>
            </w:r>
          </w:p>
          <w:p>
            <w:pPr>
              <w:pStyle w:val="null3"/>
              <w:jc w:val="left"/>
            </w:pPr>
            <w:r>
              <w:rPr>
                <w:sz w:val="22"/>
              </w:rPr>
              <w:t>喷射距离：静风条件下：烟雾射程</w:t>
            </w:r>
            <w:r>
              <w:rPr>
                <w:sz w:val="22"/>
              </w:rPr>
              <w:t>≥20m</w:t>
            </w:r>
            <w:r>
              <w:rPr>
                <w:sz w:val="22"/>
              </w:rPr>
              <w:t>，水雾射程</w:t>
            </w:r>
            <w:r>
              <w:rPr>
                <w:sz w:val="22"/>
              </w:rPr>
              <w:t>≥10m</w:t>
            </w:r>
          </w:p>
          <w:p>
            <w:pPr>
              <w:pStyle w:val="null3"/>
              <w:jc w:val="left"/>
            </w:pPr>
            <w:r>
              <w:rPr>
                <w:sz w:val="22"/>
              </w:rPr>
              <w:t>启动方式：干电池电子点火（</w:t>
            </w:r>
            <w:r>
              <w:rPr>
                <w:sz w:val="22"/>
              </w:rPr>
              <w:t xml:space="preserve">1.5V×2~4 </w:t>
            </w:r>
            <w:r>
              <w:rPr>
                <w:sz w:val="22"/>
              </w:rPr>
              <w:t>节</w:t>
            </w:r>
            <w:r>
              <w:rPr>
                <w:sz w:val="22"/>
              </w:rPr>
              <w:t xml:space="preserve"> 1 </w:t>
            </w:r>
            <w:r>
              <w:rPr>
                <w:sz w:val="22"/>
              </w:rPr>
              <w:t>号电池）</w:t>
            </w:r>
          </w:p>
          <w:p>
            <w:pPr>
              <w:pStyle w:val="null3"/>
              <w:jc w:val="left"/>
            </w:pPr>
            <w:r>
              <w:rPr>
                <w:sz w:val="22"/>
              </w:rPr>
              <w:t>整机重量：约</w:t>
            </w:r>
            <w:r>
              <w:rPr>
                <w:sz w:val="22"/>
              </w:rPr>
              <w:t xml:space="preserve"> 7.9~8kg</w:t>
            </w:r>
          </w:p>
          <w:p>
            <w:pPr>
              <w:pStyle w:val="null3"/>
              <w:jc w:val="left"/>
            </w:pPr>
            <w:r>
              <w:rPr>
                <w:sz w:val="22"/>
              </w:rPr>
              <w:t>外形尺寸：</w:t>
            </w:r>
            <w:r>
              <w:rPr>
                <w:sz w:val="22"/>
              </w:rPr>
              <w:t>1440×270×315mm</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常量喷雾机</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20台</w:t>
            </w:r>
          </w:p>
        </w:tc>
        <w:tc>
          <w:tcPr>
            <w:tcW w:type="dxa" w:w="5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药箱容量：</w:t>
            </w:r>
            <w:r>
              <w:rPr>
                <w:sz w:val="22"/>
              </w:rPr>
              <w:t>18L</w:t>
            </w:r>
          </w:p>
          <w:p>
            <w:pPr>
              <w:pStyle w:val="null3"/>
              <w:jc w:val="left"/>
            </w:pPr>
            <w:r>
              <w:rPr>
                <w:sz w:val="22"/>
              </w:rPr>
              <w:t>工作压力：</w:t>
            </w:r>
            <w:r>
              <w:rPr>
                <w:sz w:val="22"/>
              </w:rPr>
              <w:t>0.2~0.4MPa</w:t>
            </w:r>
            <w:r>
              <w:rPr>
                <w:sz w:val="22"/>
              </w:rPr>
              <w:t>可调</w:t>
            </w:r>
          </w:p>
          <w:p>
            <w:pPr>
              <w:pStyle w:val="null3"/>
              <w:jc w:val="left"/>
            </w:pPr>
            <w:r>
              <w:rPr>
                <w:sz w:val="22"/>
              </w:rPr>
              <w:t>雾滴粒径：</w:t>
            </w:r>
            <w:r>
              <w:rPr>
                <w:sz w:val="22"/>
              </w:rPr>
              <w:t>150-300μm</w:t>
            </w:r>
          </w:p>
          <w:p>
            <w:pPr>
              <w:pStyle w:val="null3"/>
              <w:jc w:val="left"/>
            </w:pPr>
            <w:r>
              <w:rPr>
                <w:sz w:val="22"/>
              </w:rPr>
              <w:t>动力类型：直流电动（</w:t>
            </w:r>
            <w:r>
              <w:rPr>
                <w:sz w:val="22"/>
              </w:rPr>
              <w:t>12V</w:t>
            </w:r>
            <w:r>
              <w:rPr>
                <w:sz w:val="22"/>
              </w:rPr>
              <w:t>铅酸</w:t>
            </w:r>
            <w:r>
              <w:rPr>
                <w:sz w:val="22"/>
              </w:rPr>
              <w:t>/</w:t>
            </w:r>
            <w:r>
              <w:rPr>
                <w:sz w:val="22"/>
              </w:rPr>
              <w:t>锂电池）</w:t>
            </w:r>
          </w:p>
          <w:p>
            <w:pPr>
              <w:pStyle w:val="null3"/>
              <w:jc w:val="left"/>
            </w:pPr>
            <w:r>
              <w:rPr>
                <w:sz w:val="22"/>
              </w:rPr>
              <w:t>续航时间：连续工作</w:t>
            </w:r>
            <w:r>
              <w:rPr>
                <w:sz w:val="22"/>
              </w:rPr>
              <w:t>≥4-6</w:t>
            </w:r>
            <w:r>
              <w:rPr>
                <w:sz w:val="22"/>
              </w:rPr>
              <w:t>小时</w:t>
            </w:r>
          </w:p>
          <w:p>
            <w:pPr>
              <w:pStyle w:val="null3"/>
              <w:jc w:val="left"/>
            </w:pPr>
            <w:r>
              <w:rPr>
                <w:sz w:val="22"/>
              </w:rPr>
              <w:t>整机重量：约</w:t>
            </w:r>
            <w:r>
              <w:rPr>
                <w:sz w:val="22"/>
              </w:rPr>
              <w:t>4-6kg</w:t>
            </w:r>
            <w:r>
              <w:rPr>
                <w:sz w:val="22"/>
              </w:rPr>
              <w:t>（不含药液）</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绿篱超低多功能喷雾器</w:t>
            </w:r>
          </w:p>
          <w:p>
            <w:pPr>
              <w:pStyle w:val="null3"/>
              <w:jc w:val="center"/>
            </w:pPr>
            <w:r>
              <w:rPr>
                <w:sz w:val="22"/>
              </w:rPr>
              <w:t>（电动背负式）</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20台</w:t>
            </w:r>
          </w:p>
        </w:tc>
        <w:tc>
          <w:tcPr>
            <w:tcW w:type="dxa" w:w="5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1.喷雾压力≥0.6MPa，雾滴粒径10-50um，有效喷幅6—8米。</w:t>
            </w:r>
          </w:p>
          <w:p>
            <w:pPr>
              <w:pStyle w:val="null3"/>
              <w:jc w:val="left"/>
            </w:pPr>
            <w:r>
              <w:rPr>
                <w:sz w:val="22"/>
              </w:rPr>
              <w:t>2.绿篱喷头流量≥  110ml/min，超低喷头流量≥40ml/min。</w:t>
            </w:r>
          </w:p>
          <w:p>
            <w:pPr>
              <w:pStyle w:val="null3"/>
              <w:jc w:val="left"/>
            </w:pPr>
            <w:r>
              <w:rPr>
                <w:sz w:val="22"/>
              </w:rPr>
              <w:t>3.壶体容积≥10L，整机净重≥7KG.</w:t>
            </w:r>
          </w:p>
          <w:p>
            <w:pPr>
              <w:pStyle w:val="null3"/>
              <w:jc w:val="left"/>
            </w:pPr>
            <w:r>
              <w:rPr>
                <w:sz w:val="22"/>
              </w:rPr>
              <w:t>4.大容量锂电池≥21V，续航时间≥2.5小时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背负式超低容量喷雾机</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10台</w:t>
            </w:r>
          </w:p>
        </w:tc>
        <w:tc>
          <w:tcPr>
            <w:tcW w:type="dxa" w:w="5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油箱容量：</w:t>
            </w:r>
            <w:r>
              <w:rPr>
                <w:sz w:val="22"/>
              </w:rPr>
              <w:t>1公升</w:t>
            </w:r>
          </w:p>
          <w:p>
            <w:pPr>
              <w:pStyle w:val="null3"/>
              <w:jc w:val="left"/>
            </w:pPr>
            <w:r>
              <w:rPr>
                <w:sz w:val="22"/>
              </w:rPr>
              <w:t>药箱容量：</w:t>
            </w:r>
            <w:r>
              <w:rPr>
                <w:sz w:val="22"/>
              </w:rPr>
              <w:t>2.5公升</w:t>
            </w:r>
          </w:p>
          <w:p>
            <w:pPr>
              <w:pStyle w:val="null3"/>
              <w:jc w:val="left"/>
            </w:pPr>
            <w:r>
              <w:rPr>
                <w:sz w:val="22"/>
              </w:rPr>
              <w:t>压力：</w:t>
            </w:r>
            <w:r>
              <w:rPr>
                <w:sz w:val="22"/>
              </w:rPr>
              <w:t>0.52帕</w:t>
            </w:r>
          </w:p>
          <w:p>
            <w:pPr>
              <w:pStyle w:val="null3"/>
              <w:jc w:val="left"/>
            </w:pPr>
            <w:r>
              <w:rPr>
                <w:sz w:val="22"/>
              </w:rPr>
              <w:t>雾粒：</w:t>
            </w:r>
            <w:r>
              <w:rPr>
                <w:sz w:val="22"/>
              </w:rPr>
              <w:t>2-20微米射程：室内8米，户外14米</w:t>
            </w:r>
          </w:p>
          <w:p>
            <w:pPr>
              <w:pStyle w:val="null3"/>
              <w:jc w:val="left"/>
            </w:pPr>
            <w:r>
              <w:rPr>
                <w:sz w:val="22"/>
              </w:rPr>
              <w:t>(风速0.2米/秒)</w:t>
            </w:r>
          </w:p>
          <w:p>
            <w:pPr>
              <w:pStyle w:val="null3"/>
              <w:jc w:val="left"/>
            </w:pPr>
            <w:r>
              <w:rPr>
                <w:sz w:val="22"/>
              </w:rPr>
              <w:t>输出量：</w:t>
            </w:r>
            <w:r>
              <w:rPr>
                <w:sz w:val="22"/>
              </w:rPr>
              <w:t>NO.1   1.0公升/小时</w:t>
            </w:r>
          </w:p>
          <w:p>
            <w:pPr>
              <w:pStyle w:val="null3"/>
              <w:jc w:val="left"/>
            </w:pPr>
            <w:r>
              <w:rPr>
                <w:sz w:val="22"/>
              </w:rPr>
              <w:t>NO.2   2.0公升/小时</w:t>
            </w:r>
          </w:p>
          <w:p>
            <w:pPr>
              <w:pStyle w:val="null3"/>
              <w:jc w:val="left"/>
            </w:pPr>
            <w:r>
              <w:rPr>
                <w:sz w:val="22"/>
              </w:rPr>
              <w:t>NO.3   3.0公升/小时</w:t>
            </w:r>
          </w:p>
          <w:p>
            <w:pPr>
              <w:pStyle w:val="null3"/>
              <w:jc w:val="left"/>
            </w:pPr>
            <w:r>
              <w:rPr>
                <w:sz w:val="22"/>
              </w:rPr>
              <w:t>外形尺寸：</w:t>
            </w:r>
            <w:r>
              <w:rPr>
                <w:sz w:val="22"/>
              </w:rPr>
              <w:t>40×47×49.5厘米</w:t>
            </w:r>
          </w:p>
          <w:p>
            <w:pPr>
              <w:pStyle w:val="null3"/>
              <w:jc w:val="left"/>
            </w:pPr>
            <w:r>
              <w:rPr>
                <w:sz w:val="22"/>
              </w:rPr>
              <w:t>重量：</w:t>
            </w:r>
            <w:r>
              <w:rPr>
                <w:sz w:val="22"/>
              </w:rPr>
              <w:t>12公斤</w:t>
            </w:r>
          </w:p>
          <w:p>
            <w:pPr>
              <w:pStyle w:val="null3"/>
              <w:jc w:val="left"/>
            </w:pPr>
            <w:r>
              <w:rPr>
                <w:sz w:val="22"/>
              </w:rPr>
              <w:t>机油：</w:t>
            </w:r>
            <w:r>
              <w:rPr>
                <w:sz w:val="22"/>
              </w:rPr>
              <w:t>2冲程机油</w:t>
            </w:r>
          </w:p>
          <w:p>
            <w:pPr>
              <w:pStyle w:val="null3"/>
              <w:jc w:val="left"/>
            </w:pPr>
            <w:r>
              <w:rPr>
                <w:sz w:val="22"/>
              </w:rPr>
              <w:t>点火</w:t>
            </w:r>
            <w:r>
              <w:rPr>
                <w:sz w:val="22"/>
              </w:rPr>
              <w:t>/启动：电子，磁动/离心手拉式转动</w:t>
            </w:r>
          </w:p>
        </w:tc>
      </w:tr>
    </w:tbl>
    <w:p>
      <w:pPr>
        <w:pStyle w:val="null3"/>
        <w:ind w:firstLine="440"/>
        <w:jc w:val="both"/>
      </w:pPr>
      <w:r>
        <w:rPr>
          <w:sz w:val="22"/>
        </w:rPr>
        <w:t>1）本项目的设备、车辆在合同签订后7天内要经甲方验收认定，要求出具证明该批设备为乙方的发票或租赁凭证。如数量不符，则作违约处理，甲方有权解除本合同，取消乙方中标资格。</w:t>
      </w:r>
    </w:p>
    <w:p>
      <w:pPr>
        <w:pStyle w:val="null3"/>
        <w:ind w:firstLine="440"/>
        <w:jc w:val="both"/>
      </w:pPr>
      <w:r>
        <w:rPr>
          <w:sz w:val="22"/>
        </w:rPr>
        <w:t>2）实际进场的项目工作人员必须与投标中列明的人员数量相符，每少1个人在每月考核评分中扣1分。</w:t>
      </w:r>
    </w:p>
    <w:p>
      <w:pPr>
        <w:pStyle w:val="null3"/>
        <w:ind w:firstLine="440"/>
        <w:jc w:val="both"/>
      </w:pPr>
      <w:r>
        <w:rPr>
          <w:sz w:val="22"/>
        </w:rPr>
        <w:t>3）所使用设备、车辆须做好维护保养，保持外观整洁。</w:t>
      </w:r>
    </w:p>
    <w:p>
      <w:pPr>
        <w:pStyle w:val="null3"/>
        <w:ind w:firstLine="442"/>
        <w:jc w:val="both"/>
      </w:pPr>
      <w:r>
        <w:rPr>
          <w:sz w:val="22"/>
          <w:b/>
        </w:rPr>
        <w:t>3、应急药物要求：</w:t>
      </w:r>
    </w:p>
    <w:p>
      <w:pPr>
        <w:pStyle w:val="null3"/>
        <w:ind w:firstLine="440"/>
        <w:jc w:val="both"/>
      </w:pPr>
      <w:r>
        <w:rPr>
          <w:sz w:val="22"/>
        </w:rPr>
        <w:t>用药标准：乙方必须注重科学合理用药，使用的药物、器械必须符合国家的相关规定，禁止使用违禁药品，确保病媒生物控制达到</w:t>
      </w:r>
      <w:r>
        <w:rPr>
          <w:sz w:val="22"/>
        </w:rPr>
        <w:t>“安全、高效、环保”的要求，乙方应按市疾控中心年度抗药性监测结果，在附表药品内动态调整、轮换用药。如药物使用不当引起人畜中毒或其他责任事故的，乙方应承担责任。</w:t>
      </w:r>
    </w:p>
    <w:tbl>
      <w:tblPr>
        <w:tblW w:w="0" w:type="auto"/>
        <w:tblBorders>
          <w:top w:val="none" w:color="000000" w:sz="4"/>
          <w:left w:val="none" w:color="000000" w:sz="4"/>
          <w:bottom w:val="none" w:color="000000" w:sz="4"/>
          <w:right w:val="none" w:color="000000" w:sz="4"/>
          <w:insideH w:val="none"/>
          <w:insideV w:val="none"/>
        </w:tblBorders>
      </w:tblPr>
      <w:tblGrid>
        <w:gridCol w:w="862"/>
        <w:gridCol w:w="1696"/>
        <w:gridCol w:w="2866"/>
        <w:gridCol w:w="1140"/>
        <w:gridCol w:w="1696"/>
      </w:tblGrid>
      <w:tr>
        <w:tc>
          <w:tcPr>
            <w:tcW w:type="dxa" w:w="86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69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药品名称</w:t>
            </w:r>
          </w:p>
        </w:tc>
        <w:tc>
          <w:tcPr>
            <w:tcW w:type="dxa" w:w="28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有效成份含量</w:t>
            </w:r>
          </w:p>
        </w:tc>
        <w:tc>
          <w:tcPr>
            <w:tcW w:type="dxa" w:w="114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剂型</w:t>
            </w:r>
          </w:p>
        </w:tc>
        <w:tc>
          <w:tcPr>
            <w:tcW w:type="dxa" w:w="1696"/>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b/>
              </w:rPr>
              <w:t>说明</w:t>
            </w: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杀虫颗粒剂</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有机磷类或菊酯类制剂，总有效成分</w:t>
            </w:r>
            <w:r>
              <w:rPr>
                <w:sz w:val="22"/>
              </w:rPr>
              <w:t>≥5%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颗粒剂</w:t>
            </w:r>
          </w:p>
        </w:tc>
        <w:tc>
          <w:tcPr>
            <w:tcW w:type="dxa" w:w="169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化学水体灭蚊幼虫</w:t>
            </w: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苏云金杆菌悬浮剂</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苏云金杆菌</w:t>
            </w:r>
            <w:r>
              <w:rPr>
                <w:sz w:val="22"/>
              </w:rPr>
              <w:t>(以色列亚种)≥400ITU/毫克</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悬浮剂</w:t>
            </w:r>
          </w:p>
        </w:tc>
        <w:tc>
          <w:tcPr>
            <w:tcW w:type="dxa" w:w="169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生物水体灭蚊幼虫</w:t>
            </w: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杀虫热雾剂</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菊酯类混配剂，总有效成分</w:t>
            </w:r>
            <w:r>
              <w:rPr>
                <w:sz w:val="22"/>
              </w:rPr>
              <w:t>≥2.5%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热雾剂</w:t>
            </w:r>
          </w:p>
        </w:tc>
        <w:tc>
          <w:tcPr>
            <w:tcW w:type="dxa" w:w="169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烟熏下水道灭蚊、蟑。</w:t>
            </w: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四氟醚菊酯</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四氟醚菊酯混配剂，总有效成分</w:t>
            </w:r>
            <w:r>
              <w:rPr>
                <w:sz w:val="22"/>
              </w:rPr>
              <w:t>≥3.5%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乳油或水乳剂</w:t>
            </w:r>
          </w:p>
        </w:tc>
        <w:tc>
          <w:tcPr>
            <w:tcW w:type="dxa" w:w="1696"/>
            <w:vMerge w:val="restart"/>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超低容量控制蚊、蝇密度。</w:t>
            </w: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联苯菊酯</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联苯菊酯</w:t>
            </w:r>
            <w:r>
              <w:rPr>
                <w:sz w:val="22"/>
              </w:rPr>
              <w:t>≥5%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水乳剂</w:t>
            </w:r>
          </w:p>
        </w:tc>
        <w:tc>
          <w:tcPr>
            <w:tcW w:type="dxa" w:w="1696"/>
            <w:vMerge/>
            <w:tcBorders>
              <w:top w:val="none" w:color="000000" w:sz="4"/>
              <w:left w:val="none" w:color="000000" w:sz="4"/>
              <w:bottom w:val="single" w:color="000000" w:sz="4"/>
              <w:right w:val="single" w:color="000000" w:sz="8"/>
            </w:tcBorders>
          </w:tcP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四氟苯菊酯</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四氟苯菊酯混配剂，总有效</w:t>
            </w:r>
            <w:r>
              <w:rPr>
                <w:sz w:val="22"/>
              </w:rPr>
              <w:t>.成分≥6%</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w:t>
            </w:r>
          </w:p>
        </w:tc>
        <w:tc>
          <w:tcPr>
            <w:tcW w:type="dxa" w:w="1696"/>
            <w:vMerge/>
            <w:tcBorders>
              <w:top w:val="none" w:color="000000" w:sz="4"/>
              <w:left w:val="none" w:color="000000" w:sz="4"/>
              <w:bottom w:val="single" w:color="000000" w:sz="4"/>
              <w:right w:val="single" w:color="000000" w:sz="8"/>
            </w:tcBorders>
          </w:tcP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氯氟醚菊酯</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氯氟醚菊酯混配剂，总有效成分</w:t>
            </w:r>
            <w:r>
              <w:rPr>
                <w:sz w:val="22"/>
              </w:rPr>
              <w:t>≥6%</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乳油</w:t>
            </w:r>
          </w:p>
        </w:tc>
        <w:tc>
          <w:tcPr>
            <w:tcW w:type="dxa" w:w="1696"/>
            <w:vMerge/>
            <w:tcBorders>
              <w:top w:val="none" w:color="000000" w:sz="4"/>
              <w:left w:val="none" w:color="000000" w:sz="4"/>
              <w:bottom w:val="single" w:color="000000" w:sz="4"/>
              <w:right w:val="single" w:color="000000" w:sz="8"/>
            </w:tcBorders>
          </w:tcPr>
          <w:p/>
        </w:tc>
      </w:tr>
      <w:tr>
        <w:tc>
          <w:tcPr>
            <w:tcW w:type="dxa" w:w="86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残杀威</w:t>
            </w:r>
          </w:p>
        </w:tc>
        <w:tc>
          <w:tcPr>
            <w:tcW w:type="dxa" w:w="2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残杀威类混配剂，总有效成分</w:t>
            </w:r>
            <w:r>
              <w:rPr>
                <w:sz w:val="22"/>
              </w:rPr>
              <w:t>≥8%</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悬浮剂</w:t>
            </w:r>
          </w:p>
        </w:tc>
        <w:tc>
          <w:tcPr>
            <w:tcW w:type="dxa" w:w="1696"/>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室内外灭成蚊、蝇等。</w:t>
            </w:r>
          </w:p>
        </w:tc>
      </w:tr>
      <w:tr>
        <w:tc>
          <w:tcPr>
            <w:tcW w:type="dxa" w:w="86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9</w:t>
            </w:r>
          </w:p>
        </w:tc>
        <w:tc>
          <w:tcPr>
            <w:tcW w:type="dxa" w:w="169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甲基嘧啶磷</w:t>
            </w:r>
          </w:p>
        </w:tc>
        <w:tc>
          <w:tcPr>
            <w:tcW w:type="dxa" w:w="28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甲基嘧啶磷混配剂，总有效成分</w:t>
            </w:r>
            <w:r>
              <w:rPr>
                <w:sz w:val="22"/>
              </w:rPr>
              <w:t>≥7%</w:t>
            </w:r>
          </w:p>
        </w:tc>
        <w:tc>
          <w:tcPr>
            <w:tcW w:type="dxa" w:w="114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水乳剂</w:t>
            </w:r>
          </w:p>
        </w:tc>
        <w:tc>
          <w:tcPr>
            <w:tcW w:type="dxa" w:w="1696"/>
            <w:vMerge/>
            <w:tcBorders>
              <w:top w:val="none" w:color="000000" w:sz="4"/>
              <w:left w:val="none" w:color="000000" w:sz="4"/>
              <w:bottom w:val="single" w:color="000000" w:sz="8"/>
              <w:right w:val="single" w:color="000000" w:sz="8"/>
            </w:tcBorders>
          </w:tcPr>
          <w:p/>
        </w:tc>
      </w:tr>
    </w:tbl>
    <w:p>
      <w:pPr>
        <w:pStyle w:val="null3"/>
        <w:ind w:firstLine="440"/>
        <w:jc w:val="both"/>
      </w:pPr>
      <w:r>
        <w:rPr>
          <w:sz w:val="22"/>
        </w:rPr>
        <w:t>乙方应在中标结果公告后</w:t>
      </w:r>
      <w:r>
        <w:rPr>
          <w:sz w:val="22"/>
        </w:rPr>
        <w:t>3个工作日内提供药品以下资料扫描件给甲方进行审核。</w:t>
      </w:r>
    </w:p>
    <w:p>
      <w:pPr>
        <w:pStyle w:val="null3"/>
        <w:ind w:firstLine="440"/>
        <w:jc w:val="both"/>
      </w:pPr>
      <w:r>
        <w:rPr>
          <w:sz w:val="22"/>
        </w:rPr>
        <w:t>①由农业农村部颁发的农药登记证或农药临时登记证。</w:t>
      </w:r>
    </w:p>
    <w:p>
      <w:pPr>
        <w:pStyle w:val="null3"/>
        <w:ind w:firstLine="440"/>
        <w:jc w:val="both"/>
      </w:pPr>
      <w:r>
        <w:rPr>
          <w:sz w:val="22"/>
        </w:rPr>
        <w:t>②省级农业部门颁发的登记证、持有人或委托加工企业农药生产许可证（生产范围包括投标产品剂型。）。</w:t>
      </w:r>
    </w:p>
    <w:p>
      <w:pPr>
        <w:pStyle w:val="null3"/>
        <w:ind w:firstLine="440"/>
        <w:jc w:val="both"/>
      </w:pPr>
      <w:r>
        <w:rPr>
          <w:sz w:val="22"/>
        </w:rPr>
        <w:t>③质量技术监督部门或企业标准信息公共服务平台备案的企业标准封面。</w:t>
      </w:r>
    </w:p>
    <w:p>
      <w:pPr>
        <w:pStyle w:val="null3"/>
        <w:ind w:firstLine="440"/>
        <w:jc w:val="both"/>
      </w:pPr>
      <w:r>
        <w:rPr>
          <w:sz w:val="22"/>
        </w:rPr>
        <w:t>④序号①-③的资料需将证书复印件加盖供应商公章放入合同文件中且备案须在有效期内，续展期顺延三个月。</w:t>
      </w:r>
    </w:p>
    <w:p>
      <w:pPr>
        <w:pStyle w:val="null3"/>
        <w:ind w:firstLine="440"/>
        <w:jc w:val="both"/>
      </w:pPr>
      <w:r>
        <w:rPr>
          <w:sz w:val="22"/>
        </w:rPr>
        <w:t>⑤农药标签。</w:t>
      </w:r>
    </w:p>
    <w:p>
      <w:pPr>
        <w:pStyle w:val="null3"/>
        <w:ind w:firstLine="440"/>
        <w:jc w:val="both"/>
      </w:pPr>
      <w:r>
        <w:rPr>
          <w:sz w:val="22"/>
        </w:rPr>
        <w:t>⑥药品化学品安全技术说明书或农药产品安全数据单（MSDS）。</w:t>
      </w:r>
    </w:p>
    <w:p>
      <w:pPr>
        <w:pStyle w:val="null3"/>
        <w:ind w:firstLine="440"/>
        <w:jc w:val="both"/>
      </w:pPr>
      <w:r>
        <w:rPr>
          <w:sz w:val="22"/>
        </w:rPr>
        <w:t>⑦药品相关检测报告。</w:t>
      </w:r>
    </w:p>
    <w:p>
      <w:pPr>
        <w:pStyle w:val="null3"/>
        <w:ind w:firstLine="440"/>
        <w:jc w:val="both"/>
      </w:pPr>
      <w:r>
        <w:rPr>
          <w:sz w:val="22"/>
        </w:rPr>
        <w:t>乙方拟投用药物必须满足本项目需求的用药要求，如使用的药物效果不达标，甲方有权要求乙方更换药物，因此产生的费用均由乙方承担。</w:t>
      </w:r>
    </w:p>
    <w:p>
      <w:pPr>
        <w:pStyle w:val="null3"/>
        <w:ind w:firstLine="442"/>
        <w:jc w:val="both"/>
      </w:pPr>
      <w:r>
        <w:rPr>
          <w:sz w:val="22"/>
          <w:b/>
        </w:rPr>
        <w:t>八、</w:t>
      </w:r>
      <w:r>
        <w:rPr>
          <w:sz w:val="22"/>
          <w:b/>
        </w:rPr>
        <w:t>工作管理要求</w:t>
      </w:r>
    </w:p>
    <w:p>
      <w:pPr>
        <w:pStyle w:val="null3"/>
        <w:ind w:firstLine="440"/>
        <w:jc w:val="both"/>
      </w:pPr>
      <w:r>
        <w:rPr>
          <w:sz w:val="22"/>
        </w:rPr>
        <w:t>1、乙方对本项目应进行充分的理解及分析（包括但不限于基础调查、服务内容、项目环境情况、辖区内双热现状等理解熟悉情况）以及提供对重点难点分析的合理化建议。</w:t>
      </w:r>
    </w:p>
    <w:p>
      <w:pPr>
        <w:pStyle w:val="null3"/>
        <w:ind w:firstLine="440"/>
        <w:jc w:val="both"/>
      </w:pPr>
      <w:r>
        <w:rPr>
          <w:sz w:val="22"/>
        </w:rPr>
        <w:t>2、对于疫情应急响应，甲方提前两小时通知的前提下，乙方需按照要求及时响应。</w:t>
      </w:r>
    </w:p>
    <w:p>
      <w:pPr>
        <w:pStyle w:val="null3"/>
        <w:ind w:firstLine="440"/>
        <w:jc w:val="both"/>
      </w:pPr>
      <w:r>
        <w:rPr>
          <w:sz w:val="22"/>
        </w:rPr>
        <w:t>3、乙方应对项目提供总体实施服务方案（包括但不限于实施组织计划、灭蚊工作流程、技术措施、虫害管控等内容），且切实可行。</w:t>
      </w:r>
    </w:p>
    <w:p>
      <w:pPr>
        <w:pStyle w:val="null3"/>
        <w:ind w:firstLine="440"/>
        <w:jc w:val="both"/>
      </w:pPr>
      <w:r>
        <w:rPr>
          <w:sz w:val="22"/>
        </w:rPr>
        <w:t>4、乙方应对项目提供质量保证及安全作业措施（包括但不限于质量目标、工作保障措施、安全文明作业 、质量控制等）。</w:t>
      </w:r>
    </w:p>
    <w:p>
      <w:pPr>
        <w:pStyle w:val="null3"/>
        <w:ind w:firstLine="440"/>
        <w:jc w:val="both"/>
      </w:pPr>
      <w:r>
        <w:rPr>
          <w:sz w:val="22"/>
        </w:rPr>
        <w:t>5、乙方应对项目提供应急处置方案（包括但不限于针对天气影响，遇重大检查任务，重大节假日或活动，“两热”疫情加重等特殊情况制定应急方案，包括传达机制、人员和设备调配、责任分工等内容）。</w:t>
      </w:r>
    </w:p>
    <w:p>
      <w:pPr>
        <w:pStyle w:val="null3"/>
        <w:ind w:firstLine="440"/>
        <w:jc w:val="both"/>
      </w:pPr>
      <w:r>
        <w:rPr>
          <w:sz w:val="22"/>
        </w:rPr>
        <w:t>6、蚊媒控制应急消杀工作评价表</w:t>
      </w:r>
    </w:p>
    <w:p>
      <w:pPr>
        <w:pStyle w:val="null3"/>
        <w:jc w:val="center"/>
      </w:pPr>
      <w:r>
        <w:rPr>
          <w:sz w:val="22"/>
        </w:rPr>
        <w:t>乙方名称：</w:t>
      </w:r>
      <w:r>
        <w:rPr>
          <w:sz w:val="21"/>
        </w:rPr>
        <w:t xml:space="preserve">                       </w:t>
      </w:r>
      <w:r>
        <w:rPr>
          <w:sz w:val="22"/>
        </w:rPr>
        <w:t>处置区域：</w:t>
      </w:r>
      <w:r>
        <w:rPr>
          <w:sz w:val="21"/>
        </w:rPr>
        <w:t xml:space="preserve">                   </w:t>
      </w:r>
      <w:r>
        <w:rPr>
          <w:sz w:val="22"/>
        </w:rPr>
        <w:t>服务日期：</w:t>
      </w:r>
    </w:p>
    <w:tbl>
      <w:tblPr>
        <w:tblW w:w="0" w:type="auto"/>
        <w:tblBorders>
          <w:top w:val="none" w:color="000000" w:sz="4"/>
          <w:left w:val="none" w:color="000000" w:sz="4"/>
          <w:bottom w:val="none" w:color="000000" w:sz="4"/>
          <w:right w:val="none" w:color="000000" w:sz="4"/>
          <w:insideH w:val="none"/>
          <w:insideV w:val="none"/>
        </w:tblBorders>
      </w:tblPr>
      <w:tblGrid>
        <w:gridCol w:w="4412"/>
        <w:gridCol w:w="3159"/>
        <w:gridCol w:w="719"/>
      </w:tblGrid>
      <w:tr>
        <w:tc>
          <w:tcPr>
            <w:tcW w:type="dxa" w:w="4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扣分标准</w:t>
            </w:r>
          </w:p>
        </w:tc>
        <w:tc>
          <w:tcPr>
            <w:tcW w:type="dxa" w:w="3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扣分内容</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w:t>
            </w: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r>
              <w:rPr>
                <w:sz w:val="22"/>
              </w:rPr>
              <w:t>、响应及时性（</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每次响应甲方通知到达时间迟到半小时扣</w:t>
            </w:r>
            <w:r>
              <w:rPr>
                <w:sz w:val="22"/>
              </w:rPr>
              <w:t>1</w:t>
            </w:r>
            <w:r>
              <w:rPr>
                <w:sz w:val="22"/>
              </w:rPr>
              <w:t>分，最高扣</w:t>
            </w:r>
            <w:r>
              <w:rPr>
                <w:sz w:val="22"/>
              </w:rPr>
              <w:t>10</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2</w:t>
            </w:r>
            <w:r>
              <w:rPr>
                <w:sz w:val="22"/>
              </w:rPr>
              <w:t>、参与服务工作人员人数与甲方要求不符的（</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每少一人扣</w:t>
            </w:r>
            <w:r>
              <w:rPr>
                <w:sz w:val="22"/>
              </w:rPr>
              <w:t>1</w:t>
            </w:r>
            <w:r>
              <w:rPr>
                <w:sz w:val="22"/>
              </w:rPr>
              <w:t>分，最多扣</w:t>
            </w:r>
            <w:r>
              <w:rPr>
                <w:sz w:val="22"/>
              </w:rPr>
              <w:t>10</w:t>
            </w:r>
            <w:r>
              <w:rPr>
                <w:sz w:val="22"/>
              </w:rPr>
              <w:t>分。消杀人数：人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3</w:t>
            </w:r>
            <w:r>
              <w:rPr>
                <w:sz w:val="22"/>
              </w:rPr>
              <w:t>、不按照施（投）药技术规范使用药物、不根据甲方督导意见使用药物。</w:t>
            </w:r>
            <w:r>
              <w:rPr>
                <w:sz w:val="22"/>
              </w:rPr>
              <w:t>1</w:t>
            </w:r>
            <w:r>
              <w:rPr>
                <w:sz w:val="22"/>
              </w:rPr>
              <w:t>）药物是否为合格卫生杀虫剂；</w:t>
            </w:r>
            <w:r>
              <w:rPr>
                <w:sz w:val="22"/>
              </w:rPr>
              <w:t>2</w:t>
            </w:r>
            <w:r>
              <w:rPr>
                <w:sz w:val="22"/>
              </w:rPr>
              <w:t>）药物是否过期；</w:t>
            </w:r>
            <w:r>
              <w:rPr>
                <w:sz w:val="22"/>
              </w:rPr>
              <w:t>3</w:t>
            </w:r>
            <w:r>
              <w:rPr>
                <w:sz w:val="22"/>
              </w:rPr>
              <w:t>）浓度配比是否按照要求；</w:t>
            </w:r>
            <w:r>
              <w:rPr>
                <w:sz w:val="22"/>
              </w:rPr>
              <w:t>4</w:t>
            </w:r>
            <w:r>
              <w:rPr>
                <w:sz w:val="22"/>
              </w:rPr>
              <w:t>）药物和器械是否匹配；喷雾器型号是否满足要求；</w:t>
            </w:r>
            <w:r>
              <w:rPr>
                <w:sz w:val="22"/>
              </w:rPr>
              <w:t>5.</w:t>
            </w:r>
            <w:r>
              <w:rPr>
                <w:sz w:val="22"/>
              </w:rPr>
              <w:t>器械是否正常规范使用）（</w:t>
            </w:r>
            <w:r>
              <w:rPr>
                <w:sz w:val="22"/>
              </w:rPr>
              <w:t>20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出现上述任一情况扣</w:t>
            </w:r>
            <w:r>
              <w:rPr>
                <w:sz w:val="22"/>
              </w:rPr>
              <w:t>4</w:t>
            </w:r>
            <w:r>
              <w:rPr>
                <w:sz w:val="22"/>
              </w:rPr>
              <w:t>分，最多扣</w:t>
            </w:r>
            <w:r>
              <w:rPr>
                <w:sz w:val="22"/>
              </w:rPr>
              <w:t>20</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w:t>
            </w:r>
            <w:r>
              <w:rPr>
                <w:sz w:val="22"/>
              </w:rPr>
              <w:t>、未经甲方允许变更现场项目负责人（</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5</w:t>
            </w:r>
            <w:r>
              <w:rPr>
                <w:sz w:val="22"/>
              </w:rPr>
              <w:t>、未按时按要求制定处理方案，未按确定的处理方案内容开展工作（</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6</w:t>
            </w:r>
            <w:r>
              <w:rPr>
                <w:sz w:val="22"/>
              </w:rPr>
              <w:t>、乙方处理方案不根据实际情况制定、使用违禁药物以及其它弄虚作假等情况（</w:t>
            </w:r>
            <w:r>
              <w:rPr>
                <w:sz w:val="22"/>
              </w:rPr>
              <w:t>15</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15</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7</w:t>
            </w:r>
            <w:r>
              <w:rPr>
                <w:sz w:val="22"/>
              </w:rPr>
              <w:t>、消杀器械是否按甲方要求提供到场，每少一台相应的器械扣</w:t>
            </w:r>
            <w:r>
              <w:rPr>
                <w:sz w:val="22"/>
              </w:rPr>
              <w:t>1</w:t>
            </w:r>
            <w:r>
              <w:rPr>
                <w:sz w:val="22"/>
              </w:rPr>
              <w:t>分，最高扣</w:t>
            </w:r>
            <w:r>
              <w:rPr>
                <w:sz w:val="22"/>
              </w:rPr>
              <w:t>10</w:t>
            </w:r>
            <w:r>
              <w:rPr>
                <w:sz w:val="22"/>
              </w:rPr>
              <w:t>分（</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10</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8</w:t>
            </w:r>
            <w:r>
              <w:rPr>
                <w:sz w:val="22"/>
              </w:rPr>
              <w:t>、工作人员消极怠工，不服从工作安排，存在不良工作态度（</w:t>
            </w:r>
            <w:r>
              <w:rPr>
                <w:sz w:val="22"/>
              </w:rPr>
              <w:t>5</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违反上述情况扣</w:t>
            </w:r>
            <w:r>
              <w:rPr>
                <w:sz w:val="22"/>
              </w:rPr>
              <w:t>5</w:t>
            </w:r>
            <w:r>
              <w:rPr>
                <w:sz w:val="22"/>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9</w:t>
            </w:r>
            <w:r>
              <w:rPr>
                <w:sz w:val="22"/>
              </w:rPr>
              <w:t>、未按要求完成服务任务（</w:t>
            </w:r>
            <w:r>
              <w:rPr>
                <w:sz w:val="22"/>
              </w:rPr>
              <w:t>10</w:t>
            </w:r>
            <w:r>
              <w:rPr>
                <w:sz w:val="22"/>
              </w:rPr>
              <w:t>分）</w:t>
            </w:r>
          </w:p>
        </w:tc>
        <w:tc>
          <w:tcPr>
            <w:tcW w:type="dxa" w:w="3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未按要求完成服务任务，每发现一次扣</w:t>
            </w:r>
            <w:r>
              <w:rPr>
                <w:sz w:val="22"/>
              </w:rPr>
              <w:t>5分，扣完为止。</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评分</w:t>
            </w:r>
          </w:p>
        </w:tc>
        <w:tc>
          <w:tcPr>
            <w:tcW w:type="dxa" w:w="38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注：</w:t>
      </w:r>
    </w:p>
    <w:p>
      <w:pPr>
        <w:pStyle w:val="null3"/>
        <w:ind w:firstLine="440"/>
        <w:jc w:val="both"/>
      </w:pPr>
      <w:r>
        <w:rPr>
          <w:sz w:val="22"/>
        </w:rPr>
        <w:t>1、需甲方、乙方双方签名确认。</w:t>
      </w:r>
    </w:p>
    <w:p>
      <w:pPr>
        <w:pStyle w:val="null3"/>
        <w:ind w:firstLine="440"/>
        <w:jc w:val="both"/>
      </w:pPr>
      <w:r>
        <w:rPr>
          <w:sz w:val="22"/>
        </w:rPr>
        <w:t>2、此表满分100分，考核评分=100-扣分总数，考核评分作为支付服务费用的依据。</w:t>
      </w:r>
    </w:p>
    <w:p>
      <w:pPr>
        <w:pStyle w:val="null3"/>
        <w:ind w:firstLine="440"/>
        <w:jc w:val="both"/>
      </w:pPr>
      <w:r>
        <w:rPr>
          <w:sz w:val="22"/>
        </w:rPr>
        <w:t>3、80分或以上作为合格分，未达到合格分的，每扣10分，则扣除当次服务费的10%。（若80分＞当次得分≥70分，则服务费扣除当次结算服务费的10%，若70分＞当次得分≥60分，则扣除当次结算服务费20%，以此类推）。</w:t>
      </w:r>
    </w:p>
    <w:p>
      <w:pPr>
        <w:pStyle w:val="null3"/>
        <w:ind w:firstLine="442"/>
        <w:jc w:val="both"/>
      </w:pPr>
      <w:r>
        <w:rPr>
          <w:sz w:val="22"/>
          <w:b/>
        </w:rPr>
        <w:t>九、验收方式</w:t>
      </w:r>
    </w:p>
    <w:p>
      <w:pPr>
        <w:pStyle w:val="null3"/>
        <w:ind w:firstLine="440"/>
        <w:jc w:val="both"/>
      </w:pPr>
      <w:r>
        <w:rPr>
          <w:sz w:val="22"/>
        </w:rPr>
        <w:t>1、验收应在甲乙双方共同参加下进行，依据招标文件及本合同的有关规定制定的方案进行验收，并按国家有关规定、规范进行。</w:t>
      </w:r>
    </w:p>
    <w:p>
      <w:pPr>
        <w:pStyle w:val="null3"/>
        <w:ind w:firstLine="440"/>
        <w:jc w:val="both"/>
      </w:pPr>
      <w:r>
        <w:rPr>
          <w:sz w:val="22"/>
        </w:rPr>
        <w:t>2、甲方组织项目验收小组按国家有关规定、规范进行验收，必要时邀请相关专业人员或机构参与验收。</w:t>
      </w:r>
    </w:p>
    <w:p>
      <w:pPr>
        <w:pStyle w:val="null3"/>
        <w:ind w:firstLine="440"/>
        <w:jc w:val="both"/>
      </w:pPr>
      <w:r>
        <w:rPr>
          <w:sz w:val="22"/>
        </w:rPr>
        <w:t>3、对验收不合格的部分，乙方应在甲方规定时间内及时整改完善直至合格，如乙方逾期</w:t>
      </w:r>
      <w:r>
        <w:rPr>
          <w:sz w:val="22"/>
          <w:u w:val="single"/>
        </w:rPr>
        <w:t>5</w:t>
      </w:r>
      <w:r>
        <w:rPr>
          <w:sz w:val="22"/>
        </w:rPr>
        <w:t>天未能整改完善直至合格的，甲方有权单方解除合同，并要求乙方赔偿因其违约造成的损失，并支付合同价款总额</w:t>
      </w:r>
      <w:r>
        <w:rPr>
          <w:sz w:val="22"/>
          <w:u w:val="single"/>
        </w:rPr>
        <w:t>2</w:t>
      </w:r>
      <w:r>
        <w:rPr>
          <w:sz w:val="22"/>
          <w:u w:val="single"/>
        </w:rPr>
        <w:t>0</w:t>
      </w:r>
      <w:r>
        <w:rPr>
          <w:sz w:val="22"/>
        </w:rPr>
        <w:t>%的违约金。</w:t>
      </w:r>
    </w:p>
    <w:p>
      <w:pPr>
        <w:pStyle w:val="null3"/>
        <w:ind w:firstLine="442"/>
        <w:jc w:val="both"/>
      </w:pPr>
      <w:r>
        <w:rPr>
          <w:sz w:val="22"/>
          <w:b/>
        </w:rPr>
        <w:t>十、税和关税</w:t>
      </w:r>
    </w:p>
    <w:p>
      <w:pPr>
        <w:pStyle w:val="null3"/>
        <w:ind w:firstLine="440"/>
        <w:jc w:val="both"/>
      </w:pPr>
      <w:r>
        <w:rPr>
          <w:sz w:val="22"/>
        </w:rPr>
        <w:t>1、中国政府根据现行税法对甲方征收的与本合同有关的一切税费均应由甲方承担。</w:t>
      </w:r>
    </w:p>
    <w:p>
      <w:pPr>
        <w:pStyle w:val="null3"/>
        <w:ind w:firstLine="440"/>
        <w:jc w:val="both"/>
      </w:pPr>
      <w:r>
        <w:rPr>
          <w:sz w:val="22"/>
        </w:rPr>
        <w:t>2、中国政府根据现行税法规定对乙方或其雇员征收的与本合同有关的一切税费应由乙方承担。</w:t>
      </w:r>
    </w:p>
    <w:p>
      <w:pPr>
        <w:pStyle w:val="null3"/>
        <w:ind w:firstLine="440"/>
        <w:jc w:val="both"/>
      </w:pPr>
      <w:r>
        <w:rPr>
          <w:sz w:val="22"/>
        </w:rPr>
        <w:t>3、在中国境外发生的与本合同执行有关的一切税费均应由乙方承担。</w:t>
      </w:r>
    </w:p>
    <w:p>
      <w:pPr>
        <w:pStyle w:val="null3"/>
        <w:ind w:firstLine="442"/>
        <w:jc w:val="both"/>
      </w:pPr>
      <w:r>
        <w:rPr>
          <w:sz w:val="22"/>
          <w:b/>
        </w:rPr>
        <w:t>十一、其它约定</w:t>
      </w:r>
    </w:p>
    <w:p>
      <w:pPr>
        <w:pStyle w:val="null3"/>
        <w:ind w:firstLine="440"/>
        <w:jc w:val="both"/>
      </w:pPr>
      <w:r>
        <w:rPr>
          <w:sz w:val="22"/>
        </w:rPr>
        <w:t>1、严禁转包，未经甲方书面同意不得分包。</w:t>
      </w:r>
    </w:p>
    <w:p>
      <w:pPr>
        <w:pStyle w:val="null3"/>
        <w:ind w:firstLine="440"/>
        <w:jc w:val="both"/>
      </w:pPr>
      <w:r>
        <w:rPr>
          <w:sz w:val="22"/>
        </w:rPr>
        <w:t>2、乙方全部工作人员，须符合东莞市政府用工标准要求。</w:t>
      </w:r>
    </w:p>
    <w:p>
      <w:pPr>
        <w:pStyle w:val="null3"/>
        <w:ind w:firstLine="440"/>
        <w:jc w:val="both"/>
      </w:pPr>
      <w:r>
        <w:rPr>
          <w:sz w:val="22"/>
        </w:rPr>
        <w:t>3、乙方服务人员进行服务期间的过失或故意行为，造成甲方经济损失的，由乙方负责赔偿。</w:t>
      </w:r>
    </w:p>
    <w:p>
      <w:pPr>
        <w:pStyle w:val="null3"/>
        <w:ind w:firstLine="440"/>
        <w:jc w:val="both"/>
      </w:pPr>
      <w:r>
        <w:rPr>
          <w:sz w:val="22"/>
        </w:rPr>
        <w:t>4、服务人员的劳动关系隶属乙方，乙方负责服务人员的工资、节假日和超时加班补助费、社会保险、住宿、伙食等。</w:t>
      </w:r>
      <w:r>
        <w:rPr>
          <w:sz w:val="22"/>
        </w:rPr>
        <w:t>乙方与乙方人员产生的纠纷，由乙方自行解决并承担相应责任，与甲方无关，且不得因此影响本合同的正常履行。</w:t>
      </w:r>
    </w:p>
    <w:p>
      <w:pPr>
        <w:pStyle w:val="null3"/>
        <w:ind w:firstLine="440"/>
        <w:jc w:val="both"/>
      </w:pPr>
      <w:r>
        <w:rPr>
          <w:sz w:val="22"/>
        </w:rPr>
        <w:t>5、乙方负责</w:t>
      </w:r>
      <w:r>
        <w:rPr>
          <w:sz w:val="22"/>
        </w:rPr>
        <w:t>为</w:t>
      </w:r>
      <w:r>
        <w:rPr>
          <w:sz w:val="22"/>
        </w:rPr>
        <w:t>本项目服务人员购买因意外身故或伤残和因意外事故住院治疗保险，并负责办理一切保险赔偿手续。</w:t>
      </w:r>
    </w:p>
    <w:p>
      <w:pPr>
        <w:pStyle w:val="null3"/>
        <w:ind w:firstLine="440"/>
        <w:jc w:val="both"/>
      </w:pPr>
      <w:r>
        <w:rPr>
          <w:sz w:val="22"/>
        </w:rPr>
        <w:t>6、乙方在履行本合同过程中造成其人员或第三人人身或财产损害的，由其自行处理和承担赔偿责任，与甲方无关，乙方不得因此影响本合同的履行。如因此造成甲方损失或被第三方追偿的，甲方有权向乙方追偿，相关费用（包括但不限于甲方的损失、第三人索偿的全部费用以及甲方因此支出之差旅费、诉讼费、律师费等维权费用）全部由乙方承担。</w:t>
      </w:r>
    </w:p>
    <w:p>
      <w:pPr>
        <w:pStyle w:val="null3"/>
        <w:ind w:firstLine="442"/>
        <w:jc w:val="both"/>
      </w:pPr>
      <w:r>
        <w:rPr>
          <w:sz w:val="22"/>
          <w:b/>
        </w:rPr>
        <w:t>十二、违约责任</w:t>
      </w:r>
    </w:p>
    <w:p>
      <w:pPr>
        <w:pStyle w:val="null3"/>
        <w:ind w:firstLine="440"/>
        <w:jc w:val="both"/>
      </w:pPr>
      <w:r>
        <w:rPr>
          <w:sz w:val="22"/>
        </w:rPr>
        <w:t>1.乙方未按本合同约定提供服务或履行管理义务，包括但不限于作业质量不达标、安全文明施工措施不到位、材料设备不合规、人员配备不符等，每次应向甲方支付违约金人民币1000元。同一年度内累计发生5次的，甲方有权单方解除合同，乙方应支付合同总额20%的违约金，并赔偿甲方因此造成的全部损失。</w:t>
      </w:r>
    </w:p>
    <w:p>
      <w:pPr>
        <w:pStyle w:val="null3"/>
        <w:ind w:firstLine="440"/>
        <w:jc w:val="both"/>
      </w:pPr>
      <w:r>
        <w:rPr>
          <w:sz w:val="22"/>
        </w:rPr>
        <w:t>2.乙方无故停止工作（包括拒绝、拖延执行任务），每次应向甲方支付违约金人民币1000元。无故停工每年累计出现</w:t>
      </w:r>
      <w:r>
        <w:rPr>
          <w:sz w:val="21"/>
          <w:u w:val="single"/>
        </w:rPr>
        <w:t xml:space="preserve">   </w:t>
      </w:r>
      <w:r>
        <w:rPr>
          <w:sz w:val="22"/>
        </w:rPr>
        <w:t>次或累计达</w:t>
      </w:r>
      <w:r>
        <w:rPr>
          <w:sz w:val="22"/>
        </w:rPr>
        <w:t>7天的，甲方有权单方解除合同，乙方应支付合同总额20%的违约金，并赔偿甲方因此造成的全部损失。</w:t>
      </w:r>
    </w:p>
    <w:p>
      <w:pPr>
        <w:pStyle w:val="null3"/>
        <w:ind w:firstLine="440"/>
        <w:jc w:val="both"/>
      </w:pPr>
      <w:r>
        <w:rPr>
          <w:sz w:val="22"/>
        </w:rPr>
        <w:t>3.乙方未按约定的消杀时间与质量要求提供服务，每次应向甲方支付违约金</w:t>
      </w:r>
      <w:r>
        <w:rPr>
          <w:sz w:val="21"/>
          <w:u w:val="single"/>
        </w:rPr>
        <w:t xml:space="preserve">    </w:t>
      </w:r>
      <w:r>
        <w:rPr>
          <w:sz w:val="22"/>
        </w:rPr>
        <w:t>元，经甲方书面警告后仍未按要求完成的，甲方有权单方解除合同，并委托第三方进场作业，由此增加的费用及造成的损失由乙方承担，同时乙方应支付合同总额</w:t>
      </w:r>
      <w:r>
        <w:rPr>
          <w:sz w:val="22"/>
        </w:rPr>
        <w:t>20%的违约金。</w:t>
      </w:r>
    </w:p>
    <w:p>
      <w:pPr>
        <w:pStyle w:val="null3"/>
        <w:ind w:firstLine="440"/>
        <w:jc w:val="both"/>
      </w:pPr>
      <w:r>
        <w:rPr>
          <w:sz w:val="22"/>
        </w:rPr>
        <w:t>4.因乙方原因造成安全事故、造成甲方或第三方人身损害或财产损失的，由乙方承担全部法律责任及赔偿费用。</w:t>
      </w:r>
    </w:p>
    <w:p>
      <w:pPr>
        <w:pStyle w:val="null3"/>
        <w:ind w:firstLine="440"/>
        <w:jc w:val="both"/>
      </w:pPr>
      <w:r>
        <w:rPr>
          <w:sz w:val="22"/>
        </w:rPr>
        <w:t>5.乙方未经甲方书面同意，擅自将项目转包、分包或允许第三人以乙方名义履行合同的，甲方有权立即解除合同，并要求乙方支付合同总额20%的违约金并赔偿甲方因此造成的全部损失。</w:t>
      </w:r>
    </w:p>
    <w:p>
      <w:pPr>
        <w:pStyle w:val="null3"/>
        <w:ind w:firstLine="440"/>
        <w:jc w:val="both"/>
      </w:pPr>
      <w:r>
        <w:rPr>
          <w:sz w:val="22"/>
        </w:rPr>
        <w:t>6.因履行本合同工作而知悉的信息及获取的资料，乙方应承担保密义务，未经甲方同意，不得擅自向第三方泄露或用于本合同项目以外的其他用途。该保密义务不因本合同终止而终止。</w:t>
      </w:r>
    </w:p>
    <w:p>
      <w:pPr>
        <w:pStyle w:val="null3"/>
        <w:ind w:firstLine="440"/>
        <w:jc w:val="both"/>
      </w:pPr>
      <w:r>
        <w:rPr>
          <w:sz w:val="22"/>
        </w:rPr>
        <w:t>7.因乙方原因导致合同解除、终止（包括乙方违约解除、或甲方行使约定或法定解除权解除合同）的，乙方应支付合同总额20%的违约金。甲方根据本合同约定或法律规定选择解除合同的，自甲方的书面通知到达乙方之日合同解除。合同解除后，乙方应当在7日内完成退场等工作。乙方应当应甲方要求支付违约金、赔偿金，甲方有权从未支付的款项中扣除。违约金、赔偿金不足以弥补甲方损失的，甲方仍有权向乙方进行追偿。</w:t>
      </w:r>
    </w:p>
    <w:p>
      <w:pPr>
        <w:pStyle w:val="null3"/>
        <w:ind w:firstLine="440"/>
        <w:jc w:val="both"/>
      </w:pPr>
      <w:r>
        <w:rPr>
          <w:sz w:val="22"/>
        </w:rPr>
        <w:t>8.乙方违反本合同约定或法律规定的，应当赔偿给甲方造成的全部损失，包括但不限于直接损失、预期利益损失、第三方索赔、重新招投标产生的额外费用，以及甲方为索赔支出的诉讼费、律师费、差旅费、保全费、保全担保费、鉴定费、公证费、评估费、检测费、保管费、执行费等全部费用。</w:t>
      </w:r>
    </w:p>
    <w:p>
      <w:pPr>
        <w:pStyle w:val="null3"/>
        <w:ind w:firstLine="442"/>
        <w:jc w:val="both"/>
      </w:pPr>
      <w:r>
        <w:rPr>
          <w:sz w:val="22"/>
          <w:b/>
        </w:rPr>
        <w:t>十三、合同生效</w:t>
      </w:r>
    </w:p>
    <w:p>
      <w:pPr>
        <w:pStyle w:val="null3"/>
        <w:ind w:firstLine="440"/>
        <w:jc w:val="both"/>
      </w:pPr>
      <w:r>
        <w:rPr>
          <w:sz w:val="22"/>
        </w:rPr>
        <w:t>本合同自甲乙双方签字盖章之日起生效。</w:t>
      </w:r>
    </w:p>
    <w:p>
      <w:pPr>
        <w:pStyle w:val="null3"/>
        <w:ind w:firstLine="442"/>
        <w:jc w:val="both"/>
      </w:pPr>
      <w:r>
        <w:rPr>
          <w:sz w:val="22"/>
          <w:b/>
        </w:rPr>
        <w:t>十四、通知条款</w:t>
      </w:r>
    </w:p>
    <w:p>
      <w:pPr>
        <w:pStyle w:val="null3"/>
        <w:ind w:firstLine="440"/>
        <w:jc w:val="both"/>
      </w:pPr>
      <w:r>
        <w:rPr>
          <w:sz w:val="22"/>
        </w:rPr>
        <w:t>1.双方确认，与本合同履行有关而发出的所有书面通知或其他通讯，或者因争议解决由司法裁判机关发出的法律文书，均以本合同确定的通讯地址为准。送达有关文书时，如采用EMS邮寄送达的方式，发生收件人拒绝签收或其他无法送达情形的，则从发件人寄出文书之日起3日即视为已经送达。</w:t>
      </w:r>
    </w:p>
    <w:p>
      <w:pPr>
        <w:pStyle w:val="null3"/>
        <w:ind w:firstLine="440"/>
        <w:jc w:val="both"/>
      </w:pPr>
      <w:r>
        <w:rPr>
          <w:sz w:val="22"/>
        </w:rPr>
        <w:t>甲方地址：</w:t>
      </w:r>
      <w:r>
        <w:rPr>
          <w:sz w:val="22"/>
        </w:rPr>
        <w:t>___________________；电子邮箱：___________________；</w:t>
      </w:r>
    </w:p>
    <w:p>
      <w:pPr>
        <w:pStyle w:val="null3"/>
        <w:ind w:firstLine="440"/>
        <w:jc w:val="both"/>
      </w:pPr>
      <w:r>
        <w:rPr>
          <w:sz w:val="22"/>
        </w:rPr>
        <w:t>联系电话：</w:t>
      </w:r>
      <w:r>
        <w:rPr>
          <w:sz w:val="22"/>
        </w:rPr>
        <w:t>___________________；联 系 人：___________________。</w:t>
      </w:r>
    </w:p>
    <w:p>
      <w:pPr>
        <w:pStyle w:val="null3"/>
        <w:ind w:firstLine="440"/>
        <w:jc w:val="both"/>
      </w:pPr>
      <w:r>
        <w:rPr>
          <w:sz w:val="22"/>
        </w:rPr>
        <w:t>乙方地址：</w:t>
      </w:r>
      <w:r>
        <w:rPr>
          <w:sz w:val="22"/>
        </w:rPr>
        <w:t>___________________；电子邮箱：___________________；</w:t>
      </w:r>
    </w:p>
    <w:p>
      <w:pPr>
        <w:pStyle w:val="null3"/>
        <w:ind w:firstLine="440"/>
        <w:jc w:val="both"/>
      </w:pPr>
      <w:r>
        <w:rPr>
          <w:sz w:val="22"/>
        </w:rPr>
        <w:t>联系电话：</w:t>
      </w:r>
      <w:r>
        <w:rPr>
          <w:sz w:val="22"/>
        </w:rPr>
        <w:t>___________________；联 系 人：___________________。</w:t>
      </w:r>
    </w:p>
    <w:p>
      <w:pPr>
        <w:pStyle w:val="null3"/>
        <w:ind w:firstLine="440"/>
        <w:jc w:val="both"/>
      </w:pPr>
      <w:r>
        <w:rPr>
          <w:sz w:val="22"/>
        </w:rPr>
        <w:t>2.任何一方的通讯地址发生变化的，应书面通知对方，否则，应自行承担由此造成的一切法律后果。</w:t>
      </w:r>
    </w:p>
    <w:p>
      <w:pPr>
        <w:pStyle w:val="null3"/>
        <w:ind w:firstLine="440"/>
        <w:jc w:val="both"/>
      </w:pPr>
      <w:r>
        <w:rPr>
          <w:sz w:val="22"/>
        </w:rPr>
        <w:t>十五、双方因履行本合同而发生的争议，应协商、调解解决。协商、调解不成的，依法向甲方所在地人民法院起诉。</w:t>
      </w:r>
    </w:p>
    <w:p>
      <w:pPr>
        <w:pStyle w:val="null3"/>
        <w:ind w:firstLine="442"/>
        <w:jc w:val="both"/>
      </w:pPr>
      <w:r>
        <w:rPr>
          <w:sz w:val="22"/>
          <w:b/>
        </w:rPr>
        <w:t>十六、</w:t>
      </w:r>
      <w:r>
        <w:rPr>
          <w:sz w:val="22"/>
        </w:rPr>
        <w:t>合同份数为</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份，具有同等法律效力。</w:t>
      </w:r>
    </w:p>
    <w:p>
      <w:pPr>
        <w:pStyle w:val="null3"/>
        <w:ind w:firstLine="442"/>
        <w:jc w:val="both"/>
      </w:pPr>
      <w:r>
        <w:rPr>
          <w:sz w:val="22"/>
          <w:b/>
        </w:rPr>
        <w:t>十七、</w:t>
      </w:r>
      <w:r>
        <w:rPr>
          <w:sz w:val="22"/>
        </w:rPr>
        <w:t>因不可抗力或者财政拨款延迟、未到位导致合同无法履行的，甲乙双方均免责，但应及时处理合同终止事宜。</w:t>
      </w:r>
    </w:p>
    <w:p>
      <w:pPr>
        <w:pStyle w:val="null3"/>
        <w:ind w:firstLine="440"/>
        <w:jc w:val="both"/>
      </w:pPr>
      <w:r>
        <w:rPr>
          <w:sz w:val="22"/>
        </w:rPr>
        <w:t>（以下无正文，供签署）</w:t>
      </w:r>
    </w:p>
    <w:p>
      <w:pPr>
        <w:pStyle w:val="null3"/>
        <w:ind w:firstLine="440"/>
        <w:jc w:val="both"/>
      </w:pPr>
      <w:r>
        <w:rPr>
          <w:sz w:val="22"/>
        </w:rPr>
        <w:t>甲方（盖章）</w:t>
      </w:r>
      <w:r>
        <w:rPr>
          <w:sz w:val="22"/>
        </w:rPr>
        <w:t xml:space="preserve">                             </w:t>
      </w:r>
      <w:r>
        <w:rPr>
          <w:sz w:val="22"/>
        </w:rPr>
        <w:t>乙方（盖章）</w:t>
      </w:r>
    </w:p>
    <w:p>
      <w:pPr>
        <w:pStyle w:val="null3"/>
        <w:ind w:firstLine="440"/>
        <w:jc w:val="both"/>
      </w:pPr>
      <w:r>
        <w:rPr>
          <w:sz w:val="22"/>
        </w:rPr>
        <w:t>法定代表人：</w:t>
      </w:r>
      <w:r>
        <w:rPr>
          <w:sz w:val="22"/>
        </w:rPr>
        <w:t xml:space="preserve">                             </w:t>
      </w:r>
      <w:r>
        <w:rPr>
          <w:sz w:val="22"/>
        </w:rPr>
        <w:t>法定代表人：</w:t>
      </w:r>
    </w:p>
    <w:p>
      <w:pPr>
        <w:pStyle w:val="null3"/>
        <w:ind w:firstLine="440"/>
        <w:jc w:val="both"/>
      </w:pPr>
      <w:r>
        <w:rPr>
          <w:sz w:val="22"/>
        </w:rPr>
        <w:t>委托代理人：</w:t>
      </w:r>
      <w:r>
        <w:rPr>
          <w:sz w:val="22"/>
        </w:rPr>
        <w:t xml:space="preserve">                             </w:t>
      </w:r>
      <w:r>
        <w:rPr>
          <w:sz w:val="22"/>
        </w:rPr>
        <w:t>委托代理人：</w:t>
      </w:r>
    </w:p>
    <w:p>
      <w:pPr>
        <w:pStyle w:val="null3"/>
        <w:ind w:firstLine="440"/>
        <w:jc w:val="both"/>
      </w:pPr>
      <w:r>
        <w:rPr>
          <w:sz w:val="22"/>
        </w:rPr>
        <w:t>开户银行：</w:t>
      </w:r>
      <w:r>
        <w:rPr>
          <w:sz w:val="22"/>
        </w:rPr>
        <w:t xml:space="preserve">                               </w:t>
      </w:r>
      <w:r>
        <w:rPr>
          <w:sz w:val="22"/>
        </w:rPr>
        <w:t>开户银行：</w:t>
      </w:r>
    </w:p>
    <w:p>
      <w:pPr>
        <w:pStyle w:val="null3"/>
        <w:ind w:firstLine="440"/>
        <w:jc w:val="both"/>
      </w:pPr>
      <w:r>
        <w:rPr>
          <w:sz w:val="22"/>
        </w:rPr>
        <w:t>账号：</w:t>
      </w:r>
      <w:r>
        <w:rPr>
          <w:sz w:val="22"/>
        </w:rPr>
        <w:t xml:space="preserve">                                   </w:t>
      </w:r>
      <w:r>
        <w:rPr>
          <w:sz w:val="22"/>
        </w:rPr>
        <w:t>账号：</w:t>
      </w:r>
    </w:p>
    <w:p>
      <w:pPr>
        <w:pStyle w:val="null3"/>
        <w:ind w:firstLine="440"/>
        <w:jc w:val="both"/>
      </w:pPr>
      <w:r>
        <w:rPr>
          <w:sz w:val="22"/>
        </w:rPr>
        <w:t>签订地点：</w:t>
      </w:r>
      <w:r>
        <w:rPr>
          <w:sz w:val="22"/>
        </w:rPr>
        <w:t xml:space="preserve">                               </w:t>
      </w:r>
    </w:p>
    <w:p>
      <w:pPr>
        <w:pStyle w:val="null3"/>
        <w:ind w:firstLine="440"/>
        <w:jc w:val="both"/>
      </w:pPr>
      <w:r>
        <w:rPr>
          <w:sz w:val="22"/>
        </w:rPr>
        <w:t>签订日期：</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441900002-2026-00560</w:t>
      </w:r>
    </w:p>
    <w:p>
      <w:pPr>
        <w:pStyle w:val="null3"/>
        <w:jc w:val="center"/>
        <w:outlineLvl w:val="3"/>
      </w:pPr>
      <w:r>
        <w:rPr>
          <w:sz w:val="24"/>
          <w:b/>
        </w:rPr>
        <w:t>采购项目编号：</w:t>
      </w:r>
      <w:r>
        <w:rPr>
          <w:sz w:val="24"/>
          <w:b/>
        </w:rPr>
        <w:t>DCCG2026032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中诚（广东）项目管理咨询有限公司</w:t>
      </w:r>
    </w:p>
    <w:p>
      <w:pPr>
        <w:pStyle w:val="null3"/>
        <w:ind w:firstLine="480"/>
      </w:pPr>
      <w:r>
        <w:rPr/>
        <w:t xml:space="preserve"> 你方组织的</w:t>
      </w:r>
      <w:r>
        <w:rPr>
          <w:u w:val="single"/>
        </w:rPr>
        <w:t>“</w:t>
      </w:r>
      <w:r>
        <w:rPr>
          <w:u w:val="single"/>
        </w:rPr>
        <w:t>东城街道2026年虫媒应急消杀服务项目</w:t>
      </w:r>
      <w:r>
        <w:rPr>
          <w:u w:val="single"/>
        </w:rPr>
        <w:t>”</w:t>
      </w:r>
      <w:r>
        <w:rPr/>
        <w:t>项目的招标[采购项目编号为：</w:t>
      </w:r>
      <w:r>
        <w:rPr>
          <w:u w:val="single"/>
        </w:rPr>
        <w:t>DCCG2026032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东城街道2026年虫媒应急消杀服务项目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中诚（广东）项目管理咨询有限公司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东城街道2026年虫媒应急消杀服务项目</w:t>
      </w:r>
      <w:r>
        <w:rPr/>
        <w:t>”项目采购[采购项目编号为</w:t>
      </w:r>
      <w:r>
        <w:rPr/>
        <w:t>DCCG2026032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东莞市东城公用事业服务中心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中诚（广东）项目管理咨询有限公司</w:t>
      </w:r>
    </w:p>
    <w:p>
      <w:pPr>
        <w:pStyle w:val="null3"/>
        <w:ind w:firstLine="480"/>
      </w:pPr>
      <w:r>
        <w:rPr/>
        <w:t xml:space="preserve"> 如果我方在贵采购代理机构组织的</w:t>
      </w:r>
      <w:r>
        <w:rPr/>
        <w:t>东城街道2026年虫媒应急消杀服务项目</w:t>
      </w:r>
      <w:r>
        <w:rPr/>
        <w:t>招标中获中标（采购项目编号：</w:t>
      </w:r>
      <w:r>
        <w:rPr/>
        <w:t>DCCG2026032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中诚（广东）项目管理咨询有限公司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中诚（广东）项目管理咨询有限公司</w:t>
      </w:r>
    </w:p>
    <w:p>
      <w:pPr>
        <w:pStyle w:val="null3"/>
        <w:ind w:firstLine="480"/>
      </w:pPr>
      <w:r>
        <w:rPr/>
        <w:t>我单位已登记并准备参与“</w:t>
      </w:r>
      <w:r>
        <w:rPr/>
        <w:t>东城街道2026年虫媒应急消杀服务项目</w:t>
      </w:r>
      <w:r>
        <w:rPr/>
        <w:t>”项目（采购项目编号：</w:t>
      </w:r>
      <w:r>
        <w:rPr/>
        <w:t>DCCG2026032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